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BA00" w14:textId="1F41AB1E" w:rsidR="009C6E2F" w:rsidRDefault="007972BE">
      <w:pPr>
        <w:jc w:val="center"/>
      </w:pPr>
      <w:r>
        <w:rPr>
          <w:rFonts w:ascii="Arial" w:eastAsia="宋体" w:hAnsi="Arial" w:cs="Arial"/>
          <w:b/>
          <w:bCs/>
          <w:color w:val="000000"/>
          <w:sz w:val="16"/>
          <w:szCs w:val="16"/>
        </w:rPr>
        <w:t xml:space="preserve"> </w:t>
      </w:r>
      <w:r>
        <w:rPr>
          <w:rFonts w:ascii="Arial" w:eastAsia="宋体" w:hAnsi="Arial" w:cs="Arial"/>
          <w:b/>
          <w:bCs/>
          <w:color w:val="000000"/>
          <w:sz w:val="16"/>
          <w:szCs w:val="16"/>
        </w:rPr>
        <w:t>UNITED STATES</w:t>
      </w:r>
    </w:p>
    <w:p w14:paraId="2470BA01" w14:textId="77777777" w:rsidR="009C6E2F" w:rsidRDefault="007972BE">
      <w:pPr>
        <w:jc w:val="center"/>
      </w:pPr>
      <w:r>
        <w:rPr>
          <w:rFonts w:ascii="Arial" w:eastAsia="宋体" w:hAnsi="Arial" w:cs="Arial"/>
          <w:b/>
          <w:bCs/>
          <w:color w:val="000000"/>
          <w:sz w:val="16"/>
          <w:szCs w:val="16"/>
        </w:rPr>
        <w:t>SECURITIES AND EXCHANGE COMMISSION</w:t>
      </w:r>
    </w:p>
    <w:p w14:paraId="2470BA02" w14:textId="77777777" w:rsidR="009C6E2F" w:rsidRDefault="007972BE">
      <w:pPr>
        <w:jc w:val="center"/>
      </w:pPr>
      <w:r>
        <w:rPr>
          <w:rFonts w:ascii="Arial" w:eastAsia="宋体" w:hAnsi="Arial" w:cs="Arial"/>
          <w:b/>
          <w:bCs/>
          <w:color w:val="000000"/>
          <w:sz w:val="16"/>
          <w:szCs w:val="16"/>
        </w:rPr>
        <w:t>Washington, D.C. 20549</w:t>
      </w:r>
    </w:p>
    <w:p w14:paraId="2470BA03" w14:textId="77777777" w:rsidR="009C6E2F" w:rsidRDefault="007972BE">
      <w:pPr>
        <w:spacing w:before="120" w:after="120"/>
        <w:jc w:val="center"/>
      </w:pPr>
      <w:r>
        <w:rPr>
          <w:rFonts w:ascii="Arial" w:eastAsia="宋体" w:hAnsi="Arial" w:cs="Arial"/>
          <w:b/>
          <w:bCs/>
          <w:color w:val="000000"/>
          <w:sz w:val="28"/>
          <w:szCs w:val="28"/>
        </w:rPr>
        <w:t xml:space="preserve">FORM 10-Q </w:t>
      </w:r>
    </w:p>
    <w:p w14:paraId="2470BA04" w14:textId="77777777" w:rsidR="009C6E2F" w:rsidRDefault="007972BE">
      <w:pPr>
        <w:jc w:val="center"/>
      </w:pPr>
      <w:r>
        <w:rPr>
          <w:rFonts w:ascii="Arial" w:eastAsia="宋体" w:hAnsi="Arial" w:cs="Arial"/>
          <w:color w:val="000000"/>
          <w:sz w:val="14"/>
          <w:szCs w:val="14"/>
        </w:rPr>
        <w:t>(Mark One)</w:t>
      </w:r>
    </w:p>
    <w:p w14:paraId="2470BA05" w14:textId="77777777" w:rsidR="009C6E2F" w:rsidRDefault="007972BE">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QUARTERLY REPORT PURSUANT TO SECTION 13 OR 15(D) OF THE SECURITIES EXCHANGE ACT OF 1934</w:t>
      </w:r>
    </w:p>
    <w:p w14:paraId="2470BA06" w14:textId="77777777" w:rsidR="009C6E2F" w:rsidRDefault="007972BE">
      <w:pPr>
        <w:jc w:val="center"/>
      </w:pPr>
      <w:r>
        <w:rPr>
          <w:rFonts w:ascii="Arial" w:eastAsia="宋体" w:hAnsi="Arial" w:cs="Arial"/>
          <w:b/>
          <w:bCs/>
          <w:color w:val="000000"/>
          <w:sz w:val="16"/>
          <w:szCs w:val="16"/>
        </w:rPr>
        <w:t xml:space="preserve">FOR THE QUARTERLY PERIOD ENDED NOVEMBER 30, 2021 </w:t>
      </w:r>
    </w:p>
    <w:p w14:paraId="2470BA07" w14:textId="77777777" w:rsidR="009C6E2F" w:rsidRDefault="009C6E2F">
      <w:pPr>
        <w:jc w:val="center"/>
      </w:pPr>
    </w:p>
    <w:p w14:paraId="2470BA08" w14:textId="77777777" w:rsidR="009C6E2F" w:rsidRDefault="007972BE">
      <w:pPr>
        <w:jc w:val="center"/>
      </w:pPr>
      <w:r>
        <w:rPr>
          <w:rFonts w:ascii="Arial" w:eastAsia="宋体" w:hAnsi="Arial" w:cs="Arial"/>
          <w:b/>
          <w:bCs/>
          <w:color w:val="000000"/>
          <w:sz w:val="16"/>
          <w:szCs w:val="16"/>
        </w:rPr>
        <w:t>OR</w:t>
      </w:r>
    </w:p>
    <w:p w14:paraId="2470BA09" w14:textId="77777777" w:rsidR="009C6E2F" w:rsidRDefault="009C6E2F">
      <w:pPr>
        <w:jc w:val="center"/>
      </w:pPr>
    </w:p>
    <w:p w14:paraId="2470BA0A" w14:textId="77777777" w:rsidR="009C6E2F" w:rsidRDefault="007972BE">
      <w:pPr>
        <w:jc w:val="center"/>
      </w:pPr>
      <w:r>
        <w:rPr>
          <w:rFonts w:ascii="Wingdings" w:eastAsia="宋体" w:hAnsi="Wingdings" w:cs="Wingdings"/>
          <w:color w:val="000000"/>
          <w:sz w:val="14"/>
          <w:szCs w:val="14"/>
        </w:rPr>
        <w:t>☐</w:t>
      </w:r>
      <w:r>
        <w:rPr>
          <w:rFonts w:ascii="Arial" w:eastAsia="宋体" w:hAnsi="Arial" w:cs="Arial"/>
          <w:b/>
          <w:bCs/>
          <w:color w:val="000000"/>
          <w:sz w:val="16"/>
          <w:szCs w:val="16"/>
        </w:rPr>
        <w:t xml:space="preserve"> TRANSITION REPORT PURSUANT TO SECTION 13 OR 15(D) OF THE SECURITIES EXCHANGE ACT OF 1934</w:t>
      </w:r>
    </w:p>
    <w:p w14:paraId="2470BA0B" w14:textId="77777777" w:rsidR="009C6E2F" w:rsidRDefault="007972BE">
      <w:pPr>
        <w:jc w:val="center"/>
      </w:pPr>
      <w:r>
        <w:rPr>
          <w:rFonts w:ascii="Arial" w:eastAsia="宋体" w:hAnsi="Arial" w:cs="Arial"/>
          <w:b/>
          <w:bCs/>
          <w:color w:val="000000"/>
          <w:sz w:val="16"/>
          <w:szCs w:val="16"/>
        </w:rPr>
        <w:t>FOR THE TRANSITION PE</w:t>
      </w:r>
      <w:r>
        <w:rPr>
          <w:rFonts w:ascii="Arial" w:eastAsia="宋体" w:hAnsi="Arial" w:cs="Arial"/>
          <w:b/>
          <w:bCs/>
          <w:color w:val="000000"/>
          <w:sz w:val="16"/>
          <w:szCs w:val="16"/>
        </w:rPr>
        <w:t>RIOD FROM                         TO                         .</w:t>
      </w:r>
    </w:p>
    <w:p w14:paraId="2470BA0C" w14:textId="77777777" w:rsidR="009C6E2F" w:rsidRDefault="009C6E2F">
      <w:pPr>
        <w:jc w:val="center"/>
      </w:pPr>
    </w:p>
    <w:p w14:paraId="2470BA0D" w14:textId="77777777" w:rsidR="009C6E2F" w:rsidRDefault="007972BE">
      <w:pPr>
        <w:jc w:val="center"/>
      </w:pPr>
      <w:r>
        <w:rPr>
          <w:rFonts w:ascii="Arial" w:eastAsia="宋体" w:hAnsi="Arial" w:cs="Arial"/>
          <w:b/>
          <w:bCs/>
          <w:color w:val="000000"/>
          <w:sz w:val="16"/>
          <w:szCs w:val="16"/>
        </w:rPr>
        <w:t xml:space="preserve">Commission File No. 1-10635 </w:t>
      </w:r>
    </w:p>
    <w:p w14:paraId="2470BA0E" w14:textId="77777777" w:rsidR="009C6E2F" w:rsidRDefault="007972B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/NIKE/./Inline XBRL Viewer4_files/nke-20211130_g1.jpg"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2470E1E2" wp14:editId="2470E1E3">
            <wp:extent cx="304800" cy="304800"/>
            <wp:effectExtent l="0" t="0" r="0" b="0"/>
            <wp:docPr id="1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2470BA0F" w14:textId="77777777" w:rsidR="009C6E2F" w:rsidRDefault="007972BE">
      <w:pPr>
        <w:spacing w:after="120"/>
        <w:jc w:val="center"/>
      </w:pPr>
      <w:r>
        <w:rPr>
          <w:rFonts w:ascii="Arial" w:eastAsia="宋体" w:hAnsi="Arial" w:cs="Arial"/>
          <w:b/>
          <w:bCs/>
          <w:color w:val="000000"/>
          <w:sz w:val="40"/>
          <w:szCs w:val="40"/>
        </w:rPr>
        <w:t xml:space="preserve">NIKE, Inc. </w:t>
      </w:r>
    </w:p>
    <w:p w14:paraId="2470BA10" w14:textId="77777777" w:rsidR="009C6E2F" w:rsidRDefault="007972BE">
      <w:pPr>
        <w:jc w:val="center"/>
      </w:pPr>
      <w:r>
        <w:rPr>
          <w:rFonts w:ascii="Arial" w:eastAsia="宋体" w:hAnsi="Arial" w:cs="Arial"/>
          <w:b/>
          <w:bCs/>
          <w:color w:val="000000"/>
          <w:sz w:val="16"/>
          <w:szCs w:val="16"/>
        </w:rPr>
        <w:t xml:space="preserve">(Exact </w:t>
      </w:r>
      <w:r>
        <w:rPr>
          <w:rFonts w:ascii="Arial" w:eastAsia="宋体" w:hAnsi="Arial" w:cs="Arial"/>
          <w:b/>
          <w:bCs/>
          <w:color w:val="000000"/>
          <w:sz w:val="16"/>
          <w:szCs w:val="16"/>
        </w:rPr>
        <w:t>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2520"/>
        <w:gridCol w:w="37"/>
        <w:gridCol w:w="69"/>
        <w:gridCol w:w="1436"/>
        <w:gridCol w:w="36"/>
        <w:gridCol w:w="69"/>
        <w:gridCol w:w="1436"/>
        <w:gridCol w:w="37"/>
        <w:gridCol w:w="70"/>
        <w:gridCol w:w="2521"/>
        <w:gridCol w:w="36"/>
      </w:tblGrid>
      <w:tr w:rsidR="009C6E2F" w14:paraId="2470BA1D" w14:textId="77777777">
        <w:tc>
          <w:tcPr>
            <w:tcW w:w="50" w:type="pct"/>
            <w:shd w:val="clear" w:color="auto" w:fill="auto"/>
            <w:vAlign w:val="bottom"/>
          </w:tcPr>
          <w:p w14:paraId="2470BA11" w14:textId="77777777" w:rsidR="009C6E2F" w:rsidRDefault="009C6E2F">
            <w:pPr>
              <w:rPr>
                <w:rFonts w:ascii="宋体"/>
              </w:rPr>
            </w:pPr>
          </w:p>
        </w:tc>
        <w:tc>
          <w:tcPr>
            <w:tcW w:w="1519" w:type="pct"/>
            <w:shd w:val="clear" w:color="auto" w:fill="auto"/>
            <w:vAlign w:val="bottom"/>
          </w:tcPr>
          <w:p w14:paraId="2470BA12" w14:textId="77777777" w:rsidR="009C6E2F" w:rsidRDefault="009C6E2F">
            <w:pPr>
              <w:rPr>
                <w:rFonts w:ascii="宋体"/>
              </w:rPr>
            </w:pPr>
          </w:p>
        </w:tc>
        <w:tc>
          <w:tcPr>
            <w:tcW w:w="5" w:type="pct"/>
            <w:shd w:val="clear" w:color="auto" w:fill="auto"/>
            <w:vAlign w:val="bottom"/>
          </w:tcPr>
          <w:p w14:paraId="2470BA13" w14:textId="77777777" w:rsidR="009C6E2F" w:rsidRDefault="009C6E2F">
            <w:pPr>
              <w:rPr>
                <w:rFonts w:ascii="宋体"/>
              </w:rPr>
            </w:pPr>
          </w:p>
        </w:tc>
        <w:tc>
          <w:tcPr>
            <w:tcW w:w="50" w:type="pct"/>
            <w:shd w:val="clear" w:color="auto" w:fill="auto"/>
            <w:vAlign w:val="bottom"/>
          </w:tcPr>
          <w:p w14:paraId="2470BA14" w14:textId="77777777" w:rsidR="009C6E2F" w:rsidRDefault="009C6E2F">
            <w:pPr>
              <w:rPr>
                <w:rFonts w:ascii="宋体"/>
              </w:rPr>
            </w:pPr>
          </w:p>
        </w:tc>
        <w:tc>
          <w:tcPr>
            <w:tcW w:w="870" w:type="pct"/>
            <w:shd w:val="clear" w:color="auto" w:fill="auto"/>
            <w:vAlign w:val="bottom"/>
          </w:tcPr>
          <w:p w14:paraId="2470BA15" w14:textId="77777777" w:rsidR="009C6E2F" w:rsidRDefault="009C6E2F">
            <w:pPr>
              <w:rPr>
                <w:rFonts w:ascii="宋体"/>
              </w:rPr>
            </w:pPr>
          </w:p>
        </w:tc>
        <w:tc>
          <w:tcPr>
            <w:tcW w:w="5" w:type="pct"/>
            <w:shd w:val="clear" w:color="auto" w:fill="auto"/>
            <w:vAlign w:val="bottom"/>
          </w:tcPr>
          <w:p w14:paraId="2470BA16" w14:textId="77777777" w:rsidR="009C6E2F" w:rsidRDefault="009C6E2F">
            <w:pPr>
              <w:rPr>
                <w:rFonts w:ascii="宋体"/>
              </w:rPr>
            </w:pPr>
          </w:p>
        </w:tc>
        <w:tc>
          <w:tcPr>
            <w:tcW w:w="50" w:type="pct"/>
            <w:shd w:val="clear" w:color="auto" w:fill="auto"/>
            <w:vAlign w:val="bottom"/>
          </w:tcPr>
          <w:p w14:paraId="2470BA17" w14:textId="77777777" w:rsidR="009C6E2F" w:rsidRDefault="009C6E2F">
            <w:pPr>
              <w:rPr>
                <w:rFonts w:ascii="宋体"/>
              </w:rPr>
            </w:pPr>
          </w:p>
        </w:tc>
        <w:tc>
          <w:tcPr>
            <w:tcW w:w="870" w:type="pct"/>
            <w:shd w:val="clear" w:color="auto" w:fill="auto"/>
            <w:vAlign w:val="bottom"/>
          </w:tcPr>
          <w:p w14:paraId="2470BA18" w14:textId="77777777" w:rsidR="009C6E2F" w:rsidRDefault="009C6E2F">
            <w:pPr>
              <w:rPr>
                <w:rFonts w:ascii="宋体"/>
              </w:rPr>
            </w:pPr>
          </w:p>
        </w:tc>
        <w:tc>
          <w:tcPr>
            <w:tcW w:w="5" w:type="pct"/>
            <w:shd w:val="clear" w:color="auto" w:fill="auto"/>
            <w:vAlign w:val="bottom"/>
          </w:tcPr>
          <w:p w14:paraId="2470BA19" w14:textId="77777777" w:rsidR="009C6E2F" w:rsidRDefault="009C6E2F">
            <w:pPr>
              <w:rPr>
                <w:rFonts w:ascii="宋体"/>
              </w:rPr>
            </w:pPr>
          </w:p>
        </w:tc>
        <w:tc>
          <w:tcPr>
            <w:tcW w:w="50" w:type="pct"/>
            <w:shd w:val="clear" w:color="auto" w:fill="auto"/>
            <w:vAlign w:val="bottom"/>
          </w:tcPr>
          <w:p w14:paraId="2470BA1A" w14:textId="77777777" w:rsidR="009C6E2F" w:rsidRDefault="009C6E2F">
            <w:pPr>
              <w:rPr>
                <w:rFonts w:ascii="宋体"/>
              </w:rPr>
            </w:pPr>
          </w:p>
        </w:tc>
        <w:tc>
          <w:tcPr>
            <w:tcW w:w="1519" w:type="pct"/>
            <w:shd w:val="clear" w:color="auto" w:fill="auto"/>
            <w:vAlign w:val="bottom"/>
          </w:tcPr>
          <w:p w14:paraId="2470BA1B" w14:textId="77777777" w:rsidR="009C6E2F" w:rsidRDefault="009C6E2F">
            <w:pPr>
              <w:rPr>
                <w:rFonts w:ascii="宋体"/>
              </w:rPr>
            </w:pPr>
          </w:p>
        </w:tc>
        <w:tc>
          <w:tcPr>
            <w:tcW w:w="5" w:type="pct"/>
            <w:shd w:val="clear" w:color="auto" w:fill="auto"/>
            <w:vAlign w:val="bottom"/>
          </w:tcPr>
          <w:p w14:paraId="2470BA1C" w14:textId="77777777" w:rsidR="009C6E2F" w:rsidRDefault="009C6E2F">
            <w:pPr>
              <w:rPr>
                <w:rFonts w:ascii="宋体"/>
              </w:rPr>
            </w:pPr>
          </w:p>
        </w:tc>
      </w:tr>
      <w:tr w:rsidR="009C6E2F" w14:paraId="2470BA20" w14:textId="77777777">
        <w:tc>
          <w:tcPr>
            <w:tcW w:w="0" w:type="auto"/>
            <w:gridSpan w:val="6"/>
            <w:shd w:val="clear" w:color="auto" w:fill="auto"/>
            <w:tcMar>
              <w:top w:w="40" w:type="dxa"/>
              <w:left w:w="20" w:type="dxa"/>
              <w:bottom w:w="40" w:type="dxa"/>
              <w:right w:w="20" w:type="dxa"/>
            </w:tcMar>
            <w:vAlign w:val="bottom"/>
          </w:tcPr>
          <w:p w14:paraId="2470BA1E"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Oregon</w:t>
            </w:r>
          </w:p>
        </w:tc>
        <w:tc>
          <w:tcPr>
            <w:tcW w:w="0" w:type="auto"/>
            <w:gridSpan w:val="6"/>
            <w:shd w:val="clear" w:color="auto" w:fill="auto"/>
            <w:tcMar>
              <w:top w:w="40" w:type="dxa"/>
              <w:left w:w="20" w:type="dxa"/>
              <w:bottom w:w="40" w:type="dxa"/>
              <w:right w:w="20" w:type="dxa"/>
            </w:tcMar>
            <w:vAlign w:val="bottom"/>
          </w:tcPr>
          <w:p w14:paraId="2470BA1F"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93-0584541</w:t>
            </w:r>
          </w:p>
        </w:tc>
      </w:tr>
      <w:tr w:rsidR="009C6E2F" w14:paraId="2470BA23" w14:textId="77777777">
        <w:tc>
          <w:tcPr>
            <w:tcW w:w="0" w:type="auto"/>
            <w:gridSpan w:val="6"/>
            <w:shd w:val="clear" w:color="auto" w:fill="auto"/>
            <w:tcMar>
              <w:top w:w="40" w:type="dxa"/>
              <w:left w:w="20" w:type="dxa"/>
              <w:bottom w:w="40" w:type="dxa"/>
              <w:right w:w="20" w:type="dxa"/>
            </w:tcMar>
          </w:tcPr>
          <w:p w14:paraId="2470BA21" w14:textId="77777777" w:rsidR="009C6E2F" w:rsidRDefault="007972B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i/>
                <w:iCs/>
                <w:color w:val="000000"/>
                <w:sz w:val="14"/>
                <w:szCs w:val="14"/>
              </w:rPr>
              <w:t>(State or other jurisdiction of incorporation or organization)</w:t>
            </w:r>
          </w:p>
        </w:tc>
        <w:tc>
          <w:tcPr>
            <w:tcW w:w="0" w:type="auto"/>
            <w:gridSpan w:val="6"/>
            <w:shd w:val="clear" w:color="auto" w:fill="auto"/>
            <w:tcMar>
              <w:top w:w="40" w:type="dxa"/>
              <w:left w:w="20" w:type="dxa"/>
              <w:bottom w:w="40" w:type="dxa"/>
              <w:right w:w="20" w:type="dxa"/>
            </w:tcMar>
          </w:tcPr>
          <w:p w14:paraId="2470BA22" w14:textId="77777777" w:rsidR="009C6E2F" w:rsidRDefault="007972BE">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i/>
                <w:iCs/>
                <w:color w:val="000000"/>
                <w:sz w:val="14"/>
                <w:szCs w:val="14"/>
              </w:rPr>
              <w:t>(I.R.S. Employer Identification No.)</w:t>
            </w:r>
          </w:p>
        </w:tc>
      </w:tr>
    </w:tbl>
    <w:p w14:paraId="2470BA24" w14:textId="77777777" w:rsidR="009C6E2F" w:rsidRDefault="009C6E2F">
      <w:pPr>
        <w:jc w:val="center"/>
      </w:pPr>
    </w:p>
    <w:p w14:paraId="2470BA25" w14:textId="77777777" w:rsidR="009C6E2F" w:rsidRDefault="007972BE">
      <w:pPr>
        <w:jc w:val="center"/>
      </w:pPr>
      <w:r>
        <w:rPr>
          <w:rFonts w:ascii="Arial" w:eastAsia="宋体" w:hAnsi="Arial" w:cs="Arial"/>
          <w:b/>
          <w:bCs/>
          <w:color w:val="000000"/>
          <w:sz w:val="14"/>
          <w:szCs w:val="14"/>
        </w:rPr>
        <w:t xml:space="preserve">One Bowerman Drive, Beaverton, Oregon 97005-6453 </w:t>
      </w:r>
    </w:p>
    <w:p w14:paraId="2470BA26" w14:textId="77777777" w:rsidR="009C6E2F" w:rsidRDefault="007972BE">
      <w:pPr>
        <w:jc w:val="center"/>
      </w:pPr>
      <w:r>
        <w:rPr>
          <w:rFonts w:ascii="Arial" w:eastAsia="宋体" w:hAnsi="Arial" w:cs="Arial"/>
          <w:i/>
          <w:iCs/>
          <w:color w:val="000000"/>
          <w:sz w:val="14"/>
          <w:szCs w:val="14"/>
        </w:rPr>
        <w:t>(Address of principal executive offices and zip code)</w:t>
      </w:r>
    </w:p>
    <w:p w14:paraId="2470BA27" w14:textId="77777777" w:rsidR="009C6E2F" w:rsidRDefault="009C6E2F">
      <w:pPr>
        <w:jc w:val="center"/>
      </w:pPr>
    </w:p>
    <w:p w14:paraId="2470BA28" w14:textId="77777777" w:rsidR="009C6E2F" w:rsidRDefault="007972BE">
      <w:pPr>
        <w:jc w:val="center"/>
      </w:pPr>
      <w:r>
        <w:rPr>
          <w:rFonts w:ascii="Arial" w:eastAsia="宋体" w:hAnsi="Arial" w:cs="Arial"/>
          <w:b/>
          <w:bCs/>
          <w:color w:val="000000"/>
          <w:sz w:val="14"/>
          <w:szCs w:val="14"/>
        </w:rPr>
        <w:t xml:space="preserve">(503) 671-6453 </w:t>
      </w:r>
    </w:p>
    <w:p w14:paraId="2470BA29" w14:textId="77777777" w:rsidR="009C6E2F" w:rsidRDefault="007972BE">
      <w:pPr>
        <w:jc w:val="center"/>
      </w:pPr>
      <w:r>
        <w:rPr>
          <w:rFonts w:ascii="Arial" w:eastAsia="宋体" w:hAnsi="Arial" w:cs="Arial"/>
          <w:i/>
          <w:iCs/>
          <w:color w:val="000000"/>
          <w:sz w:val="14"/>
          <w:szCs w:val="14"/>
        </w:rPr>
        <w:t>(Registrant's telephone number, including area code)</w:t>
      </w:r>
    </w:p>
    <w:tbl>
      <w:tblPr>
        <w:tblW w:w="5000" w:type="pct"/>
        <w:tblCellMar>
          <w:top w:w="15" w:type="dxa"/>
          <w:left w:w="15" w:type="dxa"/>
          <w:bottom w:w="15" w:type="dxa"/>
          <w:right w:w="15" w:type="dxa"/>
        </w:tblCellMar>
        <w:tblLook w:val="04A0" w:firstRow="1" w:lastRow="0" w:firstColumn="1" w:lastColumn="0" w:noHBand="0" w:noVBand="1"/>
      </w:tblPr>
      <w:tblGrid>
        <w:gridCol w:w="68"/>
        <w:gridCol w:w="2520"/>
        <w:gridCol w:w="38"/>
        <w:gridCol w:w="69"/>
        <w:gridCol w:w="1436"/>
        <w:gridCol w:w="37"/>
        <w:gridCol w:w="69"/>
        <w:gridCol w:w="1436"/>
        <w:gridCol w:w="37"/>
        <w:gridCol w:w="69"/>
        <w:gridCol w:w="2520"/>
        <w:gridCol w:w="37"/>
      </w:tblGrid>
      <w:tr w:rsidR="009C6E2F" w14:paraId="2470BA36" w14:textId="77777777">
        <w:tc>
          <w:tcPr>
            <w:tcW w:w="50" w:type="pct"/>
            <w:shd w:val="clear" w:color="auto" w:fill="auto"/>
            <w:vAlign w:val="bottom"/>
          </w:tcPr>
          <w:p w14:paraId="2470BA2A" w14:textId="77777777" w:rsidR="009C6E2F" w:rsidRDefault="009C6E2F">
            <w:pPr>
              <w:rPr>
                <w:rFonts w:ascii="宋体"/>
              </w:rPr>
            </w:pPr>
          </w:p>
        </w:tc>
        <w:tc>
          <w:tcPr>
            <w:tcW w:w="1519" w:type="pct"/>
            <w:shd w:val="clear" w:color="auto" w:fill="auto"/>
            <w:vAlign w:val="bottom"/>
          </w:tcPr>
          <w:p w14:paraId="2470BA2B" w14:textId="77777777" w:rsidR="009C6E2F" w:rsidRDefault="009C6E2F">
            <w:pPr>
              <w:rPr>
                <w:rFonts w:ascii="宋体"/>
              </w:rPr>
            </w:pPr>
          </w:p>
        </w:tc>
        <w:tc>
          <w:tcPr>
            <w:tcW w:w="5" w:type="pct"/>
            <w:shd w:val="clear" w:color="auto" w:fill="auto"/>
            <w:vAlign w:val="bottom"/>
          </w:tcPr>
          <w:p w14:paraId="2470BA2C" w14:textId="77777777" w:rsidR="009C6E2F" w:rsidRDefault="009C6E2F">
            <w:pPr>
              <w:rPr>
                <w:rFonts w:ascii="宋体"/>
              </w:rPr>
            </w:pPr>
          </w:p>
        </w:tc>
        <w:tc>
          <w:tcPr>
            <w:tcW w:w="50" w:type="pct"/>
            <w:shd w:val="clear" w:color="auto" w:fill="auto"/>
            <w:vAlign w:val="bottom"/>
          </w:tcPr>
          <w:p w14:paraId="2470BA2D" w14:textId="77777777" w:rsidR="009C6E2F" w:rsidRDefault="009C6E2F">
            <w:pPr>
              <w:rPr>
                <w:rFonts w:ascii="宋体"/>
              </w:rPr>
            </w:pPr>
          </w:p>
        </w:tc>
        <w:tc>
          <w:tcPr>
            <w:tcW w:w="870" w:type="pct"/>
            <w:shd w:val="clear" w:color="auto" w:fill="auto"/>
            <w:vAlign w:val="bottom"/>
          </w:tcPr>
          <w:p w14:paraId="2470BA2E" w14:textId="77777777" w:rsidR="009C6E2F" w:rsidRDefault="009C6E2F">
            <w:pPr>
              <w:rPr>
                <w:rFonts w:ascii="宋体"/>
              </w:rPr>
            </w:pPr>
          </w:p>
        </w:tc>
        <w:tc>
          <w:tcPr>
            <w:tcW w:w="5" w:type="pct"/>
            <w:shd w:val="clear" w:color="auto" w:fill="auto"/>
            <w:vAlign w:val="bottom"/>
          </w:tcPr>
          <w:p w14:paraId="2470BA2F" w14:textId="77777777" w:rsidR="009C6E2F" w:rsidRDefault="009C6E2F">
            <w:pPr>
              <w:rPr>
                <w:rFonts w:ascii="宋体"/>
              </w:rPr>
            </w:pPr>
          </w:p>
        </w:tc>
        <w:tc>
          <w:tcPr>
            <w:tcW w:w="50" w:type="pct"/>
            <w:shd w:val="clear" w:color="auto" w:fill="auto"/>
            <w:vAlign w:val="bottom"/>
          </w:tcPr>
          <w:p w14:paraId="2470BA30" w14:textId="77777777" w:rsidR="009C6E2F" w:rsidRDefault="009C6E2F">
            <w:pPr>
              <w:rPr>
                <w:rFonts w:ascii="宋体"/>
              </w:rPr>
            </w:pPr>
          </w:p>
        </w:tc>
        <w:tc>
          <w:tcPr>
            <w:tcW w:w="870" w:type="pct"/>
            <w:shd w:val="clear" w:color="auto" w:fill="auto"/>
            <w:vAlign w:val="bottom"/>
          </w:tcPr>
          <w:p w14:paraId="2470BA31" w14:textId="77777777" w:rsidR="009C6E2F" w:rsidRDefault="009C6E2F">
            <w:pPr>
              <w:rPr>
                <w:rFonts w:ascii="宋体"/>
              </w:rPr>
            </w:pPr>
          </w:p>
        </w:tc>
        <w:tc>
          <w:tcPr>
            <w:tcW w:w="5" w:type="pct"/>
            <w:shd w:val="clear" w:color="auto" w:fill="auto"/>
            <w:vAlign w:val="bottom"/>
          </w:tcPr>
          <w:p w14:paraId="2470BA32" w14:textId="77777777" w:rsidR="009C6E2F" w:rsidRDefault="009C6E2F">
            <w:pPr>
              <w:rPr>
                <w:rFonts w:ascii="宋体"/>
              </w:rPr>
            </w:pPr>
          </w:p>
        </w:tc>
        <w:tc>
          <w:tcPr>
            <w:tcW w:w="50" w:type="pct"/>
            <w:shd w:val="clear" w:color="auto" w:fill="auto"/>
            <w:vAlign w:val="bottom"/>
          </w:tcPr>
          <w:p w14:paraId="2470BA33" w14:textId="77777777" w:rsidR="009C6E2F" w:rsidRDefault="009C6E2F">
            <w:pPr>
              <w:rPr>
                <w:rFonts w:ascii="宋体"/>
              </w:rPr>
            </w:pPr>
          </w:p>
        </w:tc>
        <w:tc>
          <w:tcPr>
            <w:tcW w:w="1519" w:type="pct"/>
            <w:shd w:val="clear" w:color="auto" w:fill="auto"/>
            <w:vAlign w:val="bottom"/>
          </w:tcPr>
          <w:p w14:paraId="2470BA34" w14:textId="77777777" w:rsidR="009C6E2F" w:rsidRDefault="009C6E2F">
            <w:pPr>
              <w:rPr>
                <w:rFonts w:ascii="宋体"/>
              </w:rPr>
            </w:pPr>
          </w:p>
        </w:tc>
        <w:tc>
          <w:tcPr>
            <w:tcW w:w="5" w:type="pct"/>
            <w:shd w:val="clear" w:color="auto" w:fill="auto"/>
            <w:vAlign w:val="bottom"/>
          </w:tcPr>
          <w:p w14:paraId="2470BA35" w14:textId="77777777" w:rsidR="009C6E2F" w:rsidRDefault="009C6E2F">
            <w:pPr>
              <w:rPr>
                <w:rFonts w:ascii="宋体"/>
              </w:rPr>
            </w:pPr>
          </w:p>
        </w:tc>
      </w:tr>
      <w:tr w:rsidR="009C6E2F" w14:paraId="2470BA38" w14:textId="77777777">
        <w:tc>
          <w:tcPr>
            <w:tcW w:w="0" w:type="auto"/>
            <w:gridSpan w:val="12"/>
            <w:shd w:val="clear" w:color="auto" w:fill="auto"/>
            <w:tcMar>
              <w:top w:w="40" w:type="dxa"/>
              <w:left w:w="20" w:type="dxa"/>
              <w:bottom w:w="40" w:type="dxa"/>
              <w:right w:w="20" w:type="dxa"/>
            </w:tcMar>
            <w:vAlign w:val="bottom"/>
          </w:tcPr>
          <w:p w14:paraId="2470BA37"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4"/>
                <w:szCs w:val="14"/>
              </w:rPr>
              <w:t>SECURITIES REGISTERED PURSUANT TO SECTION 12(B) OF THE ACT:</w:t>
            </w:r>
          </w:p>
        </w:tc>
      </w:tr>
      <w:tr w:rsidR="009C6E2F" w14:paraId="2470BA3C" w14:textId="77777777">
        <w:tc>
          <w:tcPr>
            <w:tcW w:w="0" w:type="auto"/>
            <w:gridSpan w:val="3"/>
            <w:shd w:val="clear" w:color="auto" w:fill="auto"/>
            <w:tcMar>
              <w:top w:w="40" w:type="dxa"/>
              <w:left w:w="20" w:type="dxa"/>
              <w:bottom w:w="40" w:type="dxa"/>
              <w:right w:w="20" w:type="dxa"/>
            </w:tcMar>
            <w:vAlign w:val="bottom"/>
          </w:tcPr>
          <w:p w14:paraId="2470BA39"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Class B Common Stock</w:t>
            </w:r>
          </w:p>
        </w:tc>
        <w:tc>
          <w:tcPr>
            <w:tcW w:w="0" w:type="auto"/>
            <w:gridSpan w:val="6"/>
            <w:shd w:val="clear" w:color="auto" w:fill="auto"/>
            <w:tcMar>
              <w:top w:w="40" w:type="dxa"/>
              <w:left w:w="20" w:type="dxa"/>
              <w:bottom w:w="40" w:type="dxa"/>
              <w:right w:w="20" w:type="dxa"/>
            </w:tcMar>
            <w:vAlign w:val="bottom"/>
          </w:tcPr>
          <w:p w14:paraId="2470BA3A"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NKE</w:t>
            </w:r>
          </w:p>
        </w:tc>
        <w:tc>
          <w:tcPr>
            <w:tcW w:w="0" w:type="auto"/>
            <w:gridSpan w:val="3"/>
            <w:shd w:val="clear" w:color="auto" w:fill="auto"/>
            <w:tcMar>
              <w:top w:w="40" w:type="dxa"/>
              <w:left w:w="20" w:type="dxa"/>
              <w:bottom w:w="40" w:type="dxa"/>
              <w:right w:w="20" w:type="dxa"/>
            </w:tcMar>
            <w:vAlign w:val="bottom"/>
          </w:tcPr>
          <w:p w14:paraId="2470BA3B"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New York Stock Exchange</w:t>
            </w:r>
          </w:p>
        </w:tc>
      </w:tr>
      <w:tr w:rsidR="009C6E2F" w14:paraId="2470BA40" w14:textId="77777777">
        <w:tc>
          <w:tcPr>
            <w:tcW w:w="0" w:type="auto"/>
            <w:gridSpan w:val="3"/>
            <w:shd w:val="clear" w:color="auto" w:fill="auto"/>
            <w:tcMar>
              <w:top w:w="40" w:type="dxa"/>
              <w:left w:w="20" w:type="dxa"/>
              <w:bottom w:w="40" w:type="dxa"/>
              <w:right w:w="20" w:type="dxa"/>
            </w:tcMar>
            <w:vAlign w:val="bottom"/>
          </w:tcPr>
          <w:p w14:paraId="2470BA3D"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i/>
                <w:iCs/>
                <w:color w:val="000000"/>
                <w:sz w:val="14"/>
                <w:szCs w:val="14"/>
              </w:rPr>
              <w:t>(Title of each class)</w:t>
            </w:r>
          </w:p>
        </w:tc>
        <w:tc>
          <w:tcPr>
            <w:tcW w:w="0" w:type="auto"/>
            <w:gridSpan w:val="6"/>
            <w:shd w:val="clear" w:color="auto" w:fill="auto"/>
            <w:tcMar>
              <w:top w:w="40" w:type="dxa"/>
              <w:left w:w="20" w:type="dxa"/>
              <w:bottom w:w="40" w:type="dxa"/>
              <w:right w:w="20" w:type="dxa"/>
            </w:tcMar>
            <w:vAlign w:val="bottom"/>
          </w:tcPr>
          <w:p w14:paraId="2470BA3E"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i/>
                <w:iCs/>
                <w:color w:val="000000"/>
                <w:sz w:val="14"/>
                <w:szCs w:val="14"/>
              </w:rPr>
              <w:t>(Trading symbol)</w:t>
            </w:r>
          </w:p>
        </w:tc>
        <w:tc>
          <w:tcPr>
            <w:tcW w:w="0" w:type="auto"/>
            <w:gridSpan w:val="3"/>
            <w:shd w:val="clear" w:color="auto" w:fill="auto"/>
            <w:tcMar>
              <w:top w:w="40" w:type="dxa"/>
              <w:left w:w="20" w:type="dxa"/>
              <w:bottom w:w="40" w:type="dxa"/>
              <w:right w:w="20" w:type="dxa"/>
            </w:tcMar>
            <w:vAlign w:val="bottom"/>
          </w:tcPr>
          <w:p w14:paraId="2470BA3F"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i/>
                <w:iCs/>
                <w:color w:val="000000"/>
                <w:sz w:val="14"/>
                <w:szCs w:val="14"/>
              </w:rPr>
              <w:t>(Name of each exchange on which registered)</w:t>
            </w:r>
          </w:p>
        </w:tc>
      </w:tr>
    </w:tbl>
    <w:p w14:paraId="2470BA41" w14:textId="77777777" w:rsidR="009C6E2F" w:rsidRDefault="009C6E2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6"/>
        <w:gridCol w:w="41"/>
        <w:gridCol w:w="36"/>
        <w:gridCol w:w="36"/>
        <w:gridCol w:w="45"/>
        <w:gridCol w:w="1265"/>
        <w:gridCol w:w="38"/>
        <w:gridCol w:w="38"/>
        <w:gridCol w:w="151"/>
        <w:gridCol w:w="38"/>
        <w:gridCol w:w="84"/>
        <w:gridCol w:w="952"/>
        <w:gridCol w:w="38"/>
        <w:gridCol w:w="37"/>
        <w:gridCol w:w="62"/>
        <w:gridCol w:w="37"/>
        <w:gridCol w:w="76"/>
        <w:gridCol w:w="1274"/>
        <w:gridCol w:w="38"/>
        <w:gridCol w:w="37"/>
        <w:gridCol w:w="119"/>
        <w:gridCol w:w="37"/>
        <w:gridCol w:w="88"/>
        <w:gridCol w:w="1617"/>
        <w:gridCol w:w="37"/>
        <w:gridCol w:w="37"/>
        <w:gridCol w:w="294"/>
        <w:gridCol w:w="36"/>
        <w:gridCol w:w="53"/>
        <w:gridCol w:w="760"/>
        <w:gridCol w:w="37"/>
        <w:gridCol w:w="52"/>
        <w:gridCol w:w="583"/>
        <w:gridCol w:w="36"/>
        <w:gridCol w:w="36"/>
        <w:gridCol w:w="119"/>
        <w:gridCol w:w="36"/>
      </w:tblGrid>
      <w:tr w:rsidR="009C6E2F" w14:paraId="2470BA67" w14:textId="77777777">
        <w:tc>
          <w:tcPr>
            <w:tcW w:w="5" w:type="pct"/>
            <w:shd w:val="clear" w:color="auto" w:fill="auto"/>
            <w:vAlign w:val="bottom"/>
          </w:tcPr>
          <w:p w14:paraId="2470BA42" w14:textId="77777777" w:rsidR="009C6E2F" w:rsidRDefault="009C6E2F">
            <w:pPr>
              <w:rPr>
                <w:rFonts w:ascii="宋体"/>
              </w:rPr>
            </w:pPr>
          </w:p>
        </w:tc>
        <w:tc>
          <w:tcPr>
            <w:tcW w:w="59" w:type="pct"/>
            <w:shd w:val="clear" w:color="auto" w:fill="auto"/>
            <w:vAlign w:val="bottom"/>
          </w:tcPr>
          <w:p w14:paraId="2470BA43" w14:textId="77777777" w:rsidR="009C6E2F" w:rsidRDefault="009C6E2F">
            <w:pPr>
              <w:rPr>
                <w:rFonts w:ascii="宋体"/>
              </w:rPr>
            </w:pPr>
          </w:p>
        </w:tc>
        <w:tc>
          <w:tcPr>
            <w:tcW w:w="5" w:type="pct"/>
            <w:shd w:val="clear" w:color="auto" w:fill="auto"/>
            <w:vAlign w:val="bottom"/>
          </w:tcPr>
          <w:p w14:paraId="2470BA44" w14:textId="77777777" w:rsidR="009C6E2F" w:rsidRDefault="009C6E2F">
            <w:pPr>
              <w:rPr>
                <w:rFonts w:ascii="宋体"/>
              </w:rPr>
            </w:pPr>
          </w:p>
        </w:tc>
        <w:tc>
          <w:tcPr>
            <w:tcW w:w="0" w:type="auto"/>
            <w:shd w:val="clear" w:color="auto" w:fill="auto"/>
            <w:vAlign w:val="bottom"/>
          </w:tcPr>
          <w:p w14:paraId="2470BA45" w14:textId="77777777" w:rsidR="009C6E2F" w:rsidRDefault="009C6E2F">
            <w:pPr>
              <w:rPr>
                <w:rFonts w:ascii="宋体"/>
                <w:vanish/>
              </w:rPr>
            </w:pPr>
          </w:p>
        </w:tc>
        <w:tc>
          <w:tcPr>
            <w:tcW w:w="50" w:type="pct"/>
            <w:shd w:val="clear" w:color="auto" w:fill="auto"/>
            <w:vAlign w:val="bottom"/>
          </w:tcPr>
          <w:p w14:paraId="2470BA46" w14:textId="77777777" w:rsidR="009C6E2F" w:rsidRDefault="009C6E2F">
            <w:pPr>
              <w:rPr>
                <w:rFonts w:ascii="宋体"/>
              </w:rPr>
            </w:pPr>
          </w:p>
        </w:tc>
        <w:tc>
          <w:tcPr>
            <w:tcW w:w="807" w:type="pct"/>
            <w:shd w:val="clear" w:color="auto" w:fill="auto"/>
            <w:vAlign w:val="bottom"/>
          </w:tcPr>
          <w:p w14:paraId="2470BA47" w14:textId="77777777" w:rsidR="009C6E2F" w:rsidRDefault="009C6E2F">
            <w:pPr>
              <w:rPr>
                <w:rFonts w:ascii="宋体"/>
              </w:rPr>
            </w:pPr>
          </w:p>
        </w:tc>
        <w:tc>
          <w:tcPr>
            <w:tcW w:w="5" w:type="pct"/>
            <w:shd w:val="clear" w:color="auto" w:fill="auto"/>
            <w:vAlign w:val="bottom"/>
          </w:tcPr>
          <w:p w14:paraId="2470BA48" w14:textId="77777777" w:rsidR="009C6E2F" w:rsidRDefault="009C6E2F">
            <w:pPr>
              <w:rPr>
                <w:rFonts w:ascii="宋体"/>
              </w:rPr>
            </w:pPr>
          </w:p>
        </w:tc>
        <w:tc>
          <w:tcPr>
            <w:tcW w:w="5" w:type="pct"/>
            <w:shd w:val="clear" w:color="auto" w:fill="auto"/>
            <w:vAlign w:val="bottom"/>
          </w:tcPr>
          <w:p w14:paraId="2470BA49" w14:textId="77777777" w:rsidR="009C6E2F" w:rsidRDefault="009C6E2F">
            <w:pPr>
              <w:rPr>
                <w:rFonts w:ascii="宋体"/>
              </w:rPr>
            </w:pPr>
          </w:p>
        </w:tc>
        <w:tc>
          <w:tcPr>
            <w:tcW w:w="105" w:type="pct"/>
            <w:shd w:val="clear" w:color="auto" w:fill="auto"/>
            <w:vAlign w:val="bottom"/>
          </w:tcPr>
          <w:p w14:paraId="2470BA4A" w14:textId="77777777" w:rsidR="009C6E2F" w:rsidRDefault="009C6E2F">
            <w:pPr>
              <w:rPr>
                <w:rFonts w:ascii="宋体"/>
              </w:rPr>
            </w:pPr>
          </w:p>
        </w:tc>
        <w:tc>
          <w:tcPr>
            <w:tcW w:w="5" w:type="pct"/>
            <w:shd w:val="clear" w:color="auto" w:fill="auto"/>
            <w:vAlign w:val="bottom"/>
          </w:tcPr>
          <w:p w14:paraId="2470BA4B" w14:textId="77777777" w:rsidR="009C6E2F" w:rsidRDefault="009C6E2F">
            <w:pPr>
              <w:rPr>
                <w:rFonts w:ascii="宋体"/>
              </w:rPr>
            </w:pPr>
          </w:p>
        </w:tc>
        <w:tc>
          <w:tcPr>
            <w:tcW w:w="50" w:type="pct"/>
            <w:shd w:val="clear" w:color="auto" w:fill="auto"/>
            <w:vAlign w:val="bottom"/>
          </w:tcPr>
          <w:p w14:paraId="2470BA4C" w14:textId="77777777" w:rsidR="009C6E2F" w:rsidRDefault="009C6E2F">
            <w:pPr>
              <w:rPr>
                <w:rFonts w:ascii="宋体"/>
              </w:rPr>
            </w:pPr>
          </w:p>
        </w:tc>
        <w:tc>
          <w:tcPr>
            <w:tcW w:w="569" w:type="pct"/>
            <w:shd w:val="clear" w:color="auto" w:fill="auto"/>
            <w:vAlign w:val="bottom"/>
          </w:tcPr>
          <w:p w14:paraId="2470BA4D" w14:textId="77777777" w:rsidR="009C6E2F" w:rsidRDefault="009C6E2F">
            <w:pPr>
              <w:rPr>
                <w:rFonts w:ascii="宋体"/>
              </w:rPr>
            </w:pPr>
          </w:p>
        </w:tc>
        <w:tc>
          <w:tcPr>
            <w:tcW w:w="5" w:type="pct"/>
            <w:shd w:val="clear" w:color="auto" w:fill="auto"/>
            <w:vAlign w:val="bottom"/>
          </w:tcPr>
          <w:p w14:paraId="2470BA4E" w14:textId="77777777" w:rsidR="009C6E2F" w:rsidRDefault="009C6E2F">
            <w:pPr>
              <w:rPr>
                <w:rFonts w:ascii="宋体"/>
              </w:rPr>
            </w:pPr>
          </w:p>
        </w:tc>
        <w:tc>
          <w:tcPr>
            <w:tcW w:w="5" w:type="pct"/>
            <w:shd w:val="clear" w:color="auto" w:fill="auto"/>
            <w:vAlign w:val="bottom"/>
          </w:tcPr>
          <w:p w14:paraId="2470BA4F" w14:textId="77777777" w:rsidR="009C6E2F" w:rsidRDefault="009C6E2F">
            <w:pPr>
              <w:rPr>
                <w:rFonts w:ascii="宋体"/>
              </w:rPr>
            </w:pPr>
          </w:p>
        </w:tc>
        <w:tc>
          <w:tcPr>
            <w:tcW w:w="90" w:type="pct"/>
            <w:shd w:val="clear" w:color="auto" w:fill="auto"/>
            <w:vAlign w:val="bottom"/>
          </w:tcPr>
          <w:p w14:paraId="2470BA50" w14:textId="77777777" w:rsidR="009C6E2F" w:rsidRDefault="009C6E2F">
            <w:pPr>
              <w:rPr>
                <w:rFonts w:ascii="宋体"/>
              </w:rPr>
            </w:pPr>
          </w:p>
        </w:tc>
        <w:tc>
          <w:tcPr>
            <w:tcW w:w="5" w:type="pct"/>
            <w:shd w:val="clear" w:color="auto" w:fill="auto"/>
            <w:vAlign w:val="bottom"/>
          </w:tcPr>
          <w:p w14:paraId="2470BA51" w14:textId="77777777" w:rsidR="009C6E2F" w:rsidRDefault="009C6E2F">
            <w:pPr>
              <w:rPr>
                <w:rFonts w:ascii="宋体"/>
              </w:rPr>
            </w:pPr>
          </w:p>
        </w:tc>
        <w:tc>
          <w:tcPr>
            <w:tcW w:w="50" w:type="pct"/>
            <w:shd w:val="clear" w:color="auto" w:fill="auto"/>
            <w:vAlign w:val="bottom"/>
          </w:tcPr>
          <w:p w14:paraId="2470BA52" w14:textId="77777777" w:rsidR="009C6E2F" w:rsidRDefault="009C6E2F">
            <w:pPr>
              <w:rPr>
                <w:rFonts w:ascii="宋体"/>
              </w:rPr>
            </w:pPr>
          </w:p>
        </w:tc>
        <w:tc>
          <w:tcPr>
            <w:tcW w:w="830" w:type="pct"/>
            <w:shd w:val="clear" w:color="auto" w:fill="auto"/>
            <w:vAlign w:val="bottom"/>
          </w:tcPr>
          <w:p w14:paraId="2470BA53" w14:textId="77777777" w:rsidR="009C6E2F" w:rsidRDefault="009C6E2F">
            <w:pPr>
              <w:rPr>
                <w:rFonts w:ascii="宋体"/>
              </w:rPr>
            </w:pPr>
          </w:p>
        </w:tc>
        <w:tc>
          <w:tcPr>
            <w:tcW w:w="5" w:type="pct"/>
            <w:shd w:val="clear" w:color="auto" w:fill="auto"/>
            <w:vAlign w:val="bottom"/>
          </w:tcPr>
          <w:p w14:paraId="2470BA54" w14:textId="77777777" w:rsidR="009C6E2F" w:rsidRDefault="009C6E2F">
            <w:pPr>
              <w:rPr>
                <w:rFonts w:ascii="宋体"/>
              </w:rPr>
            </w:pPr>
          </w:p>
        </w:tc>
        <w:tc>
          <w:tcPr>
            <w:tcW w:w="5" w:type="pct"/>
            <w:shd w:val="clear" w:color="auto" w:fill="auto"/>
            <w:vAlign w:val="bottom"/>
          </w:tcPr>
          <w:p w14:paraId="2470BA55" w14:textId="77777777" w:rsidR="009C6E2F" w:rsidRDefault="009C6E2F">
            <w:pPr>
              <w:rPr>
                <w:rFonts w:ascii="宋体"/>
              </w:rPr>
            </w:pPr>
          </w:p>
        </w:tc>
        <w:tc>
          <w:tcPr>
            <w:tcW w:w="105" w:type="pct"/>
            <w:shd w:val="clear" w:color="auto" w:fill="auto"/>
            <w:vAlign w:val="bottom"/>
          </w:tcPr>
          <w:p w14:paraId="2470BA56" w14:textId="77777777" w:rsidR="009C6E2F" w:rsidRDefault="009C6E2F">
            <w:pPr>
              <w:rPr>
                <w:rFonts w:ascii="宋体"/>
              </w:rPr>
            </w:pPr>
          </w:p>
        </w:tc>
        <w:tc>
          <w:tcPr>
            <w:tcW w:w="5" w:type="pct"/>
            <w:shd w:val="clear" w:color="auto" w:fill="auto"/>
            <w:vAlign w:val="bottom"/>
          </w:tcPr>
          <w:p w14:paraId="2470BA57" w14:textId="77777777" w:rsidR="009C6E2F" w:rsidRDefault="009C6E2F">
            <w:pPr>
              <w:rPr>
                <w:rFonts w:ascii="宋体"/>
              </w:rPr>
            </w:pPr>
          </w:p>
        </w:tc>
        <w:tc>
          <w:tcPr>
            <w:tcW w:w="50" w:type="pct"/>
            <w:shd w:val="clear" w:color="auto" w:fill="auto"/>
            <w:vAlign w:val="bottom"/>
          </w:tcPr>
          <w:p w14:paraId="2470BA58" w14:textId="77777777" w:rsidR="009C6E2F" w:rsidRDefault="009C6E2F">
            <w:pPr>
              <w:rPr>
                <w:rFonts w:ascii="宋体"/>
              </w:rPr>
            </w:pPr>
          </w:p>
        </w:tc>
        <w:tc>
          <w:tcPr>
            <w:tcW w:w="923" w:type="pct"/>
            <w:shd w:val="clear" w:color="auto" w:fill="auto"/>
            <w:vAlign w:val="bottom"/>
          </w:tcPr>
          <w:p w14:paraId="2470BA59" w14:textId="77777777" w:rsidR="009C6E2F" w:rsidRDefault="009C6E2F">
            <w:pPr>
              <w:rPr>
                <w:rFonts w:ascii="宋体"/>
              </w:rPr>
            </w:pPr>
          </w:p>
        </w:tc>
        <w:tc>
          <w:tcPr>
            <w:tcW w:w="5" w:type="pct"/>
            <w:shd w:val="clear" w:color="auto" w:fill="auto"/>
            <w:vAlign w:val="bottom"/>
          </w:tcPr>
          <w:p w14:paraId="2470BA5A" w14:textId="77777777" w:rsidR="009C6E2F" w:rsidRDefault="009C6E2F">
            <w:pPr>
              <w:rPr>
                <w:rFonts w:ascii="宋体"/>
              </w:rPr>
            </w:pPr>
          </w:p>
        </w:tc>
        <w:tc>
          <w:tcPr>
            <w:tcW w:w="5" w:type="pct"/>
            <w:shd w:val="clear" w:color="auto" w:fill="auto"/>
            <w:vAlign w:val="bottom"/>
          </w:tcPr>
          <w:p w14:paraId="2470BA5B" w14:textId="77777777" w:rsidR="009C6E2F" w:rsidRDefault="009C6E2F">
            <w:pPr>
              <w:rPr>
                <w:rFonts w:ascii="宋体"/>
              </w:rPr>
            </w:pPr>
          </w:p>
        </w:tc>
        <w:tc>
          <w:tcPr>
            <w:tcW w:w="105" w:type="pct"/>
            <w:shd w:val="clear" w:color="auto" w:fill="auto"/>
            <w:vAlign w:val="bottom"/>
          </w:tcPr>
          <w:p w14:paraId="2470BA5C" w14:textId="77777777" w:rsidR="009C6E2F" w:rsidRDefault="009C6E2F">
            <w:pPr>
              <w:rPr>
                <w:rFonts w:ascii="宋体"/>
              </w:rPr>
            </w:pPr>
          </w:p>
        </w:tc>
        <w:tc>
          <w:tcPr>
            <w:tcW w:w="5" w:type="pct"/>
            <w:shd w:val="clear" w:color="auto" w:fill="auto"/>
            <w:vAlign w:val="bottom"/>
          </w:tcPr>
          <w:p w14:paraId="2470BA5D" w14:textId="77777777" w:rsidR="009C6E2F" w:rsidRDefault="009C6E2F">
            <w:pPr>
              <w:rPr>
                <w:rFonts w:ascii="宋体"/>
              </w:rPr>
            </w:pPr>
          </w:p>
        </w:tc>
        <w:tc>
          <w:tcPr>
            <w:tcW w:w="50" w:type="pct"/>
            <w:shd w:val="clear" w:color="auto" w:fill="auto"/>
            <w:vAlign w:val="bottom"/>
          </w:tcPr>
          <w:p w14:paraId="2470BA5E" w14:textId="77777777" w:rsidR="009C6E2F" w:rsidRDefault="009C6E2F">
            <w:pPr>
              <w:rPr>
                <w:rFonts w:ascii="宋体"/>
              </w:rPr>
            </w:pPr>
          </w:p>
        </w:tc>
        <w:tc>
          <w:tcPr>
            <w:tcW w:w="507" w:type="pct"/>
            <w:shd w:val="clear" w:color="auto" w:fill="auto"/>
            <w:vAlign w:val="bottom"/>
          </w:tcPr>
          <w:p w14:paraId="2470BA5F" w14:textId="77777777" w:rsidR="009C6E2F" w:rsidRDefault="009C6E2F">
            <w:pPr>
              <w:rPr>
                <w:rFonts w:ascii="宋体"/>
              </w:rPr>
            </w:pPr>
          </w:p>
        </w:tc>
        <w:tc>
          <w:tcPr>
            <w:tcW w:w="5" w:type="pct"/>
            <w:shd w:val="clear" w:color="auto" w:fill="auto"/>
            <w:vAlign w:val="bottom"/>
          </w:tcPr>
          <w:p w14:paraId="2470BA60" w14:textId="77777777" w:rsidR="009C6E2F" w:rsidRDefault="009C6E2F">
            <w:pPr>
              <w:rPr>
                <w:rFonts w:ascii="宋体"/>
              </w:rPr>
            </w:pPr>
          </w:p>
        </w:tc>
        <w:tc>
          <w:tcPr>
            <w:tcW w:w="50" w:type="pct"/>
            <w:shd w:val="clear" w:color="auto" w:fill="auto"/>
            <w:vAlign w:val="bottom"/>
          </w:tcPr>
          <w:p w14:paraId="2470BA61" w14:textId="77777777" w:rsidR="009C6E2F" w:rsidRDefault="009C6E2F">
            <w:pPr>
              <w:rPr>
                <w:rFonts w:ascii="宋体"/>
              </w:rPr>
            </w:pPr>
          </w:p>
        </w:tc>
        <w:tc>
          <w:tcPr>
            <w:tcW w:w="399" w:type="pct"/>
            <w:shd w:val="clear" w:color="auto" w:fill="auto"/>
            <w:vAlign w:val="bottom"/>
          </w:tcPr>
          <w:p w14:paraId="2470BA62" w14:textId="77777777" w:rsidR="009C6E2F" w:rsidRDefault="009C6E2F">
            <w:pPr>
              <w:rPr>
                <w:rFonts w:ascii="宋体"/>
              </w:rPr>
            </w:pPr>
          </w:p>
        </w:tc>
        <w:tc>
          <w:tcPr>
            <w:tcW w:w="5" w:type="pct"/>
            <w:shd w:val="clear" w:color="auto" w:fill="auto"/>
            <w:vAlign w:val="bottom"/>
          </w:tcPr>
          <w:p w14:paraId="2470BA63" w14:textId="77777777" w:rsidR="009C6E2F" w:rsidRDefault="009C6E2F">
            <w:pPr>
              <w:rPr>
                <w:rFonts w:ascii="宋体"/>
              </w:rPr>
            </w:pPr>
          </w:p>
        </w:tc>
        <w:tc>
          <w:tcPr>
            <w:tcW w:w="5" w:type="pct"/>
            <w:shd w:val="clear" w:color="auto" w:fill="auto"/>
            <w:vAlign w:val="bottom"/>
          </w:tcPr>
          <w:p w14:paraId="2470BA64" w14:textId="77777777" w:rsidR="009C6E2F" w:rsidRDefault="009C6E2F">
            <w:pPr>
              <w:rPr>
                <w:rFonts w:ascii="宋体"/>
              </w:rPr>
            </w:pPr>
          </w:p>
        </w:tc>
        <w:tc>
          <w:tcPr>
            <w:tcW w:w="105" w:type="pct"/>
            <w:shd w:val="clear" w:color="auto" w:fill="auto"/>
            <w:vAlign w:val="bottom"/>
          </w:tcPr>
          <w:p w14:paraId="2470BA65" w14:textId="77777777" w:rsidR="009C6E2F" w:rsidRDefault="009C6E2F">
            <w:pPr>
              <w:rPr>
                <w:rFonts w:ascii="宋体"/>
              </w:rPr>
            </w:pPr>
          </w:p>
        </w:tc>
        <w:tc>
          <w:tcPr>
            <w:tcW w:w="5" w:type="pct"/>
            <w:shd w:val="clear" w:color="auto" w:fill="auto"/>
            <w:vAlign w:val="bottom"/>
          </w:tcPr>
          <w:p w14:paraId="2470BA66" w14:textId="77777777" w:rsidR="009C6E2F" w:rsidRDefault="009C6E2F">
            <w:pPr>
              <w:rPr>
                <w:rFonts w:ascii="宋体"/>
              </w:rPr>
            </w:pPr>
          </w:p>
        </w:tc>
      </w:tr>
      <w:tr w:rsidR="009C6E2F" w14:paraId="2470BA6F" w14:textId="77777777">
        <w:tc>
          <w:tcPr>
            <w:tcW w:w="0" w:type="auto"/>
            <w:gridSpan w:val="22"/>
            <w:tcBorders>
              <w:bottom w:val="single" w:sz="8" w:space="0" w:color="E87722"/>
            </w:tcBorders>
            <w:shd w:val="clear" w:color="auto" w:fill="auto"/>
            <w:tcMar>
              <w:top w:w="40" w:type="dxa"/>
              <w:left w:w="20" w:type="dxa"/>
              <w:bottom w:w="40" w:type="dxa"/>
              <w:right w:w="20" w:type="dxa"/>
            </w:tcMar>
            <w:vAlign w:val="bottom"/>
          </w:tcPr>
          <w:p w14:paraId="2470BA6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Indicate by check mark:</w:t>
            </w:r>
          </w:p>
        </w:tc>
        <w:tc>
          <w:tcPr>
            <w:tcW w:w="0" w:type="auto"/>
            <w:gridSpan w:val="3"/>
            <w:shd w:val="clear" w:color="auto" w:fill="auto"/>
            <w:tcMar>
              <w:top w:w="0" w:type="dxa"/>
              <w:left w:w="20" w:type="dxa"/>
              <w:bottom w:w="0" w:type="dxa"/>
              <w:right w:w="20" w:type="dxa"/>
            </w:tcMar>
            <w:vAlign w:val="bottom"/>
          </w:tcPr>
          <w:p w14:paraId="2470BA69"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BA6A"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YES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470BA6B"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NO</w:t>
            </w:r>
          </w:p>
        </w:tc>
        <w:tc>
          <w:tcPr>
            <w:tcW w:w="0" w:type="auto"/>
            <w:shd w:val="clear" w:color="auto" w:fill="auto"/>
            <w:vAlign w:val="bottom"/>
          </w:tcPr>
          <w:p w14:paraId="2470BA6C" w14:textId="77777777" w:rsidR="009C6E2F" w:rsidRDefault="009C6E2F">
            <w:pPr>
              <w:rPr>
                <w:rFonts w:ascii="宋体"/>
              </w:rPr>
            </w:pPr>
          </w:p>
        </w:tc>
        <w:tc>
          <w:tcPr>
            <w:tcW w:w="0" w:type="auto"/>
            <w:shd w:val="clear" w:color="auto" w:fill="auto"/>
            <w:vAlign w:val="bottom"/>
          </w:tcPr>
          <w:p w14:paraId="2470BA6D" w14:textId="77777777" w:rsidR="009C6E2F" w:rsidRDefault="009C6E2F">
            <w:pPr>
              <w:rPr>
                <w:rFonts w:ascii="宋体"/>
              </w:rPr>
            </w:pPr>
          </w:p>
        </w:tc>
        <w:tc>
          <w:tcPr>
            <w:tcW w:w="0" w:type="auto"/>
            <w:shd w:val="clear" w:color="auto" w:fill="auto"/>
            <w:vAlign w:val="bottom"/>
          </w:tcPr>
          <w:p w14:paraId="2470BA6E" w14:textId="77777777" w:rsidR="009C6E2F" w:rsidRDefault="009C6E2F">
            <w:pPr>
              <w:rPr>
                <w:rFonts w:ascii="宋体"/>
              </w:rPr>
            </w:pPr>
          </w:p>
        </w:tc>
      </w:tr>
      <w:tr w:rsidR="009C6E2F" w14:paraId="2470BA76" w14:textId="77777777">
        <w:tc>
          <w:tcPr>
            <w:tcW w:w="0" w:type="auto"/>
            <w:gridSpan w:val="3"/>
            <w:tcBorders>
              <w:top w:val="single" w:sz="8" w:space="0" w:color="E87722"/>
            </w:tcBorders>
            <w:shd w:val="clear" w:color="auto" w:fill="auto"/>
            <w:tcMar>
              <w:top w:w="40" w:type="dxa"/>
              <w:left w:w="20" w:type="dxa"/>
              <w:bottom w:w="40" w:type="dxa"/>
              <w:right w:w="20" w:type="dxa"/>
            </w:tcMar>
          </w:tcPr>
          <w:p w14:paraId="2470BA70" w14:textId="77777777" w:rsidR="009C6E2F" w:rsidRDefault="007972BE">
            <w:pPr>
              <w:jc w:val="center"/>
              <w:textAlignment w:val="top"/>
            </w:pPr>
            <w:r>
              <w:rPr>
                <w:rFonts w:ascii="Arial" w:eastAsia="宋体" w:hAnsi="Arial" w:cs="Arial"/>
                <w:color w:val="E87722"/>
                <w:sz w:val="16"/>
                <w:szCs w:val="16"/>
              </w:rPr>
              <w:t>•</w:t>
            </w:r>
          </w:p>
        </w:tc>
        <w:tc>
          <w:tcPr>
            <w:tcW w:w="0" w:type="auto"/>
            <w:shd w:val="clear" w:color="auto" w:fill="auto"/>
            <w:vAlign w:val="bottom"/>
          </w:tcPr>
          <w:p w14:paraId="2470BA71" w14:textId="77777777" w:rsidR="009C6E2F" w:rsidRDefault="009C6E2F">
            <w:pPr>
              <w:rPr>
                <w:rFonts w:ascii="宋体"/>
                <w:vanish/>
              </w:rPr>
            </w:pPr>
          </w:p>
        </w:tc>
        <w:tc>
          <w:tcPr>
            <w:tcW w:w="0" w:type="auto"/>
            <w:gridSpan w:val="21"/>
            <w:tcBorders>
              <w:top w:val="single" w:sz="8" w:space="0" w:color="E87722"/>
              <w:bottom w:val="single" w:sz="4" w:space="0" w:color="808080"/>
            </w:tcBorders>
            <w:shd w:val="clear" w:color="auto" w:fill="auto"/>
            <w:tcMar>
              <w:top w:w="40" w:type="dxa"/>
              <w:left w:w="20" w:type="dxa"/>
              <w:bottom w:w="40" w:type="dxa"/>
              <w:right w:w="20" w:type="dxa"/>
            </w:tcMar>
          </w:tcPr>
          <w:p w14:paraId="2470BA72" w14:textId="77777777" w:rsidR="009C6E2F" w:rsidRDefault="007972B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4"/>
                <w:szCs w:val="14"/>
              </w:rPr>
              <w:t xml:space="preserve">whether the registrant (1) has </w:t>
            </w:r>
            <w:r>
              <w:rPr>
                <w:rFonts w:ascii="Arial" w:eastAsia="宋体" w:hAnsi="Arial" w:cs="Arial"/>
                <w:color w:val="000000"/>
                <w:sz w:val="14"/>
                <w:szCs w:val="14"/>
              </w:rPr>
              <w:t xml:space="preserve">filed all reports required to be filed by Section 13 or 15(d) of the Securities Exchange Act of 1934 during the preceding 12 months (or for such shorter period that the registrant was required to file such reports), and (2) has been subject to such filing </w:t>
            </w:r>
            <w:r>
              <w:rPr>
                <w:rFonts w:ascii="Arial" w:eastAsia="宋体" w:hAnsi="Arial" w:cs="Arial"/>
                <w:color w:val="000000"/>
                <w:sz w:val="14"/>
                <w:szCs w:val="14"/>
              </w:rPr>
              <w:t>requirements for the past 90 days.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A73"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tcPr>
          <w:p w14:paraId="2470BA74" w14:textId="77777777" w:rsidR="009C6E2F" w:rsidRDefault="007972BE">
            <w:pPr>
              <w:pBdr>
                <w:top w:val="none" w:sz="0" w:space="0" w:color="auto"/>
                <w:left w:val="none" w:sz="0" w:space="0" w:color="auto"/>
                <w:bottom w:val="none" w:sz="0" w:space="0" w:color="auto"/>
                <w:right w:val="none" w:sz="0" w:space="0" w:color="auto"/>
              </w:pBdr>
              <w:jc w:val="center"/>
              <w:textAlignment w:val="top"/>
            </w:pPr>
            <w:r>
              <w:rPr>
                <w:rFonts w:ascii="Wingdings" w:eastAsia="宋体" w:hAnsi="Wingdings" w:cs="Wingdings"/>
                <w:color w:val="000000"/>
                <w:sz w:val="14"/>
                <w:szCs w:val="14"/>
              </w:rPr>
              <w:t>þ</w:t>
            </w:r>
          </w:p>
        </w:tc>
        <w:tc>
          <w:tcPr>
            <w:tcW w:w="0" w:type="auto"/>
            <w:gridSpan w:val="6"/>
            <w:tcBorders>
              <w:top w:val="single" w:sz="8" w:space="0" w:color="E87722"/>
              <w:bottom w:val="single" w:sz="4" w:space="0" w:color="808080"/>
            </w:tcBorders>
            <w:shd w:val="clear" w:color="auto" w:fill="auto"/>
            <w:tcMar>
              <w:top w:w="40" w:type="dxa"/>
              <w:left w:w="20" w:type="dxa"/>
              <w:bottom w:w="40" w:type="dxa"/>
              <w:right w:w="20" w:type="dxa"/>
            </w:tcMar>
          </w:tcPr>
          <w:p w14:paraId="2470BA75" w14:textId="77777777" w:rsidR="009C6E2F" w:rsidRDefault="007972BE">
            <w:pPr>
              <w:pBdr>
                <w:top w:val="none" w:sz="0" w:space="0" w:color="auto"/>
                <w:left w:val="none" w:sz="0" w:space="0" w:color="auto"/>
                <w:bottom w:val="none" w:sz="0" w:space="0" w:color="auto"/>
                <w:right w:val="none" w:sz="0" w:space="0" w:color="auto"/>
              </w:pBdr>
              <w:jc w:val="center"/>
              <w:textAlignment w:val="top"/>
            </w:pPr>
            <w:r>
              <w:rPr>
                <w:rFonts w:ascii="Wingdings" w:eastAsia="宋体" w:hAnsi="Wingdings" w:cs="Wingdings"/>
                <w:color w:val="000000"/>
                <w:sz w:val="14"/>
                <w:szCs w:val="14"/>
              </w:rPr>
              <w:t>☐</w:t>
            </w:r>
          </w:p>
        </w:tc>
      </w:tr>
      <w:tr w:rsidR="009C6E2F" w14:paraId="2470BA7D"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BA77" w14:textId="77777777" w:rsidR="009C6E2F" w:rsidRDefault="007972BE">
            <w:pPr>
              <w:jc w:val="center"/>
              <w:textAlignment w:val="top"/>
            </w:pPr>
            <w:r>
              <w:rPr>
                <w:rFonts w:ascii="Arial" w:eastAsia="宋体" w:hAnsi="Arial" w:cs="Arial"/>
                <w:color w:val="E87722"/>
                <w:sz w:val="16"/>
                <w:szCs w:val="16"/>
              </w:rPr>
              <w:t>•</w:t>
            </w:r>
          </w:p>
        </w:tc>
        <w:tc>
          <w:tcPr>
            <w:tcW w:w="0" w:type="auto"/>
            <w:shd w:val="clear" w:color="auto" w:fill="auto"/>
            <w:vAlign w:val="bottom"/>
          </w:tcPr>
          <w:p w14:paraId="2470BA78" w14:textId="77777777" w:rsidR="009C6E2F" w:rsidRDefault="009C6E2F">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2470BA79" w14:textId="77777777" w:rsidR="009C6E2F" w:rsidRDefault="007972B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4"/>
                <w:szCs w:val="14"/>
              </w:rPr>
              <w:t xml:space="preserve">whether the registrant has submitted electronically every Interactive Data File required to be submitted pursuant to Rule 405 of Regulation S-T (§232.405 of this chapter) during the preceding 12 months (or for </w:t>
            </w:r>
            <w:r>
              <w:rPr>
                <w:rFonts w:ascii="Arial" w:eastAsia="宋体" w:hAnsi="Arial" w:cs="Arial"/>
                <w:color w:val="000000"/>
                <w:sz w:val="14"/>
                <w:szCs w:val="14"/>
              </w:rPr>
              <w:t>such shorter period that the registrant was required to submit such files).</w:t>
            </w:r>
          </w:p>
        </w:tc>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2470BA7A" w14:textId="77777777" w:rsidR="009C6E2F" w:rsidRDefault="009C6E2F">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tcPr>
          <w:p w14:paraId="2470BA7B" w14:textId="77777777" w:rsidR="009C6E2F" w:rsidRDefault="007972BE">
            <w:pPr>
              <w:pBdr>
                <w:top w:val="none" w:sz="0" w:space="0" w:color="auto"/>
                <w:left w:val="none" w:sz="0" w:space="0" w:color="auto"/>
                <w:bottom w:val="none" w:sz="0" w:space="0" w:color="auto"/>
                <w:right w:val="none" w:sz="0" w:space="0" w:color="auto"/>
              </w:pBdr>
              <w:jc w:val="center"/>
              <w:textAlignment w:val="top"/>
            </w:pPr>
            <w:r>
              <w:rPr>
                <w:rFonts w:ascii="Wingdings" w:eastAsia="宋体" w:hAnsi="Wingdings" w:cs="Wingdings"/>
                <w:color w:val="000000"/>
                <w:sz w:val="14"/>
                <w:szCs w:val="14"/>
              </w:rPr>
              <w:t>þ</w:t>
            </w:r>
          </w:p>
        </w:tc>
        <w:tc>
          <w:tcPr>
            <w:tcW w:w="0" w:type="auto"/>
            <w:gridSpan w:val="6"/>
            <w:tcBorders>
              <w:top w:val="single" w:sz="4" w:space="0" w:color="808080"/>
              <w:bottom w:val="single" w:sz="4" w:space="0" w:color="808080"/>
            </w:tcBorders>
            <w:shd w:val="clear" w:color="auto" w:fill="auto"/>
            <w:tcMar>
              <w:top w:w="40" w:type="dxa"/>
              <w:left w:w="20" w:type="dxa"/>
              <w:bottom w:w="40" w:type="dxa"/>
              <w:right w:w="20" w:type="dxa"/>
            </w:tcMar>
          </w:tcPr>
          <w:p w14:paraId="2470BA7C" w14:textId="77777777" w:rsidR="009C6E2F" w:rsidRDefault="007972BE">
            <w:pPr>
              <w:pBdr>
                <w:top w:val="none" w:sz="0" w:space="0" w:color="auto"/>
                <w:left w:val="none" w:sz="0" w:space="0" w:color="auto"/>
                <w:bottom w:val="none" w:sz="0" w:space="0" w:color="auto"/>
                <w:right w:val="none" w:sz="0" w:space="0" w:color="auto"/>
              </w:pBdr>
              <w:jc w:val="center"/>
              <w:textAlignment w:val="top"/>
            </w:pPr>
            <w:r>
              <w:rPr>
                <w:rFonts w:ascii="Wingdings" w:eastAsia="宋体" w:hAnsi="Wingdings" w:cs="Wingdings"/>
                <w:color w:val="000000"/>
                <w:sz w:val="14"/>
                <w:szCs w:val="14"/>
              </w:rPr>
              <w:t>☐</w:t>
            </w:r>
          </w:p>
        </w:tc>
      </w:tr>
      <w:tr w:rsidR="009C6E2F" w14:paraId="2470BA81"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BA7E" w14:textId="77777777" w:rsidR="009C6E2F" w:rsidRDefault="007972BE">
            <w:pPr>
              <w:jc w:val="center"/>
              <w:textAlignment w:val="top"/>
            </w:pPr>
            <w:r>
              <w:rPr>
                <w:rFonts w:ascii="Arial" w:eastAsia="宋体" w:hAnsi="Arial" w:cs="Arial"/>
                <w:color w:val="E87722"/>
                <w:sz w:val="16"/>
                <w:szCs w:val="16"/>
              </w:rPr>
              <w:t>•</w:t>
            </w:r>
          </w:p>
        </w:tc>
        <w:tc>
          <w:tcPr>
            <w:tcW w:w="0" w:type="auto"/>
            <w:shd w:val="clear" w:color="auto" w:fill="auto"/>
            <w:vAlign w:val="bottom"/>
          </w:tcPr>
          <w:p w14:paraId="2470BA7F" w14:textId="77777777" w:rsidR="009C6E2F" w:rsidRDefault="009C6E2F">
            <w:pPr>
              <w:rPr>
                <w:rFonts w:ascii="宋体"/>
                <w:vanish/>
              </w:rPr>
            </w:pPr>
          </w:p>
        </w:tc>
        <w:tc>
          <w:tcPr>
            <w:tcW w:w="0" w:type="auto"/>
            <w:gridSpan w:val="33"/>
            <w:tcBorders>
              <w:top w:val="single" w:sz="4" w:space="0" w:color="808080"/>
            </w:tcBorders>
            <w:shd w:val="clear" w:color="auto" w:fill="auto"/>
            <w:tcMar>
              <w:top w:w="40" w:type="dxa"/>
              <w:left w:w="20" w:type="dxa"/>
              <w:bottom w:w="40" w:type="dxa"/>
              <w:right w:w="20" w:type="dxa"/>
            </w:tcMar>
          </w:tcPr>
          <w:p w14:paraId="2470BA80" w14:textId="77777777" w:rsidR="009C6E2F" w:rsidRDefault="007972B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4"/>
                <w:szCs w:val="14"/>
              </w:rPr>
              <w:t xml:space="preserve">whether the registrant is a large accelerated filer, an accelerated filer, a non-accelerated filer, a smaller reporting company, or an emerging growth company. See the </w:t>
            </w:r>
            <w:r>
              <w:rPr>
                <w:rFonts w:ascii="Arial" w:eastAsia="宋体" w:hAnsi="Arial" w:cs="Arial"/>
                <w:color w:val="000000"/>
                <w:sz w:val="14"/>
                <w:szCs w:val="14"/>
              </w:rPr>
              <w:t>definitions of “large accelerated filer,” “accelerated filer,” “smaller reporting company,” and “emerging growth company” in Rule 12b-2 of the Exchange Act.</w:t>
            </w:r>
          </w:p>
        </w:tc>
      </w:tr>
      <w:tr w:rsidR="009C6E2F" w14:paraId="2470BA8E" w14:textId="77777777">
        <w:tc>
          <w:tcPr>
            <w:tcW w:w="0" w:type="auto"/>
            <w:gridSpan w:val="3"/>
            <w:shd w:val="clear" w:color="auto" w:fill="auto"/>
            <w:tcMar>
              <w:top w:w="0" w:type="dxa"/>
              <w:left w:w="20" w:type="dxa"/>
              <w:bottom w:w="0" w:type="dxa"/>
              <w:right w:w="20" w:type="dxa"/>
            </w:tcMar>
            <w:vAlign w:val="bottom"/>
          </w:tcPr>
          <w:p w14:paraId="2470BA82" w14:textId="77777777" w:rsidR="009C6E2F" w:rsidRDefault="009C6E2F">
            <w:pPr>
              <w:rPr>
                <w:rFonts w:ascii="宋体"/>
              </w:rPr>
            </w:pPr>
          </w:p>
        </w:tc>
        <w:tc>
          <w:tcPr>
            <w:tcW w:w="0" w:type="auto"/>
            <w:shd w:val="clear" w:color="auto" w:fill="auto"/>
            <w:vAlign w:val="bottom"/>
          </w:tcPr>
          <w:p w14:paraId="2470BA83" w14:textId="77777777" w:rsidR="009C6E2F" w:rsidRDefault="009C6E2F">
            <w:pPr>
              <w:rPr>
                <w:rFonts w:ascii="宋体"/>
                <w:vanish/>
              </w:rPr>
            </w:pPr>
          </w:p>
        </w:tc>
        <w:tc>
          <w:tcPr>
            <w:tcW w:w="0" w:type="auto"/>
            <w:gridSpan w:val="3"/>
            <w:shd w:val="clear" w:color="auto" w:fill="auto"/>
            <w:tcMar>
              <w:top w:w="40" w:type="dxa"/>
              <w:left w:w="20" w:type="dxa"/>
              <w:bottom w:w="40" w:type="dxa"/>
              <w:right w:w="20" w:type="dxa"/>
            </w:tcMar>
            <w:vAlign w:val="bottom"/>
          </w:tcPr>
          <w:p w14:paraId="2470BA84"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4"/>
                <w:szCs w:val="14"/>
              </w:rPr>
              <w:t>Large 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BA85"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Wingdings" w:eastAsia="宋体" w:hAnsi="Wingdings" w:cs="Wingdings"/>
                <w:color w:val="000000"/>
                <w:sz w:val="14"/>
                <w:szCs w:val="14"/>
              </w:rPr>
              <w:t>þ</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BA86"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Arial" w:eastAsia="宋体" w:hAnsi="Arial" w:cs="Arial"/>
                <w:color w:val="000000"/>
                <w:sz w:val="14"/>
                <w:szCs w:val="14"/>
              </w:rPr>
              <w:t>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BA87"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BA88"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Arial" w:eastAsia="宋体" w:hAnsi="Arial" w:cs="Arial"/>
                <w:color w:val="000000"/>
                <w:sz w:val="14"/>
                <w:szCs w:val="14"/>
              </w:rPr>
              <w:t>Non-accelerated filer</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BA89"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Wingdings" w:eastAsia="宋体" w:hAnsi="Wingdings" w:cs="Wingdings"/>
                <w:color w:val="000000"/>
                <w:sz w:val="14"/>
                <w:szCs w:val="14"/>
              </w:rPr>
              <w:t>☐</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BA8A"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2470BA8B"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Wingdings" w:eastAsia="宋体" w:hAnsi="Wingdings" w:cs="Wingdings"/>
                <w:color w:val="000000"/>
                <w:sz w:val="14"/>
                <w:szCs w:val="14"/>
              </w:rPr>
              <w:t>☐</w:t>
            </w:r>
          </w:p>
        </w:tc>
        <w:tc>
          <w:tcPr>
            <w:tcW w:w="0" w:type="auto"/>
            <w:gridSpan w:val="6"/>
            <w:tcBorders>
              <w:bottom w:val="single" w:sz="4" w:space="0" w:color="808080"/>
            </w:tcBorders>
            <w:shd w:val="clear" w:color="auto" w:fill="auto"/>
            <w:tcMar>
              <w:top w:w="40" w:type="dxa"/>
              <w:left w:w="20" w:type="dxa"/>
              <w:bottom w:w="40" w:type="dxa"/>
              <w:right w:w="20" w:type="dxa"/>
            </w:tcMar>
            <w:vAlign w:val="bottom"/>
          </w:tcPr>
          <w:p w14:paraId="2470BA8C"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Arial" w:eastAsia="宋体" w:hAnsi="Arial" w:cs="Arial"/>
                <w:color w:val="000000"/>
                <w:sz w:val="14"/>
                <w:szCs w:val="14"/>
              </w:rPr>
              <w:t>Emerging growth company</w:t>
            </w: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BA8D"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Wingdings" w:eastAsia="宋体" w:hAnsi="Wingdings" w:cs="Wingdings"/>
                <w:color w:val="000000"/>
                <w:sz w:val="14"/>
                <w:szCs w:val="14"/>
              </w:rPr>
              <w:t>☐</w:t>
            </w:r>
          </w:p>
        </w:tc>
      </w:tr>
      <w:tr w:rsidR="009C6E2F" w14:paraId="2470BA94"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BA8F" w14:textId="77777777" w:rsidR="009C6E2F" w:rsidRDefault="007972BE">
            <w:pPr>
              <w:jc w:val="center"/>
              <w:textAlignment w:val="top"/>
            </w:pPr>
            <w:r>
              <w:rPr>
                <w:rFonts w:ascii="Arial" w:eastAsia="宋体" w:hAnsi="Arial" w:cs="Arial"/>
                <w:color w:val="E87722"/>
                <w:sz w:val="16"/>
                <w:szCs w:val="16"/>
              </w:rPr>
              <w:t>•</w:t>
            </w:r>
          </w:p>
        </w:tc>
        <w:tc>
          <w:tcPr>
            <w:tcW w:w="0" w:type="auto"/>
            <w:shd w:val="clear" w:color="auto" w:fill="auto"/>
            <w:vAlign w:val="bottom"/>
          </w:tcPr>
          <w:p w14:paraId="2470BA90" w14:textId="77777777" w:rsidR="009C6E2F" w:rsidRDefault="009C6E2F">
            <w:pPr>
              <w:rPr>
                <w:rFonts w:ascii="宋体"/>
                <w:vanish/>
              </w:rPr>
            </w:pPr>
          </w:p>
        </w:tc>
        <w:tc>
          <w:tcPr>
            <w:tcW w:w="0" w:type="auto"/>
            <w:gridSpan w:val="21"/>
            <w:tcBorders>
              <w:top w:val="single" w:sz="4" w:space="0" w:color="808080"/>
              <w:bottom w:val="single" w:sz="4" w:space="0" w:color="808080"/>
            </w:tcBorders>
            <w:shd w:val="clear" w:color="auto" w:fill="auto"/>
            <w:tcMar>
              <w:top w:w="40" w:type="dxa"/>
              <w:left w:w="20" w:type="dxa"/>
              <w:bottom w:w="40" w:type="dxa"/>
              <w:right w:w="20" w:type="dxa"/>
            </w:tcMar>
          </w:tcPr>
          <w:p w14:paraId="2470BA91" w14:textId="77777777" w:rsidR="009C6E2F" w:rsidRDefault="007972B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4"/>
                <w:szCs w:val="14"/>
              </w:rPr>
              <w:t xml:space="preserve">if an emerging growth company, if the registrant has elected not to use the extended transition period for complying with any new or revised financial accounting standards provided pursuant to </w:t>
            </w:r>
            <w:r>
              <w:rPr>
                <w:rFonts w:ascii="Arial" w:eastAsia="宋体" w:hAnsi="Arial" w:cs="Arial"/>
                <w:color w:val="000000"/>
                <w:sz w:val="14"/>
                <w:szCs w:val="14"/>
              </w:rPr>
              <w:t>Section 13(a) of the Exchange Act.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A92" w14:textId="77777777" w:rsidR="009C6E2F" w:rsidRDefault="009C6E2F">
            <w:pPr>
              <w:rPr>
                <w:rFonts w:ascii="宋体"/>
              </w:rPr>
            </w:pPr>
          </w:p>
        </w:tc>
        <w:tc>
          <w:tcPr>
            <w:tcW w:w="0" w:type="auto"/>
            <w:gridSpan w:val="9"/>
            <w:tcBorders>
              <w:top w:val="single" w:sz="4" w:space="0" w:color="808080"/>
              <w:bottom w:val="single" w:sz="4" w:space="0" w:color="808080"/>
            </w:tcBorders>
            <w:shd w:val="clear" w:color="auto" w:fill="auto"/>
            <w:tcMar>
              <w:top w:w="40" w:type="dxa"/>
              <w:left w:w="20" w:type="dxa"/>
              <w:bottom w:w="40" w:type="dxa"/>
              <w:right w:w="20" w:type="dxa"/>
            </w:tcMar>
          </w:tcPr>
          <w:p w14:paraId="2470BA93" w14:textId="77777777" w:rsidR="009C6E2F" w:rsidRDefault="007972BE">
            <w:pPr>
              <w:pBdr>
                <w:top w:val="none" w:sz="0" w:space="0" w:color="auto"/>
                <w:left w:val="none" w:sz="0" w:space="0" w:color="auto"/>
                <w:bottom w:val="none" w:sz="0" w:space="0" w:color="auto"/>
                <w:right w:val="none" w:sz="0" w:space="0" w:color="auto"/>
              </w:pBdr>
              <w:jc w:val="center"/>
              <w:textAlignment w:val="top"/>
            </w:pPr>
            <w:r>
              <w:rPr>
                <w:rFonts w:ascii="Wingdings" w:eastAsia="宋体" w:hAnsi="Wingdings" w:cs="Wingdings"/>
                <w:color w:val="000000"/>
                <w:sz w:val="14"/>
                <w:szCs w:val="14"/>
              </w:rPr>
              <w:t>☐</w:t>
            </w:r>
          </w:p>
        </w:tc>
      </w:tr>
      <w:tr w:rsidR="009C6E2F" w14:paraId="2470BA9B"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BA95" w14:textId="77777777" w:rsidR="009C6E2F" w:rsidRDefault="007972BE">
            <w:pPr>
              <w:jc w:val="center"/>
              <w:textAlignment w:val="bottom"/>
            </w:pPr>
            <w:r>
              <w:rPr>
                <w:rFonts w:ascii="Arial" w:eastAsia="宋体" w:hAnsi="Arial" w:cs="Arial"/>
                <w:color w:val="E87722"/>
                <w:sz w:val="16"/>
                <w:szCs w:val="16"/>
              </w:rPr>
              <w:t>•</w:t>
            </w:r>
          </w:p>
        </w:tc>
        <w:tc>
          <w:tcPr>
            <w:tcW w:w="0" w:type="auto"/>
            <w:shd w:val="clear" w:color="auto" w:fill="auto"/>
            <w:vAlign w:val="bottom"/>
          </w:tcPr>
          <w:p w14:paraId="2470BA96" w14:textId="77777777" w:rsidR="009C6E2F" w:rsidRDefault="009C6E2F">
            <w:pPr>
              <w:rPr>
                <w:rFonts w:ascii="宋体"/>
                <w:vanish/>
              </w:rPr>
            </w:pPr>
          </w:p>
        </w:tc>
        <w:tc>
          <w:tcPr>
            <w:tcW w:w="0" w:type="auto"/>
            <w:gridSpan w:val="21"/>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BA97"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whether the registrant is a shell company (as defined in Rule 12b-2 of the Act).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BA98" w14:textId="77777777" w:rsidR="009C6E2F" w:rsidRDefault="009C6E2F">
            <w:pPr>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BA99"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Wingdings" w:eastAsia="宋体" w:hAnsi="Wingdings" w:cs="Wingdings"/>
                <w:color w:val="000000"/>
                <w:sz w:val="14"/>
                <w:szCs w:val="14"/>
              </w:rPr>
              <w:t>☐</w:t>
            </w:r>
          </w:p>
        </w:tc>
        <w:tc>
          <w:tcPr>
            <w:tcW w:w="0" w:type="auto"/>
            <w:gridSpan w:val="6"/>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BA9A"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Wingdings" w:eastAsia="宋体" w:hAnsi="Wingdings" w:cs="Wingdings"/>
                <w:color w:val="000000"/>
                <w:sz w:val="14"/>
                <w:szCs w:val="14"/>
              </w:rPr>
              <w:t>þ</w:t>
            </w:r>
          </w:p>
        </w:tc>
      </w:tr>
    </w:tbl>
    <w:p w14:paraId="2470BA9C" w14:textId="77777777" w:rsidR="009C6E2F" w:rsidRDefault="009C6E2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6778"/>
        <w:gridCol w:w="37"/>
        <w:gridCol w:w="69"/>
        <w:gridCol w:w="1347"/>
        <w:gridCol w:w="36"/>
      </w:tblGrid>
      <w:tr w:rsidR="009C6E2F" w14:paraId="2470BAA3" w14:textId="77777777">
        <w:tc>
          <w:tcPr>
            <w:tcW w:w="50" w:type="pct"/>
            <w:shd w:val="clear" w:color="auto" w:fill="auto"/>
            <w:vAlign w:val="bottom"/>
          </w:tcPr>
          <w:p w14:paraId="2470BA9D" w14:textId="77777777" w:rsidR="009C6E2F" w:rsidRDefault="009C6E2F">
            <w:pPr>
              <w:rPr>
                <w:rFonts w:ascii="宋体"/>
              </w:rPr>
            </w:pPr>
          </w:p>
        </w:tc>
        <w:tc>
          <w:tcPr>
            <w:tcW w:w="4073" w:type="pct"/>
            <w:shd w:val="clear" w:color="auto" w:fill="auto"/>
            <w:vAlign w:val="bottom"/>
          </w:tcPr>
          <w:p w14:paraId="2470BA9E" w14:textId="77777777" w:rsidR="009C6E2F" w:rsidRDefault="009C6E2F">
            <w:pPr>
              <w:rPr>
                <w:rFonts w:ascii="宋体"/>
              </w:rPr>
            </w:pPr>
          </w:p>
        </w:tc>
        <w:tc>
          <w:tcPr>
            <w:tcW w:w="5" w:type="pct"/>
            <w:shd w:val="clear" w:color="auto" w:fill="auto"/>
            <w:vAlign w:val="bottom"/>
          </w:tcPr>
          <w:p w14:paraId="2470BA9F" w14:textId="77777777" w:rsidR="009C6E2F" w:rsidRDefault="009C6E2F">
            <w:pPr>
              <w:rPr>
                <w:rFonts w:ascii="宋体"/>
              </w:rPr>
            </w:pPr>
          </w:p>
        </w:tc>
        <w:tc>
          <w:tcPr>
            <w:tcW w:w="50" w:type="pct"/>
            <w:shd w:val="clear" w:color="auto" w:fill="auto"/>
            <w:vAlign w:val="bottom"/>
          </w:tcPr>
          <w:p w14:paraId="2470BAA0" w14:textId="77777777" w:rsidR="009C6E2F" w:rsidRDefault="009C6E2F">
            <w:pPr>
              <w:rPr>
                <w:rFonts w:ascii="宋体"/>
              </w:rPr>
            </w:pPr>
          </w:p>
        </w:tc>
        <w:tc>
          <w:tcPr>
            <w:tcW w:w="816" w:type="pct"/>
            <w:shd w:val="clear" w:color="auto" w:fill="auto"/>
            <w:vAlign w:val="bottom"/>
          </w:tcPr>
          <w:p w14:paraId="2470BAA1" w14:textId="77777777" w:rsidR="009C6E2F" w:rsidRDefault="009C6E2F">
            <w:pPr>
              <w:rPr>
                <w:rFonts w:ascii="宋体"/>
              </w:rPr>
            </w:pPr>
          </w:p>
        </w:tc>
        <w:tc>
          <w:tcPr>
            <w:tcW w:w="5" w:type="pct"/>
            <w:shd w:val="clear" w:color="auto" w:fill="auto"/>
            <w:vAlign w:val="bottom"/>
          </w:tcPr>
          <w:p w14:paraId="2470BAA2" w14:textId="77777777" w:rsidR="009C6E2F" w:rsidRDefault="009C6E2F">
            <w:pPr>
              <w:rPr>
                <w:rFonts w:ascii="宋体"/>
              </w:rPr>
            </w:pPr>
          </w:p>
        </w:tc>
      </w:tr>
      <w:tr w:rsidR="009C6E2F" w14:paraId="2470BAA5" w14:textId="77777777">
        <w:tc>
          <w:tcPr>
            <w:tcW w:w="0" w:type="auto"/>
            <w:gridSpan w:val="6"/>
            <w:shd w:val="clear" w:color="auto" w:fill="auto"/>
            <w:tcMar>
              <w:top w:w="40" w:type="dxa"/>
              <w:left w:w="20" w:type="dxa"/>
              <w:bottom w:w="40" w:type="dxa"/>
              <w:right w:w="20" w:type="dxa"/>
            </w:tcMar>
          </w:tcPr>
          <w:p w14:paraId="2470BAA4" w14:textId="77777777" w:rsidR="009C6E2F" w:rsidRDefault="007972B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4"/>
                <w:szCs w:val="14"/>
              </w:rPr>
              <w:t>As of December 27, 2021, the number of shares of the Registrant's Common Stock outstanding were:</w:t>
            </w:r>
          </w:p>
        </w:tc>
      </w:tr>
      <w:tr w:rsidR="009C6E2F" w14:paraId="2470BAA9" w14:textId="77777777">
        <w:tc>
          <w:tcPr>
            <w:tcW w:w="0" w:type="auto"/>
            <w:gridSpan w:val="3"/>
            <w:tcBorders>
              <w:top w:val="single" w:sz="8" w:space="0" w:color="E87722"/>
            </w:tcBorders>
            <w:shd w:val="clear" w:color="auto" w:fill="auto"/>
            <w:tcMar>
              <w:top w:w="40" w:type="dxa"/>
              <w:left w:w="20" w:type="dxa"/>
              <w:bottom w:w="40" w:type="dxa"/>
              <w:right w:w="20" w:type="dxa"/>
            </w:tcMar>
          </w:tcPr>
          <w:p w14:paraId="2470BAA6" w14:textId="77777777" w:rsidR="009C6E2F" w:rsidRDefault="007972B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4"/>
                <w:szCs w:val="14"/>
              </w:rPr>
              <w:t>Class A</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AA7" w14:textId="77777777" w:rsidR="009C6E2F" w:rsidRDefault="007972BE">
            <w:pPr>
              <w:jc w:val="right"/>
              <w:textAlignment w:val="bottom"/>
            </w:pPr>
            <w:r>
              <w:rPr>
                <w:rFonts w:ascii="Arial" w:eastAsia="宋体" w:hAnsi="Arial" w:cs="Arial"/>
                <w:color w:val="000000"/>
                <w:sz w:val="14"/>
                <w:szCs w:val="14"/>
              </w:rPr>
              <w:t>305,007,252 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AA8" w14:textId="77777777" w:rsidR="009C6E2F" w:rsidRDefault="009C6E2F">
            <w:pPr>
              <w:jc w:val="right"/>
              <w:rPr>
                <w:rFonts w:ascii="宋体"/>
              </w:rPr>
            </w:pPr>
          </w:p>
        </w:tc>
      </w:tr>
      <w:tr w:rsidR="009C6E2F" w14:paraId="2470BAAD"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BAAA" w14:textId="77777777" w:rsidR="009C6E2F" w:rsidRDefault="007972BE">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4"/>
                <w:szCs w:val="14"/>
              </w:rPr>
              <w:lastRenderedPageBreak/>
              <w:t>Class B</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AAB" w14:textId="77777777" w:rsidR="009C6E2F" w:rsidRDefault="007972BE">
            <w:pPr>
              <w:jc w:val="right"/>
              <w:textAlignment w:val="bottom"/>
            </w:pPr>
            <w:r>
              <w:rPr>
                <w:rFonts w:ascii="Arial" w:eastAsia="宋体" w:hAnsi="Arial" w:cs="Arial"/>
                <w:color w:val="000000"/>
                <w:sz w:val="14"/>
                <w:szCs w:val="14"/>
              </w:rPr>
              <w:t>1,276,288,021 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AAC" w14:textId="77777777" w:rsidR="009C6E2F" w:rsidRDefault="009C6E2F">
            <w:pPr>
              <w:jc w:val="right"/>
              <w:rPr>
                <w:rFonts w:ascii="宋体"/>
              </w:rPr>
            </w:pPr>
          </w:p>
        </w:tc>
      </w:tr>
      <w:tr w:rsidR="009C6E2F" w14:paraId="2470BAB1"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BAAE" w14:textId="77777777" w:rsidR="009C6E2F" w:rsidRDefault="009C6E2F">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BAAF" w14:textId="77777777" w:rsidR="009C6E2F" w:rsidRDefault="007972BE">
            <w:pPr>
              <w:jc w:val="right"/>
              <w:textAlignment w:val="bottom"/>
            </w:pPr>
            <w:r>
              <w:rPr>
                <w:rFonts w:ascii="Arial" w:eastAsia="宋体" w:hAnsi="Arial" w:cs="Arial"/>
                <w:color w:val="000000"/>
                <w:sz w:val="14"/>
                <w:szCs w:val="14"/>
              </w:rPr>
              <w:t>1,581,295,273 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BAB0" w14:textId="77777777" w:rsidR="009C6E2F" w:rsidRDefault="009C6E2F">
            <w:pPr>
              <w:jc w:val="right"/>
              <w:rPr>
                <w:rFonts w:ascii="宋体"/>
              </w:rPr>
            </w:pPr>
          </w:p>
        </w:tc>
      </w:tr>
    </w:tbl>
    <w:p w14:paraId="2470BAB2" w14:textId="77777777" w:rsidR="009C6E2F" w:rsidRDefault="009C6E2F">
      <w:pPr>
        <w:spacing w:before="120" w:after="120"/>
      </w:pPr>
    </w:p>
    <w:p w14:paraId="2470BAB3" w14:textId="77777777" w:rsidR="009C6E2F" w:rsidRDefault="007972BE">
      <w:r>
        <w:pict w14:anchorId="2470E1E4">
          <v:rect id="_x0000_i1025" style="width:415.3pt;height:1.5pt" o:hralign="center" o:hrstd="t" o:hr="t" fillcolor="#a0a0a0" stroked="f"/>
        </w:pict>
      </w:r>
    </w:p>
    <w:p w14:paraId="2470BAB4" w14:textId="77777777" w:rsidR="009C6E2F" w:rsidRDefault="009C6E2F"/>
    <w:p w14:paraId="2470BAB5" w14:textId="77777777" w:rsidR="009C6E2F" w:rsidRDefault="007972BE">
      <w:hyperlink r:id="rId7" w:anchor="i9e023a7388204bdbacd6aa338988f838_7" w:history="1">
        <w:r>
          <w:rPr>
            <w:rStyle w:val="a5"/>
            <w:rFonts w:ascii="sans-serif" w:eastAsia="sans-serif" w:hAnsi="sans-serif" w:cs="sans-serif"/>
            <w:sz w:val="17"/>
            <w:szCs w:val="17"/>
          </w:rPr>
          <w:t>Table of Contents</w:t>
        </w:r>
      </w:hyperlink>
    </w:p>
    <w:p w14:paraId="2470BAB6" w14:textId="77777777" w:rsidR="009C6E2F" w:rsidRDefault="009C6E2F"/>
    <w:p w14:paraId="2470BAB7" w14:textId="77777777" w:rsidR="009C6E2F" w:rsidRDefault="007972BE">
      <w:r>
        <w:rPr>
          <w:rFonts w:ascii="sans-serif" w:eastAsia="sans-serif" w:hAnsi="sans-serif" w:cs="sans-serif"/>
          <w:color w:val="000000"/>
          <w:sz w:val="44"/>
          <w:szCs w:val="44"/>
        </w:rPr>
        <w:t>NIKE, INC.</w:t>
      </w:r>
    </w:p>
    <w:p w14:paraId="2470BAB8" w14:textId="77777777" w:rsidR="009C6E2F" w:rsidRDefault="007972BE">
      <w:r>
        <w:rPr>
          <w:rFonts w:ascii="sans-serif" w:eastAsia="sans-serif" w:hAnsi="sans-serif" w:cs="sans-serif"/>
          <w:color w:val="000000"/>
          <w:sz w:val="44"/>
          <w:szCs w:val="44"/>
        </w:rPr>
        <w:t>FORM 10-Q</w:t>
      </w:r>
    </w:p>
    <w:p w14:paraId="2470BAB9" w14:textId="77777777" w:rsidR="009C6E2F" w:rsidRDefault="007972BE">
      <w:r>
        <w:rPr>
          <w:rFonts w:ascii="sans-serif" w:eastAsia="sans-serif" w:hAnsi="sans-serif" w:cs="sans-serif"/>
          <w:color w:val="000000"/>
          <w:sz w:val="44"/>
          <w:szCs w:val="44"/>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2"/>
        <w:gridCol w:w="585"/>
        <w:gridCol w:w="37"/>
        <w:gridCol w:w="61"/>
        <w:gridCol w:w="7069"/>
        <w:gridCol w:w="36"/>
        <w:gridCol w:w="84"/>
        <w:gridCol w:w="356"/>
        <w:gridCol w:w="36"/>
      </w:tblGrid>
      <w:tr w:rsidR="009C6E2F" w14:paraId="2470BAC3" w14:textId="77777777">
        <w:tc>
          <w:tcPr>
            <w:tcW w:w="50" w:type="pct"/>
            <w:shd w:val="clear" w:color="auto" w:fill="auto"/>
            <w:vAlign w:val="bottom"/>
          </w:tcPr>
          <w:p w14:paraId="2470BABA" w14:textId="77777777" w:rsidR="009C6E2F" w:rsidRDefault="009C6E2F">
            <w:pPr>
              <w:rPr>
                <w:rFonts w:ascii="宋体"/>
              </w:rPr>
            </w:pPr>
          </w:p>
        </w:tc>
        <w:tc>
          <w:tcPr>
            <w:tcW w:w="368" w:type="pct"/>
            <w:shd w:val="clear" w:color="auto" w:fill="auto"/>
            <w:vAlign w:val="bottom"/>
          </w:tcPr>
          <w:p w14:paraId="2470BABB" w14:textId="77777777" w:rsidR="009C6E2F" w:rsidRDefault="009C6E2F">
            <w:pPr>
              <w:rPr>
                <w:rFonts w:ascii="宋体"/>
              </w:rPr>
            </w:pPr>
          </w:p>
        </w:tc>
        <w:tc>
          <w:tcPr>
            <w:tcW w:w="5" w:type="pct"/>
            <w:shd w:val="clear" w:color="auto" w:fill="auto"/>
            <w:vAlign w:val="bottom"/>
          </w:tcPr>
          <w:p w14:paraId="2470BABC" w14:textId="77777777" w:rsidR="009C6E2F" w:rsidRDefault="009C6E2F">
            <w:pPr>
              <w:rPr>
                <w:rFonts w:ascii="宋体"/>
              </w:rPr>
            </w:pPr>
          </w:p>
        </w:tc>
        <w:tc>
          <w:tcPr>
            <w:tcW w:w="50" w:type="pct"/>
            <w:shd w:val="clear" w:color="auto" w:fill="auto"/>
            <w:vAlign w:val="bottom"/>
          </w:tcPr>
          <w:p w14:paraId="2470BABD" w14:textId="77777777" w:rsidR="009C6E2F" w:rsidRDefault="009C6E2F">
            <w:pPr>
              <w:rPr>
                <w:rFonts w:ascii="宋体"/>
              </w:rPr>
            </w:pPr>
          </w:p>
        </w:tc>
        <w:tc>
          <w:tcPr>
            <w:tcW w:w="4251" w:type="pct"/>
            <w:shd w:val="clear" w:color="auto" w:fill="auto"/>
            <w:vAlign w:val="bottom"/>
          </w:tcPr>
          <w:p w14:paraId="2470BABE" w14:textId="77777777" w:rsidR="009C6E2F" w:rsidRDefault="009C6E2F">
            <w:pPr>
              <w:rPr>
                <w:rFonts w:ascii="宋体"/>
              </w:rPr>
            </w:pPr>
          </w:p>
        </w:tc>
        <w:tc>
          <w:tcPr>
            <w:tcW w:w="5" w:type="pct"/>
            <w:shd w:val="clear" w:color="auto" w:fill="auto"/>
            <w:vAlign w:val="bottom"/>
          </w:tcPr>
          <w:p w14:paraId="2470BABF" w14:textId="77777777" w:rsidR="009C6E2F" w:rsidRDefault="009C6E2F">
            <w:pPr>
              <w:rPr>
                <w:rFonts w:ascii="宋体"/>
              </w:rPr>
            </w:pPr>
          </w:p>
        </w:tc>
        <w:tc>
          <w:tcPr>
            <w:tcW w:w="50" w:type="pct"/>
            <w:shd w:val="clear" w:color="auto" w:fill="auto"/>
            <w:vAlign w:val="bottom"/>
          </w:tcPr>
          <w:p w14:paraId="2470BAC0" w14:textId="77777777" w:rsidR="009C6E2F" w:rsidRDefault="009C6E2F">
            <w:pPr>
              <w:rPr>
                <w:rFonts w:ascii="宋体"/>
              </w:rPr>
            </w:pPr>
          </w:p>
        </w:tc>
        <w:tc>
          <w:tcPr>
            <w:tcW w:w="214" w:type="pct"/>
            <w:shd w:val="clear" w:color="auto" w:fill="auto"/>
            <w:vAlign w:val="bottom"/>
          </w:tcPr>
          <w:p w14:paraId="2470BAC1" w14:textId="77777777" w:rsidR="009C6E2F" w:rsidRDefault="009C6E2F">
            <w:pPr>
              <w:rPr>
                <w:rFonts w:ascii="宋体"/>
              </w:rPr>
            </w:pPr>
          </w:p>
        </w:tc>
        <w:tc>
          <w:tcPr>
            <w:tcW w:w="5" w:type="pct"/>
            <w:shd w:val="clear" w:color="auto" w:fill="auto"/>
            <w:vAlign w:val="bottom"/>
          </w:tcPr>
          <w:p w14:paraId="2470BAC2" w14:textId="77777777" w:rsidR="009C6E2F" w:rsidRDefault="009C6E2F">
            <w:pPr>
              <w:rPr>
                <w:rFonts w:ascii="宋体"/>
              </w:rPr>
            </w:pPr>
          </w:p>
        </w:tc>
      </w:tr>
      <w:tr w:rsidR="009C6E2F" w14:paraId="2470BAC7" w14:textId="77777777">
        <w:tc>
          <w:tcPr>
            <w:tcW w:w="0" w:type="auto"/>
            <w:gridSpan w:val="3"/>
            <w:shd w:val="clear" w:color="auto" w:fill="auto"/>
            <w:tcMar>
              <w:top w:w="0" w:type="dxa"/>
              <w:left w:w="20" w:type="dxa"/>
              <w:bottom w:w="0" w:type="dxa"/>
              <w:right w:w="20" w:type="dxa"/>
            </w:tcMar>
            <w:vAlign w:val="bottom"/>
          </w:tcPr>
          <w:p w14:paraId="2470BAC4" w14:textId="77777777" w:rsidR="009C6E2F" w:rsidRDefault="009C6E2F">
            <w:pPr>
              <w:rPr>
                <w:rFonts w:ascii="宋体"/>
              </w:rPr>
            </w:pPr>
          </w:p>
        </w:tc>
        <w:tc>
          <w:tcPr>
            <w:tcW w:w="0" w:type="auto"/>
            <w:gridSpan w:val="3"/>
            <w:shd w:val="clear" w:color="auto" w:fill="auto"/>
            <w:tcMar>
              <w:top w:w="0" w:type="dxa"/>
              <w:left w:w="20" w:type="dxa"/>
              <w:bottom w:w="0" w:type="dxa"/>
              <w:right w:w="20" w:type="dxa"/>
            </w:tcMar>
            <w:vAlign w:val="bottom"/>
          </w:tcPr>
          <w:p w14:paraId="2470BAC5"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tcPr>
          <w:p w14:paraId="2470BAC6" w14:textId="77777777" w:rsidR="009C6E2F" w:rsidRDefault="007972BE">
            <w:pPr>
              <w:textAlignment w:val="top"/>
            </w:pPr>
            <w:r>
              <w:rPr>
                <w:rFonts w:ascii="sans-serif" w:eastAsia="sans-serif" w:hAnsi="sans-serif" w:cs="sans-serif"/>
                <w:b/>
                <w:bCs/>
                <w:color w:val="000000"/>
                <w:sz w:val="18"/>
                <w:szCs w:val="18"/>
              </w:rPr>
              <w:t>PAGE</w:t>
            </w:r>
          </w:p>
        </w:tc>
      </w:tr>
      <w:tr w:rsidR="009C6E2F" w14:paraId="2470BACA" w14:textId="77777777">
        <w:tc>
          <w:tcPr>
            <w:tcW w:w="0" w:type="auto"/>
            <w:gridSpan w:val="6"/>
            <w:shd w:val="clear" w:color="auto" w:fill="auto"/>
            <w:tcMar>
              <w:top w:w="40" w:type="dxa"/>
              <w:left w:w="20" w:type="dxa"/>
              <w:bottom w:w="40" w:type="dxa"/>
              <w:right w:w="20" w:type="dxa"/>
            </w:tcMar>
            <w:vAlign w:val="bottom"/>
          </w:tcPr>
          <w:p w14:paraId="2470BAC8" w14:textId="77777777" w:rsidR="009C6E2F" w:rsidRDefault="007972BE">
            <w:pPr>
              <w:pBdr>
                <w:top w:val="none" w:sz="0" w:space="0" w:color="auto"/>
                <w:left w:val="none" w:sz="0" w:space="0" w:color="auto"/>
                <w:bottom w:val="none" w:sz="0" w:space="0" w:color="auto"/>
                <w:right w:val="none" w:sz="0" w:space="0" w:color="auto"/>
              </w:pBdr>
              <w:spacing w:before="120" w:after="120"/>
              <w:textAlignment w:val="bottom"/>
            </w:pPr>
            <w:hyperlink r:id="rId8" w:anchor="i9e023a7388204bdbacd6aa338988f838_10" w:history="1">
              <w:r>
                <w:rPr>
                  <w:rStyle w:val="a5"/>
                  <w:rFonts w:ascii="sans-serif" w:eastAsia="sans-serif" w:hAnsi="sans-serif" w:cs="sans-serif"/>
                  <w:color w:val="E87722"/>
                  <w:u w:val="none"/>
                </w:rPr>
                <w:t>PART I</w:t>
              </w:r>
            </w:hyperlink>
            <w:r>
              <w:rPr>
                <w:rFonts w:ascii="sans-serif" w:eastAsia="sans-serif" w:hAnsi="sans-serif" w:cs="sans-serif"/>
                <w:color w:val="E87722"/>
              </w:rPr>
              <w:t xml:space="preserve"> - FINANCIAL INFORMATION</w:t>
            </w:r>
          </w:p>
        </w:tc>
        <w:tc>
          <w:tcPr>
            <w:tcW w:w="0" w:type="auto"/>
            <w:gridSpan w:val="3"/>
            <w:shd w:val="clear" w:color="auto" w:fill="auto"/>
            <w:tcMar>
              <w:top w:w="40" w:type="dxa"/>
              <w:left w:w="20" w:type="dxa"/>
              <w:bottom w:w="40" w:type="dxa"/>
              <w:right w:w="20" w:type="dxa"/>
            </w:tcMar>
            <w:vAlign w:val="bottom"/>
          </w:tcPr>
          <w:p w14:paraId="2470BAC9" w14:textId="77777777" w:rsidR="009C6E2F" w:rsidRDefault="007972BE">
            <w:pPr>
              <w:pBdr>
                <w:top w:val="none" w:sz="0" w:space="0" w:color="auto"/>
                <w:left w:val="none" w:sz="0" w:space="0" w:color="auto"/>
                <w:bottom w:val="none" w:sz="0" w:space="0" w:color="auto"/>
                <w:right w:val="none" w:sz="0" w:space="0" w:color="auto"/>
              </w:pBdr>
              <w:spacing w:before="120" w:after="120"/>
              <w:textAlignment w:val="bottom"/>
            </w:pPr>
            <w:hyperlink r:id="rId9" w:anchor="i9e023a7388204bdbacd6aa338988f838_10" w:history="1">
              <w:r>
                <w:rPr>
                  <w:rStyle w:val="a5"/>
                  <w:rFonts w:ascii="sans-serif" w:eastAsia="sans-serif" w:hAnsi="sans-serif" w:cs="sans-serif"/>
                  <w:color w:val="E87722"/>
                  <w:u w:val="none"/>
                </w:rPr>
                <w:t>1</w:t>
              </w:r>
            </w:hyperlink>
          </w:p>
        </w:tc>
      </w:tr>
      <w:tr w:rsidR="009C6E2F" w14:paraId="2470BAC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ACB"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ACC"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0" w:anchor="i9e023a7388204bdbacd6aa338988f838_13" w:history="1">
              <w:r>
                <w:rPr>
                  <w:rStyle w:val="a5"/>
                  <w:rFonts w:ascii="sans-serif" w:eastAsia="sans-serif" w:hAnsi="sans-serif" w:cs="sans-serif"/>
                  <w:color w:val="000000"/>
                  <w:sz w:val="16"/>
                  <w:szCs w:val="16"/>
                  <w:u w:val="none"/>
                </w:rPr>
                <w:t>Financial Statements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ACD"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1" w:anchor="i9e023a7388204bdbacd6aa338988f838_13" w:history="1">
              <w:r>
                <w:rPr>
                  <w:rStyle w:val="a5"/>
                  <w:rFonts w:ascii="sans-serif" w:eastAsia="sans-serif" w:hAnsi="sans-serif" w:cs="sans-serif"/>
                  <w:color w:val="000000"/>
                  <w:sz w:val="16"/>
                  <w:szCs w:val="16"/>
                  <w:u w:val="none"/>
                </w:rPr>
                <w:t>1</w:t>
              </w:r>
            </w:hyperlink>
          </w:p>
        </w:tc>
      </w:tr>
      <w:tr w:rsidR="009C6E2F" w14:paraId="2470BAD2" w14:textId="77777777">
        <w:tc>
          <w:tcPr>
            <w:tcW w:w="0" w:type="auto"/>
            <w:gridSpan w:val="3"/>
            <w:shd w:val="clear" w:color="auto" w:fill="auto"/>
            <w:tcMar>
              <w:top w:w="0" w:type="dxa"/>
              <w:left w:w="20" w:type="dxa"/>
              <w:bottom w:w="0" w:type="dxa"/>
              <w:right w:w="20" w:type="dxa"/>
            </w:tcMar>
            <w:vAlign w:val="bottom"/>
          </w:tcPr>
          <w:p w14:paraId="2470BACF"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0"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2" w:anchor="i9e023a7388204bdbacd6aa338988f838_16" w:history="1">
              <w:r>
                <w:rPr>
                  <w:rStyle w:val="a5"/>
                  <w:rFonts w:ascii="sans-serif" w:eastAsia="sans-serif" w:hAnsi="sans-serif" w:cs="sans-serif"/>
                  <w:color w:val="000000"/>
                  <w:sz w:val="16"/>
                  <w:szCs w:val="16"/>
                  <w:u w:val="none"/>
                </w:rPr>
                <w:t>Unaudited Condensed Consolidate</w:t>
              </w:r>
              <w:r>
                <w:rPr>
                  <w:rStyle w:val="a5"/>
                  <w:rFonts w:ascii="sans-serif" w:eastAsia="sans-serif" w:hAnsi="sans-serif" w:cs="sans-serif"/>
                  <w:color w:val="000000"/>
                  <w:sz w:val="16"/>
                  <w:szCs w:val="16"/>
                  <w:u w:val="none"/>
                </w:rPr>
                <w:t>d Statements of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1"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3" w:anchor="i9e023a7388204bdbacd6aa338988f838_16" w:history="1">
              <w:r>
                <w:rPr>
                  <w:rStyle w:val="a5"/>
                  <w:rFonts w:ascii="sans-serif" w:eastAsia="sans-serif" w:hAnsi="sans-serif" w:cs="sans-serif"/>
                  <w:color w:val="000000"/>
                  <w:sz w:val="16"/>
                  <w:szCs w:val="16"/>
                  <w:u w:val="none"/>
                </w:rPr>
                <w:t>1</w:t>
              </w:r>
            </w:hyperlink>
          </w:p>
        </w:tc>
      </w:tr>
      <w:tr w:rsidR="009C6E2F" w14:paraId="2470BAD6" w14:textId="77777777">
        <w:tc>
          <w:tcPr>
            <w:tcW w:w="0" w:type="auto"/>
            <w:gridSpan w:val="3"/>
            <w:shd w:val="clear" w:color="auto" w:fill="auto"/>
            <w:tcMar>
              <w:top w:w="0" w:type="dxa"/>
              <w:left w:w="20" w:type="dxa"/>
              <w:bottom w:w="0" w:type="dxa"/>
              <w:right w:w="20" w:type="dxa"/>
            </w:tcMar>
            <w:vAlign w:val="bottom"/>
          </w:tcPr>
          <w:p w14:paraId="2470BAD3"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4"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4" w:anchor="i9e023a7388204bdbacd6aa338988f838_19" w:history="1">
              <w:r>
                <w:rPr>
                  <w:rStyle w:val="a5"/>
                  <w:rFonts w:ascii="sans-serif" w:eastAsia="sans-serif" w:hAnsi="sans-serif" w:cs="sans-serif"/>
                  <w:color w:val="000000"/>
                  <w:sz w:val="16"/>
                  <w:szCs w:val="16"/>
                  <w:u w:val="none"/>
                </w:rPr>
                <w:t>Unaudited Condensed Consolidated Statements of Comprehensive Income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5"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5" w:anchor="i9e023a7388204bdbacd6aa338988f838_19" w:history="1">
              <w:r>
                <w:rPr>
                  <w:rStyle w:val="a5"/>
                  <w:rFonts w:ascii="sans-serif" w:eastAsia="sans-serif" w:hAnsi="sans-serif" w:cs="sans-serif"/>
                  <w:color w:val="000000"/>
                  <w:sz w:val="16"/>
                  <w:szCs w:val="16"/>
                  <w:u w:val="none"/>
                </w:rPr>
                <w:t>2</w:t>
              </w:r>
            </w:hyperlink>
          </w:p>
        </w:tc>
      </w:tr>
      <w:tr w:rsidR="009C6E2F" w14:paraId="2470BADA" w14:textId="77777777">
        <w:tc>
          <w:tcPr>
            <w:tcW w:w="0" w:type="auto"/>
            <w:gridSpan w:val="3"/>
            <w:shd w:val="clear" w:color="auto" w:fill="auto"/>
            <w:tcMar>
              <w:top w:w="0" w:type="dxa"/>
              <w:left w:w="20" w:type="dxa"/>
              <w:bottom w:w="0" w:type="dxa"/>
              <w:right w:w="20" w:type="dxa"/>
            </w:tcMar>
            <w:vAlign w:val="bottom"/>
          </w:tcPr>
          <w:p w14:paraId="2470BAD7"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8"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6" w:anchor="i9e023a7388204bdbacd6aa338988f838_22" w:history="1">
              <w:r>
                <w:rPr>
                  <w:rStyle w:val="a5"/>
                  <w:rFonts w:ascii="sans-serif" w:eastAsia="sans-serif" w:hAnsi="sans-serif" w:cs="sans-serif"/>
                  <w:color w:val="000000"/>
                  <w:sz w:val="16"/>
                  <w:szCs w:val="16"/>
                  <w:u w:val="none"/>
                </w:rPr>
                <w:t>Unaudited Condensed Consolidated Balance Sheets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9"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7" w:anchor="i9e023a7388204bdbacd6aa338988f838_22" w:history="1">
              <w:r>
                <w:rPr>
                  <w:rStyle w:val="a5"/>
                  <w:rFonts w:ascii="sans-serif" w:eastAsia="sans-serif" w:hAnsi="sans-serif" w:cs="sans-serif"/>
                  <w:color w:val="000000"/>
                  <w:sz w:val="16"/>
                  <w:szCs w:val="16"/>
                  <w:u w:val="none"/>
                </w:rPr>
                <w:t>3</w:t>
              </w:r>
            </w:hyperlink>
          </w:p>
        </w:tc>
      </w:tr>
      <w:tr w:rsidR="009C6E2F" w14:paraId="2470BADE" w14:textId="77777777">
        <w:tc>
          <w:tcPr>
            <w:tcW w:w="0" w:type="auto"/>
            <w:gridSpan w:val="3"/>
            <w:shd w:val="clear" w:color="auto" w:fill="auto"/>
            <w:tcMar>
              <w:top w:w="0" w:type="dxa"/>
              <w:left w:w="20" w:type="dxa"/>
              <w:bottom w:w="0" w:type="dxa"/>
              <w:right w:w="20" w:type="dxa"/>
            </w:tcMar>
            <w:vAlign w:val="bottom"/>
          </w:tcPr>
          <w:p w14:paraId="2470BADB"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C"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8" w:anchor="i9e023a7388204bdbacd6aa338988f838_25" w:history="1">
              <w:r>
                <w:rPr>
                  <w:rStyle w:val="a5"/>
                  <w:rFonts w:ascii="sans-serif" w:eastAsia="sans-serif" w:hAnsi="sans-serif" w:cs="sans-serif"/>
                  <w:color w:val="000000"/>
                  <w:sz w:val="16"/>
                  <w:szCs w:val="16"/>
                  <w:u w:val="none"/>
                </w:rPr>
                <w:t>Unaudited Condensed Consolidated Statements of Cash Flows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DD"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9" w:anchor="i9e023a7388204bdbacd6aa338988f838_25" w:history="1">
              <w:r>
                <w:rPr>
                  <w:rStyle w:val="a5"/>
                  <w:rFonts w:ascii="sans-serif" w:eastAsia="sans-serif" w:hAnsi="sans-serif" w:cs="sans-serif"/>
                  <w:color w:val="000000"/>
                  <w:sz w:val="16"/>
                  <w:szCs w:val="16"/>
                  <w:u w:val="none"/>
                </w:rPr>
                <w:t>4</w:t>
              </w:r>
            </w:hyperlink>
          </w:p>
        </w:tc>
      </w:tr>
      <w:tr w:rsidR="009C6E2F" w14:paraId="2470BAE2" w14:textId="77777777">
        <w:tc>
          <w:tcPr>
            <w:tcW w:w="0" w:type="auto"/>
            <w:gridSpan w:val="3"/>
            <w:shd w:val="clear" w:color="auto" w:fill="auto"/>
            <w:tcMar>
              <w:top w:w="0" w:type="dxa"/>
              <w:left w:w="20" w:type="dxa"/>
              <w:bottom w:w="0" w:type="dxa"/>
              <w:right w:w="20" w:type="dxa"/>
            </w:tcMar>
            <w:vAlign w:val="bottom"/>
          </w:tcPr>
          <w:p w14:paraId="2470BADF"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0"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0" w:anchor="i9e023a7388204bdbacd6aa338988f838_28" w:history="1">
              <w:r>
                <w:rPr>
                  <w:rStyle w:val="a5"/>
                  <w:rFonts w:ascii="sans-serif" w:eastAsia="sans-serif" w:hAnsi="sans-serif" w:cs="sans-serif"/>
                  <w:color w:val="000000"/>
                  <w:sz w:val="16"/>
                  <w:szCs w:val="16"/>
                  <w:u w:val="none"/>
                </w:rPr>
                <w:t>Unaudited Condensed Consolidated Statements of Shareholders' Equity</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1"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1" w:anchor="i9e023a7388204bdbacd6aa338988f838_28" w:history="1">
              <w:r>
                <w:rPr>
                  <w:rStyle w:val="a5"/>
                  <w:rFonts w:ascii="sans-serif" w:eastAsia="sans-serif" w:hAnsi="sans-serif" w:cs="sans-serif"/>
                  <w:color w:val="000000"/>
                  <w:sz w:val="16"/>
                  <w:szCs w:val="16"/>
                  <w:u w:val="none"/>
                </w:rPr>
                <w:t>5</w:t>
              </w:r>
            </w:hyperlink>
          </w:p>
        </w:tc>
      </w:tr>
      <w:tr w:rsidR="009C6E2F" w14:paraId="2470BAE6" w14:textId="77777777">
        <w:tc>
          <w:tcPr>
            <w:tcW w:w="0" w:type="auto"/>
            <w:gridSpan w:val="3"/>
            <w:shd w:val="clear" w:color="auto" w:fill="auto"/>
            <w:tcMar>
              <w:top w:w="0" w:type="dxa"/>
              <w:left w:w="20" w:type="dxa"/>
              <w:bottom w:w="0" w:type="dxa"/>
              <w:right w:w="20" w:type="dxa"/>
            </w:tcMar>
            <w:vAlign w:val="bottom"/>
          </w:tcPr>
          <w:p w14:paraId="2470BAE3"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4"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2" w:anchor="i9e023a7388204bdbacd6aa338988f838_31" w:history="1">
              <w:r>
                <w:rPr>
                  <w:rStyle w:val="a5"/>
                  <w:rFonts w:ascii="sans-serif" w:eastAsia="sans-serif" w:hAnsi="sans-serif" w:cs="sans-serif"/>
                  <w:color w:val="000000"/>
                  <w:sz w:val="16"/>
                  <w:szCs w:val="16"/>
                  <w:u w:val="none"/>
                </w:rPr>
                <w:t xml:space="preserve">Notes to the Unaudited Condensed Consolidated Financial Statements </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5"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3" w:anchor="i9e023a7388204bdbacd6aa338988f838_31" w:history="1">
              <w:r>
                <w:rPr>
                  <w:rStyle w:val="a5"/>
                  <w:rFonts w:ascii="sans-serif" w:eastAsia="sans-serif" w:hAnsi="sans-serif" w:cs="sans-serif"/>
                  <w:color w:val="000000"/>
                  <w:sz w:val="16"/>
                  <w:szCs w:val="16"/>
                  <w:u w:val="none"/>
                </w:rPr>
                <w:t>7</w:t>
              </w:r>
            </w:hyperlink>
          </w:p>
        </w:tc>
      </w:tr>
      <w:tr w:rsidR="009C6E2F" w14:paraId="2470BAE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7"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4" w:anchor="i9e023a7388204bdbacd6aa338988f838_136" w:history="1">
              <w:r>
                <w:rPr>
                  <w:rStyle w:val="a5"/>
                  <w:rFonts w:ascii="sans-serif" w:eastAsia="sans-serif" w:hAnsi="sans-serif" w:cs="sans-serif"/>
                  <w:b/>
                  <w:bCs/>
                  <w:color w:val="000000"/>
                  <w:sz w:val="18"/>
                  <w:szCs w:val="18"/>
                  <w:u w:val="none"/>
                </w:rPr>
                <w:t>ITEM </w:t>
              </w:r>
            </w:hyperlink>
            <w:r>
              <w:rPr>
                <w:rFonts w:ascii="sans-serif" w:eastAsia="sans-serif" w:hAnsi="sans-serif" w:cs="sans-serif"/>
                <w:b/>
                <w:bCs/>
                <w:color w:val="000000"/>
                <w:sz w:val="18"/>
                <w:szCs w:val="18"/>
              </w:rPr>
              <w:t>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8"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5" w:anchor="i9e023a7388204bdbacd6aa338988f838_76" w:history="1">
              <w:r>
                <w:rPr>
                  <w:rStyle w:val="a5"/>
                  <w:rFonts w:ascii="sans-serif" w:eastAsia="sans-serif" w:hAnsi="sans-serif" w:cs="sans-serif"/>
                  <w:color w:val="000000"/>
                  <w:sz w:val="16"/>
                  <w:szCs w:val="16"/>
                  <w:u w:val="none"/>
                </w:rPr>
                <w:t>Management's Discussion and Analysis of Financial Condition and Results of Operations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9"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6" w:anchor="i9e023a7388204bdbacd6aa338988f838_76" w:history="1">
              <w:r>
                <w:rPr>
                  <w:rStyle w:val="a5"/>
                  <w:rFonts w:ascii="sans-serif" w:eastAsia="sans-serif" w:hAnsi="sans-serif" w:cs="sans-serif"/>
                  <w:color w:val="000000"/>
                  <w:sz w:val="16"/>
                  <w:szCs w:val="16"/>
                  <w:u w:val="none"/>
                </w:rPr>
                <w:t>24</w:t>
              </w:r>
            </w:hyperlink>
          </w:p>
        </w:tc>
      </w:tr>
      <w:tr w:rsidR="009C6E2F" w14:paraId="2470BAE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B" w14:textId="77777777" w:rsidR="009C6E2F" w:rsidRDefault="007972BE">
            <w:pPr>
              <w:textAlignment w:val="bottom"/>
            </w:pPr>
            <w:r>
              <w:rPr>
                <w:rFonts w:ascii="sans-serif" w:eastAsia="sans-serif" w:hAnsi="sans-serif" w:cs="sans-serif"/>
                <w:b/>
                <w:bCs/>
                <w:color w:val="000000"/>
                <w:sz w:val="18"/>
                <w:szCs w:val="18"/>
              </w:rPr>
              <w:t>ITEM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C"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7" w:anchor="i9e023a7388204bdbacd6aa338988f838_121" w:history="1">
              <w:r>
                <w:rPr>
                  <w:rStyle w:val="a5"/>
                  <w:rFonts w:ascii="sans-serif" w:eastAsia="sans-serif" w:hAnsi="sans-serif" w:cs="sans-serif"/>
                  <w:color w:val="000000"/>
                  <w:sz w:val="16"/>
                  <w:szCs w:val="16"/>
                  <w:u w:val="none"/>
                </w:rPr>
                <w:t>Quantitative and Qualitative Disclosures about Market Risk</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D"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8" w:anchor="i9e023a7388204bdbacd6aa338988f838_121" w:history="1">
              <w:r>
                <w:rPr>
                  <w:rStyle w:val="a5"/>
                  <w:rFonts w:ascii="sans-serif" w:eastAsia="sans-serif" w:hAnsi="sans-serif" w:cs="sans-serif"/>
                  <w:color w:val="000000"/>
                  <w:sz w:val="16"/>
                  <w:szCs w:val="16"/>
                  <w:u w:val="none"/>
                </w:rPr>
                <w:t>44</w:t>
              </w:r>
            </w:hyperlink>
          </w:p>
        </w:tc>
      </w:tr>
      <w:tr w:rsidR="009C6E2F" w14:paraId="2470BAF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EF" w14:textId="77777777" w:rsidR="009C6E2F" w:rsidRDefault="007972BE">
            <w:pPr>
              <w:textAlignment w:val="bottom"/>
            </w:pPr>
            <w:r>
              <w:rPr>
                <w:rFonts w:ascii="sans-serif" w:eastAsia="sans-serif" w:hAnsi="sans-serif" w:cs="sans-serif"/>
                <w:b/>
                <w:bCs/>
                <w:color w:val="000000"/>
                <w:sz w:val="18"/>
                <w:szCs w:val="18"/>
              </w:rPr>
              <w:t>ITEM 4.</w:t>
            </w: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470BAF0" w14:textId="77777777" w:rsidR="009C6E2F" w:rsidRDefault="007972BE">
            <w:pPr>
              <w:pBdr>
                <w:top w:val="none" w:sz="0" w:space="0" w:color="auto"/>
                <w:left w:val="none" w:sz="0" w:space="0" w:color="auto"/>
                <w:bottom w:val="none" w:sz="0" w:space="0" w:color="auto"/>
                <w:right w:val="none" w:sz="0" w:space="0" w:color="auto"/>
              </w:pBdr>
              <w:textAlignment w:val="bottom"/>
            </w:pPr>
            <w:hyperlink r:id="rId29" w:anchor="i9e023a7388204bdbacd6aa338988f838_124" w:history="1">
              <w:r>
                <w:rPr>
                  <w:rStyle w:val="a5"/>
                  <w:rFonts w:ascii="sans-serif" w:eastAsia="sans-serif" w:hAnsi="sans-serif" w:cs="sans-serif"/>
                  <w:color w:val="000000"/>
                  <w:sz w:val="16"/>
                  <w:szCs w:val="16"/>
                  <w:u w:val="none"/>
                </w:rPr>
                <w:t>Controls and Procedures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F1"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0" w:anchor="i9e023a7388204bdbacd6aa338988f838_124" w:history="1">
              <w:r>
                <w:rPr>
                  <w:rStyle w:val="a5"/>
                  <w:rFonts w:ascii="sans-serif" w:eastAsia="sans-serif" w:hAnsi="sans-serif" w:cs="sans-serif"/>
                  <w:color w:val="000000"/>
                  <w:sz w:val="16"/>
                  <w:szCs w:val="16"/>
                  <w:u w:val="none"/>
                </w:rPr>
                <w:t>44</w:t>
              </w:r>
            </w:hyperlink>
          </w:p>
        </w:tc>
      </w:tr>
      <w:tr w:rsidR="009C6E2F" w14:paraId="2470BAF5" w14:textId="77777777">
        <w:tc>
          <w:tcPr>
            <w:tcW w:w="0" w:type="auto"/>
            <w:gridSpan w:val="6"/>
            <w:tcBorders>
              <w:top w:val="single" w:sz="4" w:space="0" w:color="808080"/>
            </w:tcBorders>
            <w:shd w:val="clear" w:color="auto" w:fill="auto"/>
            <w:tcMar>
              <w:top w:w="40" w:type="dxa"/>
              <w:left w:w="20" w:type="dxa"/>
              <w:bottom w:w="40" w:type="dxa"/>
              <w:right w:w="20" w:type="dxa"/>
            </w:tcMar>
            <w:vAlign w:val="bottom"/>
          </w:tcPr>
          <w:p w14:paraId="2470BAF3" w14:textId="77777777" w:rsidR="009C6E2F" w:rsidRDefault="007972BE">
            <w:pPr>
              <w:pBdr>
                <w:top w:val="none" w:sz="0" w:space="0" w:color="auto"/>
                <w:left w:val="none" w:sz="0" w:space="0" w:color="auto"/>
                <w:bottom w:val="none" w:sz="0" w:space="0" w:color="auto"/>
                <w:right w:val="none" w:sz="0" w:space="0" w:color="auto"/>
              </w:pBdr>
              <w:spacing w:before="120" w:after="120"/>
              <w:textAlignment w:val="bottom"/>
            </w:pPr>
            <w:hyperlink r:id="rId31" w:anchor="i9e023a7388204bdbacd6aa338988f838_130" w:history="1">
              <w:r>
                <w:rPr>
                  <w:rStyle w:val="a5"/>
                  <w:rFonts w:ascii="sans-serif" w:eastAsia="sans-serif" w:hAnsi="sans-serif" w:cs="sans-serif"/>
                  <w:color w:val="E87722"/>
                  <w:u w:val="none"/>
                </w:rPr>
                <w:t>PART II</w:t>
              </w:r>
            </w:hyperlink>
            <w:r>
              <w:rPr>
                <w:rFonts w:ascii="sans-serif" w:eastAsia="sans-serif" w:hAnsi="sans-serif" w:cs="sans-serif"/>
                <w:color w:val="E87722"/>
              </w:rPr>
              <w:t xml:space="preserve"> - OTHER INFORMATION</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F4" w14:textId="77777777" w:rsidR="009C6E2F" w:rsidRDefault="007972BE">
            <w:pPr>
              <w:pBdr>
                <w:top w:val="none" w:sz="0" w:space="0" w:color="auto"/>
                <w:left w:val="none" w:sz="0" w:space="0" w:color="auto"/>
                <w:bottom w:val="none" w:sz="0" w:space="0" w:color="auto"/>
                <w:right w:val="none" w:sz="0" w:space="0" w:color="auto"/>
              </w:pBdr>
              <w:spacing w:before="120" w:after="120"/>
              <w:textAlignment w:val="bottom"/>
            </w:pPr>
            <w:hyperlink r:id="rId32" w:anchor="i9e023a7388204bdbacd6aa338988f838_130" w:history="1">
              <w:r>
                <w:rPr>
                  <w:rStyle w:val="a5"/>
                  <w:rFonts w:ascii="sans-serif" w:eastAsia="sans-serif" w:hAnsi="sans-serif" w:cs="sans-serif"/>
                  <w:color w:val="E87722"/>
                  <w:u w:val="none"/>
                </w:rPr>
                <w:t>46</w:t>
              </w:r>
            </w:hyperlink>
          </w:p>
        </w:tc>
      </w:tr>
      <w:tr w:rsidR="009C6E2F" w14:paraId="2470BAF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AF6" w14:textId="77777777" w:rsidR="009C6E2F" w:rsidRDefault="007972BE">
            <w:pPr>
              <w:textAlignment w:val="bottom"/>
            </w:pPr>
            <w:r>
              <w:rPr>
                <w:rFonts w:ascii="sans-serif" w:eastAsia="sans-serif" w:hAnsi="sans-serif" w:cs="sans-serif"/>
                <w:b/>
                <w:bCs/>
                <w:color w:val="000000"/>
                <w:sz w:val="18"/>
                <w:szCs w:val="18"/>
              </w:rPr>
              <w:t>ITEM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AF7"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3" w:anchor="i9e023a7388204bdbacd6aa338988f838_133" w:history="1">
              <w:r>
                <w:rPr>
                  <w:rStyle w:val="a5"/>
                  <w:rFonts w:ascii="sans-serif" w:eastAsia="sans-serif" w:hAnsi="sans-serif" w:cs="sans-serif"/>
                  <w:color w:val="000000"/>
                  <w:sz w:val="16"/>
                  <w:szCs w:val="16"/>
                  <w:u w:val="none"/>
                </w:rPr>
                <w:t>Legal Proceedings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AF8"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4" w:anchor="i9e023a7388204bdbacd6aa338988f838_133" w:history="1">
              <w:r>
                <w:rPr>
                  <w:rStyle w:val="a5"/>
                  <w:rFonts w:ascii="sans-serif" w:eastAsia="sans-serif" w:hAnsi="sans-serif" w:cs="sans-serif"/>
                  <w:color w:val="000000"/>
                  <w:sz w:val="16"/>
                  <w:szCs w:val="16"/>
                  <w:u w:val="none"/>
                </w:rPr>
                <w:t>46</w:t>
              </w:r>
            </w:hyperlink>
          </w:p>
        </w:tc>
      </w:tr>
      <w:tr w:rsidR="009C6E2F" w14:paraId="2470BAF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FA" w14:textId="77777777" w:rsidR="009C6E2F" w:rsidRDefault="007972BE">
            <w:pPr>
              <w:textAlignment w:val="bottom"/>
            </w:pPr>
            <w:r>
              <w:rPr>
                <w:rFonts w:ascii="sans-serif" w:eastAsia="sans-serif" w:hAnsi="sans-serif" w:cs="sans-serif"/>
                <w:b/>
                <w:bCs/>
                <w:color w:val="000000"/>
                <w:sz w:val="18"/>
                <w:szCs w:val="18"/>
              </w:rPr>
              <w:t>ITEM 1A.</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FB"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5" w:anchor="i9e023a7388204bdbacd6aa338988f838_136" w:history="1">
              <w:r>
                <w:rPr>
                  <w:rStyle w:val="a5"/>
                  <w:rFonts w:ascii="sans-serif" w:eastAsia="sans-serif" w:hAnsi="sans-serif" w:cs="sans-serif"/>
                  <w:color w:val="000000"/>
                  <w:sz w:val="16"/>
                  <w:szCs w:val="16"/>
                  <w:u w:val="none"/>
                </w:rPr>
                <w:t>Risk Factors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FC"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6" w:anchor="i9e023a7388204bdbacd6aa338988f838_136" w:history="1">
              <w:r>
                <w:rPr>
                  <w:rStyle w:val="a5"/>
                  <w:rFonts w:ascii="sans-serif" w:eastAsia="sans-serif" w:hAnsi="sans-serif" w:cs="sans-serif"/>
                  <w:color w:val="000000"/>
                  <w:sz w:val="16"/>
                  <w:szCs w:val="16"/>
                  <w:u w:val="none"/>
                </w:rPr>
                <w:t>46</w:t>
              </w:r>
            </w:hyperlink>
          </w:p>
        </w:tc>
      </w:tr>
      <w:tr w:rsidR="009C6E2F" w14:paraId="2470BB0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FE" w14:textId="77777777" w:rsidR="009C6E2F" w:rsidRDefault="007972BE">
            <w:pPr>
              <w:textAlignment w:val="bottom"/>
            </w:pPr>
            <w:r>
              <w:rPr>
                <w:rFonts w:ascii="sans-serif" w:eastAsia="sans-serif" w:hAnsi="sans-serif" w:cs="sans-serif"/>
                <w:b/>
                <w:bCs/>
                <w:color w:val="000000"/>
                <w:sz w:val="18"/>
                <w:szCs w:val="18"/>
              </w:rPr>
              <w:t>ITEM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AFF"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7" w:anchor="i9e023a7388204bdbacd6aa338988f838_139" w:history="1">
              <w:r>
                <w:rPr>
                  <w:rStyle w:val="a5"/>
                  <w:rFonts w:ascii="sans-serif" w:eastAsia="sans-serif" w:hAnsi="sans-serif" w:cs="sans-serif"/>
                  <w:color w:val="000000"/>
                  <w:sz w:val="16"/>
                  <w:szCs w:val="16"/>
                  <w:u w:val="none"/>
                </w:rPr>
                <w:t>Unregistered Sales of Equity Securities and Use of Proceeds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00"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8" w:anchor="i9e023a7388204bdbacd6aa338988f838_139" w:history="1">
              <w:r>
                <w:rPr>
                  <w:rStyle w:val="a5"/>
                  <w:rFonts w:ascii="sans-serif" w:eastAsia="sans-serif" w:hAnsi="sans-serif" w:cs="sans-serif"/>
                  <w:color w:val="000000"/>
                  <w:sz w:val="16"/>
                  <w:szCs w:val="16"/>
                  <w:u w:val="none"/>
                </w:rPr>
                <w:t>47</w:t>
              </w:r>
            </w:hyperlink>
          </w:p>
        </w:tc>
      </w:tr>
      <w:tr w:rsidR="009C6E2F" w14:paraId="2470BB0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02" w14:textId="77777777" w:rsidR="009C6E2F" w:rsidRDefault="007972BE">
            <w:pPr>
              <w:textAlignment w:val="bottom"/>
            </w:pPr>
            <w:r>
              <w:rPr>
                <w:rFonts w:ascii="sans-serif" w:eastAsia="sans-serif" w:hAnsi="sans-serif" w:cs="sans-serif"/>
                <w:b/>
                <w:bCs/>
                <w:color w:val="000000"/>
                <w:sz w:val="18"/>
                <w:szCs w:val="18"/>
              </w:rPr>
              <w:t>ITEM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03" w14:textId="77777777" w:rsidR="009C6E2F" w:rsidRDefault="007972BE">
            <w:pPr>
              <w:pBdr>
                <w:top w:val="none" w:sz="0" w:space="0" w:color="auto"/>
                <w:left w:val="none" w:sz="0" w:space="0" w:color="auto"/>
                <w:bottom w:val="none" w:sz="0" w:space="0" w:color="auto"/>
                <w:right w:val="none" w:sz="0" w:space="0" w:color="auto"/>
              </w:pBdr>
              <w:textAlignment w:val="bottom"/>
            </w:pPr>
            <w:hyperlink r:id="rId39" w:anchor="i9e023a7388204bdbacd6aa338988f838_142" w:history="1">
              <w:r>
                <w:rPr>
                  <w:rStyle w:val="a5"/>
                  <w:rFonts w:ascii="sans-serif" w:eastAsia="sans-serif" w:hAnsi="sans-serif" w:cs="sans-serif"/>
                  <w:color w:val="000000"/>
                  <w:sz w:val="16"/>
                  <w:szCs w:val="16"/>
                  <w:u w:val="none"/>
                </w:rPr>
                <w:t>Exhibits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04" w14:textId="77777777" w:rsidR="009C6E2F" w:rsidRDefault="007972BE">
            <w:pPr>
              <w:pBdr>
                <w:top w:val="none" w:sz="0" w:space="0" w:color="auto"/>
                <w:left w:val="none" w:sz="0" w:space="0" w:color="auto"/>
                <w:bottom w:val="none" w:sz="0" w:space="0" w:color="auto"/>
                <w:right w:val="none" w:sz="0" w:space="0" w:color="auto"/>
              </w:pBdr>
              <w:textAlignment w:val="bottom"/>
            </w:pPr>
            <w:hyperlink r:id="rId40" w:anchor="i9e023a7388204bdbacd6aa338988f838_142" w:history="1">
              <w:r>
                <w:rPr>
                  <w:rStyle w:val="a5"/>
                  <w:rFonts w:ascii="sans-serif" w:eastAsia="sans-serif" w:hAnsi="sans-serif" w:cs="sans-serif"/>
                  <w:color w:val="000000"/>
                  <w:sz w:val="16"/>
                  <w:szCs w:val="16"/>
                  <w:u w:val="none"/>
                </w:rPr>
                <w:t>48</w:t>
              </w:r>
            </w:hyperlink>
          </w:p>
        </w:tc>
      </w:tr>
      <w:tr w:rsidR="009C6E2F" w14:paraId="2470BB09" w14:textId="77777777">
        <w:tc>
          <w:tcPr>
            <w:tcW w:w="0" w:type="auto"/>
            <w:gridSpan w:val="3"/>
            <w:tcBorders>
              <w:top w:val="single" w:sz="4" w:space="0" w:color="808080"/>
              <w:bottom w:val="single" w:sz="4" w:space="0" w:color="808080"/>
            </w:tcBorders>
            <w:shd w:val="clear" w:color="auto" w:fill="auto"/>
            <w:tcMar>
              <w:top w:w="0" w:type="dxa"/>
              <w:left w:w="20" w:type="dxa"/>
              <w:bottom w:w="0" w:type="dxa"/>
              <w:right w:w="20" w:type="dxa"/>
            </w:tcMar>
            <w:vAlign w:val="bottom"/>
          </w:tcPr>
          <w:p w14:paraId="2470BB06" w14:textId="77777777" w:rsidR="009C6E2F" w:rsidRDefault="009C6E2F">
            <w:pPr>
              <w:rPr>
                <w:rFonts w:ascii="宋体"/>
              </w:rPr>
            </w:pPr>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470BB07" w14:textId="77777777" w:rsidR="009C6E2F" w:rsidRDefault="007972BE">
            <w:pPr>
              <w:pBdr>
                <w:top w:val="none" w:sz="0" w:space="0" w:color="auto"/>
                <w:left w:val="none" w:sz="0" w:space="0" w:color="auto"/>
                <w:bottom w:val="none" w:sz="0" w:space="0" w:color="auto"/>
                <w:right w:val="none" w:sz="0" w:space="0" w:color="auto"/>
              </w:pBdr>
              <w:textAlignment w:val="bottom"/>
            </w:pPr>
            <w:hyperlink r:id="rId41" w:anchor="i9e023a7388204bdbacd6aa338988f838_145" w:history="1">
              <w:r>
                <w:rPr>
                  <w:rStyle w:val="a5"/>
                  <w:rFonts w:ascii="sans-serif" w:eastAsia="sans-serif" w:hAnsi="sans-serif" w:cs="sans-serif"/>
                  <w:color w:val="000000"/>
                  <w:sz w:val="16"/>
                  <w:szCs w:val="16"/>
                  <w:u w:val="none"/>
                </w:rPr>
                <w:t>Signatures</w:t>
              </w:r>
            </w:hyperlink>
          </w:p>
        </w:tc>
        <w:tc>
          <w:tcPr>
            <w:tcW w:w="0" w:type="auto"/>
            <w:gridSpan w:val="3"/>
            <w:tcBorders>
              <w:top w:val="single" w:sz="4" w:space="0" w:color="808080"/>
              <w:bottom w:val="single" w:sz="4" w:space="0" w:color="808080"/>
            </w:tcBorders>
            <w:shd w:val="clear" w:color="auto" w:fill="auto"/>
            <w:tcMar>
              <w:top w:w="40" w:type="dxa"/>
              <w:left w:w="20" w:type="dxa"/>
              <w:bottom w:w="40" w:type="dxa"/>
              <w:right w:w="20" w:type="dxa"/>
            </w:tcMar>
            <w:vAlign w:val="bottom"/>
          </w:tcPr>
          <w:p w14:paraId="2470BB08" w14:textId="77777777" w:rsidR="009C6E2F" w:rsidRDefault="007972BE">
            <w:pPr>
              <w:pBdr>
                <w:top w:val="none" w:sz="0" w:space="0" w:color="auto"/>
                <w:left w:val="none" w:sz="0" w:space="0" w:color="auto"/>
                <w:bottom w:val="none" w:sz="0" w:space="0" w:color="auto"/>
                <w:right w:val="none" w:sz="0" w:space="0" w:color="auto"/>
              </w:pBdr>
              <w:textAlignment w:val="bottom"/>
            </w:pPr>
            <w:hyperlink r:id="rId42" w:anchor="i9e023a7388204bdbacd6aa338988f838_145" w:history="1">
              <w:r>
                <w:rPr>
                  <w:rStyle w:val="a5"/>
                  <w:rFonts w:ascii="sans-serif" w:eastAsia="sans-serif" w:hAnsi="sans-serif" w:cs="sans-serif"/>
                  <w:color w:val="000000"/>
                  <w:sz w:val="16"/>
                  <w:szCs w:val="16"/>
                  <w:u w:val="none"/>
                </w:rPr>
                <w:t>49</w:t>
              </w:r>
            </w:hyperlink>
          </w:p>
        </w:tc>
      </w:tr>
    </w:tbl>
    <w:p w14:paraId="2470BB0A" w14:textId="77777777" w:rsidR="009C6E2F" w:rsidRDefault="009C6E2F">
      <w:pPr>
        <w:spacing w:before="120" w:after="120"/>
      </w:pPr>
    </w:p>
    <w:p w14:paraId="2470BB0B" w14:textId="77777777" w:rsidR="009C6E2F" w:rsidRDefault="007972BE">
      <w:r>
        <w:lastRenderedPageBreak/>
        <w:pict w14:anchorId="2470E1E5">
          <v:rect id="_x0000_i1026" style="width:415.3pt;height:1.5pt" o:hralign="center" o:hrstd="t" o:hr="t" fillcolor="#a0a0a0" stroked="f"/>
        </w:pict>
      </w:r>
    </w:p>
    <w:p w14:paraId="2470BB0C" w14:textId="77777777" w:rsidR="009C6E2F" w:rsidRDefault="009C6E2F"/>
    <w:p w14:paraId="2470BB0D" w14:textId="77777777" w:rsidR="009C6E2F" w:rsidRDefault="007972BE">
      <w:hyperlink r:id="rId43" w:anchor="i9e023a7388204bdbacd6aa338988f838_7" w:history="1">
        <w:r>
          <w:rPr>
            <w:rStyle w:val="a5"/>
            <w:rFonts w:ascii="sans-serif" w:eastAsia="sans-serif" w:hAnsi="sans-serif" w:cs="sans-serif"/>
            <w:sz w:val="17"/>
            <w:szCs w:val="17"/>
          </w:rPr>
          <w:t>Table of Contents</w:t>
        </w:r>
      </w:hyperlink>
    </w:p>
    <w:p w14:paraId="2470BB0E" w14:textId="77777777" w:rsidR="009C6E2F" w:rsidRDefault="009C6E2F"/>
    <w:p w14:paraId="2470BB0F" w14:textId="77777777" w:rsidR="009C6E2F" w:rsidRDefault="007972BE">
      <w:r>
        <w:rPr>
          <w:rFonts w:ascii="sans-serif" w:eastAsia="sans-serif" w:hAnsi="sans-serif" w:cs="sans-serif"/>
          <w:color w:val="E87722"/>
          <w:sz w:val="68"/>
          <w:szCs w:val="68"/>
        </w:rPr>
        <w:t>PART I - FINANCIAL INFORMATION</w:t>
      </w:r>
    </w:p>
    <w:p w14:paraId="2470BB10" w14:textId="77777777" w:rsidR="009C6E2F" w:rsidRDefault="007972BE">
      <w:pPr>
        <w:spacing w:before="120" w:after="300"/>
      </w:pPr>
      <w:r>
        <w:rPr>
          <w:rFonts w:ascii="sans-serif" w:eastAsia="sans-serif" w:hAnsi="sans-serif" w:cs="sans-serif"/>
          <w:color w:val="000000"/>
          <w:sz w:val="44"/>
          <w:szCs w:val="44"/>
        </w:rPr>
        <w:t>ITEM 1. FINANCIAL STATEMENTS</w:t>
      </w:r>
    </w:p>
    <w:p w14:paraId="2470BB11" w14:textId="77777777" w:rsidR="009C6E2F" w:rsidRDefault="007972BE">
      <w:pPr>
        <w:spacing w:before="300"/>
      </w:pPr>
      <w:r>
        <w:rPr>
          <w:rFonts w:ascii="sans-serif" w:eastAsia="sans-serif" w:hAnsi="sans-serif" w:cs="sans-serif"/>
          <w:b/>
          <w:bCs/>
          <w:color w:val="E87722"/>
          <w:sz w:val="36"/>
          <w:szCs w:val="36"/>
        </w:rPr>
        <w:t>NIKE, INC.</w:t>
      </w:r>
    </w:p>
    <w:p w14:paraId="2470BB12" w14:textId="77777777" w:rsidR="009C6E2F" w:rsidRDefault="007972BE">
      <w:pPr>
        <w:spacing w:before="120" w:after="120"/>
      </w:pPr>
      <w:r>
        <w:rPr>
          <w:rFonts w:ascii="sans-serif" w:eastAsia="sans-serif" w:hAnsi="sans-serif" w:cs="sans-serif"/>
          <w:b/>
          <w:bCs/>
          <w:color w:val="000000"/>
          <w:sz w:val="28"/>
          <w:szCs w:val="28"/>
        </w:rPr>
        <w:t>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488"/>
        <w:gridCol w:w="38"/>
        <w:gridCol w:w="115"/>
        <w:gridCol w:w="987"/>
        <w:gridCol w:w="36"/>
        <w:gridCol w:w="115"/>
        <w:gridCol w:w="988"/>
        <w:gridCol w:w="36"/>
        <w:gridCol w:w="36"/>
        <w:gridCol w:w="36"/>
        <w:gridCol w:w="36"/>
        <w:gridCol w:w="115"/>
        <w:gridCol w:w="952"/>
        <w:gridCol w:w="36"/>
        <w:gridCol w:w="115"/>
        <w:gridCol w:w="988"/>
        <w:gridCol w:w="36"/>
        <w:gridCol w:w="36"/>
        <w:gridCol w:w="36"/>
        <w:gridCol w:w="36"/>
        <w:gridCol w:w="36"/>
      </w:tblGrid>
      <w:tr w:rsidR="009C6E2F" w14:paraId="2470BB27" w14:textId="77777777">
        <w:tc>
          <w:tcPr>
            <w:tcW w:w="50" w:type="pct"/>
            <w:shd w:val="clear" w:color="auto" w:fill="auto"/>
            <w:vAlign w:val="bottom"/>
          </w:tcPr>
          <w:p w14:paraId="2470BB13" w14:textId="77777777" w:rsidR="009C6E2F" w:rsidRDefault="009C6E2F">
            <w:pPr>
              <w:rPr>
                <w:rFonts w:ascii="宋体"/>
              </w:rPr>
            </w:pPr>
          </w:p>
        </w:tc>
        <w:tc>
          <w:tcPr>
            <w:tcW w:w="2159" w:type="pct"/>
            <w:shd w:val="clear" w:color="auto" w:fill="auto"/>
            <w:vAlign w:val="bottom"/>
          </w:tcPr>
          <w:p w14:paraId="2470BB14" w14:textId="77777777" w:rsidR="009C6E2F" w:rsidRDefault="009C6E2F">
            <w:pPr>
              <w:rPr>
                <w:rFonts w:ascii="宋体"/>
              </w:rPr>
            </w:pPr>
          </w:p>
        </w:tc>
        <w:tc>
          <w:tcPr>
            <w:tcW w:w="5" w:type="pct"/>
            <w:shd w:val="clear" w:color="auto" w:fill="auto"/>
            <w:vAlign w:val="bottom"/>
          </w:tcPr>
          <w:p w14:paraId="2470BB15" w14:textId="77777777" w:rsidR="009C6E2F" w:rsidRDefault="009C6E2F">
            <w:pPr>
              <w:rPr>
                <w:rFonts w:ascii="宋体"/>
              </w:rPr>
            </w:pPr>
          </w:p>
        </w:tc>
        <w:tc>
          <w:tcPr>
            <w:tcW w:w="50" w:type="pct"/>
            <w:shd w:val="clear" w:color="auto" w:fill="auto"/>
            <w:vAlign w:val="bottom"/>
          </w:tcPr>
          <w:p w14:paraId="2470BB16" w14:textId="77777777" w:rsidR="009C6E2F" w:rsidRDefault="009C6E2F">
            <w:pPr>
              <w:rPr>
                <w:rFonts w:ascii="宋体"/>
              </w:rPr>
            </w:pPr>
          </w:p>
        </w:tc>
        <w:tc>
          <w:tcPr>
            <w:tcW w:w="631" w:type="pct"/>
            <w:shd w:val="clear" w:color="auto" w:fill="auto"/>
            <w:vAlign w:val="bottom"/>
          </w:tcPr>
          <w:p w14:paraId="2470BB17" w14:textId="77777777" w:rsidR="009C6E2F" w:rsidRDefault="009C6E2F">
            <w:pPr>
              <w:rPr>
                <w:rFonts w:ascii="宋体"/>
              </w:rPr>
            </w:pPr>
          </w:p>
        </w:tc>
        <w:tc>
          <w:tcPr>
            <w:tcW w:w="5" w:type="pct"/>
            <w:shd w:val="clear" w:color="auto" w:fill="auto"/>
            <w:vAlign w:val="bottom"/>
          </w:tcPr>
          <w:p w14:paraId="2470BB18" w14:textId="77777777" w:rsidR="009C6E2F" w:rsidRDefault="009C6E2F">
            <w:pPr>
              <w:rPr>
                <w:rFonts w:ascii="宋体"/>
              </w:rPr>
            </w:pPr>
          </w:p>
        </w:tc>
        <w:tc>
          <w:tcPr>
            <w:tcW w:w="50" w:type="pct"/>
            <w:shd w:val="clear" w:color="auto" w:fill="auto"/>
            <w:vAlign w:val="bottom"/>
          </w:tcPr>
          <w:p w14:paraId="2470BB19" w14:textId="77777777" w:rsidR="009C6E2F" w:rsidRDefault="009C6E2F">
            <w:pPr>
              <w:rPr>
                <w:rFonts w:ascii="宋体"/>
              </w:rPr>
            </w:pPr>
          </w:p>
        </w:tc>
        <w:tc>
          <w:tcPr>
            <w:tcW w:w="631" w:type="pct"/>
            <w:shd w:val="clear" w:color="auto" w:fill="auto"/>
            <w:vAlign w:val="bottom"/>
          </w:tcPr>
          <w:p w14:paraId="2470BB1A" w14:textId="77777777" w:rsidR="009C6E2F" w:rsidRDefault="009C6E2F">
            <w:pPr>
              <w:rPr>
                <w:rFonts w:ascii="宋体"/>
              </w:rPr>
            </w:pPr>
          </w:p>
        </w:tc>
        <w:tc>
          <w:tcPr>
            <w:tcW w:w="5" w:type="pct"/>
            <w:shd w:val="clear" w:color="auto" w:fill="auto"/>
            <w:vAlign w:val="bottom"/>
          </w:tcPr>
          <w:p w14:paraId="2470BB1B" w14:textId="77777777" w:rsidR="009C6E2F" w:rsidRDefault="009C6E2F">
            <w:pPr>
              <w:rPr>
                <w:rFonts w:ascii="宋体"/>
              </w:rPr>
            </w:pPr>
          </w:p>
        </w:tc>
        <w:tc>
          <w:tcPr>
            <w:tcW w:w="5" w:type="pct"/>
            <w:shd w:val="clear" w:color="auto" w:fill="auto"/>
            <w:vAlign w:val="bottom"/>
          </w:tcPr>
          <w:p w14:paraId="2470BB1C" w14:textId="77777777" w:rsidR="009C6E2F" w:rsidRDefault="009C6E2F">
            <w:pPr>
              <w:rPr>
                <w:rFonts w:ascii="宋体"/>
              </w:rPr>
            </w:pPr>
          </w:p>
        </w:tc>
        <w:tc>
          <w:tcPr>
            <w:tcW w:w="28" w:type="pct"/>
            <w:shd w:val="clear" w:color="auto" w:fill="auto"/>
            <w:vAlign w:val="bottom"/>
          </w:tcPr>
          <w:p w14:paraId="2470BB1D" w14:textId="77777777" w:rsidR="009C6E2F" w:rsidRDefault="009C6E2F">
            <w:pPr>
              <w:rPr>
                <w:rFonts w:ascii="宋体"/>
              </w:rPr>
            </w:pPr>
          </w:p>
        </w:tc>
        <w:tc>
          <w:tcPr>
            <w:tcW w:w="5" w:type="pct"/>
            <w:shd w:val="clear" w:color="auto" w:fill="auto"/>
            <w:vAlign w:val="bottom"/>
          </w:tcPr>
          <w:p w14:paraId="2470BB1E" w14:textId="77777777" w:rsidR="009C6E2F" w:rsidRDefault="009C6E2F">
            <w:pPr>
              <w:rPr>
                <w:rFonts w:ascii="宋体"/>
              </w:rPr>
            </w:pPr>
          </w:p>
        </w:tc>
        <w:tc>
          <w:tcPr>
            <w:tcW w:w="50" w:type="pct"/>
            <w:shd w:val="clear" w:color="auto" w:fill="auto"/>
            <w:vAlign w:val="bottom"/>
          </w:tcPr>
          <w:p w14:paraId="2470BB1F" w14:textId="77777777" w:rsidR="009C6E2F" w:rsidRDefault="009C6E2F">
            <w:pPr>
              <w:rPr>
                <w:rFonts w:ascii="宋体"/>
              </w:rPr>
            </w:pPr>
          </w:p>
        </w:tc>
        <w:tc>
          <w:tcPr>
            <w:tcW w:w="631" w:type="pct"/>
            <w:shd w:val="clear" w:color="auto" w:fill="auto"/>
            <w:vAlign w:val="bottom"/>
          </w:tcPr>
          <w:p w14:paraId="2470BB20" w14:textId="77777777" w:rsidR="009C6E2F" w:rsidRDefault="009C6E2F">
            <w:pPr>
              <w:rPr>
                <w:rFonts w:ascii="宋体"/>
              </w:rPr>
            </w:pPr>
          </w:p>
        </w:tc>
        <w:tc>
          <w:tcPr>
            <w:tcW w:w="5" w:type="pct"/>
            <w:shd w:val="clear" w:color="auto" w:fill="auto"/>
            <w:vAlign w:val="bottom"/>
          </w:tcPr>
          <w:p w14:paraId="2470BB21" w14:textId="77777777" w:rsidR="009C6E2F" w:rsidRDefault="009C6E2F">
            <w:pPr>
              <w:rPr>
                <w:rFonts w:ascii="宋体"/>
              </w:rPr>
            </w:pPr>
          </w:p>
        </w:tc>
        <w:tc>
          <w:tcPr>
            <w:tcW w:w="50" w:type="pct"/>
            <w:shd w:val="clear" w:color="auto" w:fill="auto"/>
            <w:vAlign w:val="bottom"/>
          </w:tcPr>
          <w:p w14:paraId="2470BB22" w14:textId="77777777" w:rsidR="009C6E2F" w:rsidRDefault="009C6E2F">
            <w:pPr>
              <w:rPr>
                <w:rFonts w:ascii="宋体"/>
              </w:rPr>
            </w:pPr>
          </w:p>
        </w:tc>
        <w:tc>
          <w:tcPr>
            <w:tcW w:w="631" w:type="pct"/>
            <w:shd w:val="clear" w:color="auto" w:fill="auto"/>
            <w:vAlign w:val="bottom"/>
          </w:tcPr>
          <w:p w14:paraId="2470BB23" w14:textId="77777777" w:rsidR="009C6E2F" w:rsidRDefault="009C6E2F">
            <w:pPr>
              <w:rPr>
                <w:rFonts w:ascii="宋体"/>
              </w:rPr>
            </w:pPr>
          </w:p>
        </w:tc>
        <w:tc>
          <w:tcPr>
            <w:tcW w:w="5" w:type="pct"/>
            <w:shd w:val="clear" w:color="auto" w:fill="auto"/>
            <w:vAlign w:val="bottom"/>
          </w:tcPr>
          <w:p w14:paraId="2470BB24" w14:textId="77777777" w:rsidR="009C6E2F" w:rsidRDefault="009C6E2F">
            <w:pPr>
              <w:rPr>
                <w:rFonts w:ascii="宋体"/>
              </w:rPr>
            </w:pPr>
          </w:p>
        </w:tc>
        <w:tc>
          <w:tcPr>
            <w:tcW w:w="0" w:type="auto"/>
            <w:shd w:val="clear" w:color="auto" w:fill="auto"/>
            <w:vAlign w:val="bottom"/>
          </w:tcPr>
          <w:p w14:paraId="2470BB25" w14:textId="77777777" w:rsidR="009C6E2F" w:rsidRDefault="009C6E2F">
            <w:pPr>
              <w:rPr>
                <w:rFonts w:ascii="宋体"/>
                <w:vanish/>
              </w:rPr>
            </w:pPr>
          </w:p>
        </w:tc>
        <w:tc>
          <w:tcPr>
            <w:tcW w:w="0" w:type="auto"/>
            <w:gridSpan w:val="3"/>
            <w:shd w:val="clear" w:color="auto" w:fill="auto"/>
            <w:vAlign w:val="bottom"/>
          </w:tcPr>
          <w:p w14:paraId="2470BB26" w14:textId="77777777" w:rsidR="009C6E2F" w:rsidRDefault="009C6E2F">
            <w:pPr>
              <w:rPr>
                <w:rFonts w:ascii="宋体"/>
                <w:vanish/>
              </w:rPr>
            </w:pPr>
          </w:p>
        </w:tc>
      </w:tr>
      <w:tr w:rsidR="009C6E2F" w14:paraId="2470BB30" w14:textId="77777777">
        <w:tc>
          <w:tcPr>
            <w:tcW w:w="0" w:type="auto"/>
            <w:gridSpan w:val="3"/>
            <w:shd w:val="clear" w:color="auto" w:fill="auto"/>
            <w:tcMar>
              <w:top w:w="0" w:type="dxa"/>
              <w:left w:w="20" w:type="dxa"/>
              <w:bottom w:w="0" w:type="dxa"/>
              <w:right w:w="20" w:type="dxa"/>
            </w:tcMar>
            <w:vAlign w:val="bottom"/>
          </w:tcPr>
          <w:p w14:paraId="2470BB28"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BB29" w14:textId="77777777" w:rsidR="009C6E2F" w:rsidRDefault="007972BE">
            <w:pPr>
              <w:jc w:val="center"/>
              <w:textAlignment w:val="bottom"/>
            </w:pPr>
            <w:r>
              <w:rPr>
                <w:rFonts w:ascii="sans-serif" w:eastAsia="sans-serif" w:hAnsi="sans-serif" w:cs="sans-serif"/>
                <w:b/>
                <w:bCs/>
                <w:color w:val="000000"/>
                <w:sz w:val="17"/>
                <w:szCs w:val="17"/>
              </w:rPr>
              <w:t>TH</w:t>
            </w:r>
            <w:r>
              <w:rPr>
                <w:rFonts w:ascii="sans-serif" w:eastAsia="sans-serif" w:hAnsi="sans-serif" w:cs="sans-serif"/>
                <w:b/>
                <w:bCs/>
                <w:color w:val="000000"/>
                <w:sz w:val="17"/>
                <w:szCs w:val="17"/>
              </w:rPr>
              <w:t>REE MONTHS ENDED NOVEMBER 30,</w:t>
            </w:r>
          </w:p>
        </w:tc>
        <w:tc>
          <w:tcPr>
            <w:tcW w:w="0" w:type="auto"/>
            <w:gridSpan w:val="3"/>
            <w:shd w:val="clear" w:color="auto" w:fill="auto"/>
            <w:tcMar>
              <w:top w:w="0" w:type="dxa"/>
              <w:left w:w="20" w:type="dxa"/>
              <w:bottom w:w="0" w:type="dxa"/>
              <w:right w:w="20" w:type="dxa"/>
            </w:tcMar>
            <w:vAlign w:val="bottom"/>
          </w:tcPr>
          <w:p w14:paraId="2470BB2A"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BB2B"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BB2C" w14:textId="77777777" w:rsidR="009C6E2F" w:rsidRDefault="009C6E2F">
            <w:pPr>
              <w:rPr>
                <w:rFonts w:ascii="宋体"/>
                <w:vanish/>
              </w:rPr>
            </w:pPr>
          </w:p>
        </w:tc>
        <w:tc>
          <w:tcPr>
            <w:tcW w:w="0" w:type="auto"/>
            <w:shd w:val="clear" w:color="auto" w:fill="auto"/>
            <w:vAlign w:val="bottom"/>
          </w:tcPr>
          <w:p w14:paraId="2470BB2D" w14:textId="77777777" w:rsidR="009C6E2F" w:rsidRDefault="009C6E2F">
            <w:pPr>
              <w:rPr>
                <w:rFonts w:ascii="宋体"/>
              </w:rPr>
            </w:pPr>
          </w:p>
        </w:tc>
        <w:tc>
          <w:tcPr>
            <w:tcW w:w="0" w:type="auto"/>
            <w:shd w:val="clear" w:color="auto" w:fill="auto"/>
            <w:vAlign w:val="bottom"/>
          </w:tcPr>
          <w:p w14:paraId="2470BB2E" w14:textId="77777777" w:rsidR="009C6E2F" w:rsidRDefault="009C6E2F">
            <w:pPr>
              <w:rPr>
                <w:rFonts w:ascii="宋体"/>
              </w:rPr>
            </w:pPr>
          </w:p>
        </w:tc>
        <w:tc>
          <w:tcPr>
            <w:tcW w:w="0" w:type="auto"/>
            <w:shd w:val="clear" w:color="auto" w:fill="auto"/>
            <w:vAlign w:val="bottom"/>
          </w:tcPr>
          <w:p w14:paraId="2470BB2F" w14:textId="77777777" w:rsidR="009C6E2F" w:rsidRDefault="009C6E2F">
            <w:pPr>
              <w:rPr>
                <w:rFonts w:ascii="宋体"/>
              </w:rPr>
            </w:pPr>
          </w:p>
        </w:tc>
      </w:tr>
      <w:tr w:rsidR="009C6E2F" w14:paraId="2470BB39" w14:textId="77777777">
        <w:tc>
          <w:tcPr>
            <w:tcW w:w="0" w:type="auto"/>
            <w:gridSpan w:val="3"/>
            <w:shd w:val="clear" w:color="auto" w:fill="auto"/>
            <w:tcMar>
              <w:top w:w="40" w:type="dxa"/>
              <w:left w:w="20" w:type="dxa"/>
              <w:bottom w:w="40" w:type="dxa"/>
              <w:right w:w="20" w:type="dxa"/>
            </w:tcMar>
            <w:vAlign w:val="bottom"/>
          </w:tcPr>
          <w:p w14:paraId="2470BB3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32"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33"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BB34"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35"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36"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2470BB37" w14:textId="77777777" w:rsidR="009C6E2F" w:rsidRDefault="009C6E2F">
            <w:pPr>
              <w:rPr>
                <w:rFonts w:ascii="宋体"/>
                <w:vanish/>
              </w:rPr>
            </w:pPr>
          </w:p>
        </w:tc>
        <w:tc>
          <w:tcPr>
            <w:tcW w:w="0" w:type="auto"/>
            <w:gridSpan w:val="3"/>
            <w:shd w:val="clear" w:color="auto" w:fill="auto"/>
            <w:vAlign w:val="bottom"/>
          </w:tcPr>
          <w:p w14:paraId="2470BB38" w14:textId="77777777" w:rsidR="009C6E2F" w:rsidRDefault="009C6E2F">
            <w:pPr>
              <w:rPr>
                <w:rFonts w:ascii="宋体"/>
                <w:vanish/>
              </w:rPr>
            </w:pPr>
          </w:p>
        </w:tc>
      </w:tr>
      <w:tr w:rsidR="009C6E2F" w14:paraId="2470BB4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3A" w14:textId="77777777" w:rsidR="009C6E2F" w:rsidRDefault="007972BE">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BB3B"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B3C" w14:textId="77777777" w:rsidR="009C6E2F" w:rsidRDefault="007972BE">
            <w:pPr>
              <w:jc w:val="right"/>
              <w:textAlignment w:val="bottom"/>
            </w:pPr>
            <w:r>
              <w:rPr>
                <w:rFonts w:ascii="Arial" w:eastAsia="宋体" w:hAnsi="Arial" w:cs="Arial"/>
                <w:color w:val="000000"/>
                <w:sz w:val="17"/>
                <w:szCs w:val="17"/>
              </w:rPr>
              <w:t>11,357 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3D"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B3E"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B3F" w14:textId="77777777" w:rsidR="009C6E2F" w:rsidRDefault="007972BE">
            <w:pPr>
              <w:jc w:val="right"/>
              <w:textAlignment w:val="bottom"/>
            </w:pPr>
            <w:r>
              <w:rPr>
                <w:rFonts w:ascii="Arial" w:eastAsia="宋体" w:hAnsi="Arial" w:cs="Arial"/>
                <w:color w:val="000000"/>
                <w:sz w:val="17"/>
                <w:szCs w:val="17"/>
              </w:rPr>
              <w:t>11,243 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40"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41"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BB42"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B43" w14:textId="77777777" w:rsidR="009C6E2F" w:rsidRDefault="007972BE">
            <w:pPr>
              <w:jc w:val="right"/>
              <w:textAlignment w:val="bottom"/>
            </w:pPr>
            <w:r>
              <w:rPr>
                <w:rFonts w:ascii="Arial" w:eastAsia="宋体" w:hAnsi="Arial" w:cs="Arial"/>
                <w:color w:val="000000"/>
                <w:sz w:val="17"/>
                <w:szCs w:val="17"/>
              </w:rPr>
              <w:t>23,605 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44"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B45"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B46" w14:textId="77777777" w:rsidR="009C6E2F" w:rsidRDefault="007972BE">
            <w:pPr>
              <w:jc w:val="right"/>
              <w:textAlignment w:val="bottom"/>
            </w:pPr>
            <w:r>
              <w:rPr>
                <w:rFonts w:ascii="Arial" w:eastAsia="宋体" w:hAnsi="Arial" w:cs="Arial"/>
                <w:color w:val="000000"/>
                <w:sz w:val="17"/>
                <w:szCs w:val="17"/>
              </w:rPr>
              <w:t>21,837 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47" w14:textId="77777777" w:rsidR="009C6E2F" w:rsidRDefault="009C6E2F">
            <w:pPr>
              <w:jc w:val="right"/>
              <w:rPr>
                <w:rFonts w:ascii="宋体"/>
              </w:rPr>
            </w:pPr>
          </w:p>
        </w:tc>
        <w:tc>
          <w:tcPr>
            <w:tcW w:w="0" w:type="auto"/>
            <w:shd w:val="clear" w:color="auto" w:fill="auto"/>
            <w:vAlign w:val="bottom"/>
          </w:tcPr>
          <w:p w14:paraId="2470BB48" w14:textId="77777777" w:rsidR="009C6E2F" w:rsidRDefault="009C6E2F">
            <w:pPr>
              <w:rPr>
                <w:rFonts w:ascii="宋体"/>
                <w:vanish/>
              </w:rPr>
            </w:pPr>
          </w:p>
        </w:tc>
        <w:tc>
          <w:tcPr>
            <w:tcW w:w="0" w:type="auto"/>
            <w:gridSpan w:val="3"/>
            <w:shd w:val="clear" w:color="auto" w:fill="auto"/>
            <w:vAlign w:val="bottom"/>
          </w:tcPr>
          <w:p w14:paraId="2470BB49" w14:textId="77777777" w:rsidR="009C6E2F" w:rsidRDefault="009C6E2F">
            <w:pPr>
              <w:rPr>
                <w:rFonts w:ascii="宋体"/>
                <w:vanish/>
              </w:rPr>
            </w:pPr>
          </w:p>
        </w:tc>
      </w:tr>
      <w:tr w:rsidR="009C6E2F" w14:paraId="2470BB5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4B" w14:textId="77777777" w:rsidR="009C6E2F" w:rsidRDefault="007972BE">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4C" w14:textId="77777777" w:rsidR="009C6E2F" w:rsidRDefault="007972BE">
            <w:pPr>
              <w:jc w:val="right"/>
              <w:textAlignment w:val="bottom"/>
            </w:pPr>
            <w:r>
              <w:rPr>
                <w:rFonts w:ascii="Arial" w:eastAsia="宋体" w:hAnsi="Arial" w:cs="Arial"/>
                <w:color w:val="000000"/>
                <w:sz w:val="17"/>
                <w:szCs w:val="17"/>
              </w:rPr>
              <w:t>6,144 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4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4E" w14:textId="77777777" w:rsidR="009C6E2F" w:rsidRDefault="007972BE">
            <w:pPr>
              <w:jc w:val="right"/>
              <w:textAlignment w:val="bottom"/>
            </w:pPr>
            <w:r>
              <w:rPr>
                <w:rFonts w:ascii="Arial" w:eastAsia="宋体" w:hAnsi="Arial" w:cs="Arial"/>
                <w:color w:val="000000"/>
                <w:sz w:val="17"/>
                <w:szCs w:val="17"/>
              </w:rPr>
              <w:t>6,396 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4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50"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51" w14:textId="77777777" w:rsidR="009C6E2F" w:rsidRDefault="007972BE">
            <w:pPr>
              <w:jc w:val="right"/>
              <w:textAlignment w:val="bottom"/>
            </w:pPr>
            <w:r>
              <w:rPr>
                <w:rFonts w:ascii="Arial" w:eastAsia="宋体" w:hAnsi="Arial" w:cs="Arial"/>
                <w:color w:val="000000"/>
                <w:sz w:val="17"/>
                <w:szCs w:val="17"/>
              </w:rPr>
              <w:t>12,696 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5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53" w14:textId="77777777" w:rsidR="009C6E2F" w:rsidRDefault="007972BE">
            <w:pPr>
              <w:jc w:val="right"/>
              <w:textAlignment w:val="bottom"/>
            </w:pPr>
            <w:r>
              <w:rPr>
                <w:rFonts w:ascii="Arial" w:eastAsia="宋体" w:hAnsi="Arial" w:cs="Arial"/>
                <w:color w:val="000000"/>
                <w:sz w:val="17"/>
                <w:szCs w:val="17"/>
              </w:rPr>
              <w:t>12,249 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54" w14:textId="77777777" w:rsidR="009C6E2F" w:rsidRDefault="009C6E2F">
            <w:pPr>
              <w:jc w:val="right"/>
              <w:rPr>
                <w:rFonts w:ascii="宋体"/>
              </w:rPr>
            </w:pPr>
          </w:p>
        </w:tc>
        <w:tc>
          <w:tcPr>
            <w:tcW w:w="0" w:type="auto"/>
            <w:shd w:val="clear" w:color="auto" w:fill="auto"/>
            <w:vAlign w:val="bottom"/>
          </w:tcPr>
          <w:p w14:paraId="2470BB55" w14:textId="77777777" w:rsidR="009C6E2F" w:rsidRDefault="009C6E2F">
            <w:pPr>
              <w:rPr>
                <w:rFonts w:ascii="宋体"/>
                <w:vanish/>
              </w:rPr>
            </w:pPr>
          </w:p>
        </w:tc>
        <w:tc>
          <w:tcPr>
            <w:tcW w:w="0" w:type="auto"/>
            <w:gridSpan w:val="3"/>
            <w:shd w:val="clear" w:color="auto" w:fill="auto"/>
            <w:vAlign w:val="bottom"/>
          </w:tcPr>
          <w:p w14:paraId="2470BB56" w14:textId="77777777" w:rsidR="009C6E2F" w:rsidRDefault="009C6E2F">
            <w:pPr>
              <w:rPr>
                <w:rFonts w:ascii="宋体"/>
                <w:vanish/>
              </w:rPr>
            </w:pPr>
          </w:p>
        </w:tc>
      </w:tr>
      <w:tr w:rsidR="009C6E2F" w14:paraId="2470BB64"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470BB58" w14:textId="77777777" w:rsidR="009C6E2F" w:rsidRDefault="007972BE">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B59" w14:textId="77777777" w:rsidR="009C6E2F" w:rsidRDefault="007972BE">
            <w:pPr>
              <w:jc w:val="right"/>
              <w:textAlignment w:val="bottom"/>
            </w:pPr>
            <w:r>
              <w:rPr>
                <w:rFonts w:ascii="Arial" w:eastAsia="宋体" w:hAnsi="Arial" w:cs="Arial"/>
                <w:color w:val="000000"/>
                <w:sz w:val="17"/>
                <w:szCs w:val="17"/>
              </w:rPr>
              <w:t>5,213 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5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B5B" w14:textId="77777777" w:rsidR="009C6E2F" w:rsidRDefault="007972BE">
            <w:pPr>
              <w:jc w:val="right"/>
              <w:textAlignment w:val="bottom"/>
            </w:pPr>
            <w:r>
              <w:rPr>
                <w:rFonts w:ascii="Arial" w:eastAsia="宋体" w:hAnsi="Arial" w:cs="Arial"/>
                <w:color w:val="000000"/>
                <w:sz w:val="17"/>
                <w:szCs w:val="17"/>
              </w:rPr>
              <w:t>4,847 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5C"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5D"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B5E" w14:textId="77777777" w:rsidR="009C6E2F" w:rsidRDefault="007972BE">
            <w:pPr>
              <w:jc w:val="right"/>
              <w:textAlignment w:val="bottom"/>
            </w:pPr>
            <w:r>
              <w:rPr>
                <w:rFonts w:ascii="Arial" w:eastAsia="宋体" w:hAnsi="Arial" w:cs="Arial"/>
                <w:color w:val="000000"/>
                <w:sz w:val="17"/>
                <w:szCs w:val="17"/>
              </w:rPr>
              <w:t>10,909 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5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B60" w14:textId="77777777" w:rsidR="009C6E2F" w:rsidRDefault="007972BE">
            <w:pPr>
              <w:jc w:val="right"/>
              <w:textAlignment w:val="bottom"/>
            </w:pPr>
            <w:r>
              <w:rPr>
                <w:rFonts w:ascii="Arial" w:eastAsia="宋体" w:hAnsi="Arial" w:cs="Arial"/>
                <w:color w:val="000000"/>
                <w:sz w:val="17"/>
                <w:szCs w:val="17"/>
              </w:rPr>
              <w:t>9,588 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61" w14:textId="77777777" w:rsidR="009C6E2F" w:rsidRDefault="009C6E2F">
            <w:pPr>
              <w:jc w:val="right"/>
              <w:rPr>
                <w:rFonts w:ascii="宋体"/>
              </w:rPr>
            </w:pPr>
          </w:p>
        </w:tc>
        <w:tc>
          <w:tcPr>
            <w:tcW w:w="0" w:type="auto"/>
            <w:shd w:val="clear" w:color="auto" w:fill="auto"/>
            <w:vAlign w:val="bottom"/>
          </w:tcPr>
          <w:p w14:paraId="2470BB62" w14:textId="77777777" w:rsidR="009C6E2F" w:rsidRDefault="009C6E2F">
            <w:pPr>
              <w:rPr>
                <w:rFonts w:ascii="宋体"/>
                <w:vanish/>
              </w:rPr>
            </w:pPr>
          </w:p>
        </w:tc>
        <w:tc>
          <w:tcPr>
            <w:tcW w:w="0" w:type="auto"/>
            <w:gridSpan w:val="3"/>
            <w:shd w:val="clear" w:color="auto" w:fill="auto"/>
            <w:vAlign w:val="bottom"/>
          </w:tcPr>
          <w:p w14:paraId="2470BB63" w14:textId="77777777" w:rsidR="009C6E2F" w:rsidRDefault="009C6E2F">
            <w:pPr>
              <w:rPr>
                <w:rFonts w:ascii="宋体"/>
                <w:vanish/>
              </w:rPr>
            </w:pPr>
          </w:p>
        </w:tc>
      </w:tr>
      <w:tr w:rsidR="009C6E2F" w14:paraId="2470BB7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65" w14:textId="77777777" w:rsidR="009C6E2F" w:rsidRDefault="007972BE">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66" w14:textId="77777777" w:rsidR="009C6E2F" w:rsidRDefault="007972BE">
            <w:pPr>
              <w:jc w:val="right"/>
              <w:textAlignment w:val="bottom"/>
            </w:pPr>
            <w:r>
              <w:rPr>
                <w:rFonts w:ascii="Arial" w:eastAsia="宋体" w:hAnsi="Arial" w:cs="Arial"/>
                <w:color w:val="000000"/>
                <w:sz w:val="17"/>
                <w:szCs w:val="17"/>
              </w:rPr>
              <w:t>1,017 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6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68" w14:textId="77777777" w:rsidR="009C6E2F" w:rsidRDefault="007972BE">
            <w:pPr>
              <w:jc w:val="right"/>
              <w:textAlignment w:val="bottom"/>
            </w:pPr>
            <w:r>
              <w:rPr>
                <w:rFonts w:ascii="Arial" w:eastAsia="宋体" w:hAnsi="Arial" w:cs="Arial"/>
                <w:color w:val="000000"/>
                <w:sz w:val="17"/>
                <w:szCs w:val="17"/>
              </w:rPr>
              <w:t>729 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69"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6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6B" w14:textId="77777777" w:rsidR="009C6E2F" w:rsidRDefault="007972BE">
            <w:pPr>
              <w:jc w:val="right"/>
              <w:textAlignment w:val="bottom"/>
            </w:pPr>
            <w:r>
              <w:rPr>
                <w:rFonts w:ascii="Arial" w:eastAsia="宋体" w:hAnsi="Arial" w:cs="Arial"/>
                <w:color w:val="000000"/>
                <w:sz w:val="17"/>
                <w:szCs w:val="17"/>
              </w:rPr>
              <w:t>1,935 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6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6D" w14:textId="77777777" w:rsidR="009C6E2F" w:rsidRDefault="007972BE">
            <w:pPr>
              <w:jc w:val="right"/>
              <w:textAlignment w:val="bottom"/>
            </w:pPr>
            <w:r>
              <w:rPr>
                <w:rFonts w:ascii="Arial" w:eastAsia="宋体" w:hAnsi="Arial" w:cs="Arial"/>
                <w:color w:val="000000"/>
                <w:sz w:val="17"/>
                <w:szCs w:val="17"/>
              </w:rPr>
              <w:t>1,406 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6E" w14:textId="77777777" w:rsidR="009C6E2F" w:rsidRDefault="009C6E2F">
            <w:pPr>
              <w:jc w:val="right"/>
              <w:rPr>
                <w:rFonts w:ascii="宋体"/>
              </w:rPr>
            </w:pPr>
          </w:p>
        </w:tc>
        <w:tc>
          <w:tcPr>
            <w:tcW w:w="0" w:type="auto"/>
            <w:shd w:val="clear" w:color="auto" w:fill="auto"/>
            <w:vAlign w:val="bottom"/>
          </w:tcPr>
          <w:p w14:paraId="2470BB6F" w14:textId="77777777" w:rsidR="009C6E2F" w:rsidRDefault="009C6E2F">
            <w:pPr>
              <w:rPr>
                <w:rFonts w:ascii="宋体"/>
                <w:vanish/>
              </w:rPr>
            </w:pPr>
          </w:p>
        </w:tc>
        <w:tc>
          <w:tcPr>
            <w:tcW w:w="0" w:type="auto"/>
            <w:gridSpan w:val="3"/>
            <w:shd w:val="clear" w:color="auto" w:fill="auto"/>
            <w:vAlign w:val="bottom"/>
          </w:tcPr>
          <w:p w14:paraId="2470BB70" w14:textId="77777777" w:rsidR="009C6E2F" w:rsidRDefault="009C6E2F">
            <w:pPr>
              <w:rPr>
                <w:rFonts w:ascii="宋体"/>
                <w:vanish/>
              </w:rPr>
            </w:pPr>
          </w:p>
        </w:tc>
      </w:tr>
      <w:tr w:rsidR="009C6E2F" w14:paraId="2470BB7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72" w14:textId="77777777" w:rsidR="009C6E2F" w:rsidRDefault="007972BE">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73" w14:textId="77777777" w:rsidR="009C6E2F" w:rsidRDefault="007972BE">
            <w:pPr>
              <w:jc w:val="right"/>
              <w:textAlignment w:val="bottom"/>
            </w:pPr>
            <w:r>
              <w:rPr>
                <w:rFonts w:ascii="Arial" w:eastAsia="宋体" w:hAnsi="Arial" w:cs="Arial"/>
                <w:color w:val="000000"/>
                <w:sz w:val="17"/>
                <w:szCs w:val="17"/>
              </w:rPr>
              <w:t>2,742 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7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75" w14:textId="77777777" w:rsidR="009C6E2F" w:rsidRDefault="007972BE">
            <w:pPr>
              <w:jc w:val="right"/>
              <w:textAlignment w:val="bottom"/>
            </w:pPr>
            <w:r>
              <w:rPr>
                <w:rFonts w:ascii="Arial" w:eastAsia="宋体" w:hAnsi="Arial" w:cs="Arial"/>
                <w:color w:val="000000"/>
                <w:sz w:val="17"/>
                <w:szCs w:val="17"/>
              </w:rPr>
              <w:t>2,538 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76"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7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78" w14:textId="77777777" w:rsidR="009C6E2F" w:rsidRDefault="007972BE">
            <w:pPr>
              <w:jc w:val="right"/>
              <w:textAlignment w:val="bottom"/>
            </w:pPr>
            <w:r>
              <w:rPr>
                <w:rFonts w:ascii="Arial" w:eastAsia="宋体" w:hAnsi="Arial" w:cs="Arial"/>
                <w:color w:val="000000"/>
                <w:sz w:val="17"/>
                <w:szCs w:val="17"/>
              </w:rPr>
              <w:t>5,396 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7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7A" w14:textId="77777777" w:rsidR="009C6E2F" w:rsidRDefault="007972BE">
            <w:pPr>
              <w:jc w:val="right"/>
              <w:textAlignment w:val="bottom"/>
            </w:pPr>
            <w:r>
              <w:rPr>
                <w:rFonts w:ascii="Arial" w:eastAsia="宋体" w:hAnsi="Arial" w:cs="Arial"/>
                <w:color w:val="000000"/>
                <w:sz w:val="17"/>
                <w:szCs w:val="17"/>
              </w:rPr>
              <w:t>4,836 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7B" w14:textId="77777777" w:rsidR="009C6E2F" w:rsidRDefault="009C6E2F">
            <w:pPr>
              <w:jc w:val="right"/>
              <w:rPr>
                <w:rFonts w:ascii="宋体"/>
              </w:rPr>
            </w:pPr>
          </w:p>
        </w:tc>
        <w:tc>
          <w:tcPr>
            <w:tcW w:w="0" w:type="auto"/>
            <w:shd w:val="clear" w:color="auto" w:fill="auto"/>
            <w:vAlign w:val="bottom"/>
          </w:tcPr>
          <w:p w14:paraId="2470BB7C" w14:textId="77777777" w:rsidR="009C6E2F" w:rsidRDefault="009C6E2F">
            <w:pPr>
              <w:rPr>
                <w:rFonts w:ascii="宋体"/>
                <w:vanish/>
              </w:rPr>
            </w:pPr>
          </w:p>
        </w:tc>
        <w:tc>
          <w:tcPr>
            <w:tcW w:w="0" w:type="auto"/>
            <w:gridSpan w:val="3"/>
            <w:shd w:val="clear" w:color="auto" w:fill="auto"/>
            <w:vAlign w:val="bottom"/>
          </w:tcPr>
          <w:p w14:paraId="2470BB7D" w14:textId="77777777" w:rsidR="009C6E2F" w:rsidRDefault="009C6E2F">
            <w:pPr>
              <w:rPr>
                <w:rFonts w:ascii="宋体"/>
                <w:vanish/>
              </w:rPr>
            </w:pPr>
          </w:p>
        </w:tc>
      </w:tr>
      <w:tr w:rsidR="009C6E2F" w14:paraId="2470BB8B"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470BB7F" w14:textId="77777777" w:rsidR="009C6E2F" w:rsidRDefault="007972BE">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B80" w14:textId="77777777" w:rsidR="009C6E2F" w:rsidRDefault="007972BE">
            <w:pPr>
              <w:jc w:val="right"/>
              <w:textAlignment w:val="bottom"/>
            </w:pPr>
            <w:r>
              <w:rPr>
                <w:rFonts w:ascii="Arial" w:eastAsia="宋体" w:hAnsi="Arial" w:cs="Arial"/>
                <w:color w:val="000000"/>
                <w:sz w:val="17"/>
                <w:szCs w:val="17"/>
              </w:rPr>
              <w:t>3,759 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8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B82" w14:textId="77777777" w:rsidR="009C6E2F" w:rsidRDefault="007972BE">
            <w:pPr>
              <w:jc w:val="right"/>
              <w:textAlignment w:val="bottom"/>
            </w:pPr>
            <w:r>
              <w:rPr>
                <w:rFonts w:ascii="Arial" w:eastAsia="宋体" w:hAnsi="Arial" w:cs="Arial"/>
                <w:color w:val="000000"/>
                <w:sz w:val="17"/>
                <w:szCs w:val="17"/>
              </w:rPr>
              <w:t>3,267 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83"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84"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B85" w14:textId="77777777" w:rsidR="009C6E2F" w:rsidRDefault="007972BE">
            <w:pPr>
              <w:jc w:val="right"/>
              <w:textAlignment w:val="bottom"/>
            </w:pPr>
            <w:r>
              <w:rPr>
                <w:rFonts w:ascii="Arial" w:eastAsia="宋体" w:hAnsi="Arial" w:cs="Arial"/>
                <w:color w:val="000000"/>
                <w:sz w:val="17"/>
                <w:szCs w:val="17"/>
              </w:rPr>
              <w:t>7,331 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86"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B87" w14:textId="77777777" w:rsidR="009C6E2F" w:rsidRDefault="007972BE">
            <w:pPr>
              <w:jc w:val="right"/>
              <w:textAlignment w:val="bottom"/>
            </w:pPr>
            <w:r>
              <w:rPr>
                <w:rFonts w:ascii="Arial" w:eastAsia="宋体" w:hAnsi="Arial" w:cs="Arial"/>
                <w:color w:val="000000"/>
                <w:sz w:val="17"/>
                <w:szCs w:val="17"/>
              </w:rPr>
              <w:t>6,242 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88" w14:textId="77777777" w:rsidR="009C6E2F" w:rsidRDefault="009C6E2F">
            <w:pPr>
              <w:jc w:val="right"/>
              <w:rPr>
                <w:rFonts w:ascii="宋体"/>
              </w:rPr>
            </w:pPr>
          </w:p>
        </w:tc>
        <w:tc>
          <w:tcPr>
            <w:tcW w:w="0" w:type="auto"/>
            <w:shd w:val="clear" w:color="auto" w:fill="auto"/>
            <w:vAlign w:val="bottom"/>
          </w:tcPr>
          <w:p w14:paraId="2470BB89" w14:textId="77777777" w:rsidR="009C6E2F" w:rsidRDefault="009C6E2F">
            <w:pPr>
              <w:rPr>
                <w:rFonts w:ascii="宋体"/>
                <w:vanish/>
              </w:rPr>
            </w:pPr>
          </w:p>
        </w:tc>
        <w:tc>
          <w:tcPr>
            <w:tcW w:w="0" w:type="auto"/>
            <w:gridSpan w:val="3"/>
            <w:shd w:val="clear" w:color="auto" w:fill="auto"/>
            <w:vAlign w:val="bottom"/>
          </w:tcPr>
          <w:p w14:paraId="2470BB8A" w14:textId="77777777" w:rsidR="009C6E2F" w:rsidRDefault="009C6E2F">
            <w:pPr>
              <w:rPr>
                <w:rFonts w:ascii="宋体"/>
                <w:vanish/>
              </w:rPr>
            </w:pPr>
          </w:p>
        </w:tc>
      </w:tr>
      <w:tr w:rsidR="009C6E2F" w14:paraId="2470BB9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8C" w14:textId="77777777" w:rsidR="009C6E2F" w:rsidRDefault="007972BE">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8D"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8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8F" w14:textId="77777777" w:rsidR="009C6E2F" w:rsidRDefault="007972BE">
            <w:pPr>
              <w:jc w:val="right"/>
              <w:textAlignment w:val="bottom"/>
            </w:pPr>
            <w:r>
              <w:rPr>
                <w:rFonts w:ascii="Arial" w:eastAsia="宋体" w:hAnsi="Arial" w:cs="Arial"/>
                <w:color w:val="000000"/>
                <w:sz w:val="17"/>
                <w:szCs w:val="17"/>
              </w:rPr>
              <w:t>70 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9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9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92" w14:textId="77777777" w:rsidR="009C6E2F" w:rsidRDefault="007972BE">
            <w:pPr>
              <w:jc w:val="right"/>
              <w:textAlignment w:val="bottom"/>
            </w:pPr>
            <w:r>
              <w:rPr>
                <w:rFonts w:ascii="Arial" w:eastAsia="宋体" w:hAnsi="Arial" w:cs="Arial"/>
                <w:color w:val="000000"/>
                <w:sz w:val="17"/>
                <w:szCs w:val="17"/>
              </w:rPr>
              <w:t>112 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9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94" w14:textId="77777777" w:rsidR="009C6E2F" w:rsidRDefault="007972BE">
            <w:pPr>
              <w:jc w:val="right"/>
              <w:textAlignment w:val="bottom"/>
            </w:pPr>
            <w:r>
              <w:rPr>
                <w:rFonts w:ascii="Arial" w:eastAsia="宋体" w:hAnsi="Arial" w:cs="Arial"/>
                <w:color w:val="000000"/>
                <w:sz w:val="17"/>
                <w:szCs w:val="17"/>
              </w:rPr>
              <w:t>135 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95" w14:textId="77777777" w:rsidR="009C6E2F" w:rsidRDefault="009C6E2F">
            <w:pPr>
              <w:jc w:val="right"/>
              <w:rPr>
                <w:rFonts w:ascii="宋体"/>
              </w:rPr>
            </w:pPr>
          </w:p>
        </w:tc>
        <w:tc>
          <w:tcPr>
            <w:tcW w:w="0" w:type="auto"/>
            <w:shd w:val="clear" w:color="auto" w:fill="auto"/>
            <w:vAlign w:val="bottom"/>
          </w:tcPr>
          <w:p w14:paraId="2470BB96" w14:textId="77777777" w:rsidR="009C6E2F" w:rsidRDefault="009C6E2F">
            <w:pPr>
              <w:rPr>
                <w:rFonts w:ascii="宋体"/>
                <w:vanish/>
              </w:rPr>
            </w:pPr>
          </w:p>
        </w:tc>
        <w:tc>
          <w:tcPr>
            <w:tcW w:w="0" w:type="auto"/>
            <w:gridSpan w:val="3"/>
            <w:shd w:val="clear" w:color="auto" w:fill="auto"/>
            <w:vAlign w:val="bottom"/>
          </w:tcPr>
          <w:p w14:paraId="2470BB97" w14:textId="77777777" w:rsidR="009C6E2F" w:rsidRDefault="009C6E2F">
            <w:pPr>
              <w:rPr>
                <w:rFonts w:ascii="宋体"/>
                <w:vanish/>
              </w:rPr>
            </w:pPr>
          </w:p>
        </w:tc>
      </w:tr>
      <w:tr w:rsidR="009C6E2F" w14:paraId="2470BBA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99" w14:textId="77777777" w:rsidR="009C6E2F" w:rsidRDefault="007972BE">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9A" w14:textId="77777777" w:rsidR="009C6E2F" w:rsidRDefault="007972BE">
            <w:pPr>
              <w:jc w:val="right"/>
              <w:textAlignment w:val="bottom"/>
            </w:pPr>
            <w:r>
              <w:rPr>
                <w:rFonts w:ascii="Arial" w:eastAsia="宋体" w:hAnsi="Arial" w:cs="Arial"/>
                <w:color w:val="000000"/>
                <w:sz w:val="17"/>
                <w:szCs w:val="17"/>
              </w:rPr>
              <w:t>(102)</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9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9C"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9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9E"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9F" w14:textId="77777777" w:rsidR="009C6E2F" w:rsidRDefault="007972BE">
            <w:pPr>
              <w:jc w:val="right"/>
              <w:textAlignment w:val="bottom"/>
            </w:pPr>
            <w:r>
              <w:rPr>
                <w:rFonts w:ascii="Arial" w:eastAsia="宋体" w:hAnsi="Arial" w:cs="Arial"/>
                <w:color w:val="000000"/>
                <w:sz w:val="17"/>
                <w:szCs w:val="17"/>
              </w:rPr>
              <w:t>(141)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A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A1"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A2" w14:textId="77777777" w:rsidR="009C6E2F" w:rsidRDefault="009C6E2F">
            <w:pPr>
              <w:jc w:val="right"/>
              <w:rPr>
                <w:rFonts w:ascii="宋体"/>
              </w:rPr>
            </w:pPr>
          </w:p>
        </w:tc>
        <w:tc>
          <w:tcPr>
            <w:tcW w:w="0" w:type="auto"/>
            <w:shd w:val="clear" w:color="auto" w:fill="auto"/>
            <w:vAlign w:val="bottom"/>
          </w:tcPr>
          <w:p w14:paraId="2470BBA3" w14:textId="77777777" w:rsidR="009C6E2F" w:rsidRDefault="009C6E2F">
            <w:pPr>
              <w:rPr>
                <w:rFonts w:ascii="宋体"/>
                <w:vanish/>
              </w:rPr>
            </w:pPr>
          </w:p>
        </w:tc>
        <w:tc>
          <w:tcPr>
            <w:tcW w:w="0" w:type="auto"/>
            <w:gridSpan w:val="3"/>
            <w:shd w:val="clear" w:color="auto" w:fill="auto"/>
            <w:vAlign w:val="bottom"/>
          </w:tcPr>
          <w:p w14:paraId="2470BBA4" w14:textId="77777777" w:rsidR="009C6E2F" w:rsidRDefault="009C6E2F">
            <w:pPr>
              <w:rPr>
                <w:rFonts w:ascii="宋体"/>
                <w:vanish/>
              </w:rPr>
            </w:pPr>
          </w:p>
        </w:tc>
      </w:tr>
      <w:tr w:rsidR="009C6E2F" w14:paraId="2470BBB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A6" w14:textId="77777777" w:rsidR="009C6E2F" w:rsidRDefault="007972BE">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BA7" w14:textId="77777777" w:rsidR="009C6E2F" w:rsidRDefault="007972BE">
            <w:pPr>
              <w:jc w:val="right"/>
              <w:textAlignment w:val="bottom"/>
            </w:pPr>
            <w:r>
              <w:rPr>
                <w:rFonts w:ascii="Arial" w:eastAsia="宋体" w:hAnsi="Arial" w:cs="Arial"/>
                <w:color w:val="000000"/>
                <w:sz w:val="17"/>
                <w:szCs w:val="17"/>
              </w:rPr>
              <w:t>1,501 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A8"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BA9" w14:textId="77777777" w:rsidR="009C6E2F" w:rsidRDefault="007972BE">
            <w:pPr>
              <w:jc w:val="right"/>
              <w:textAlignment w:val="bottom"/>
            </w:pPr>
            <w:r>
              <w:rPr>
                <w:rFonts w:ascii="Arial" w:eastAsia="宋体" w:hAnsi="Arial" w:cs="Arial"/>
                <w:color w:val="000000"/>
                <w:sz w:val="17"/>
                <w:szCs w:val="17"/>
              </w:rPr>
              <w:t>1,456 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AA"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AB"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BAC" w14:textId="77777777" w:rsidR="009C6E2F" w:rsidRDefault="007972BE">
            <w:pPr>
              <w:jc w:val="right"/>
              <w:textAlignment w:val="bottom"/>
            </w:pPr>
            <w:r>
              <w:rPr>
                <w:rFonts w:ascii="Arial" w:eastAsia="宋体" w:hAnsi="Arial" w:cs="Arial"/>
                <w:color w:val="000000"/>
                <w:sz w:val="17"/>
                <w:szCs w:val="17"/>
              </w:rPr>
              <w:t>3,607 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AD"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BAE" w14:textId="77777777" w:rsidR="009C6E2F" w:rsidRDefault="007972BE">
            <w:pPr>
              <w:jc w:val="right"/>
              <w:textAlignment w:val="bottom"/>
            </w:pPr>
            <w:r>
              <w:rPr>
                <w:rFonts w:ascii="Arial" w:eastAsia="宋体" w:hAnsi="Arial" w:cs="Arial"/>
                <w:color w:val="000000"/>
                <w:sz w:val="17"/>
                <w:szCs w:val="17"/>
              </w:rPr>
              <w:t>3,171 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AF" w14:textId="77777777" w:rsidR="009C6E2F" w:rsidRDefault="009C6E2F">
            <w:pPr>
              <w:jc w:val="right"/>
              <w:rPr>
                <w:rFonts w:ascii="宋体"/>
              </w:rPr>
            </w:pPr>
          </w:p>
        </w:tc>
        <w:tc>
          <w:tcPr>
            <w:tcW w:w="0" w:type="auto"/>
            <w:shd w:val="clear" w:color="auto" w:fill="auto"/>
            <w:vAlign w:val="bottom"/>
          </w:tcPr>
          <w:p w14:paraId="2470BBB0" w14:textId="77777777" w:rsidR="009C6E2F" w:rsidRDefault="009C6E2F">
            <w:pPr>
              <w:rPr>
                <w:rFonts w:ascii="宋体"/>
                <w:vanish/>
              </w:rPr>
            </w:pPr>
          </w:p>
        </w:tc>
        <w:tc>
          <w:tcPr>
            <w:tcW w:w="0" w:type="auto"/>
            <w:gridSpan w:val="3"/>
            <w:shd w:val="clear" w:color="auto" w:fill="auto"/>
            <w:vAlign w:val="bottom"/>
          </w:tcPr>
          <w:p w14:paraId="2470BBB1" w14:textId="77777777" w:rsidR="009C6E2F" w:rsidRDefault="009C6E2F">
            <w:pPr>
              <w:rPr>
                <w:rFonts w:ascii="宋体"/>
                <w:vanish/>
              </w:rPr>
            </w:pPr>
          </w:p>
        </w:tc>
      </w:tr>
      <w:tr w:rsidR="009C6E2F" w14:paraId="2470BBB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B3" w14:textId="77777777" w:rsidR="009C6E2F" w:rsidRDefault="007972BE">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B4" w14:textId="77777777" w:rsidR="009C6E2F" w:rsidRDefault="007972BE">
            <w:pPr>
              <w:jc w:val="right"/>
              <w:textAlignment w:val="bottom"/>
            </w:pPr>
            <w:r>
              <w:rPr>
                <w:rFonts w:ascii="Arial" w:eastAsia="宋体" w:hAnsi="Arial" w:cs="Arial"/>
                <w:color w:val="000000"/>
                <w:sz w:val="17"/>
                <w:szCs w:val="17"/>
              </w:rPr>
              <w:t>164 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B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B6" w14:textId="77777777" w:rsidR="009C6E2F" w:rsidRDefault="007972BE">
            <w:pPr>
              <w:jc w:val="right"/>
              <w:textAlignment w:val="bottom"/>
            </w:pPr>
            <w:r>
              <w:rPr>
                <w:rFonts w:ascii="Arial" w:eastAsia="宋体" w:hAnsi="Arial" w:cs="Arial"/>
                <w:color w:val="000000"/>
                <w:sz w:val="17"/>
                <w:szCs w:val="17"/>
              </w:rPr>
              <w:t>205 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B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B8"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BB9" w14:textId="77777777" w:rsidR="009C6E2F" w:rsidRDefault="007972BE">
            <w:pPr>
              <w:jc w:val="right"/>
              <w:textAlignment w:val="bottom"/>
            </w:pPr>
            <w:r>
              <w:rPr>
                <w:rFonts w:ascii="Arial" w:eastAsia="宋体" w:hAnsi="Arial" w:cs="Arial"/>
                <w:color w:val="000000"/>
                <w:sz w:val="17"/>
                <w:szCs w:val="17"/>
              </w:rPr>
              <w:t>396 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B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BBB" w14:textId="77777777" w:rsidR="009C6E2F" w:rsidRDefault="007972BE">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BC" w14:textId="77777777" w:rsidR="009C6E2F" w:rsidRDefault="009C6E2F">
            <w:pPr>
              <w:jc w:val="right"/>
              <w:rPr>
                <w:rFonts w:ascii="宋体"/>
              </w:rPr>
            </w:pPr>
          </w:p>
        </w:tc>
        <w:tc>
          <w:tcPr>
            <w:tcW w:w="0" w:type="auto"/>
            <w:shd w:val="clear" w:color="auto" w:fill="auto"/>
            <w:vAlign w:val="bottom"/>
          </w:tcPr>
          <w:p w14:paraId="2470BBBD" w14:textId="77777777" w:rsidR="009C6E2F" w:rsidRDefault="009C6E2F">
            <w:pPr>
              <w:rPr>
                <w:rFonts w:ascii="宋体"/>
                <w:vanish/>
              </w:rPr>
            </w:pPr>
          </w:p>
        </w:tc>
        <w:tc>
          <w:tcPr>
            <w:tcW w:w="0" w:type="auto"/>
            <w:gridSpan w:val="3"/>
            <w:shd w:val="clear" w:color="auto" w:fill="auto"/>
            <w:vAlign w:val="bottom"/>
          </w:tcPr>
          <w:p w14:paraId="2470BBBE" w14:textId="77777777" w:rsidR="009C6E2F" w:rsidRDefault="009C6E2F">
            <w:pPr>
              <w:rPr>
                <w:rFonts w:ascii="宋体"/>
                <w:vanish/>
              </w:rPr>
            </w:pPr>
          </w:p>
        </w:tc>
      </w:tr>
      <w:tr w:rsidR="009C6E2F" w14:paraId="2470BBD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C0" w14:textId="77777777" w:rsidR="009C6E2F" w:rsidRDefault="007972BE">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BBC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BC2" w14:textId="77777777" w:rsidR="009C6E2F" w:rsidRDefault="007972BE">
            <w:pPr>
              <w:jc w:val="right"/>
              <w:textAlignment w:val="bottom"/>
            </w:pPr>
            <w:r>
              <w:rPr>
                <w:rFonts w:ascii="Arial" w:eastAsia="宋体" w:hAnsi="Arial" w:cs="Arial"/>
                <w:b/>
                <w:bCs/>
                <w:color w:val="000000"/>
                <w:sz w:val="17"/>
                <w:szCs w:val="17"/>
              </w:rPr>
              <w:t>1,337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C3"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BC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BC5" w14:textId="77777777" w:rsidR="009C6E2F" w:rsidRDefault="007972BE">
            <w:pPr>
              <w:jc w:val="right"/>
              <w:textAlignment w:val="bottom"/>
            </w:pPr>
            <w:r>
              <w:rPr>
                <w:rFonts w:ascii="Arial" w:eastAsia="宋体" w:hAnsi="Arial" w:cs="Arial"/>
                <w:b/>
                <w:bCs/>
                <w:color w:val="000000"/>
                <w:sz w:val="17"/>
                <w:szCs w:val="17"/>
              </w:rPr>
              <w:t>1,251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C6"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C7"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BBC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BC9" w14:textId="77777777" w:rsidR="009C6E2F" w:rsidRDefault="007972BE">
            <w:pPr>
              <w:jc w:val="right"/>
              <w:textAlignment w:val="bottom"/>
            </w:pPr>
            <w:r>
              <w:rPr>
                <w:rFonts w:ascii="Arial" w:eastAsia="宋体" w:hAnsi="Arial" w:cs="Arial"/>
                <w:b/>
                <w:bCs/>
                <w:color w:val="000000"/>
                <w:sz w:val="17"/>
                <w:szCs w:val="17"/>
              </w:rPr>
              <w:t>3,211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BC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BC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BCC" w14:textId="77777777" w:rsidR="009C6E2F" w:rsidRDefault="007972BE">
            <w:pPr>
              <w:jc w:val="right"/>
              <w:textAlignment w:val="bottom"/>
            </w:pPr>
            <w:r>
              <w:rPr>
                <w:rFonts w:ascii="Arial" w:eastAsia="宋体" w:hAnsi="Arial" w:cs="Arial"/>
                <w:b/>
                <w:bCs/>
                <w:color w:val="000000"/>
                <w:sz w:val="17"/>
                <w:szCs w:val="17"/>
              </w:rPr>
              <w:t>2,769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BCD" w14:textId="77777777" w:rsidR="009C6E2F" w:rsidRDefault="009C6E2F">
            <w:pPr>
              <w:jc w:val="right"/>
              <w:rPr>
                <w:rFonts w:ascii="宋体"/>
              </w:rPr>
            </w:pPr>
          </w:p>
        </w:tc>
        <w:tc>
          <w:tcPr>
            <w:tcW w:w="0" w:type="auto"/>
            <w:shd w:val="clear" w:color="auto" w:fill="auto"/>
            <w:vAlign w:val="bottom"/>
          </w:tcPr>
          <w:p w14:paraId="2470BBCE" w14:textId="77777777" w:rsidR="009C6E2F" w:rsidRDefault="009C6E2F">
            <w:pPr>
              <w:rPr>
                <w:rFonts w:ascii="宋体"/>
                <w:vanish/>
              </w:rPr>
            </w:pPr>
          </w:p>
        </w:tc>
        <w:tc>
          <w:tcPr>
            <w:tcW w:w="0" w:type="auto"/>
            <w:gridSpan w:val="3"/>
            <w:shd w:val="clear" w:color="auto" w:fill="auto"/>
            <w:vAlign w:val="bottom"/>
          </w:tcPr>
          <w:p w14:paraId="2470BBCF" w14:textId="77777777" w:rsidR="009C6E2F" w:rsidRDefault="009C6E2F">
            <w:pPr>
              <w:rPr>
                <w:rFonts w:ascii="宋体"/>
                <w:vanish/>
              </w:rPr>
            </w:pPr>
          </w:p>
        </w:tc>
      </w:tr>
      <w:tr w:rsidR="009C6E2F" w14:paraId="2470BBD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BD1" w14:textId="77777777" w:rsidR="009C6E2F" w:rsidRDefault="007972BE">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BD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D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D4"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BD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BD6" w14:textId="77777777" w:rsidR="009C6E2F" w:rsidRDefault="009C6E2F">
            <w:pPr>
              <w:rPr>
                <w:rFonts w:ascii="宋体"/>
              </w:rPr>
            </w:pPr>
          </w:p>
        </w:tc>
        <w:tc>
          <w:tcPr>
            <w:tcW w:w="0" w:type="auto"/>
            <w:shd w:val="clear" w:color="auto" w:fill="auto"/>
            <w:vAlign w:val="bottom"/>
          </w:tcPr>
          <w:p w14:paraId="2470BBD7" w14:textId="77777777" w:rsidR="009C6E2F" w:rsidRDefault="009C6E2F">
            <w:pPr>
              <w:rPr>
                <w:rFonts w:ascii="宋体"/>
                <w:vanish/>
              </w:rPr>
            </w:pPr>
          </w:p>
        </w:tc>
        <w:tc>
          <w:tcPr>
            <w:tcW w:w="0" w:type="auto"/>
            <w:gridSpan w:val="3"/>
            <w:shd w:val="clear" w:color="auto" w:fill="auto"/>
            <w:vAlign w:val="bottom"/>
          </w:tcPr>
          <w:p w14:paraId="2470BBD8" w14:textId="77777777" w:rsidR="009C6E2F" w:rsidRDefault="009C6E2F">
            <w:pPr>
              <w:rPr>
                <w:rFonts w:ascii="宋体"/>
                <w:vanish/>
              </w:rPr>
            </w:pPr>
          </w:p>
        </w:tc>
      </w:tr>
      <w:tr w:rsidR="009C6E2F" w14:paraId="2470BBE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BDA" w14:textId="77777777" w:rsidR="009C6E2F" w:rsidRDefault="007972BE">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BBD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BBDC" w14:textId="77777777" w:rsidR="009C6E2F" w:rsidRDefault="007972BE">
            <w:pPr>
              <w:jc w:val="right"/>
              <w:textAlignment w:val="bottom"/>
            </w:pPr>
            <w:r>
              <w:rPr>
                <w:rFonts w:ascii="Arial" w:eastAsia="宋体" w:hAnsi="Arial" w:cs="Arial"/>
                <w:color w:val="000000"/>
                <w:sz w:val="17"/>
                <w:szCs w:val="17"/>
              </w:rPr>
              <w:t>0.84 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DD"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BBD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BBDF" w14:textId="77777777" w:rsidR="009C6E2F" w:rsidRDefault="007972BE">
            <w:pPr>
              <w:jc w:val="right"/>
              <w:textAlignment w:val="bottom"/>
            </w:pPr>
            <w:r>
              <w:rPr>
                <w:rFonts w:ascii="Arial" w:eastAsia="宋体" w:hAnsi="Arial" w:cs="Arial"/>
                <w:color w:val="000000"/>
                <w:sz w:val="17"/>
                <w:szCs w:val="17"/>
              </w:rPr>
              <w:t>0.80 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E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E1"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BBE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BBE3" w14:textId="77777777" w:rsidR="009C6E2F" w:rsidRDefault="007972BE">
            <w:pPr>
              <w:jc w:val="right"/>
              <w:textAlignment w:val="bottom"/>
            </w:pPr>
            <w:r>
              <w:rPr>
                <w:rFonts w:ascii="Arial" w:eastAsia="宋体" w:hAnsi="Arial" w:cs="Arial"/>
                <w:color w:val="000000"/>
                <w:sz w:val="17"/>
                <w:szCs w:val="17"/>
              </w:rPr>
              <w:t>2.03 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E4"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BBE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BBE6" w14:textId="77777777" w:rsidR="009C6E2F" w:rsidRDefault="007972BE">
            <w:pPr>
              <w:jc w:val="right"/>
              <w:textAlignment w:val="bottom"/>
            </w:pPr>
            <w:r>
              <w:rPr>
                <w:rFonts w:ascii="Arial" w:eastAsia="宋体" w:hAnsi="Arial" w:cs="Arial"/>
                <w:color w:val="000000"/>
                <w:sz w:val="17"/>
                <w:szCs w:val="17"/>
              </w:rPr>
              <w:t>1.77 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E7" w14:textId="77777777" w:rsidR="009C6E2F" w:rsidRDefault="009C6E2F">
            <w:pPr>
              <w:jc w:val="right"/>
              <w:rPr>
                <w:rFonts w:ascii="宋体"/>
              </w:rPr>
            </w:pPr>
          </w:p>
        </w:tc>
        <w:tc>
          <w:tcPr>
            <w:tcW w:w="0" w:type="auto"/>
            <w:shd w:val="clear" w:color="auto" w:fill="auto"/>
            <w:vAlign w:val="bottom"/>
          </w:tcPr>
          <w:p w14:paraId="2470BBE8" w14:textId="77777777" w:rsidR="009C6E2F" w:rsidRDefault="009C6E2F">
            <w:pPr>
              <w:rPr>
                <w:rFonts w:ascii="宋体"/>
                <w:vanish/>
              </w:rPr>
            </w:pPr>
          </w:p>
        </w:tc>
        <w:tc>
          <w:tcPr>
            <w:tcW w:w="0" w:type="auto"/>
            <w:gridSpan w:val="3"/>
            <w:shd w:val="clear" w:color="auto" w:fill="auto"/>
            <w:vAlign w:val="bottom"/>
          </w:tcPr>
          <w:p w14:paraId="2470BBE9" w14:textId="77777777" w:rsidR="009C6E2F" w:rsidRDefault="009C6E2F">
            <w:pPr>
              <w:rPr>
                <w:rFonts w:ascii="宋体"/>
                <w:vanish/>
              </w:rPr>
            </w:pPr>
          </w:p>
        </w:tc>
      </w:tr>
      <w:tr w:rsidR="009C6E2F" w14:paraId="2470BBF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BEB" w14:textId="77777777" w:rsidR="009C6E2F" w:rsidRDefault="007972BE">
            <w:pPr>
              <w:textAlignment w:val="bottom"/>
            </w:pPr>
            <w:r>
              <w:rPr>
                <w:rFonts w:ascii="Arial" w:eastAsia="宋体" w:hAnsi="Arial" w:cs="Arial"/>
                <w:color w:val="000000"/>
                <w:sz w:val="17"/>
                <w:szCs w:val="17"/>
              </w:rPr>
              <w:t>Diluted</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BBE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BBED" w14:textId="77777777" w:rsidR="009C6E2F" w:rsidRDefault="007972BE">
            <w:pPr>
              <w:jc w:val="right"/>
              <w:textAlignment w:val="bottom"/>
            </w:pPr>
            <w:r>
              <w:rPr>
                <w:rFonts w:ascii="Arial" w:eastAsia="宋体" w:hAnsi="Arial" w:cs="Arial"/>
                <w:color w:val="000000"/>
                <w:sz w:val="17"/>
                <w:szCs w:val="17"/>
              </w:rPr>
              <w:t>0.83 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EE"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BBE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BBF0" w14:textId="77777777" w:rsidR="009C6E2F" w:rsidRDefault="007972BE">
            <w:pPr>
              <w:jc w:val="right"/>
              <w:textAlignment w:val="bottom"/>
            </w:pPr>
            <w:r>
              <w:rPr>
                <w:rFonts w:ascii="Arial" w:eastAsia="宋体" w:hAnsi="Arial" w:cs="Arial"/>
                <w:color w:val="000000"/>
                <w:sz w:val="17"/>
                <w:szCs w:val="17"/>
              </w:rPr>
              <w:t>0.78 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F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F2"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BBF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BBF4" w14:textId="77777777" w:rsidR="009C6E2F" w:rsidRDefault="007972BE">
            <w:pPr>
              <w:jc w:val="right"/>
              <w:textAlignment w:val="bottom"/>
            </w:pPr>
            <w:r>
              <w:rPr>
                <w:rFonts w:ascii="Arial" w:eastAsia="宋体" w:hAnsi="Arial" w:cs="Arial"/>
                <w:color w:val="000000"/>
                <w:sz w:val="17"/>
                <w:szCs w:val="17"/>
              </w:rPr>
              <w:t>1.98 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BF5"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BBF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BBF7" w14:textId="77777777" w:rsidR="009C6E2F" w:rsidRDefault="007972BE">
            <w:pPr>
              <w:jc w:val="right"/>
              <w:textAlignment w:val="bottom"/>
            </w:pPr>
            <w:r>
              <w:rPr>
                <w:rFonts w:ascii="Arial" w:eastAsia="宋体" w:hAnsi="Arial" w:cs="Arial"/>
                <w:color w:val="000000"/>
                <w:sz w:val="17"/>
                <w:szCs w:val="17"/>
              </w:rPr>
              <w:t>1.73 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BF8" w14:textId="77777777" w:rsidR="009C6E2F" w:rsidRDefault="009C6E2F">
            <w:pPr>
              <w:jc w:val="right"/>
              <w:rPr>
                <w:rFonts w:ascii="宋体"/>
              </w:rPr>
            </w:pPr>
          </w:p>
        </w:tc>
        <w:tc>
          <w:tcPr>
            <w:tcW w:w="0" w:type="auto"/>
            <w:shd w:val="clear" w:color="auto" w:fill="auto"/>
            <w:vAlign w:val="bottom"/>
          </w:tcPr>
          <w:p w14:paraId="2470BBF9" w14:textId="77777777" w:rsidR="009C6E2F" w:rsidRDefault="009C6E2F">
            <w:pPr>
              <w:rPr>
                <w:rFonts w:ascii="宋体"/>
                <w:vanish/>
              </w:rPr>
            </w:pPr>
          </w:p>
        </w:tc>
        <w:tc>
          <w:tcPr>
            <w:tcW w:w="0" w:type="auto"/>
            <w:gridSpan w:val="3"/>
            <w:shd w:val="clear" w:color="auto" w:fill="auto"/>
            <w:vAlign w:val="bottom"/>
          </w:tcPr>
          <w:p w14:paraId="2470BBFA" w14:textId="77777777" w:rsidR="009C6E2F" w:rsidRDefault="009C6E2F">
            <w:pPr>
              <w:rPr>
                <w:rFonts w:ascii="宋体"/>
                <w:vanish/>
              </w:rPr>
            </w:pPr>
          </w:p>
        </w:tc>
      </w:tr>
      <w:tr w:rsidR="009C6E2F" w14:paraId="2470BC0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BFC" w14:textId="77777777" w:rsidR="009C6E2F" w:rsidRDefault="007972BE">
            <w:pPr>
              <w:textAlignment w:val="bottom"/>
            </w:pPr>
            <w:r>
              <w:rPr>
                <w:rFonts w:ascii="Arial" w:eastAsia="宋体" w:hAnsi="Arial" w:cs="Arial"/>
                <w:color w:val="000000"/>
                <w:sz w:val="17"/>
                <w:szCs w:val="17"/>
              </w:rPr>
              <w:t>Weighted average common shares outstanding:</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BF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FE"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BFF"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C00"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01" w14:textId="77777777" w:rsidR="009C6E2F" w:rsidRDefault="009C6E2F">
            <w:pPr>
              <w:rPr>
                <w:rFonts w:ascii="宋体"/>
              </w:rPr>
            </w:pPr>
          </w:p>
        </w:tc>
        <w:tc>
          <w:tcPr>
            <w:tcW w:w="0" w:type="auto"/>
            <w:shd w:val="clear" w:color="auto" w:fill="auto"/>
            <w:vAlign w:val="bottom"/>
          </w:tcPr>
          <w:p w14:paraId="2470BC02" w14:textId="77777777" w:rsidR="009C6E2F" w:rsidRDefault="009C6E2F">
            <w:pPr>
              <w:rPr>
                <w:rFonts w:ascii="宋体"/>
                <w:vanish/>
              </w:rPr>
            </w:pPr>
          </w:p>
        </w:tc>
        <w:tc>
          <w:tcPr>
            <w:tcW w:w="0" w:type="auto"/>
            <w:gridSpan w:val="3"/>
            <w:shd w:val="clear" w:color="auto" w:fill="auto"/>
            <w:vAlign w:val="bottom"/>
          </w:tcPr>
          <w:p w14:paraId="2470BC03" w14:textId="77777777" w:rsidR="009C6E2F" w:rsidRDefault="009C6E2F">
            <w:pPr>
              <w:rPr>
                <w:rFonts w:ascii="宋体"/>
                <w:vanish/>
              </w:rPr>
            </w:pPr>
          </w:p>
        </w:tc>
      </w:tr>
      <w:tr w:rsidR="009C6E2F" w14:paraId="2470BC1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C05" w14:textId="77777777" w:rsidR="009C6E2F" w:rsidRDefault="007972BE">
            <w:pPr>
              <w:textAlignment w:val="bottom"/>
            </w:pPr>
            <w:r>
              <w:rPr>
                <w:rFonts w:ascii="Arial" w:eastAsia="宋体" w:hAnsi="Arial" w:cs="Arial"/>
                <w:color w:val="000000"/>
                <w:sz w:val="17"/>
                <w:szCs w:val="17"/>
              </w:rPr>
              <w:t>Basic</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06" w14:textId="77777777" w:rsidR="009C6E2F" w:rsidRDefault="007972BE">
            <w:pPr>
              <w:jc w:val="right"/>
              <w:textAlignment w:val="bottom"/>
            </w:pPr>
            <w:r>
              <w:rPr>
                <w:rFonts w:ascii="Arial" w:eastAsia="宋体" w:hAnsi="Arial" w:cs="Arial"/>
                <w:color w:val="000000"/>
                <w:sz w:val="17"/>
                <w:szCs w:val="17"/>
              </w:rPr>
              <w:t>1,582.4 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0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08" w14:textId="77777777" w:rsidR="009C6E2F" w:rsidRDefault="007972BE">
            <w:pPr>
              <w:jc w:val="right"/>
              <w:textAlignment w:val="bottom"/>
            </w:pPr>
            <w:r>
              <w:rPr>
                <w:rFonts w:ascii="Arial" w:eastAsia="宋体" w:hAnsi="Arial" w:cs="Arial"/>
                <w:color w:val="000000"/>
                <w:sz w:val="17"/>
                <w:szCs w:val="17"/>
              </w:rPr>
              <w:t>1,573.0 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09"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0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0B" w14:textId="77777777" w:rsidR="009C6E2F" w:rsidRDefault="007972BE">
            <w:pPr>
              <w:jc w:val="right"/>
              <w:textAlignment w:val="bottom"/>
            </w:pPr>
            <w:r>
              <w:rPr>
                <w:rFonts w:ascii="Arial" w:eastAsia="宋体" w:hAnsi="Arial" w:cs="Arial"/>
                <w:color w:val="000000"/>
                <w:sz w:val="17"/>
                <w:szCs w:val="17"/>
              </w:rPr>
              <w:t>1,582.2 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0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0D" w14:textId="77777777" w:rsidR="009C6E2F" w:rsidRDefault="007972BE">
            <w:pPr>
              <w:jc w:val="right"/>
              <w:textAlignment w:val="bottom"/>
            </w:pPr>
            <w:r>
              <w:rPr>
                <w:rFonts w:ascii="Arial" w:eastAsia="宋体" w:hAnsi="Arial" w:cs="Arial"/>
                <w:color w:val="000000"/>
                <w:sz w:val="17"/>
                <w:szCs w:val="17"/>
              </w:rPr>
              <w:t>1,567.4 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0E" w14:textId="77777777" w:rsidR="009C6E2F" w:rsidRDefault="009C6E2F">
            <w:pPr>
              <w:jc w:val="right"/>
              <w:rPr>
                <w:rFonts w:ascii="宋体"/>
              </w:rPr>
            </w:pPr>
          </w:p>
        </w:tc>
        <w:tc>
          <w:tcPr>
            <w:tcW w:w="0" w:type="auto"/>
            <w:shd w:val="clear" w:color="auto" w:fill="auto"/>
            <w:vAlign w:val="bottom"/>
          </w:tcPr>
          <w:p w14:paraId="2470BC0F" w14:textId="77777777" w:rsidR="009C6E2F" w:rsidRDefault="009C6E2F">
            <w:pPr>
              <w:rPr>
                <w:rFonts w:ascii="宋体"/>
                <w:vanish/>
              </w:rPr>
            </w:pPr>
          </w:p>
        </w:tc>
        <w:tc>
          <w:tcPr>
            <w:tcW w:w="0" w:type="auto"/>
            <w:gridSpan w:val="3"/>
            <w:shd w:val="clear" w:color="auto" w:fill="auto"/>
            <w:vAlign w:val="bottom"/>
          </w:tcPr>
          <w:p w14:paraId="2470BC10" w14:textId="77777777" w:rsidR="009C6E2F" w:rsidRDefault="009C6E2F">
            <w:pPr>
              <w:rPr>
                <w:rFonts w:ascii="宋体"/>
                <w:vanish/>
              </w:rPr>
            </w:pPr>
          </w:p>
        </w:tc>
      </w:tr>
      <w:tr w:rsidR="009C6E2F" w14:paraId="2470BC1E"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470BC12" w14:textId="77777777" w:rsidR="009C6E2F" w:rsidRDefault="007972BE">
            <w:pPr>
              <w:textAlignment w:val="bottom"/>
            </w:pPr>
            <w:r>
              <w:rPr>
                <w:rFonts w:ascii="Arial" w:eastAsia="宋体" w:hAnsi="Arial" w:cs="Arial"/>
                <w:color w:val="000000"/>
                <w:sz w:val="17"/>
                <w:szCs w:val="17"/>
              </w:rPr>
              <w:t>Diluted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BC13" w14:textId="77777777" w:rsidR="009C6E2F" w:rsidRDefault="007972BE">
            <w:pPr>
              <w:jc w:val="right"/>
              <w:textAlignment w:val="bottom"/>
            </w:pPr>
            <w:r>
              <w:rPr>
                <w:rFonts w:ascii="Arial" w:eastAsia="宋体" w:hAnsi="Arial" w:cs="Arial"/>
                <w:color w:val="000000"/>
                <w:sz w:val="17"/>
                <w:szCs w:val="17"/>
              </w:rPr>
              <w:t>1,617.4 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BC14"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BC15" w14:textId="77777777" w:rsidR="009C6E2F" w:rsidRDefault="007972BE">
            <w:pPr>
              <w:jc w:val="right"/>
              <w:textAlignment w:val="bottom"/>
            </w:pPr>
            <w:r>
              <w:rPr>
                <w:rFonts w:ascii="Arial" w:eastAsia="宋体" w:hAnsi="Arial" w:cs="Arial"/>
                <w:color w:val="000000"/>
                <w:sz w:val="17"/>
                <w:szCs w:val="17"/>
              </w:rPr>
              <w:t>1,609.5 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BC16" w14:textId="77777777" w:rsidR="009C6E2F" w:rsidRDefault="009C6E2F">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BC17" w14:textId="77777777" w:rsidR="009C6E2F" w:rsidRDefault="009C6E2F">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BC18" w14:textId="77777777" w:rsidR="009C6E2F" w:rsidRDefault="007972BE">
            <w:pPr>
              <w:jc w:val="right"/>
              <w:textAlignment w:val="bottom"/>
            </w:pPr>
            <w:r>
              <w:rPr>
                <w:rFonts w:ascii="Arial" w:eastAsia="宋体" w:hAnsi="Arial" w:cs="Arial"/>
                <w:color w:val="000000"/>
                <w:sz w:val="17"/>
                <w:szCs w:val="17"/>
              </w:rPr>
              <w:t>1,618.5 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BC19"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BC1A" w14:textId="77777777" w:rsidR="009C6E2F" w:rsidRDefault="007972BE">
            <w:pPr>
              <w:jc w:val="right"/>
              <w:textAlignment w:val="bottom"/>
            </w:pPr>
            <w:r>
              <w:rPr>
                <w:rFonts w:ascii="Arial" w:eastAsia="宋体" w:hAnsi="Arial" w:cs="Arial"/>
                <w:color w:val="000000"/>
                <w:sz w:val="17"/>
                <w:szCs w:val="17"/>
              </w:rPr>
              <w:t>1,601.9 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BC1B" w14:textId="77777777" w:rsidR="009C6E2F" w:rsidRDefault="009C6E2F">
            <w:pPr>
              <w:jc w:val="right"/>
              <w:rPr>
                <w:rFonts w:ascii="宋体"/>
              </w:rPr>
            </w:pPr>
          </w:p>
        </w:tc>
        <w:tc>
          <w:tcPr>
            <w:tcW w:w="0" w:type="auto"/>
            <w:shd w:val="clear" w:color="auto" w:fill="auto"/>
            <w:vAlign w:val="bottom"/>
          </w:tcPr>
          <w:p w14:paraId="2470BC1C" w14:textId="77777777" w:rsidR="009C6E2F" w:rsidRDefault="009C6E2F">
            <w:pPr>
              <w:rPr>
                <w:rFonts w:ascii="宋体"/>
                <w:vanish/>
              </w:rPr>
            </w:pPr>
          </w:p>
        </w:tc>
        <w:tc>
          <w:tcPr>
            <w:tcW w:w="0" w:type="auto"/>
            <w:gridSpan w:val="3"/>
            <w:shd w:val="clear" w:color="auto" w:fill="auto"/>
            <w:vAlign w:val="bottom"/>
          </w:tcPr>
          <w:p w14:paraId="2470BC1D" w14:textId="77777777" w:rsidR="009C6E2F" w:rsidRDefault="009C6E2F">
            <w:pPr>
              <w:rPr>
                <w:rFonts w:ascii="宋体"/>
                <w:vanish/>
              </w:rPr>
            </w:pPr>
          </w:p>
        </w:tc>
      </w:tr>
    </w:tbl>
    <w:p w14:paraId="2470BC1F" w14:textId="77777777" w:rsidR="009C6E2F" w:rsidRDefault="007972BE">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470BC20" w14:textId="77777777" w:rsidR="009C6E2F" w:rsidRDefault="007972BE">
      <w:pPr>
        <w:spacing w:before="120" w:after="120"/>
        <w:jc w:val="right"/>
      </w:pPr>
      <w:r>
        <w:rPr>
          <w:rFonts w:ascii="Arial" w:eastAsia="宋体" w:hAnsi="Arial" w:cs="Arial"/>
          <w:color w:val="E87722"/>
          <w:sz w:val="17"/>
          <w:szCs w:val="17"/>
        </w:rPr>
        <w:t>1</w:t>
      </w:r>
    </w:p>
    <w:p w14:paraId="2470BC21" w14:textId="77777777" w:rsidR="009C6E2F" w:rsidRDefault="007972BE">
      <w:r>
        <w:pict w14:anchorId="2470E1E6">
          <v:rect id="_x0000_i1027" style="width:415.3pt;height:1.5pt" o:hralign="center" o:hrstd="t" o:hr="t" fillcolor="#a0a0a0" stroked="f"/>
        </w:pict>
      </w:r>
    </w:p>
    <w:p w14:paraId="2470BC22" w14:textId="77777777" w:rsidR="009C6E2F" w:rsidRDefault="009C6E2F"/>
    <w:p w14:paraId="2470BC23" w14:textId="77777777" w:rsidR="009C6E2F" w:rsidRDefault="007972BE">
      <w:hyperlink r:id="rId44" w:anchor="i9e023a7388204bdbacd6aa338988f838_7" w:history="1">
        <w:r>
          <w:rPr>
            <w:rStyle w:val="a5"/>
            <w:rFonts w:ascii="sans-serif" w:eastAsia="sans-serif" w:hAnsi="sans-serif" w:cs="sans-serif"/>
            <w:sz w:val="17"/>
            <w:szCs w:val="17"/>
          </w:rPr>
          <w:t>Table of Contents</w:t>
        </w:r>
      </w:hyperlink>
    </w:p>
    <w:p w14:paraId="2470BC24" w14:textId="77777777" w:rsidR="009C6E2F" w:rsidRDefault="009C6E2F"/>
    <w:p w14:paraId="2470BC25" w14:textId="77777777" w:rsidR="009C6E2F" w:rsidRDefault="007972BE">
      <w:pPr>
        <w:spacing w:before="300"/>
      </w:pPr>
      <w:r>
        <w:rPr>
          <w:rFonts w:ascii="sans-serif" w:eastAsia="sans-serif" w:hAnsi="sans-serif" w:cs="sans-serif"/>
          <w:b/>
          <w:bCs/>
          <w:color w:val="E87722"/>
          <w:sz w:val="36"/>
          <w:szCs w:val="36"/>
        </w:rPr>
        <w:t>NIKE, INC.</w:t>
      </w:r>
    </w:p>
    <w:p w14:paraId="2470BC26" w14:textId="77777777" w:rsidR="009C6E2F" w:rsidRDefault="007972BE">
      <w:pPr>
        <w:spacing w:before="120" w:after="120"/>
      </w:pPr>
      <w:r>
        <w:rPr>
          <w:rFonts w:ascii="sans-serif" w:eastAsia="sans-serif" w:hAnsi="sans-serif" w:cs="sans-serif"/>
          <w:b/>
          <w:bCs/>
          <w:color w:val="000000"/>
          <w:sz w:val="28"/>
          <w:szCs w:val="28"/>
        </w:rPr>
        <w:t>UNAUDITED CONDENSED CONSOLIDATED STATEMENTS OF COMPREHENSIVE INCOME</w:t>
      </w:r>
    </w:p>
    <w:tbl>
      <w:tblPr>
        <w:tblW w:w="5000" w:type="pct"/>
        <w:tblCellMar>
          <w:top w:w="15" w:type="dxa"/>
          <w:left w:w="15" w:type="dxa"/>
          <w:bottom w:w="15" w:type="dxa"/>
          <w:right w:w="15" w:type="dxa"/>
        </w:tblCellMar>
        <w:tblLook w:val="04A0" w:firstRow="1" w:lastRow="0" w:firstColumn="1" w:lastColumn="0" w:noHBand="0" w:noVBand="1"/>
      </w:tblPr>
      <w:tblGrid>
        <w:gridCol w:w="39"/>
        <w:gridCol w:w="3553"/>
        <w:gridCol w:w="38"/>
        <w:gridCol w:w="115"/>
        <w:gridCol w:w="1007"/>
        <w:gridCol w:w="36"/>
        <w:gridCol w:w="115"/>
        <w:gridCol w:w="1007"/>
        <w:gridCol w:w="36"/>
        <w:gridCol w:w="36"/>
        <w:gridCol w:w="36"/>
        <w:gridCol w:w="36"/>
        <w:gridCol w:w="115"/>
        <w:gridCol w:w="972"/>
        <w:gridCol w:w="36"/>
        <w:gridCol w:w="115"/>
        <w:gridCol w:w="1008"/>
        <w:gridCol w:w="36"/>
      </w:tblGrid>
      <w:tr w:rsidR="009C6E2F" w14:paraId="2470BC39" w14:textId="77777777">
        <w:tc>
          <w:tcPr>
            <w:tcW w:w="50" w:type="pct"/>
            <w:shd w:val="clear" w:color="auto" w:fill="auto"/>
            <w:vAlign w:val="bottom"/>
          </w:tcPr>
          <w:p w14:paraId="2470BC27" w14:textId="77777777" w:rsidR="009C6E2F" w:rsidRDefault="009C6E2F">
            <w:pPr>
              <w:rPr>
                <w:rFonts w:ascii="宋体"/>
              </w:rPr>
            </w:pPr>
          </w:p>
        </w:tc>
        <w:tc>
          <w:tcPr>
            <w:tcW w:w="2159" w:type="pct"/>
            <w:shd w:val="clear" w:color="auto" w:fill="auto"/>
            <w:vAlign w:val="bottom"/>
          </w:tcPr>
          <w:p w14:paraId="2470BC28" w14:textId="77777777" w:rsidR="009C6E2F" w:rsidRDefault="009C6E2F">
            <w:pPr>
              <w:rPr>
                <w:rFonts w:ascii="宋体"/>
              </w:rPr>
            </w:pPr>
          </w:p>
        </w:tc>
        <w:tc>
          <w:tcPr>
            <w:tcW w:w="5" w:type="pct"/>
            <w:shd w:val="clear" w:color="auto" w:fill="auto"/>
            <w:vAlign w:val="bottom"/>
          </w:tcPr>
          <w:p w14:paraId="2470BC29" w14:textId="77777777" w:rsidR="009C6E2F" w:rsidRDefault="009C6E2F">
            <w:pPr>
              <w:rPr>
                <w:rFonts w:ascii="宋体"/>
              </w:rPr>
            </w:pPr>
          </w:p>
        </w:tc>
        <w:tc>
          <w:tcPr>
            <w:tcW w:w="50" w:type="pct"/>
            <w:shd w:val="clear" w:color="auto" w:fill="auto"/>
            <w:vAlign w:val="bottom"/>
          </w:tcPr>
          <w:p w14:paraId="2470BC2A" w14:textId="77777777" w:rsidR="009C6E2F" w:rsidRDefault="009C6E2F">
            <w:pPr>
              <w:rPr>
                <w:rFonts w:ascii="宋体"/>
              </w:rPr>
            </w:pPr>
          </w:p>
        </w:tc>
        <w:tc>
          <w:tcPr>
            <w:tcW w:w="631" w:type="pct"/>
            <w:shd w:val="clear" w:color="auto" w:fill="auto"/>
            <w:vAlign w:val="bottom"/>
          </w:tcPr>
          <w:p w14:paraId="2470BC2B" w14:textId="77777777" w:rsidR="009C6E2F" w:rsidRDefault="009C6E2F">
            <w:pPr>
              <w:rPr>
                <w:rFonts w:ascii="宋体"/>
              </w:rPr>
            </w:pPr>
          </w:p>
        </w:tc>
        <w:tc>
          <w:tcPr>
            <w:tcW w:w="5" w:type="pct"/>
            <w:shd w:val="clear" w:color="auto" w:fill="auto"/>
            <w:vAlign w:val="bottom"/>
          </w:tcPr>
          <w:p w14:paraId="2470BC2C" w14:textId="77777777" w:rsidR="009C6E2F" w:rsidRDefault="009C6E2F">
            <w:pPr>
              <w:rPr>
                <w:rFonts w:ascii="宋体"/>
              </w:rPr>
            </w:pPr>
          </w:p>
        </w:tc>
        <w:tc>
          <w:tcPr>
            <w:tcW w:w="50" w:type="pct"/>
            <w:shd w:val="clear" w:color="auto" w:fill="auto"/>
            <w:vAlign w:val="bottom"/>
          </w:tcPr>
          <w:p w14:paraId="2470BC2D" w14:textId="77777777" w:rsidR="009C6E2F" w:rsidRDefault="009C6E2F">
            <w:pPr>
              <w:rPr>
                <w:rFonts w:ascii="宋体"/>
              </w:rPr>
            </w:pPr>
          </w:p>
        </w:tc>
        <w:tc>
          <w:tcPr>
            <w:tcW w:w="631" w:type="pct"/>
            <w:shd w:val="clear" w:color="auto" w:fill="auto"/>
            <w:vAlign w:val="bottom"/>
          </w:tcPr>
          <w:p w14:paraId="2470BC2E" w14:textId="77777777" w:rsidR="009C6E2F" w:rsidRDefault="009C6E2F">
            <w:pPr>
              <w:rPr>
                <w:rFonts w:ascii="宋体"/>
              </w:rPr>
            </w:pPr>
          </w:p>
        </w:tc>
        <w:tc>
          <w:tcPr>
            <w:tcW w:w="5" w:type="pct"/>
            <w:shd w:val="clear" w:color="auto" w:fill="auto"/>
            <w:vAlign w:val="bottom"/>
          </w:tcPr>
          <w:p w14:paraId="2470BC2F" w14:textId="77777777" w:rsidR="009C6E2F" w:rsidRDefault="009C6E2F">
            <w:pPr>
              <w:rPr>
                <w:rFonts w:ascii="宋体"/>
              </w:rPr>
            </w:pPr>
          </w:p>
        </w:tc>
        <w:tc>
          <w:tcPr>
            <w:tcW w:w="5" w:type="pct"/>
            <w:shd w:val="clear" w:color="auto" w:fill="auto"/>
            <w:vAlign w:val="bottom"/>
          </w:tcPr>
          <w:p w14:paraId="2470BC30" w14:textId="77777777" w:rsidR="009C6E2F" w:rsidRDefault="009C6E2F">
            <w:pPr>
              <w:rPr>
                <w:rFonts w:ascii="宋体"/>
              </w:rPr>
            </w:pPr>
          </w:p>
        </w:tc>
        <w:tc>
          <w:tcPr>
            <w:tcW w:w="28" w:type="pct"/>
            <w:shd w:val="clear" w:color="auto" w:fill="auto"/>
            <w:vAlign w:val="bottom"/>
          </w:tcPr>
          <w:p w14:paraId="2470BC31" w14:textId="77777777" w:rsidR="009C6E2F" w:rsidRDefault="009C6E2F">
            <w:pPr>
              <w:rPr>
                <w:rFonts w:ascii="宋体"/>
              </w:rPr>
            </w:pPr>
          </w:p>
        </w:tc>
        <w:tc>
          <w:tcPr>
            <w:tcW w:w="5" w:type="pct"/>
            <w:shd w:val="clear" w:color="auto" w:fill="auto"/>
            <w:vAlign w:val="bottom"/>
          </w:tcPr>
          <w:p w14:paraId="2470BC32" w14:textId="77777777" w:rsidR="009C6E2F" w:rsidRDefault="009C6E2F">
            <w:pPr>
              <w:rPr>
                <w:rFonts w:ascii="宋体"/>
              </w:rPr>
            </w:pPr>
          </w:p>
        </w:tc>
        <w:tc>
          <w:tcPr>
            <w:tcW w:w="50" w:type="pct"/>
            <w:shd w:val="clear" w:color="auto" w:fill="auto"/>
            <w:vAlign w:val="bottom"/>
          </w:tcPr>
          <w:p w14:paraId="2470BC33" w14:textId="77777777" w:rsidR="009C6E2F" w:rsidRDefault="009C6E2F">
            <w:pPr>
              <w:rPr>
                <w:rFonts w:ascii="宋体"/>
              </w:rPr>
            </w:pPr>
          </w:p>
        </w:tc>
        <w:tc>
          <w:tcPr>
            <w:tcW w:w="631" w:type="pct"/>
            <w:shd w:val="clear" w:color="auto" w:fill="auto"/>
            <w:vAlign w:val="bottom"/>
          </w:tcPr>
          <w:p w14:paraId="2470BC34" w14:textId="77777777" w:rsidR="009C6E2F" w:rsidRDefault="009C6E2F">
            <w:pPr>
              <w:rPr>
                <w:rFonts w:ascii="宋体"/>
              </w:rPr>
            </w:pPr>
          </w:p>
        </w:tc>
        <w:tc>
          <w:tcPr>
            <w:tcW w:w="5" w:type="pct"/>
            <w:shd w:val="clear" w:color="auto" w:fill="auto"/>
            <w:vAlign w:val="bottom"/>
          </w:tcPr>
          <w:p w14:paraId="2470BC35" w14:textId="77777777" w:rsidR="009C6E2F" w:rsidRDefault="009C6E2F">
            <w:pPr>
              <w:rPr>
                <w:rFonts w:ascii="宋体"/>
              </w:rPr>
            </w:pPr>
          </w:p>
        </w:tc>
        <w:tc>
          <w:tcPr>
            <w:tcW w:w="50" w:type="pct"/>
            <w:shd w:val="clear" w:color="auto" w:fill="auto"/>
            <w:vAlign w:val="bottom"/>
          </w:tcPr>
          <w:p w14:paraId="2470BC36" w14:textId="77777777" w:rsidR="009C6E2F" w:rsidRDefault="009C6E2F">
            <w:pPr>
              <w:rPr>
                <w:rFonts w:ascii="宋体"/>
              </w:rPr>
            </w:pPr>
          </w:p>
        </w:tc>
        <w:tc>
          <w:tcPr>
            <w:tcW w:w="631" w:type="pct"/>
            <w:shd w:val="clear" w:color="auto" w:fill="auto"/>
            <w:vAlign w:val="bottom"/>
          </w:tcPr>
          <w:p w14:paraId="2470BC37" w14:textId="77777777" w:rsidR="009C6E2F" w:rsidRDefault="009C6E2F">
            <w:pPr>
              <w:rPr>
                <w:rFonts w:ascii="宋体"/>
              </w:rPr>
            </w:pPr>
          </w:p>
        </w:tc>
        <w:tc>
          <w:tcPr>
            <w:tcW w:w="5" w:type="pct"/>
            <w:shd w:val="clear" w:color="auto" w:fill="auto"/>
            <w:vAlign w:val="bottom"/>
          </w:tcPr>
          <w:p w14:paraId="2470BC38" w14:textId="77777777" w:rsidR="009C6E2F" w:rsidRDefault="009C6E2F">
            <w:pPr>
              <w:rPr>
                <w:rFonts w:ascii="宋体"/>
              </w:rPr>
            </w:pPr>
          </w:p>
        </w:tc>
      </w:tr>
      <w:tr w:rsidR="009C6E2F" w14:paraId="2470BC3E" w14:textId="77777777">
        <w:tc>
          <w:tcPr>
            <w:tcW w:w="0" w:type="auto"/>
            <w:gridSpan w:val="3"/>
            <w:shd w:val="clear" w:color="auto" w:fill="auto"/>
            <w:tcMar>
              <w:top w:w="0" w:type="dxa"/>
              <w:left w:w="20" w:type="dxa"/>
              <w:bottom w:w="0" w:type="dxa"/>
              <w:right w:w="20" w:type="dxa"/>
            </w:tcMar>
            <w:vAlign w:val="bottom"/>
          </w:tcPr>
          <w:p w14:paraId="2470BC3A"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BC3B"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BC3C"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BC3D"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BC45" w14:textId="77777777">
        <w:tc>
          <w:tcPr>
            <w:tcW w:w="0" w:type="auto"/>
            <w:gridSpan w:val="3"/>
            <w:shd w:val="clear" w:color="auto" w:fill="auto"/>
            <w:tcMar>
              <w:top w:w="40" w:type="dxa"/>
              <w:left w:w="20" w:type="dxa"/>
              <w:bottom w:w="40" w:type="dxa"/>
              <w:right w:w="20" w:type="dxa"/>
            </w:tcMar>
            <w:vAlign w:val="bottom"/>
          </w:tcPr>
          <w:p w14:paraId="2470BC3F"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40"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41"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BC42"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43"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44"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BC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46" w14:textId="77777777" w:rsidR="009C6E2F" w:rsidRDefault="007972BE">
            <w:pPr>
              <w:textAlignment w:val="bottom"/>
            </w:pPr>
            <w:r>
              <w:rPr>
                <w:rFonts w:ascii="Arial" w:eastAsia="宋体" w:hAnsi="Arial" w:cs="Arial"/>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BC47"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C48" w14:textId="77777777" w:rsidR="009C6E2F" w:rsidRDefault="007972BE">
            <w:pPr>
              <w:jc w:val="right"/>
              <w:textAlignment w:val="bottom"/>
            </w:pPr>
            <w:r>
              <w:rPr>
                <w:rFonts w:ascii="Arial" w:eastAsia="宋体" w:hAnsi="Arial" w:cs="Arial"/>
                <w:color w:val="000000"/>
                <w:sz w:val="17"/>
                <w:szCs w:val="17"/>
              </w:rPr>
              <w:t>1,337 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C4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C4A"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C4B" w14:textId="77777777" w:rsidR="009C6E2F" w:rsidRDefault="007972BE">
            <w:pPr>
              <w:jc w:val="right"/>
              <w:textAlignment w:val="bottom"/>
            </w:pPr>
            <w:r>
              <w:rPr>
                <w:rFonts w:ascii="Arial" w:eastAsia="宋体" w:hAnsi="Arial" w:cs="Arial"/>
                <w:color w:val="000000"/>
                <w:sz w:val="17"/>
                <w:szCs w:val="17"/>
              </w:rPr>
              <w:t>1,251 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C4C"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C4D"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BC4E"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C4F" w14:textId="77777777" w:rsidR="009C6E2F" w:rsidRDefault="007972BE">
            <w:pPr>
              <w:jc w:val="right"/>
              <w:textAlignment w:val="bottom"/>
            </w:pPr>
            <w:r>
              <w:rPr>
                <w:rFonts w:ascii="Arial" w:eastAsia="宋体" w:hAnsi="Arial" w:cs="Arial"/>
                <w:color w:val="000000"/>
                <w:sz w:val="17"/>
                <w:szCs w:val="17"/>
              </w:rPr>
              <w:t>3,211 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C50"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C51"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C52" w14:textId="77777777" w:rsidR="009C6E2F" w:rsidRDefault="007972BE">
            <w:pPr>
              <w:jc w:val="right"/>
              <w:textAlignment w:val="bottom"/>
            </w:pPr>
            <w:r>
              <w:rPr>
                <w:rFonts w:ascii="Arial" w:eastAsia="宋体" w:hAnsi="Arial" w:cs="Arial"/>
                <w:color w:val="000000"/>
                <w:sz w:val="17"/>
                <w:szCs w:val="17"/>
              </w:rPr>
              <w:t>2,769 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C53" w14:textId="77777777" w:rsidR="009C6E2F" w:rsidRDefault="009C6E2F">
            <w:pPr>
              <w:jc w:val="right"/>
              <w:rPr>
                <w:rFonts w:ascii="宋体"/>
              </w:rPr>
            </w:pPr>
          </w:p>
        </w:tc>
      </w:tr>
      <w:tr w:rsidR="009C6E2F" w14:paraId="2470BC5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C55" w14:textId="77777777" w:rsidR="009C6E2F" w:rsidRDefault="007972BE">
            <w:pPr>
              <w:textAlignment w:val="bottom"/>
            </w:pPr>
            <w:r>
              <w:rPr>
                <w:rFonts w:ascii="Arial" w:eastAsia="宋体" w:hAnsi="Arial" w:cs="Arial"/>
                <w:color w:val="000000"/>
                <w:sz w:val="17"/>
                <w:szCs w:val="17"/>
              </w:rPr>
              <w:t>Other comprehensive income (loss), net of tax:</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C56"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57"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58"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C5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5A" w14:textId="77777777" w:rsidR="009C6E2F" w:rsidRDefault="009C6E2F">
            <w:pPr>
              <w:rPr>
                <w:rFonts w:ascii="宋体"/>
              </w:rPr>
            </w:pPr>
          </w:p>
        </w:tc>
      </w:tr>
      <w:tr w:rsidR="009C6E2F" w14:paraId="2470BC6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C5C" w14:textId="77777777" w:rsidR="009C6E2F" w:rsidRDefault="007972BE">
            <w:pPr>
              <w:textAlignment w:val="bottom"/>
            </w:pPr>
            <w:r>
              <w:rPr>
                <w:rFonts w:ascii="Arial" w:eastAsia="宋体" w:hAnsi="Arial" w:cs="Arial"/>
                <w:color w:val="000000"/>
                <w:sz w:val="17"/>
                <w:szCs w:val="17"/>
              </w:rPr>
              <w:t>Change in net foreign currency translation adjustment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5D" w14:textId="77777777" w:rsidR="009C6E2F" w:rsidRDefault="007972BE">
            <w:pPr>
              <w:jc w:val="right"/>
              <w:textAlignment w:val="bottom"/>
            </w:pPr>
            <w:r>
              <w:rPr>
                <w:rFonts w:ascii="Arial" w:eastAsia="宋体" w:hAnsi="Arial" w:cs="Arial"/>
                <w:color w:val="000000"/>
                <w:sz w:val="17"/>
                <w:szCs w:val="17"/>
              </w:rPr>
              <w:t>(155)</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5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5F" w14:textId="77777777" w:rsidR="009C6E2F" w:rsidRDefault="007972BE">
            <w:pPr>
              <w:jc w:val="right"/>
              <w:textAlignment w:val="bottom"/>
            </w:pPr>
            <w:r>
              <w:rPr>
                <w:rFonts w:ascii="Arial" w:eastAsia="宋体" w:hAnsi="Arial" w:cs="Arial"/>
                <w:color w:val="000000"/>
                <w:sz w:val="17"/>
                <w:szCs w:val="17"/>
              </w:rPr>
              <w:t>78 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6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6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62" w14:textId="77777777" w:rsidR="009C6E2F" w:rsidRDefault="007972BE">
            <w:pPr>
              <w:jc w:val="right"/>
              <w:textAlignment w:val="bottom"/>
            </w:pPr>
            <w:r>
              <w:rPr>
                <w:rFonts w:ascii="Arial" w:eastAsia="宋体" w:hAnsi="Arial" w:cs="Arial"/>
                <w:color w:val="000000"/>
                <w:sz w:val="17"/>
                <w:szCs w:val="17"/>
              </w:rPr>
              <w:t>(283)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6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64" w14:textId="77777777" w:rsidR="009C6E2F" w:rsidRDefault="007972BE">
            <w:pPr>
              <w:jc w:val="right"/>
              <w:textAlignment w:val="bottom"/>
            </w:pPr>
            <w:r>
              <w:rPr>
                <w:rFonts w:ascii="Arial" w:eastAsia="宋体" w:hAnsi="Arial" w:cs="Arial"/>
                <w:color w:val="000000"/>
                <w:sz w:val="17"/>
                <w:szCs w:val="17"/>
              </w:rPr>
              <w:t>396 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65" w14:textId="77777777" w:rsidR="009C6E2F" w:rsidRDefault="009C6E2F">
            <w:pPr>
              <w:jc w:val="right"/>
              <w:rPr>
                <w:rFonts w:ascii="宋体"/>
              </w:rPr>
            </w:pPr>
          </w:p>
        </w:tc>
      </w:tr>
      <w:tr w:rsidR="009C6E2F" w14:paraId="2470BC7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C67" w14:textId="77777777" w:rsidR="009C6E2F" w:rsidRDefault="007972BE">
            <w:pPr>
              <w:textAlignment w:val="bottom"/>
            </w:pPr>
            <w:r>
              <w:rPr>
                <w:rFonts w:ascii="Arial" w:eastAsia="宋体" w:hAnsi="Arial" w:cs="Arial"/>
                <w:color w:val="000000"/>
                <w:sz w:val="17"/>
                <w:szCs w:val="17"/>
              </w:rPr>
              <w:t>C</w:t>
            </w:r>
            <w:r>
              <w:rPr>
                <w:rFonts w:ascii="Arial" w:eastAsia="宋体" w:hAnsi="Arial" w:cs="Arial"/>
                <w:color w:val="000000"/>
                <w:sz w:val="17"/>
                <w:szCs w:val="17"/>
              </w:rPr>
              <w:t>hange in net gains (losses) on cash flow hedges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68" w14:textId="77777777" w:rsidR="009C6E2F" w:rsidRDefault="007972BE">
            <w:pPr>
              <w:jc w:val="right"/>
              <w:textAlignment w:val="bottom"/>
            </w:pPr>
            <w:r>
              <w:rPr>
                <w:rFonts w:ascii="Arial" w:eastAsia="宋体" w:hAnsi="Arial" w:cs="Arial"/>
                <w:color w:val="000000"/>
                <w:sz w:val="17"/>
                <w:szCs w:val="17"/>
              </w:rPr>
              <w:t>366 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6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6A" w14:textId="77777777" w:rsidR="009C6E2F" w:rsidRDefault="007972BE">
            <w:pPr>
              <w:jc w:val="right"/>
              <w:textAlignment w:val="bottom"/>
            </w:pPr>
            <w:r>
              <w:rPr>
                <w:rFonts w:ascii="Arial" w:eastAsia="宋体" w:hAnsi="Arial" w:cs="Arial"/>
                <w:color w:val="000000"/>
                <w:sz w:val="17"/>
                <w:szCs w:val="17"/>
              </w:rPr>
              <w:t>(103)</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6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6C"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6D" w14:textId="77777777" w:rsidR="009C6E2F" w:rsidRDefault="007972BE">
            <w:pPr>
              <w:jc w:val="right"/>
              <w:textAlignment w:val="bottom"/>
            </w:pPr>
            <w:r>
              <w:rPr>
                <w:rFonts w:ascii="Arial" w:eastAsia="宋体" w:hAnsi="Arial" w:cs="Arial"/>
                <w:color w:val="000000"/>
                <w:sz w:val="17"/>
                <w:szCs w:val="17"/>
              </w:rPr>
              <w:t>804 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6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6F" w14:textId="77777777" w:rsidR="009C6E2F" w:rsidRDefault="007972BE">
            <w:pPr>
              <w:jc w:val="right"/>
              <w:textAlignment w:val="bottom"/>
            </w:pPr>
            <w:r>
              <w:rPr>
                <w:rFonts w:ascii="Arial" w:eastAsia="宋体" w:hAnsi="Arial" w:cs="Arial"/>
                <w:color w:val="000000"/>
                <w:sz w:val="17"/>
                <w:szCs w:val="17"/>
              </w:rPr>
              <w:t>(761)</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70" w14:textId="77777777" w:rsidR="009C6E2F" w:rsidRDefault="009C6E2F">
            <w:pPr>
              <w:jc w:val="right"/>
              <w:rPr>
                <w:rFonts w:ascii="宋体"/>
              </w:rPr>
            </w:pPr>
          </w:p>
        </w:tc>
      </w:tr>
      <w:tr w:rsidR="009C6E2F" w14:paraId="2470BC7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C72" w14:textId="77777777" w:rsidR="009C6E2F" w:rsidRDefault="007972BE">
            <w:pPr>
              <w:textAlignment w:val="bottom"/>
            </w:pPr>
            <w:r>
              <w:rPr>
                <w:rFonts w:ascii="Arial" w:eastAsia="宋体" w:hAnsi="Arial" w:cs="Arial"/>
                <w:color w:val="000000"/>
                <w:sz w:val="17"/>
                <w:szCs w:val="17"/>
              </w:rPr>
              <w:t>Change in net gains (losses) on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73"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7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75"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76"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C7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C78"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C7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C7A" w14:textId="77777777" w:rsidR="009C6E2F" w:rsidRDefault="007972BE">
            <w:pPr>
              <w:jc w:val="right"/>
              <w:textAlignment w:val="bottom"/>
            </w:pPr>
            <w:r>
              <w:rPr>
                <w:rFonts w:ascii="Arial" w:eastAsia="宋体" w:hAnsi="Arial" w:cs="Arial"/>
                <w:color w:val="000000"/>
                <w:sz w:val="17"/>
                <w:szCs w:val="17"/>
              </w:rPr>
              <w:t>(8)</w:t>
            </w:r>
          </w:p>
        </w:tc>
        <w:tc>
          <w:tcPr>
            <w:tcW w:w="0" w:type="auto"/>
            <w:tcBorders>
              <w:top w:val="single" w:sz="4" w:space="0" w:color="808080"/>
            </w:tcBorders>
            <w:shd w:val="clear" w:color="auto" w:fill="auto"/>
            <w:tcMar>
              <w:top w:w="40" w:type="dxa"/>
              <w:left w:w="0" w:type="dxa"/>
              <w:bottom w:w="40" w:type="dxa"/>
              <w:right w:w="20" w:type="dxa"/>
            </w:tcMar>
            <w:vAlign w:val="bottom"/>
          </w:tcPr>
          <w:p w14:paraId="2470BC7B" w14:textId="77777777" w:rsidR="009C6E2F" w:rsidRDefault="009C6E2F">
            <w:pPr>
              <w:jc w:val="right"/>
              <w:rPr>
                <w:rFonts w:ascii="宋体"/>
              </w:rPr>
            </w:pPr>
          </w:p>
        </w:tc>
      </w:tr>
      <w:tr w:rsidR="009C6E2F" w14:paraId="2470BC8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7D" w14:textId="77777777" w:rsidR="009C6E2F" w:rsidRDefault="007972BE">
            <w:pPr>
              <w:textAlignment w:val="bottom"/>
            </w:pPr>
            <w:r>
              <w:rPr>
                <w:rFonts w:ascii="Arial" w:eastAsia="宋体" w:hAnsi="Arial" w:cs="Arial"/>
                <w:color w:val="000000"/>
                <w:sz w:val="17"/>
                <w:szCs w:val="17"/>
              </w:rPr>
              <w:t>T</w:t>
            </w:r>
            <w:r>
              <w:rPr>
                <w:rFonts w:ascii="Arial" w:eastAsia="宋体" w:hAnsi="Arial" w:cs="Arial"/>
                <w:color w:val="000000"/>
                <w:sz w:val="17"/>
                <w:szCs w:val="17"/>
              </w:rPr>
              <w:t>otal other comprehensive income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C7E" w14:textId="77777777" w:rsidR="009C6E2F" w:rsidRDefault="007972BE">
            <w:pPr>
              <w:jc w:val="right"/>
              <w:textAlignment w:val="bottom"/>
            </w:pPr>
            <w:r>
              <w:rPr>
                <w:rFonts w:ascii="Arial" w:eastAsia="宋体" w:hAnsi="Arial" w:cs="Arial"/>
                <w:color w:val="000000"/>
                <w:sz w:val="17"/>
                <w:szCs w:val="17"/>
              </w:rPr>
              <w:t>212 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C7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C80" w14:textId="77777777" w:rsidR="009C6E2F" w:rsidRDefault="007972BE">
            <w:pPr>
              <w:jc w:val="right"/>
              <w:textAlignment w:val="bottom"/>
            </w:pPr>
            <w:r>
              <w:rPr>
                <w:rFonts w:ascii="Arial" w:eastAsia="宋体" w:hAnsi="Arial" w:cs="Arial"/>
                <w:color w:val="000000"/>
                <w:sz w:val="17"/>
                <w:szCs w:val="17"/>
              </w:rPr>
              <w:t>(28)</w:t>
            </w:r>
          </w:p>
        </w:tc>
        <w:tc>
          <w:tcPr>
            <w:tcW w:w="0" w:type="auto"/>
            <w:tcBorders>
              <w:top w:val="single" w:sz="8" w:space="0" w:color="E87722"/>
            </w:tcBorders>
            <w:shd w:val="clear" w:color="auto" w:fill="auto"/>
            <w:tcMar>
              <w:top w:w="40" w:type="dxa"/>
              <w:left w:w="0" w:type="dxa"/>
              <w:bottom w:w="40" w:type="dxa"/>
              <w:right w:w="20" w:type="dxa"/>
            </w:tcMar>
            <w:vAlign w:val="bottom"/>
          </w:tcPr>
          <w:p w14:paraId="2470BC81"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C82"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C83" w14:textId="77777777" w:rsidR="009C6E2F" w:rsidRDefault="007972BE">
            <w:pPr>
              <w:jc w:val="right"/>
              <w:textAlignment w:val="bottom"/>
            </w:pPr>
            <w:r>
              <w:rPr>
                <w:rFonts w:ascii="Arial" w:eastAsia="宋体" w:hAnsi="Arial" w:cs="Arial"/>
                <w:color w:val="000000"/>
                <w:sz w:val="17"/>
                <w:szCs w:val="17"/>
              </w:rPr>
              <w:t>525 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C8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C85" w14:textId="77777777" w:rsidR="009C6E2F" w:rsidRDefault="007972BE">
            <w:pPr>
              <w:jc w:val="right"/>
              <w:textAlignment w:val="bottom"/>
            </w:pPr>
            <w:r>
              <w:rPr>
                <w:rFonts w:ascii="Arial" w:eastAsia="宋体" w:hAnsi="Arial" w:cs="Arial"/>
                <w:color w:val="000000"/>
                <w:sz w:val="17"/>
                <w:szCs w:val="17"/>
              </w:rPr>
              <w:t>(373)</w:t>
            </w:r>
          </w:p>
        </w:tc>
        <w:tc>
          <w:tcPr>
            <w:tcW w:w="0" w:type="auto"/>
            <w:tcBorders>
              <w:top w:val="single" w:sz="8" w:space="0" w:color="E87722"/>
            </w:tcBorders>
            <w:shd w:val="clear" w:color="auto" w:fill="auto"/>
            <w:tcMar>
              <w:top w:w="40" w:type="dxa"/>
              <w:left w:w="0" w:type="dxa"/>
              <w:bottom w:w="40" w:type="dxa"/>
              <w:right w:w="20" w:type="dxa"/>
            </w:tcMar>
            <w:vAlign w:val="bottom"/>
          </w:tcPr>
          <w:p w14:paraId="2470BC86" w14:textId="77777777" w:rsidR="009C6E2F" w:rsidRDefault="009C6E2F">
            <w:pPr>
              <w:jc w:val="right"/>
              <w:rPr>
                <w:rFonts w:ascii="宋体"/>
              </w:rPr>
            </w:pPr>
          </w:p>
        </w:tc>
      </w:tr>
      <w:tr w:rsidR="009C6E2F" w14:paraId="2470BC9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BC88" w14:textId="77777777" w:rsidR="009C6E2F" w:rsidRDefault="007972BE">
            <w:pPr>
              <w:textAlignment w:val="bottom"/>
            </w:pPr>
            <w:r>
              <w:rPr>
                <w:rFonts w:ascii="Arial" w:eastAsia="宋体" w:hAnsi="Arial" w:cs="Arial"/>
                <w:b/>
                <w:bCs/>
                <w:color w:val="000000"/>
                <w:sz w:val="17"/>
                <w:szCs w:val="17"/>
              </w:rPr>
              <w:t>TOTAL COMPREHENSIVE INCOME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C8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C8A" w14:textId="77777777" w:rsidR="009C6E2F" w:rsidRDefault="007972BE">
            <w:pPr>
              <w:jc w:val="right"/>
              <w:textAlignment w:val="bottom"/>
            </w:pPr>
            <w:r>
              <w:rPr>
                <w:rFonts w:ascii="Arial" w:eastAsia="宋体" w:hAnsi="Arial" w:cs="Arial"/>
                <w:b/>
                <w:bCs/>
                <w:color w:val="000000"/>
                <w:sz w:val="17"/>
                <w:szCs w:val="17"/>
              </w:rPr>
              <w:t>1,549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C8B"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BC8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BC8D" w14:textId="77777777" w:rsidR="009C6E2F" w:rsidRDefault="007972BE">
            <w:pPr>
              <w:jc w:val="right"/>
              <w:textAlignment w:val="bottom"/>
            </w:pPr>
            <w:r>
              <w:rPr>
                <w:rFonts w:ascii="Arial" w:eastAsia="宋体" w:hAnsi="Arial" w:cs="Arial"/>
                <w:b/>
                <w:bCs/>
                <w:color w:val="000000"/>
                <w:sz w:val="17"/>
                <w:szCs w:val="17"/>
              </w:rPr>
              <w:t>1,223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BC8E"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BC8F"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C9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C91" w14:textId="77777777" w:rsidR="009C6E2F" w:rsidRDefault="007972BE">
            <w:pPr>
              <w:jc w:val="right"/>
              <w:textAlignment w:val="bottom"/>
            </w:pPr>
            <w:r>
              <w:rPr>
                <w:rFonts w:ascii="Arial" w:eastAsia="宋体" w:hAnsi="Arial" w:cs="Arial"/>
                <w:b/>
                <w:bCs/>
                <w:color w:val="000000"/>
                <w:sz w:val="17"/>
                <w:szCs w:val="17"/>
              </w:rPr>
              <w:t>3,736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C9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BC9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BC94" w14:textId="77777777" w:rsidR="009C6E2F" w:rsidRDefault="007972BE">
            <w:pPr>
              <w:jc w:val="right"/>
              <w:textAlignment w:val="bottom"/>
            </w:pPr>
            <w:r>
              <w:rPr>
                <w:rFonts w:ascii="Arial" w:eastAsia="宋体" w:hAnsi="Arial" w:cs="Arial"/>
                <w:b/>
                <w:bCs/>
                <w:color w:val="000000"/>
                <w:sz w:val="17"/>
                <w:szCs w:val="17"/>
              </w:rPr>
              <w:t>2,396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BC95" w14:textId="77777777" w:rsidR="009C6E2F" w:rsidRDefault="009C6E2F">
            <w:pPr>
              <w:jc w:val="right"/>
              <w:rPr>
                <w:rFonts w:ascii="宋体"/>
              </w:rPr>
            </w:pPr>
          </w:p>
        </w:tc>
      </w:tr>
    </w:tbl>
    <w:p w14:paraId="2470BC97" w14:textId="77777777" w:rsidR="009C6E2F" w:rsidRDefault="007972BE">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470BC98" w14:textId="77777777" w:rsidR="009C6E2F" w:rsidRDefault="007972BE">
      <w:pPr>
        <w:spacing w:before="120" w:after="120"/>
      </w:pPr>
      <w:r>
        <w:rPr>
          <w:rFonts w:ascii="Arial" w:eastAsia="宋体" w:hAnsi="Arial" w:cs="Arial"/>
          <w:color w:val="E87722"/>
          <w:sz w:val="17"/>
          <w:szCs w:val="17"/>
        </w:rPr>
        <w:t>2</w:t>
      </w:r>
      <w:r>
        <w:rPr>
          <w:rFonts w:ascii="sans-serif" w:eastAsia="sans-serif" w:hAnsi="sans-serif" w:cs="sans-serif"/>
          <w:color w:val="000000"/>
          <w:sz w:val="17"/>
          <w:szCs w:val="17"/>
        </w:rPr>
        <w:t xml:space="preserve"> </w:t>
      </w:r>
    </w:p>
    <w:p w14:paraId="2470BC99" w14:textId="77777777" w:rsidR="009C6E2F" w:rsidRDefault="007972BE">
      <w:r>
        <w:pict w14:anchorId="2470E1E7">
          <v:rect id="_x0000_i1028" style="width:415.3pt;height:1.5pt" o:hralign="center" o:hrstd="t" o:hr="t" fillcolor="#a0a0a0" stroked="f"/>
        </w:pict>
      </w:r>
    </w:p>
    <w:p w14:paraId="2470BC9A" w14:textId="77777777" w:rsidR="009C6E2F" w:rsidRDefault="009C6E2F"/>
    <w:p w14:paraId="2470BC9B" w14:textId="77777777" w:rsidR="009C6E2F" w:rsidRDefault="007972BE">
      <w:hyperlink r:id="rId45" w:anchor="i9e023a7388204bdbacd6aa338988f838_7" w:history="1">
        <w:r>
          <w:rPr>
            <w:rStyle w:val="a5"/>
            <w:rFonts w:ascii="sans-serif" w:eastAsia="sans-serif" w:hAnsi="sans-serif" w:cs="sans-serif"/>
            <w:sz w:val="17"/>
            <w:szCs w:val="17"/>
          </w:rPr>
          <w:t>Table of Contents</w:t>
        </w:r>
      </w:hyperlink>
    </w:p>
    <w:p w14:paraId="2470BC9C" w14:textId="77777777" w:rsidR="009C6E2F" w:rsidRDefault="009C6E2F"/>
    <w:p w14:paraId="2470BC9D" w14:textId="77777777" w:rsidR="009C6E2F" w:rsidRDefault="007972BE">
      <w:pPr>
        <w:spacing w:before="300"/>
      </w:pPr>
      <w:r>
        <w:rPr>
          <w:rFonts w:ascii="sans-serif" w:eastAsia="sans-serif" w:hAnsi="sans-serif" w:cs="sans-serif"/>
          <w:b/>
          <w:bCs/>
          <w:color w:val="E87722"/>
          <w:sz w:val="36"/>
          <w:szCs w:val="36"/>
        </w:rPr>
        <w:t>NIKE, INC.</w:t>
      </w:r>
    </w:p>
    <w:p w14:paraId="2470BC9E" w14:textId="77777777" w:rsidR="009C6E2F" w:rsidRDefault="007972BE">
      <w:pPr>
        <w:spacing w:before="120" w:after="120"/>
      </w:pPr>
      <w:r>
        <w:rPr>
          <w:rFonts w:ascii="sans-serif" w:eastAsia="sans-serif" w:hAnsi="sans-serif" w:cs="sans-serif"/>
          <w:b/>
          <w:bCs/>
          <w:color w:val="000000"/>
          <w:sz w:val="28"/>
          <w:szCs w:val="28"/>
        </w:rPr>
        <w:t>UNAUDITED CONDENSED 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2"/>
        <w:gridCol w:w="5735"/>
        <w:gridCol w:w="39"/>
        <w:gridCol w:w="116"/>
        <w:gridCol w:w="1063"/>
        <w:gridCol w:w="36"/>
        <w:gridCol w:w="36"/>
        <w:gridCol w:w="36"/>
        <w:gridCol w:w="36"/>
        <w:gridCol w:w="115"/>
        <w:gridCol w:w="1033"/>
        <w:gridCol w:w="36"/>
      </w:tblGrid>
      <w:tr w:rsidR="009C6E2F" w14:paraId="2470BCAB" w14:textId="77777777">
        <w:tc>
          <w:tcPr>
            <w:tcW w:w="50" w:type="pct"/>
            <w:shd w:val="clear" w:color="auto" w:fill="auto"/>
            <w:vAlign w:val="bottom"/>
          </w:tcPr>
          <w:p w14:paraId="2470BC9F" w14:textId="77777777" w:rsidR="009C6E2F" w:rsidRDefault="009C6E2F">
            <w:pPr>
              <w:rPr>
                <w:rFonts w:ascii="宋体"/>
              </w:rPr>
            </w:pPr>
          </w:p>
        </w:tc>
        <w:tc>
          <w:tcPr>
            <w:tcW w:w="3468" w:type="pct"/>
            <w:shd w:val="clear" w:color="auto" w:fill="auto"/>
            <w:vAlign w:val="bottom"/>
          </w:tcPr>
          <w:p w14:paraId="2470BCA0" w14:textId="77777777" w:rsidR="009C6E2F" w:rsidRDefault="009C6E2F">
            <w:pPr>
              <w:rPr>
                <w:rFonts w:ascii="宋体"/>
              </w:rPr>
            </w:pPr>
          </w:p>
        </w:tc>
        <w:tc>
          <w:tcPr>
            <w:tcW w:w="5" w:type="pct"/>
            <w:shd w:val="clear" w:color="auto" w:fill="auto"/>
            <w:vAlign w:val="bottom"/>
          </w:tcPr>
          <w:p w14:paraId="2470BCA1" w14:textId="77777777" w:rsidR="009C6E2F" w:rsidRDefault="009C6E2F">
            <w:pPr>
              <w:rPr>
                <w:rFonts w:ascii="宋体"/>
              </w:rPr>
            </w:pPr>
          </w:p>
        </w:tc>
        <w:tc>
          <w:tcPr>
            <w:tcW w:w="50" w:type="pct"/>
            <w:shd w:val="clear" w:color="auto" w:fill="auto"/>
            <w:vAlign w:val="bottom"/>
          </w:tcPr>
          <w:p w14:paraId="2470BCA2" w14:textId="77777777" w:rsidR="009C6E2F" w:rsidRDefault="009C6E2F">
            <w:pPr>
              <w:rPr>
                <w:rFonts w:ascii="宋体"/>
              </w:rPr>
            </w:pPr>
          </w:p>
        </w:tc>
        <w:tc>
          <w:tcPr>
            <w:tcW w:w="663" w:type="pct"/>
            <w:shd w:val="clear" w:color="auto" w:fill="auto"/>
            <w:vAlign w:val="bottom"/>
          </w:tcPr>
          <w:p w14:paraId="2470BCA3" w14:textId="77777777" w:rsidR="009C6E2F" w:rsidRDefault="009C6E2F">
            <w:pPr>
              <w:rPr>
                <w:rFonts w:ascii="宋体"/>
              </w:rPr>
            </w:pPr>
          </w:p>
        </w:tc>
        <w:tc>
          <w:tcPr>
            <w:tcW w:w="5" w:type="pct"/>
            <w:shd w:val="clear" w:color="auto" w:fill="auto"/>
            <w:vAlign w:val="bottom"/>
          </w:tcPr>
          <w:p w14:paraId="2470BCA4" w14:textId="77777777" w:rsidR="009C6E2F" w:rsidRDefault="009C6E2F">
            <w:pPr>
              <w:rPr>
                <w:rFonts w:ascii="宋体"/>
              </w:rPr>
            </w:pPr>
          </w:p>
        </w:tc>
        <w:tc>
          <w:tcPr>
            <w:tcW w:w="5" w:type="pct"/>
            <w:shd w:val="clear" w:color="auto" w:fill="auto"/>
            <w:vAlign w:val="bottom"/>
          </w:tcPr>
          <w:p w14:paraId="2470BCA5" w14:textId="77777777" w:rsidR="009C6E2F" w:rsidRDefault="009C6E2F">
            <w:pPr>
              <w:rPr>
                <w:rFonts w:ascii="宋体"/>
              </w:rPr>
            </w:pPr>
          </w:p>
        </w:tc>
        <w:tc>
          <w:tcPr>
            <w:tcW w:w="28" w:type="pct"/>
            <w:shd w:val="clear" w:color="auto" w:fill="auto"/>
            <w:vAlign w:val="bottom"/>
          </w:tcPr>
          <w:p w14:paraId="2470BCA6" w14:textId="77777777" w:rsidR="009C6E2F" w:rsidRDefault="009C6E2F">
            <w:pPr>
              <w:rPr>
                <w:rFonts w:ascii="宋体"/>
              </w:rPr>
            </w:pPr>
          </w:p>
        </w:tc>
        <w:tc>
          <w:tcPr>
            <w:tcW w:w="5" w:type="pct"/>
            <w:shd w:val="clear" w:color="auto" w:fill="auto"/>
            <w:vAlign w:val="bottom"/>
          </w:tcPr>
          <w:p w14:paraId="2470BCA7" w14:textId="77777777" w:rsidR="009C6E2F" w:rsidRDefault="009C6E2F">
            <w:pPr>
              <w:rPr>
                <w:rFonts w:ascii="宋体"/>
              </w:rPr>
            </w:pPr>
          </w:p>
        </w:tc>
        <w:tc>
          <w:tcPr>
            <w:tcW w:w="50" w:type="pct"/>
            <w:shd w:val="clear" w:color="auto" w:fill="auto"/>
            <w:vAlign w:val="bottom"/>
          </w:tcPr>
          <w:p w14:paraId="2470BCA8" w14:textId="77777777" w:rsidR="009C6E2F" w:rsidRDefault="009C6E2F">
            <w:pPr>
              <w:rPr>
                <w:rFonts w:ascii="宋体"/>
              </w:rPr>
            </w:pPr>
          </w:p>
        </w:tc>
        <w:tc>
          <w:tcPr>
            <w:tcW w:w="663" w:type="pct"/>
            <w:shd w:val="clear" w:color="auto" w:fill="auto"/>
            <w:vAlign w:val="bottom"/>
          </w:tcPr>
          <w:p w14:paraId="2470BCA9" w14:textId="77777777" w:rsidR="009C6E2F" w:rsidRDefault="009C6E2F">
            <w:pPr>
              <w:rPr>
                <w:rFonts w:ascii="宋体"/>
              </w:rPr>
            </w:pPr>
          </w:p>
        </w:tc>
        <w:tc>
          <w:tcPr>
            <w:tcW w:w="5" w:type="pct"/>
            <w:shd w:val="clear" w:color="auto" w:fill="auto"/>
            <w:vAlign w:val="bottom"/>
          </w:tcPr>
          <w:p w14:paraId="2470BCAA" w14:textId="77777777" w:rsidR="009C6E2F" w:rsidRDefault="009C6E2F">
            <w:pPr>
              <w:rPr>
                <w:rFonts w:ascii="宋体"/>
              </w:rPr>
            </w:pPr>
          </w:p>
        </w:tc>
      </w:tr>
      <w:tr w:rsidR="009C6E2F" w14:paraId="2470BCB0" w14:textId="77777777">
        <w:tc>
          <w:tcPr>
            <w:tcW w:w="0" w:type="auto"/>
            <w:gridSpan w:val="3"/>
            <w:shd w:val="clear" w:color="auto" w:fill="auto"/>
            <w:tcMar>
              <w:top w:w="0" w:type="dxa"/>
              <w:left w:w="20" w:type="dxa"/>
              <w:bottom w:w="0" w:type="dxa"/>
              <w:right w:w="20" w:type="dxa"/>
            </w:tcMar>
            <w:vAlign w:val="bottom"/>
          </w:tcPr>
          <w:p w14:paraId="2470BCAC"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BCAD" w14:textId="77777777" w:rsidR="009C6E2F" w:rsidRDefault="007972BE">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470BCAE"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BCAF" w14:textId="77777777" w:rsidR="009C6E2F" w:rsidRDefault="007972BE">
            <w:pPr>
              <w:jc w:val="center"/>
              <w:textAlignment w:val="bottom"/>
            </w:pPr>
            <w:r>
              <w:rPr>
                <w:rFonts w:ascii="sans-serif" w:eastAsia="sans-serif" w:hAnsi="sans-serif" w:cs="sans-serif"/>
                <w:b/>
                <w:bCs/>
                <w:color w:val="000000"/>
                <w:sz w:val="17"/>
                <w:szCs w:val="17"/>
              </w:rPr>
              <w:t>MAY 31,</w:t>
            </w:r>
          </w:p>
        </w:tc>
      </w:tr>
      <w:tr w:rsidR="009C6E2F" w14:paraId="2470BCB5" w14:textId="77777777">
        <w:tc>
          <w:tcPr>
            <w:tcW w:w="0" w:type="auto"/>
            <w:gridSpan w:val="3"/>
            <w:shd w:val="clear" w:color="auto" w:fill="auto"/>
            <w:tcMar>
              <w:top w:w="40" w:type="dxa"/>
              <w:left w:w="20" w:type="dxa"/>
              <w:bottom w:w="40" w:type="dxa"/>
              <w:right w:w="20" w:type="dxa"/>
            </w:tcMar>
            <w:vAlign w:val="bottom"/>
          </w:tcPr>
          <w:p w14:paraId="2470BCB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B2"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470BCB3"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B4" w14:textId="77777777" w:rsidR="009C6E2F" w:rsidRDefault="007972BE">
            <w:pPr>
              <w:jc w:val="center"/>
              <w:textAlignment w:val="bottom"/>
            </w:pPr>
            <w:r>
              <w:rPr>
                <w:rFonts w:ascii="sans-serif" w:eastAsia="sans-serif" w:hAnsi="sans-serif" w:cs="sans-serif"/>
                <w:b/>
                <w:bCs/>
                <w:color w:val="000000"/>
                <w:sz w:val="17"/>
                <w:szCs w:val="17"/>
              </w:rPr>
              <w:t>2021</w:t>
            </w:r>
          </w:p>
        </w:tc>
      </w:tr>
      <w:tr w:rsidR="009C6E2F" w14:paraId="2470BCB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B6" w14:textId="77777777" w:rsidR="009C6E2F" w:rsidRDefault="007972BE">
            <w:pPr>
              <w:textAlignment w:val="bottom"/>
            </w:pPr>
            <w:r>
              <w:rPr>
                <w:rFonts w:ascii="Arial" w:eastAsia="宋体" w:hAnsi="Arial" w:cs="Arial"/>
                <w:b/>
                <w:bCs/>
                <w:color w:val="000000"/>
                <w:sz w:val="17"/>
                <w:szCs w:val="17"/>
              </w:rPr>
              <w:t>ASSETS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CB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CB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CB9" w14:textId="77777777" w:rsidR="009C6E2F" w:rsidRDefault="009C6E2F">
            <w:pPr>
              <w:rPr>
                <w:rFonts w:ascii="宋体"/>
              </w:rPr>
            </w:pPr>
          </w:p>
        </w:tc>
      </w:tr>
      <w:tr w:rsidR="009C6E2F" w14:paraId="2470BCBF"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470BCBB" w14:textId="77777777" w:rsidR="009C6E2F" w:rsidRDefault="007972BE">
            <w:pPr>
              <w:textAlignment w:val="bottom"/>
            </w:pPr>
            <w:r>
              <w:rPr>
                <w:rFonts w:ascii="Arial" w:eastAsia="宋体" w:hAnsi="Arial" w:cs="Arial"/>
                <w:color w:val="000000"/>
                <w:sz w:val="17"/>
                <w:szCs w:val="17"/>
              </w:rPr>
              <w:t>Current assets: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470BCBC"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BD"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BE" w14:textId="77777777" w:rsidR="009C6E2F" w:rsidRDefault="009C6E2F">
            <w:pPr>
              <w:rPr>
                <w:rFonts w:ascii="宋体"/>
              </w:rPr>
            </w:pPr>
          </w:p>
        </w:tc>
      </w:tr>
      <w:tr w:rsidR="009C6E2F" w14:paraId="2470BCC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C0" w14:textId="77777777" w:rsidR="009C6E2F" w:rsidRDefault="007972BE">
            <w:pPr>
              <w:textAlignment w:val="bottom"/>
            </w:pPr>
            <w:r>
              <w:rPr>
                <w:rFonts w:ascii="Arial" w:eastAsia="宋体" w:hAnsi="Arial" w:cs="Arial"/>
                <w:color w:val="000000"/>
                <w:sz w:val="17"/>
                <w:szCs w:val="17"/>
              </w:rPr>
              <w:t>Cash and equivalents</w:t>
            </w:r>
          </w:p>
        </w:tc>
        <w:tc>
          <w:tcPr>
            <w:tcW w:w="0" w:type="auto"/>
            <w:tcBorders>
              <w:top w:val="single" w:sz="4" w:space="0" w:color="B6B6B6"/>
            </w:tcBorders>
            <w:shd w:val="clear" w:color="auto" w:fill="FFF1E7"/>
            <w:tcMar>
              <w:top w:w="40" w:type="dxa"/>
              <w:left w:w="20" w:type="dxa"/>
              <w:bottom w:w="40" w:type="dxa"/>
              <w:right w:w="0" w:type="dxa"/>
            </w:tcMar>
            <w:vAlign w:val="bottom"/>
          </w:tcPr>
          <w:p w14:paraId="2470BCC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2470BCC2" w14:textId="77777777" w:rsidR="009C6E2F" w:rsidRDefault="007972BE">
            <w:pPr>
              <w:jc w:val="right"/>
              <w:textAlignment w:val="bottom"/>
            </w:pPr>
            <w:r>
              <w:rPr>
                <w:rFonts w:ascii="Arial" w:eastAsia="宋体" w:hAnsi="Arial" w:cs="Arial"/>
                <w:color w:val="000000"/>
                <w:sz w:val="17"/>
                <w:szCs w:val="17"/>
              </w:rPr>
              <w:t>10,751 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C3"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C4" w14:textId="77777777" w:rsidR="009C6E2F" w:rsidRDefault="009C6E2F">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2470BCC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2470BCC6" w14:textId="77777777" w:rsidR="009C6E2F" w:rsidRDefault="007972BE">
            <w:pPr>
              <w:jc w:val="right"/>
              <w:textAlignment w:val="bottom"/>
            </w:pPr>
            <w:r>
              <w:rPr>
                <w:rFonts w:ascii="Arial" w:eastAsia="宋体" w:hAnsi="Arial" w:cs="Arial"/>
                <w:color w:val="000000"/>
                <w:sz w:val="17"/>
                <w:szCs w:val="17"/>
              </w:rPr>
              <w:t>9,889 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C7" w14:textId="77777777" w:rsidR="009C6E2F" w:rsidRDefault="009C6E2F">
            <w:pPr>
              <w:jc w:val="right"/>
              <w:rPr>
                <w:rFonts w:ascii="宋体"/>
              </w:rPr>
            </w:pPr>
          </w:p>
        </w:tc>
      </w:tr>
      <w:tr w:rsidR="009C6E2F" w14:paraId="2470BCC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C9" w14:textId="77777777" w:rsidR="009C6E2F" w:rsidRDefault="007972BE">
            <w:pPr>
              <w:textAlignment w:val="bottom"/>
            </w:pPr>
            <w:r>
              <w:rPr>
                <w:rFonts w:ascii="Arial" w:eastAsia="宋体" w:hAnsi="Arial" w:cs="Arial"/>
                <w:color w:val="000000"/>
                <w:sz w:val="17"/>
                <w:szCs w:val="17"/>
              </w:rPr>
              <w:t>Short-term investments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CCA" w14:textId="77777777" w:rsidR="009C6E2F" w:rsidRDefault="007972BE">
            <w:pPr>
              <w:jc w:val="right"/>
              <w:textAlignment w:val="bottom"/>
            </w:pPr>
            <w:r>
              <w:rPr>
                <w:rFonts w:ascii="Arial" w:eastAsia="宋体" w:hAnsi="Arial" w:cs="Arial"/>
                <w:color w:val="000000"/>
                <w:sz w:val="17"/>
                <w:szCs w:val="17"/>
              </w:rPr>
              <w:t>4,352 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CB"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CC"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CCD" w14:textId="77777777" w:rsidR="009C6E2F" w:rsidRDefault="007972BE">
            <w:pPr>
              <w:jc w:val="right"/>
              <w:textAlignment w:val="bottom"/>
            </w:pPr>
            <w:r>
              <w:rPr>
                <w:rFonts w:ascii="Arial" w:eastAsia="宋体" w:hAnsi="Arial" w:cs="Arial"/>
                <w:color w:val="000000"/>
                <w:sz w:val="17"/>
                <w:szCs w:val="17"/>
              </w:rPr>
              <w:t>3,587 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CE" w14:textId="77777777" w:rsidR="009C6E2F" w:rsidRDefault="009C6E2F">
            <w:pPr>
              <w:jc w:val="right"/>
              <w:rPr>
                <w:rFonts w:ascii="宋体"/>
              </w:rPr>
            </w:pPr>
          </w:p>
        </w:tc>
      </w:tr>
      <w:tr w:rsidR="009C6E2F" w14:paraId="2470BCD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D0" w14:textId="77777777" w:rsidR="009C6E2F" w:rsidRDefault="007972BE">
            <w:pPr>
              <w:textAlignment w:val="bottom"/>
            </w:pPr>
            <w:r>
              <w:rPr>
                <w:rFonts w:ascii="Arial" w:eastAsia="宋体" w:hAnsi="Arial" w:cs="Arial"/>
                <w:color w:val="000000"/>
                <w:sz w:val="17"/>
                <w:szCs w:val="17"/>
              </w:rPr>
              <w:t>Accounts receivable,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CD1" w14:textId="77777777" w:rsidR="009C6E2F" w:rsidRDefault="007972BE">
            <w:pPr>
              <w:jc w:val="right"/>
              <w:textAlignment w:val="bottom"/>
            </w:pPr>
            <w:r>
              <w:rPr>
                <w:rFonts w:ascii="Arial" w:eastAsia="宋体" w:hAnsi="Arial" w:cs="Arial"/>
                <w:color w:val="000000"/>
                <w:sz w:val="17"/>
                <w:szCs w:val="17"/>
              </w:rPr>
              <w:t>3,746 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D2"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D3"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CD4" w14:textId="77777777" w:rsidR="009C6E2F" w:rsidRDefault="007972BE">
            <w:pPr>
              <w:jc w:val="right"/>
              <w:textAlignment w:val="bottom"/>
            </w:pPr>
            <w:r>
              <w:rPr>
                <w:rFonts w:ascii="Arial" w:eastAsia="宋体" w:hAnsi="Arial" w:cs="Arial"/>
                <w:color w:val="000000"/>
                <w:sz w:val="17"/>
                <w:szCs w:val="17"/>
              </w:rPr>
              <w:t>4,463 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D5" w14:textId="77777777" w:rsidR="009C6E2F" w:rsidRDefault="009C6E2F">
            <w:pPr>
              <w:jc w:val="right"/>
              <w:rPr>
                <w:rFonts w:ascii="宋体"/>
              </w:rPr>
            </w:pPr>
          </w:p>
        </w:tc>
      </w:tr>
      <w:tr w:rsidR="009C6E2F" w14:paraId="2470BCD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D7" w14:textId="77777777" w:rsidR="009C6E2F" w:rsidRDefault="007972BE">
            <w:pPr>
              <w:textAlignment w:val="bottom"/>
            </w:pPr>
            <w:r>
              <w:rPr>
                <w:rFonts w:ascii="Arial" w:eastAsia="宋体" w:hAnsi="Arial" w:cs="Arial"/>
                <w:color w:val="000000"/>
                <w:sz w:val="17"/>
                <w:szCs w:val="17"/>
              </w:rPr>
              <w:t>Inventories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CD8" w14:textId="77777777" w:rsidR="009C6E2F" w:rsidRDefault="007972BE">
            <w:pPr>
              <w:jc w:val="right"/>
              <w:textAlignment w:val="bottom"/>
            </w:pPr>
            <w:r>
              <w:rPr>
                <w:rFonts w:ascii="Arial" w:eastAsia="宋体" w:hAnsi="Arial" w:cs="Arial"/>
                <w:color w:val="000000"/>
                <w:sz w:val="17"/>
                <w:szCs w:val="17"/>
              </w:rPr>
              <w:t>6,506 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D9"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DA"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CDB" w14:textId="77777777" w:rsidR="009C6E2F" w:rsidRDefault="007972BE">
            <w:pPr>
              <w:jc w:val="right"/>
              <w:textAlignment w:val="bottom"/>
            </w:pPr>
            <w:r>
              <w:rPr>
                <w:rFonts w:ascii="Arial" w:eastAsia="宋体" w:hAnsi="Arial" w:cs="Arial"/>
                <w:color w:val="000000"/>
                <w:sz w:val="17"/>
                <w:szCs w:val="17"/>
              </w:rPr>
              <w:t>6,854 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DC" w14:textId="77777777" w:rsidR="009C6E2F" w:rsidRDefault="009C6E2F">
            <w:pPr>
              <w:jc w:val="right"/>
              <w:rPr>
                <w:rFonts w:ascii="宋体"/>
              </w:rPr>
            </w:pPr>
          </w:p>
        </w:tc>
      </w:tr>
      <w:tr w:rsidR="009C6E2F" w14:paraId="2470BCE4"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DE" w14:textId="77777777" w:rsidR="009C6E2F" w:rsidRDefault="007972BE">
            <w:pPr>
              <w:textAlignment w:val="bottom"/>
            </w:pPr>
            <w:r>
              <w:rPr>
                <w:rFonts w:ascii="Arial" w:eastAsia="宋体" w:hAnsi="Arial" w:cs="Arial"/>
                <w:color w:val="000000"/>
                <w:sz w:val="17"/>
                <w:szCs w:val="17"/>
              </w:rPr>
              <w:t xml:space="preserve">Prepaid </w:t>
            </w:r>
            <w:r>
              <w:rPr>
                <w:rFonts w:ascii="Arial" w:eastAsia="宋体" w:hAnsi="Arial" w:cs="Arial"/>
                <w:color w:val="000000"/>
                <w:sz w:val="17"/>
                <w:szCs w:val="17"/>
              </w:rPr>
              <w:t>expenses and other current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CDF" w14:textId="77777777" w:rsidR="009C6E2F" w:rsidRDefault="007972BE">
            <w:pPr>
              <w:jc w:val="right"/>
              <w:textAlignment w:val="bottom"/>
            </w:pPr>
            <w:r>
              <w:rPr>
                <w:rFonts w:ascii="Arial" w:eastAsia="宋体" w:hAnsi="Arial" w:cs="Arial"/>
                <w:color w:val="000000"/>
                <w:sz w:val="17"/>
                <w:szCs w:val="17"/>
              </w:rPr>
              <w:t>1,822 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E0"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E1"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CE2" w14:textId="77777777" w:rsidR="009C6E2F" w:rsidRDefault="007972BE">
            <w:pPr>
              <w:jc w:val="right"/>
              <w:textAlignment w:val="bottom"/>
            </w:pPr>
            <w:r>
              <w:rPr>
                <w:rFonts w:ascii="Arial" w:eastAsia="宋体" w:hAnsi="Arial" w:cs="Arial"/>
                <w:color w:val="000000"/>
                <w:sz w:val="17"/>
                <w:szCs w:val="17"/>
              </w:rPr>
              <w:t>1,498 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E3" w14:textId="77777777" w:rsidR="009C6E2F" w:rsidRDefault="009C6E2F">
            <w:pPr>
              <w:jc w:val="right"/>
              <w:rPr>
                <w:rFonts w:ascii="宋体"/>
              </w:rPr>
            </w:pPr>
          </w:p>
        </w:tc>
      </w:tr>
      <w:tr w:rsidR="009C6E2F" w14:paraId="2470BC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CE5" w14:textId="77777777" w:rsidR="009C6E2F" w:rsidRDefault="007972BE">
            <w:pPr>
              <w:textAlignment w:val="bottom"/>
            </w:pPr>
            <w:r>
              <w:rPr>
                <w:rFonts w:ascii="Arial" w:eastAsia="宋体" w:hAnsi="Arial" w:cs="Arial"/>
                <w:color w:val="000000"/>
                <w:sz w:val="17"/>
                <w:szCs w:val="17"/>
              </w:rPr>
              <w:t>Total current assets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CE6" w14:textId="77777777" w:rsidR="009C6E2F" w:rsidRDefault="007972BE">
            <w:pPr>
              <w:jc w:val="right"/>
              <w:textAlignment w:val="bottom"/>
            </w:pPr>
            <w:r>
              <w:rPr>
                <w:rFonts w:ascii="Arial" w:eastAsia="宋体" w:hAnsi="Arial" w:cs="Arial"/>
                <w:color w:val="000000"/>
                <w:sz w:val="17"/>
                <w:szCs w:val="17"/>
              </w:rPr>
              <w:t>27,177 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CE7"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CE8"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CE9" w14:textId="77777777" w:rsidR="009C6E2F" w:rsidRDefault="007972BE">
            <w:pPr>
              <w:jc w:val="right"/>
              <w:textAlignment w:val="bottom"/>
            </w:pPr>
            <w:r>
              <w:rPr>
                <w:rFonts w:ascii="Arial" w:eastAsia="宋体" w:hAnsi="Arial" w:cs="Arial"/>
                <w:color w:val="000000"/>
                <w:sz w:val="17"/>
                <w:szCs w:val="17"/>
              </w:rPr>
              <w:t>26,291 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CEA" w14:textId="77777777" w:rsidR="009C6E2F" w:rsidRDefault="009C6E2F">
            <w:pPr>
              <w:jc w:val="right"/>
              <w:rPr>
                <w:rFonts w:ascii="宋体"/>
              </w:rPr>
            </w:pPr>
          </w:p>
        </w:tc>
      </w:tr>
      <w:tr w:rsidR="009C6E2F" w14:paraId="2470BCF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EC" w14:textId="77777777" w:rsidR="009C6E2F" w:rsidRDefault="007972BE">
            <w:pPr>
              <w:textAlignment w:val="bottom"/>
            </w:pPr>
            <w:r>
              <w:rPr>
                <w:rFonts w:ascii="Arial" w:eastAsia="宋体" w:hAnsi="Arial" w:cs="Arial"/>
                <w:color w:val="000000"/>
                <w:sz w:val="17"/>
                <w:szCs w:val="17"/>
              </w:rPr>
              <w:t>Property, plant and equipment,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CED" w14:textId="77777777" w:rsidR="009C6E2F" w:rsidRDefault="007972BE">
            <w:pPr>
              <w:jc w:val="right"/>
              <w:textAlignment w:val="bottom"/>
            </w:pPr>
            <w:r>
              <w:rPr>
                <w:rFonts w:ascii="Arial" w:eastAsia="宋体" w:hAnsi="Arial" w:cs="Arial"/>
                <w:color w:val="000000"/>
                <w:sz w:val="17"/>
                <w:szCs w:val="17"/>
              </w:rPr>
              <w:t>4,812 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EE"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EF"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CF0" w14:textId="77777777" w:rsidR="009C6E2F" w:rsidRDefault="007972BE">
            <w:pPr>
              <w:jc w:val="right"/>
              <w:textAlignment w:val="bottom"/>
            </w:pPr>
            <w:r>
              <w:rPr>
                <w:rFonts w:ascii="Arial" w:eastAsia="宋体" w:hAnsi="Arial" w:cs="Arial"/>
                <w:color w:val="000000"/>
                <w:sz w:val="17"/>
                <w:szCs w:val="17"/>
              </w:rPr>
              <w:t>4,904 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F1" w14:textId="77777777" w:rsidR="009C6E2F" w:rsidRDefault="009C6E2F">
            <w:pPr>
              <w:jc w:val="right"/>
              <w:rPr>
                <w:rFonts w:ascii="宋体"/>
              </w:rPr>
            </w:pPr>
          </w:p>
        </w:tc>
      </w:tr>
      <w:tr w:rsidR="009C6E2F" w14:paraId="2470BCF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F3" w14:textId="77777777" w:rsidR="009C6E2F" w:rsidRDefault="007972BE">
            <w:pPr>
              <w:textAlignment w:val="bottom"/>
            </w:pPr>
            <w:r>
              <w:rPr>
                <w:rFonts w:ascii="Arial" w:eastAsia="宋体" w:hAnsi="Arial" w:cs="Arial"/>
                <w:color w:val="000000"/>
                <w:sz w:val="17"/>
                <w:szCs w:val="17"/>
              </w:rPr>
              <w:t>Operating lease right-of-use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CF4" w14:textId="77777777" w:rsidR="009C6E2F" w:rsidRDefault="007972BE">
            <w:pPr>
              <w:jc w:val="right"/>
              <w:textAlignment w:val="bottom"/>
            </w:pPr>
            <w:r>
              <w:rPr>
                <w:rFonts w:ascii="Arial" w:eastAsia="宋体" w:hAnsi="Arial" w:cs="Arial"/>
                <w:color w:val="000000"/>
                <w:sz w:val="17"/>
                <w:szCs w:val="17"/>
              </w:rPr>
              <w:t>3,017 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F5"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F6"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CF7" w14:textId="77777777" w:rsidR="009C6E2F" w:rsidRDefault="007972BE">
            <w:pPr>
              <w:jc w:val="right"/>
              <w:textAlignment w:val="bottom"/>
            </w:pPr>
            <w:r>
              <w:rPr>
                <w:rFonts w:ascii="Arial" w:eastAsia="宋体" w:hAnsi="Arial" w:cs="Arial"/>
                <w:color w:val="000000"/>
                <w:sz w:val="17"/>
                <w:szCs w:val="17"/>
              </w:rPr>
              <w:t>3,113 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F8" w14:textId="77777777" w:rsidR="009C6E2F" w:rsidRDefault="009C6E2F">
            <w:pPr>
              <w:jc w:val="right"/>
              <w:rPr>
                <w:rFonts w:ascii="宋体"/>
              </w:rPr>
            </w:pPr>
          </w:p>
        </w:tc>
      </w:tr>
      <w:tr w:rsidR="009C6E2F" w14:paraId="2470BD00"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CFA" w14:textId="77777777" w:rsidR="009C6E2F" w:rsidRDefault="007972BE">
            <w:pPr>
              <w:textAlignment w:val="bottom"/>
            </w:pPr>
            <w:r>
              <w:rPr>
                <w:rFonts w:ascii="Arial" w:eastAsia="宋体" w:hAnsi="Arial" w:cs="Arial"/>
                <w:color w:val="000000"/>
                <w:sz w:val="17"/>
                <w:szCs w:val="17"/>
              </w:rPr>
              <w:t>Identifiable intangible assets, net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CFB" w14:textId="77777777" w:rsidR="009C6E2F" w:rsidRDefault="007972BE">
            <w:pPr>
              <w:jc w:val="right"/>
              <w:textAlignment w:val="bottom"/>
            </w:pPr>
            <w:r>
              <w:rPr>
                <w:rFonts w:ascii="Arial" w:eastAsia="宋体" w:hAnsi="Arial" w:cs="Arial"/>
                <w:color w:val="000000"/>
                <w:sz w:val="17"/>
                <w:szCs w:val="17"/>
              </w:rPr>
              <w:t>265 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CFC"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CFD"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CFE" w14:textId="77777777" w:rsidR="009C6E2F" w:rsidRDefault="007972BE">
            <w:pPr>
              <w:jc w:val="right"/>
              <w:textAlignment w:val="bottom"/>
            </w:pPr>
            <w:r>
              <w:rPr>
                <w:rFonts w:ascii="Arial" w:eastAsia="宋体" w:hAnsi="Arial" w:cs="Arial"/>
                <w:color w:val="000000"/>
                <w:sz w:val="17"/>
                <w:szCs w:val="17"/>
              </w:rPr>
              <w:t>269 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CFF" w14:textId="77777777" w:rsidR="009C6E2F" w:rsidRDefault="009C6E2F">
            <w:pPr>
              <w:jc w:val="right"/>
              <w:rPr>
                <w:rFonts w:ascii="宋体"/>
              </w:rPr>
            </w:pPr>
          </w:p>
        </w:tc>
      </w:tr>
      <w:tr w:rsidR="009C6E2F" w14:paraId="2470BD07"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01" w14:textId="77777777" w:rsidR="009C6E2F" w:rsidRDefault="007972BE">
            <w:pPr>
              <w:textAlignment w:val="bottom"/>
            </w:pPr>
            <w:r>
              <w:rPr>
                <w:rFonts w:ascii="Arial" w:eastAsia="宋体" w:hAnsi="Arial" w:cs="Arial"/>
                <w:color w:val="000000"/>
                <w:sz w:val="17"/>
                <w:szCs w:val="17"/>
              </w:rPr>
              <w:t>Goodwill</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02" w14:textId="77777777" w:rsidR="009C6E2F" w:rsidRDefault="007972BE">
            <w:pPr>
              <w:jc w:val="right"/>
              <w:textAlignment w:val="bottom"/>
            </w:pPr>
            <w:r>
              <w:rPr>
                <w:rFonts w:ascii="Arial" w:eastAsia="宋体" w:hAnsi="Arial" w:cs="Arial"/>
                <w:color w:val="000000"/>
                <w:sz w:val="17"/>
                <w:szCs w:val="17"/>
              </w:rPr>
              <w:t>242 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03"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04"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05" w14:textId="77777777" w:rsidR="009C6E2F" w:rsidRDefault="007972BE">
            <w:pPr>
              <w:jc w:val="right"/>
              <w:textAlignment w:val="bottom"/>
            </w:pPr>
            <w:r>
              <w:rPr>
                <w:rFonts w:ascii="Arial" w:eastAsia="宋体" w:hAnsi="Arial" w:cs="Arial"/>
                <w:color w:val="000000"/>
                <w:sz w:val="17"/>
                <w:szCs w:val="17"/>
              </w:rPr>
              <w:t>242 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06" w14:textId="77777777" w:rsidR="009C6E2F" w:rsidRDefault="009C6E2F">
            <w:pPr>
              <w:jc w:val="right"/>
              <w:rPr>
                <w:rFonts w:ascii="宋体"/>
              </w:rPr>
            </w:pPr>
          </w:p>
        </w:tc>
      </w:tr>
      <w:tr w:rsidR="009C6E2F" w14:paraId="2470BD0E"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08" w14:textId="77777777" w:rsidR="009C6E2F" w:rsidRDefault="007972BE">
            <w:pPr>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09" w14:textId="77777777" w:rsidR="009C6E2F" w:rsidRDefault="007972BE">
            <w:pPr>
              <w:jc w:val="right"/>
              <w:textAlignment w:val="bottom"/>
            </w:pPr>
            <w:r>
              <w:rPr>
                <w:rFonts w:ascii="Arial" w:eastAsia="宋体" w:hAnsi="Arial" w:cs="Arial"/>
                <w:color w:val="000000"/>
                <w:sz w:val="17"/>
                <w:szCs w:val="17"/>
              </w:rPr>
              <w:t>3,404 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0A"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0B"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0C" w14:textId="77777777" w:rsidR="009C6E2F" w:rsidRDefault="007972BE">
            <w:pPr>
              <w:jc w:val="right"/>
              <w:textAlignment w:val="bottom"/>
            </w:pPr>
            <w:r>
              <w:rPr>
                <w:rFonts w:ascii="Arial" w:eastAsia="宋体" w:hAnsi="Arial" w:cs="Arial"/>
                <w:color w:val="000000"/>
                <w:sz w:val="17"/>
                <w:szCs w:val="17"/>
              </w:rPr>
              <w:t>2,921 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0D" w14:textId="77777777" w:rsidR="009C6E2F" w:rsidRDefault="009C6E2F">
            <w:pPr>
              <w:jc w:val="right"/>
              <w:rPr>
                <w:rFonts w:ascii="宋体"/>
              </w:rPr>
            </w:pPr>
          </w:p>
        </w:tc>
      </w:tr>
      <w:tr w:rsidR="009C6E2F" w14:paraId="2470BD1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D0F" w14:textId="77777777" w:rsidR="009C6E2F" w:rsidRDefault="007972BE">
            <w:pPr>
              <w:textAlignment w:val="bottom"/>
            </w:pPr>
            <w:r>
              <w:rPr>
                <w:rFonts w:ascii="Arial" w:eastAsia="宋体" w:hAnsi="Arial" w:cs="Arial"/>
                <w:b/>
                <w:bCs/>
                <w:color w:val="000000"/>
                <w:sz w:val="17"/>
                <w:szCs w:val="17"/>
              </w:rPr>
              <w:t>TOTAL ASSETS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BD1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D11" w14:textId="77777777" w:rsidR="009C6E2F" w:rsidRDefault="007972BE">
            <w:pPr>
              <w:jc w:val="right"/>
              <w:textAlignment w:val="bottom"/>
            </w:pPr>
            <w:r>
              <w:rPr>
                <w:rFonts w:ascii="Arial" w:eastAsia="宋体" w:hAnsi="Arial" w:cs="Arial"/>
                <w:b/>
                <w:bCs/>
                <w:color w:val="000000"/>
                <w:sz w:val="17"/>
                <w:szCs w:val="17"/>
              </w:rPr>
              <w:t>38,917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D12"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D13"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D1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D15" w14:textId="77777777" w:rsidR="009C6E2F" w:rsidRDefault="007972BE">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D16" w14:textId="77777777" w:rsidR="009C6E2F" w:rsidRDefault="009C6E2F">
            <w:pPr>
              <w:jc w:val="right"/>
              <w:rPr>
                <w:rFonts w:ascii="宋体"/>
              </w:rPr>
            </w:pPr>
          </w:p>
        </w:tc>
      </w:tr>
      <w:tr w:rsidR="009C6E2F" w14:paraId="2470BD1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D18" w14:textId="77777777" w:rsidR="009C6E2F" w:rsidRDefault="007972BE">
            <w:pPr>
              <w:textAlignment w:val="bottom"/>
            </w:pPr>
            <w:r>
              <w:rPr>
                <w:rFonts w:ascii="Arial" w:eastAsia="宋体" w:hAnsi="Arial" w:cs="Arial"/>
                <w:b/>
                <w:bCs/>
                <w:color w:val="000000"/>
                <w:sz w:val="17"/>
                <w:szCs w:val="17"/>
              </w:rPr>
              <w:t>LIABILITIES AND SHAREHOLDERS' EQUITY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D1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D1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D1B" w14:textId="77777777" w:rsidR="009C6E2F" w:rsidRDefault="009C6E2F">
            <w:pPr>
              <w:rPr>
                <w:rFonts w:ascii="宋体"/>
              </w:rPr>
            </w:pPr>
          </w:p>
        </w:tc>
      </w:tr>
      <w:tr w:rsidR="009C6E2F" w14:paraId="2470BD21"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470BD1D" w14:textId="77777777" w:rsidR="009C6E2F" w:rsidRDefault="007972BE">
            <w:pPr>
              <w:textAlignment w:val="bottom"/>
            </w:pPr>
            <w:r>
              <w:rPr>
                <w:rFonts w:ascii="Arial" w:eastAsia="宋体" w:hAnsi="Arial" w:cs="Arial"/>
                <w:color w:val="000000"/>
                <w:sz w:val="17"/>
                <w:szCs w:val="17"/>
              </w:rPr>
              <w:t>Current liabilities:</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470BD1E"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1F"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20" w14:textId="77777777" w:rsidR="009C6E2F" w:rsidRDefault="009C6E2F">
            <w:pPr>
              <w:rPr>
                <w:rFonts w:ascii="宋体"/>
              </w:rPr>
            </w:pPr>
          </w:p>
        </w:tc>
      </w:tr>
      <w:tr w:rsidR="009C6E2F" w14:paraId="2470BD2A"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22" w14:textId="77777777" w:rsidR="009C6E2F" w:rsidRDefault="007972BE">
            <w:pPr>
              <w:textAlignment w:val="bottom"/>
            </w:pPr>
            <w:r>
              <w:rPr>
                <w:rFonts w:ascii="Arial" w:eastAsia="宋体" w:hAnsi="Arial" w:cs="Arial"/>
                <w:color w:val="000000"/>
                <w:sz w:val="17"/>
                <w:szCs w:val="17"/>
              </w:rPr>
              <w:t>Current portion of long-term debt</w:t>
            </w:r>
          </w:p>
        </w:tc>
        <w:tc>
          <w:tcPr>
            <w:tcW w:w="0" w:type="auto"/>
            <w:tcBorders>
              <w:top w:val="single" w:sz="4" w:space="0" w:color="B6B6B6"/>
            </w:tcBorders>
            <w:shd w:val="clear" w:color="auto" w:fill="FFF1E7"/>
            <w:tcMar>
              <w:top w:w="40" w:type="dxa"/>
              <w:left w:w="20" w:type="dxa"/>
              <w:bottom w:w="40" w:type="dxa"/>
              <w:right w:w="0" w:type="dxa"/>
            </w:tcMar>
            <w:vAlign w:val="bottom"/>
          </w:tcPr>
          <w:p w14:paraId="2470BD2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FFF1E7"/>
            <w:tcMar>
              <w:top w:w="40" w:type="dxa"/>
              <w:left w:w="0" w:type="dxa"/>
              <w:bottom w:w="40" w:type="dxa"/>
              <w:right w:w="0" w:type="dxa"/>
            </w:tcMar>
            <w:vAlign w:val="bottom"/>
          </w:tcPr>
          <w:p w14:paraId="2470BD2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25"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26" w14:textId="77777777" w:rsidR="009C6E2F" w:rsidRDefault="009C6E2F">
            <w:pPr>
              <w:rPr>
                <w:rFonts w:ascii="宋体"/>
              </w:rPr>
            </w:pPr>
          </w:p>
        </w:tc>
        <w:tc>
          <w:tcPr>
            <w:tcW w:w="0" w:type="auto"/>
            <w:tcBorders>
              <w:top w:val="single" w:sz="4" w:space="0" w:color="B6B6B6"/>
            </w:tcBorders>
            <w:shd w:val="clear" w:color="auto" w:fill="auto"/>
            <w:tcMar>
              <w:top w:w="40" w:type="dxa"/>
              <w:left w:w="20" w:type="dxa"/>
              <w:bottom w:w="40" w:type="dxa"/>
              <w:right w:w="0" w:type="dxa"/>
            </w:tcMar>
            <w:vAlign w:val="bottom"/>
          </w:tcPr>
          <w:p w14:paraId="2470BD2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B6B6B6"/>
            </w:tcBorders>
            <w:shd w:val="clear" w:color="auto" w:fill="auto"/>
            <w:tcMar>
              <w:top w:w="40" w:type="dxa"/>
              <w:left w:w="0" w:type="dxa"/>
              <w:bottom w:w="40" w:type="dxa"/>
              <w:right w:w="0" w:type="dxa"/>
            </w:tcMar>
            <w:vAlign w:val="bottom"/>
          </w:tcPr>
          <w:p w14:paraId="2470BD2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29" w14:textId="77777777" w:rsidR="009C6E2F" w:rsidRDefault="009C6E2F">
            <w:pPr>
              <w:jc w:val="right"/>
              <w:rPr>
                <w:rFonts w:ascii="宋体"/>
              </w:rPr>
            </w:pPr>
          </w:p>
        </w:tc>
      </w:tr>
      <w:tr w:rsidR="009C6E2F" w14:paraId="2470BD31"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2B" w14:textId="77777777" w:rsidR="009C6E2F" w:rsidRDefault="007972BE">
            <w:pPr>
              <w:textAlignment w:val="bottom"/>
            </w:pPr>
            <w:r>
              <w:rPr>
                <w:rFonts w:ascii="Arial" w:eastAsia="宋体" w:hAnsi="Arial" w:cs="Arial"/>
                <w:color w:val="000000"/>
                <w:sz w:val="17"/>
                <w:szCs w:val="17"/>
              </w:rPr>
              <w:t>Notes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2C"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2D"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2E"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2F"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30" w14:textId="77777777" w:rsidR="009C6E2F" w:rsidRDefault="009C6E2F">
            <w:pPr>
              <w:jc w:val="right"/>
              <w:rPr>
                <w:rFonts w:ascii="宋体"/>
              </w:rPr>
            </w:pPr>
          </w:p>
        </w:tc>
      </w:tr>
      <w:tr w:rsidR="009C6E2F" w14:paraId="2470BD38"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32" w14:textId="77777777" w:rsidR="009C6E2F" w:rsidRDefault="007972BE">
            <w:pPr>
              <w:textAlignment w:val="bottom"/>
            </w:pPr>
            <w:r>
              <w:rPr>
                <w:rFonts w:ascii="Arial" w:eastAsia="宋体" w:hAnsi="Arial" w:cs="Arial"/>
                <w:color w:val="000000"/>
                <w:sz w:val="17"/>
                <w:szCs w:val="17"/>
              </w:rPr>
              <w:t>Accounts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33" w14:textId="77777777" w:rsidR="009C6E2F" w:rsidRDefault="007972BE">
            <w:pPr>
              <w:jc w:val="right"/>
              <w:textAlignment w:val="bottom"/>
            </w:pPr>
            <w:r>
              <w:rPr>
                <w:rFonts w:ascii="Arial" w:eastAsia="宋体" w:hAnsi="Arial" w:cs="Arial"/>
                <w:color w:val="000000"/>
                <w:sz w:val="17"/>
                <w:szCs w:val="17"/>
              </w:rPr>
              <w:t>2,795 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34"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35"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36" w14:textId="77777777" w:rsidR="009C6E2F" w:rsidRDefault="007972BE">
            <w:pPr>
              <w:jc w:val="right"/>
              <w:textAlignment w:val="bottom"/>
            </w:pPr>
            <w:r>
              <w:rPr>
                <w:rFonts w:ascii="Arial" w:eastAsia="宋体" w:hAnsi="Arial" w:cs="Arial"/>
                <w:color w:val="000000"/>
                <w:sz w:val="17"/>
                <w:szCs w:val="17"/>
              </w:rPr>
              <w:t>2,836 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37" w14:textId="77777777" w:rsidR="009C6E2F" w:rsidRDefault="009C6E2F">
            <w:pPr>
              <w:jc w:val="right"/>
              <w:rPr>
                <w:rFonts w:ascii="宋体"/>
              </w:rPr>
            </w:pPr>
          </w:p>
        </w:tc>
      </w:tr>
      <w:tr w:rsidR="009C6E2F" w14:paraId="2470BD3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39" w14:textId="77777777" w:rsidR="009C6E2F" w:rsidRDefault="007972BE">
            <w:pPr>
              <w:textAlignment w:val="bottom"/>
            </w:pPr>
            <w:r>
              <w:rPr>
                <w:rFonts w:ascii="Arial" w:eastAsia="宋体" w:hAnsi="Arial" w:cs="Arial"/>
                <w:color w:val="000000"/>
                <w:sz w:val="17"/>
                <w:szCs w:val="17"/>
              </w:rPr>
              <w:t>Current portion of 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3A" w14:textId="77777777" w:rsidR="009C6E2F" w:rsidRDefault="007972BE">
            <w:pPr>
              <w:jc w:val="right"/>
              <w:textAlignment w:val="bottom"/>
            </w:pPr>
            <w:r>
              <w:rPr>
                <w:rFonts w:ascii="Arial" w:eastAsia="宋体" w:hAnsi="Arial" w:cs="Arial"/>
                <w:color w:val="000000"/>
                <w:sz w:val="17"/>
                <w:szCs w:val="17"/>
              </w:rPr>
              <w:t>462 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3B"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3C"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3D" w14:textId="77777777" w:rsidR="009C6E2F" w:rsidRDefault="007972BE">
            <w:pPr>
              <w:jc w:val="right"/>
              <w:textAlignment w:val="bottom"/>
            </w:pPr>
            <w:r>
              <w:rPr>
                <w:rFonts w:ascii="Arial" w:eastAsia="宋体" w:hAnsi="Arial" w:cs="Arial"/>
                <w:color w:val="000000"/>
                <w:sz w:val="17"/>
                <w:szCs w:val="17"/>
              </w:rPr>
              <w:t>467 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3E" w14:textId="77777777" w:rsidR="009C6E2F" w:rsidRDefault="009C6E2F">
            <w:pPr>
              <w:jc w:val="right"/>
              <w:rPr>
                <w:rFonts w:ascii="宋体"/>
              </w:rPr>
            </w:pPr>
          </w:p>
        </w:tc>
      </w:tr>
      <w:tr w:rsidR="009C6E2F" w14:paraId="2470BD4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40" w14:textId="77777777" w:rsidR="009C6E2F" w:rsidRDefault="007972BE">
            <w:pPr>
              <w:textAlignment w:val="bottom"/>
            </w:pPr>
            <w:r>
              <w:rPr>
                <w:rFonts w:ascii="Arial" w:eastAsia="宋体" w:hAnsi="Arial" w:cs="Arial"/>
                <w:color w:val="000000"/>
                <w:sz w:val="17"/>
                <w:szCs w:val="17"/>
              </w:rPr>
              <w:t>Accrued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41" w14:textId="77777777" w:rsidR="009C6E2F" w:rsidRDefault="007972BE">
            <w:pPr>
              <w:jc w:val="right"/>
              <w:textAlignment w:val="bottom"/>
            </w:pPr>
            <w:r>
              <w:rPr>
                <w:rFonts w:ascii="Arial" w:eastAsia="宋体" w:hAnsi="Arial" w:cs="Arial"/>
                <w:color w:val="000000"/>
                <w:sz w:val="17"/>
                <w:szCs w:val="17"/>
              </w:rPr>
              <w:t>5,431 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42"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43"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44" w14:textId="77777777" w:rsidR="009C6E2F" w:rsidRDefault="007972BE">
            <w:pPr>
              <w:jc w:val="right"/>
              <w:textAlignment w:val="bottom"/>
            </w:pPr>
            <w:r>
              <w:rPr>
                <w:rFonts w:ascii="Arial" w:eastAsia="宋体" w:hAnsi="Arial" w:cs="Arial"/>
                <w:color w:val="000000"/>
                <w:sz w:val="17"/>
                <w:szCs w:val="17"/>
              </w:rPr>
              <w:t>6,063 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45" w14:textId="77777777" w:rsidR="009C6E2F" w:rsidRDefault="009C6E2F">
            <w:pPr>
              <w:jc w:val="right"/>
              <w:rPr>
                <w:rFonts w:ascii="宋体"/>
              </w:rPr>
            </w:pPr>
          </w:p>
        </w:tc>
      </w:tr>
      <w:tr w:rsidR="009C6E2F" w14:paraId="2470BD4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47" w14:textId="77777777" w:rsidR="009C6E2F" w:rsidRDefault="007972BE">
            <w:pPr>
              <w:textAlignment w:val="bottom"/>
            </w:pPr>
            <w:r>
              <w:rPr>
                <w:rFonts w:ascii="Arial" w:eastAsia="宋体" w:hAnsi="Arial" w:cs="Arial"/>
                <w:color w:val="000000"/>
                <w:sz w:val="17"/>
                <w:szCs w:val="17"/>
              </w:rPr>
              <w:t>Income taxes payable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48" w14:textId="77777777" w:rsidR="009C6E2F" w:rsidRDefault="007972BE">
            <w:pPr>
              <w:jc w:val="right"/>
              <w:textAlignment w:val="bottom"/>
            </w:pPr>
            <w:r>
              <w:rPr>
                <w:rFonts w:ascii="Arial" w:eastAsia="宋体" w:hAnsi="Arial" w:cs="Arial"/>
                <w:color w:val="000000"/>
                <w:sz w:val="17"/>
                <w:szCs w:val="17"/>
              </w:rPr>
              <w:t>160 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49"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4A"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4B" w14:textId="77777777" w:rsidR="009C6E2F" w:rsidRDefault="007972BE">
            <w:pPr>
              <w:jc w:val="right"/>
              <w:textAlignment w:val="bottom"/>
            </w:pPr>
            <w:r>
              <w:rPr>
                <w:rFonts w:ascii="Arial" w:eastAsia="宋体" w:hAnsi="Arial" w:cs="Arial"/>
                <w:color w:val="000000"/>
                <w:sz w:val="17"/>
                <w:szCs w:val="17"/>
              </w:rPr>
              <w:t>306 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4C" w14:textId="77777777" w:rsidR="009C6E2F" w:rsidRDefault="009C6E2F">
            <w:pPr>
              <w:jc w:val="right"/>
              <w:rPr>
                <w:rFonts w:ascii="宋体"/>
              </w:rPr>
            </w:pPr>
          </w:p>
        </w:tc>
      </w:tr>
      <w:tr w:rsidR="009C6E2F" w14:paraId="2470BD5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D4E" w14:textId="77777777" w:rsidR="009C6E2F" w:rsidRDefault="007972BE">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D4F" w14:textId="77777777" w:rsidR="009C6E2F" w:rsidRDefault="007972BE">
            <w:pPr>
              <w:jc w:val="right"/>
              <w:textAlignment w:val="bottom"/>
            </w:pPr>
            <w:r>
              <w:rPr>
                <w:rFonts w:ascii="Arial" w:eastAsia="宋体" w:hAnsi="Arial" w:cs="Arial"/>
                <w:color w:val="000000"/>
                <w:sz w:val="17"/>
                <w:szCs w:val="17"/>
              </w:rPr>
              <w:t>8,857 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D50"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D51"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D52" w14:textId="77777777" w:rsidR="009C6E2F" w:rsidRDefault="007972BE">
            <w:pPr>
              <w:jc w:val="right"/>
              <w:textAlignment w:val="bottom"/>
            </w:pPr>
            <w:r>
              <w:rPr>
                <w:rFonts w:ascii="Arial" w:eastAsia="宋体" w:hAnsi="Arial" w:cs="Arial"/>
                <w:color w:val="000000"/>
                <w:sz w:val="17"/>
                <w:szCs w:val="17"/>
              </w:rPr>
              <w:t>9,674 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D53" w14:textId="77777777" w:rsidR="009C6E2F" w:rsidRDefault="009C6E2F">
            <w:pPr>
              <w:jc w:val="right"/>
              <w:rPr>
                <w:rFonts w:ascii="宋体"/>
              </w:rPr>
            </w:pPr>
          </w:p>
        </w:tc>
      </w:tr>
      <w:tr w:rsidR="009C6E2F" w14:paraId="2470BD5B"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55" w14:textId="77777777" w:rsidR="009C6E2F" w:rsidRDefault="007972BE">
            <w:pPr>
              <w:textAlignment w:val="bottom"/>
            </w:pPr>
            <w:r>
              <w:rPr>
                <w:rFonts w:ascii="Arial" w:eastAsia="宋体" w:hAnsi="Arial" w:cs="Arial"/>
                <w:color w:val="000000"/>
                <w:sz w:val="17"/>
                <w:szCs w:val="17"/>
              </w:rPr>
              <w:t>Long-term debt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56" w14:textId="77777777" w:rsidR="009C6E2F" w:rsidRDefault="007972BE">
            <w:pPr>
              <w:jc w:val="right"/>
              <w:textAlignment w:val="bottom"/>
            </w:pPr>
            <w:r>
              <w:rPr>
                <w:rFonts w:ascii="Arial" w:eastAsia="宋体" w:hAnsi="Arial" w:cs="Arial"/>
                <w:color w:val="000000"/>
                <w:sz w:val="17"/>
                <w:szCs w:val="17"/>
              </w:rPr>
              <w:t>9,417 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57"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58"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59" w14:textId="77777777" w:rsidR="009C6E2F" w:rsidRDefault="007972BE">
            <w:pPr>
              <w:jc w:val="right"/>
              <w:textAlignment w:val="bottom"/>
            </w:pPr>
            <w:r>
              <w:rPr>
                <w:rFonts w:ascii="Arial" w:eastAsia="宋体" w:hAnsi="Arial" w:cs="Arial"/>
                <w:color w:val="000000"/>
                <w:sz w:val="17"/>
                <w:szCs w:val="17"/>
              </w:rPr>
              <w:t>9,413 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5A" w14:textId="77777777" w:rsidR="009C6E2F" w:rsidRDefault="009C6E2F">
            <w:pPr>
              <w:jc w:val="right"/>
              <w:rPr>
                <w:rFonts w:ascii="宋体"/>
              </w:rPr>
            </w:pPr>
          </w:p>
        </w:tc>
      </w:tr>
      <w:tr w:rsidR="009C6E2F" w14:paraId="2470BD62"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5C" w14:textId="77777777" w:rsidR="009C6E2F" w:rsidRDefault="007972BE">
            <w:pPr>
              <w:textAlignment w:val="bottom"/>
            </w:pPr>
            <w:r>
              <w:rPr>
                <w:rFonts w:ascii="Arial" w:eastAsia="宋体" w:hAnsi="Arial" w:cs="Arial"/>
                <w:color w:val="000000"/>
                <w:sz w:val="17"/>
                <w:szCs w:val="17"/>
              </w:rPr>
              <w:t>Operating lease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5D" w14:textId="77777777" w:rsidR="009C6E2F" w:rsidRDefault="007972BE">
            <w:pPr>
              <w:jc w:val="right"/>
              <w:textAlignment w:val="bottom"/>
            </w:pPr>
            <w:r>
              <w:rPr>
                <w:rFonts w:ascii="Arial" w:eastAsia="宋体" w:hAnsi="Arial" w:cs="Arial"/>
                <w:color w:val="000000"/>
                <w:sz w:val="17"/>
                <w:szCs w:val="17"/>
              </w:rPr>
              <w:t>2,835 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5E"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5F"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60" w14:textId="77777777" w:rsidR="009C6E2F" w:rsidRDefault="007972BE">
            <w:pPr>
              <w:jc w:val="right"/>
              <w:textAlignment w:val="bottom"/>
            </w:pPr>
            <w:r>
              <w:rPr>
                <w:rFonts w:ascii="Arial" w:eastAsia="宋体" w:hAnsi="Arial" w:cs="Arial"/>
                <w:color w:val="000000"/>
                <w:sz w:val="17"/>
                <w:szCs w:val="17"/>
              </w:rPr>
              <w:t>2,931 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61" w14:textId="77777777" w:rsidR="009C6E2F" w:rsidRDefault="009C6E2F">
            <w:pPr>
              <w:jc w:val="right"/>
              <w:rPr>
                <w:rFonts w:ascii="宋体"/>
              </w:rPr>
            </w:pPr>
          </w:p>
        </w:tc>
      </w:tr>
      <w:tr w:rsidR="009C6E2F" w14:paraId="2470BD69"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63" w14:textId="77777777" w:rsidR="009C6E2F" w:rsidRDefault="007972BE">
            <w:pPr>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64" w14:textId="77777777" w:rsidR="009C6E2F" w:rsidRDefault="007972BE">
            <w:pPr>
              <w:jc w:val="right"/>
              <w:textAlignment w:val="bottom"/>
            </w:pPr>
            <w:r>
              <w:rPr>
                <w:rFonts w:ascii="Arial" w:eastAsia="宋体" w:hAnsi="Arial" w:cs="Arial"/>
                <w:color w:val="000000"/>
                <w:sz w:val="17"/>
                <w:szCs w:val="17"/>
              </w:rPr>
              <w:t>2,884 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65"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66"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67" w14:textId="77777777" w:rsidR="009C6E2F" w:rsidRDefault="007972BE">
            <w:pPr>
              <w:jc w:val="right"/>
              <w:textAlignment w:val="bottom"/>
            </w:pPr>
            <w:r>
              <w:rPr>
                <w:rFonts w:ascii="Arial" w:eastAsia="宋体" w:hAnsi="Arial" w:cs="Arial"/>
                <w:color w:val="000000"/>
                <w:sz w:val="17"/>
                <w:szCs w:val="17"/>
              </w:rPr>
              <w:t>2,955 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68" w14:textId="77777777" w:rsidR="009C6E2F" w:rsidRDefault="009C6E2F">
            <w:pPr>
              <w:jc w:val="right"/>
              <w:rPr>
                <w:rFonts w:ascii="宋体"/>
              </w:rPr>
            </w:pPr>
          </w:p>
        </w:tc>
      </w:tr>
      <w:tr w:rsidR="009C6E2F" w14:paraId="2470BD70"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6A" w14:textId="77777777" w:rsidR="009C6E2F" w:rsidRDefault="007972BE">
            <w:pPr>
              <w:textAlignment w:val="bottom"/>
            </w:pPr>
            <w:r>
              <w:rPr>
                <w:rFonts w:ascii="Arial" w:eastAsia="宋体" w:hAnsi="Arial" w:cs="Arial"/>
                <w:color w:val="000000"/>
                <w:sz w:val="17"/>
                <w:szCs w:val="17"/>
              </w:rPr>
              <w:t>Redeemable preferred stock</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6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6C"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6D"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6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6F" w14:textId="77777777" w:rsidR="009C6E2F" w:rsidRDefault="009C6E2F">
            <w:pPr>
              <w:jc w:val="right"/>
              <w:rPr>
                <w:rFonts w:ascii="宋体"/>
              </w:rPr>
            </w:pPr>
          </w:p>
        </w:tc>
      </w:tr>
      <w:tr w:rsidR="009C6E2F" w14:paraId="2470BD75"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71" w14:textId="77777777" w:rsidR="009C6E2F" w:rsidRDefault="007972BE">
            <w:pPr>
              <w:textAlignment w:val="bottom"/>
            </w:pPr>
            <w:r>
              <w:rPr>
                <w:rFonts w:ascii="Arial" w:eastAsia="宋体" w:hAnsi="Arial" w:cs="Arial"/>
                <w:color w:val="000000"/>
                <w:sz w:val="17"/>
                <w:szCs w:val="17"/>
              </w:rPr>
              <w:t>Shareholders' equity:</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470BD72"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73"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74" w14:textId="77777777" w:rsidR="009C6E2F" w:rsidRDefault="009C6E2F">
            <w:pPr>
              <w:rPr>
                <w:rFonts w:ascii="宋体"/>
              </w:rPr>
            </w:pPr>
          </w:p>
        </w:tc>
      </w:tr>
      <w:tr w:rsidR="009C6E2F" w14:paraId="2470BD7A"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76" w14:textId="77777777" w:rsidR="009C6E2F" w:rsidRDefault="007972BE">
            <w:pPr>
              <w:textAlignment w:val="bottom"/>
            </w:pPr>
            <w:r>
              <w:rPr>
                <w:rFonts w:ascii="Arial" w:eastAsia="宋体" w:hAnsi="Arial" w:cs="Arial"/>
                <w:color w:val="000000"/>
                <w:sz w:val="17"/>
                <w:szCs w:val="17"/>
              </w:rPr>
              <w:t>Common stock at stated value:</w:t>
            </w:r>
          </w:p>
        </w:tc>
        <w:tc>
          <w:tcPr>
            <w:tcW w:w="0" w:type="auto"/>
            <w:gridSpan w:val="3"/>
            <w:tcBorders>
              <w:top w:val="single" w:sz="4" w:space="0" w:color="B6B6B6"/>
            </w:tcBorders>
            <w:shd w:val="clear" w:color="auto" w:fill="FFF1E7"/>
            <w:tcMar>
              <w:top w:w="0" w:type="dxa"/>
              <w:left w:w="20" w:type="dxa"/>
              <w:bottom w:w="0" w:type="dxa"/>
              <w:right w:w="20" w:type="dxa"/>
            </w:tcMar>
            <w:vAlign w:val="bottom"/>
          </w:tcPr>
          <w:p w14:paraId="2470BD77"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78" w14:textId="77777777" w:rsidR="009C6E2F" w:rsidRDefault="009C6E2F">
            <w:pPr>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79" w14:textId="77777777" w:rsidR="009C6E2F" w:rsidRDefault="009C6E2F">
            <w:pPr>
              <w:rPr>
                <w:rFonts w:ascii="宋体"/>
              </w:rPr>
            </w:pPr>
          </w:p>
        </w:tc>
      </w:tr>
      <w:tr w:rsidR="009C6E2F" w14:paraId="2470BD81"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470BD7B"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Class A convertible — 305 and 305 shares </w:t>
            </w:r>
            <w:r>
              <w:rPr>
                <w:rFonts w:ascii="Arial" w:eastAsia="宋体" w:hAnsi="Arial" w:cs="Arial"/>
                <w:color w:val="000000"/>
                <w:sz w:val="17"/>
                <w:szCs w:val="17"/>
              </w:rPr>
              <w:t>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7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7D"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7E"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7F"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80" w14:textId="77777777" w:rsidR="009C6E2F" w:rsidRDefault="009C6E2F">
            <w:pPr>
              <w:jc w:val="right"/>
              <w:rPr>
                <w:rFonts w:ascii="宋体"/>
              </w:rPr>
            </w:pPr>
          </w:p>
        </w:tc>
      </w:tr>
      <w:tr w:rsidR="009C6E2F" w14:paraId="2470BD88"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470BD82"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Class B — 1,278 and 1,273 shares outstanding</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83"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84"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85"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86"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87" w14:textId="77777777" w:rsidR="009C6E2F" w:rsidRDefault="009C6E2F">
            <w:pPr>
              <w:jc w:val="right"/>
              <w:rPr>
                <w:rFonts w:ascii="宋体"/>
              </w:rPr>
            </w:pPr>
          </w:p>
        </w:tc>
      </w:tr>
      <w:tr w:rsidR="009C6E2F" w14:paraId="2470BD8F"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89" w14:textId="77777777" w:rsidR="009C6E2F" w:rsidRDefault="007972BE">
            <w:pPr>
              <w:textAlignment w:val="bottom"/>
            </w:pPr>
            <w:r>
              <w:rPr>
                <w:rFonts w:ascii="Arial" w:eastAsia="宋体" w:hAnsi="Arial" w:cs="Arial"/>
                <w:color w:val="000000"/>
                <w:sz w:val="17"/>
                <w:szCs w:val="17"/>
              </w:rPr>
              <w:t>Capital in excess of stated value</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8A" w14:textId="77777777" w:rsidR="009C6E2F" w:rsidRDefault="007972BE">
            <w:pPr>
              <w:jc w:val="right"/>
              <w:textAlignment w:val="bottom"/>
            </w:pPr>
            <w:r>
              <w:rPr>
                <w:rFonts w:ascii="Arial" w:eastAsia="宋体" w:hAnsi="Arial" w:cs="Arial"/>
                <w:color w:val="000000"/>
                <w:sz w:val="17"/>
                <w:szCs w:val="17"/>
              </w:rPr>
              <w:t>10,990 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8B"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8C"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8D" w14:textId="77777777" w:rsidR="009C6E2F" w:rsidRDefault="007972BE">
            <w:pPr>
              <w:jc w:val="right"/>
              <w:textAlignment w:val="bottom"/>
            </w:pPr>
            <w:r>
              <w:rPr>
                <w:rFonts w:ascii="Arial" w:eastAsia="宋体" w:hAnsi="Arial" w:cs="Arial"/>
                <w:color w:val="000000"/>
                <w:sz w:val="17"/>
                <w:szCs w:val="17"/>
              </w:rPr>
              <w:t>9,965 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8E" w14:textId="77777777" w:rsidR="009C6E2F" w:rsidRDefault="009C6E2F">
            <w:pPr>
              <w:jc w:val="right"/>
              <w:rPr>
                <w:rFonts w:ascii="宋体"/>
              </w:rPr>
            </w:pPr>
          </w:p>
        </w:tc>
      </w:tr>
      <w:tr w:rsidR="009C6E2F" w14:paraId="2470BD96"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90" w14:textId="77777777" w:rsidR="009C6E2F" w:rsidRDefault="007972BE">
            <w:pPr>
              <w:textAlignment w:val="bottom"/>
            </w:pPr>
            <w:r>
              <w:rPr>
                <w:rFonts w:ascii="Arial" w:eastAsia="宋体" w:hAnsi="Arial" w:cs="Arial"/>
                <w:color w:val="000000"/>
                <w:sz w:val="17"/>
                <w:szCs w:val="17"/>
              </w:rPr>
              <w:t>Accumulated other comprehensive income (loss)</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91" w14:textId="77777777" w:rsidR="009C6E2F" w:rsidRDefault="007972BE">
            <w:pPr>
              <w:jc w:val="right"/>
              <w:textAlignment w:val="bottom"/>
            </w:pPr>
            <w:r>
              <w:rPr>
                <w:rFonts w:ascii="Arial" w:eastAsia="宋体" w:hAnsi="Arial" w:cs="Arial"/>
                <w:color w:val="000000"/>
                <w:sz w:val="17"/>
                <w:szCs w:val="17"/>
              </w:rPr>
              <w:t>145 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92"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93"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94" w14:textId="77777777" w:rsidR="009C6E2F" w:rsidRDefault="007972BE">
            <w:pPr>
              <w:jc w:val="right"/>
              <w:textAlignment w:val="bottom"/>
            </w:pPr>
            <w:r>
              <w:rPr>
                <w:rFonts w:ascii="Arial" w:eastAsia="宋体" w:hAnsi="Arial" w:cs="Arial"/>
                <w:color w:val="000000"/>
                <w:sz w:val="17"/>
                <w:szCs w:val="17"/>
              </w:rPr>
              <w:t>(380)</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95" w14:textId="77777777" w:rsidR="009C6E2F" w:rsidRDefault="009C6E2F">
            <w:pPr>
              <w:jc w:val="right"/>
              <w:rPr>
                <w:rFonts w:ascii="宋体"/>
              </w:rPr>
            </w:pPr>
          </w:p>
        </w:tc>
      </w:tr>
      <w:tr w:rsidR="009C6E2F" w14:paraId="2470BD9D" w14:textId="77777777">
        <w:tc>
          <w:tcPr>
            <w:tcW w:w="0" w:type="auto"/>
            <w:gridSpan w:val="3"/>
            <w:tcBorders>
              <w:top w:val="single" w:sz="4" w:space="0" w:color="B6B6B6"/>
            </w:tcBorders>
            <w:shd w:val="clear" w:color="auto" w:fill="auto"/>
            <w:tcMar>
              <w:top w:w="40" w:type="dxa"/>
              <w:left w:w="155" w:type="dxa"/>
              <w:bottom w:w="40" w:type="dxa"/>
              <w:right w:w="20" w:type="dxa"/>
            </w:tcMar>
            <w:vAlign w:val="bottom"/>
          </w:tcPr>
          <w:p w14:paraId="2470BD97" w14:textId="77777777" w:rsidR="009C6E2F" w:rsidRDefault="007972BE">
            <w:pPr>
              <w:textAlignment w:val="bottom"/>
            </w:pPr>
            <w:r>
              <w:rPr>
                <w:rFonts w:ascii="Arial" w:eastAsia="宋体" w:hAnsi="Arial" w:cs="Arial"/>
                <w:color w:val="000000"/>
                <w:sz w:val="17"/>
                <w:szCs w:val="17"/>
              </w:rPr>
              <w:t>Retained earnings (deficit)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BD98" w14:textId="77777777" w:rsidR="009C6E2F" w:rsidRDefault="007972BE">
            <w:pPr>
              <w:jc w:val="right"/>
              <w:textAlignment w:val="bottom"/>
            </w:pPr>
            <w:r>
              <w:rPr>
                <w:rFonts w:ascii="Arial" w:eastAsia="宋体" w:hAnsi="Arial" w:cs="Arial"/>
                <w:color w:val="000000"/>
                <w:sz w:val="17"/>
                <w:szCs w:val="17"/>
              </w:rPr>
              <w:t>3,786 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BD99"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BD9A" w14:textId="77777777" w:rsidR="009C6E2F" w:rsidRDefault="009C6E2F">
            <w:pPr>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BD9B" w14:textId="77777777" w:rsidR="009C6E2F" w:rsidRDefault="007972BE">
            <w:pPr>
              <w:jc w:val="right"/>
              <w:textAlignment w:val="bottom"/>
            </w:pPr>
            <w:r>
              <w:rPr>
                <w:rFonts w:ascii="Arial" w:eastAsia="宋体" w:hAnsi="Arial" w:cs="Arial"/>
                <w:color w:val="000000"/>
                <w:sz w:val="17"/>
                <w:szCs w:val="17"/>
              </w:rPr>
              <w:t>3,179 </w:t>
            </w:r>
          </w:p>
        </w:tc>
        <w:tc>
          <w:tcPr>
            <w:tcW w:w="0" w:type="auto"/>
            <w:tcBorders>
              <w:top w:val="single" w:sz="4" w:space="0" w:color="B6B6B6"/>
            </w:tcBorders>
            <w:shd w:val="clear" w:color="auto" w:fill="auto"/>
            <w:tcMar>
              <w:top w:w="40" w:type="dxa"/>
              <w:left w:w="0" w:type="dxa"/>
              <w:bottom w:w="40" w:type="dxa"/>
              <w:right w:w="20" w:type="dxa"/>
            </w:tcMar>
            <w:vAlign w:val="bottom"/>
          </w:tcPr>
          <w:p w14:paraId="2470BD9C" w14:textId="77777777" w:rsidR="009C6E2F" w:rsidRDefault="009C6E2F">
            <w:pPr>
              <w:jc w:val="right"/>
              <w:rPr>
                <w:rFonts w:ascii="宋体"/>
              </w:rPr>
            </w:pPr>
          </w:p>
        </w:tc>
      </w:tr>
      <w:tr w:rsidR="009C6E2F" w14:paraId="2470BDA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D9E" w14:textId="77777777" w:rsidR="009C6E2F" w:rsidRDefault="007972BE">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shareholders' equity</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D9F" w14:textId="77777777" w:rsidR="009C6E2F" w:rsidRDefault="007972BE">
            <w:pPr>
              <w:jc w:val="right"/>
              <w:textAlignment w:val="bottom"/>
            </w:pPr>
            <w:r>
              <w:rPr>
                <w:rFonts w:ascii="Arial" w:eastAsia="宋体" w:hAnsi="Arial" w:cs="Arial"/>
                <w:color w:val="000000"/>
                <w:sz w:val="17"/>
                <w:szCs w:val="17"/>
              </w:rPr>
              <w:t>14,924 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DA0"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DA1"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DA2" w14:textId="77777777" w:rsidR="009C6E2F" w:rsidRDefault="007972BE">
            <w:pPr>
              <w:jc w:val="right"/>
              <w:textAlignment w:val="bottom"/>
            </w:pPr>
            <w:r>
              <w:rPr>
                <w:rFonts w:ascii="Arial" w:eastAsia="宋体" w:hAnsi="Arial" w:cs="Arial"/>
                <w:color w:val="000000"/>
                <w:sz w:val="17"/>
                <w:szCs w:val="17"/>
              </w:rPr>
              <w:t>12,767 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DA3" w14:textId="77777777" w:rsidR="009C6E2F" w:rsidRDefault="009C6E2F">
            <w:pPr>
              <w:jc w:val="right"/>
              <w:rPr>
                <w:rFonts w:ascii="宋体"/>
              </w:rPr>
            </w:pPr>
          </w:p>
        </w:tc>
      </w:tr>
      <w:tr w:rsidR="009C6E2F" w14:paraId="2470BDA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BDA5" w14:textId="77777777" w:rsidR="009C6E2F" w:rsidRDefault="007972BE">
            <w:pPr>
              <w:textAlignment w:val="bottom"/>
            </w:pPr>
            <w:r>
              <w:rPr>
                <w:rFonts w:ascii="Arial" w:eastAsia="宋体" w:hAnsi="Arial" w:cs="Arial"/>
                <w:b/>
                <w:bCs/>
                <w:color w:val="000000"/>
                <w:sz w:val="17"/>
                <w:szCs w:val="17"/>
              </w:rPr>
              <w:t>TOTAL LIABILITIES AND SHAREHOLDERS' EQUITY</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DA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DA7" w14:textId="77777777" w:rsidR="009C6E2F" w:rsidRDefault="007972BE">
            <w:pPr>
              <w:jc w:val="right"/>
              <w:textAlignment w:val="bottom"/>
            </w:pPr>
            <w:r>
              <w:rPr>
                <w:rFonts w:ascii="Arial" w:eastAsia="宋体" w:hAnsi="Arial" w:cs="Arial"/>
                <w:b/>
                <w:bCs/>
                <w:color w:val="000000"/>
                <w:sz w:val="17"/>
                <w:szCs w:val="17"/>
              </w:rPr>
              <w:t>38,917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DA8"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BDA9"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BDA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BDAB" w14:textId="77777777" w:rsidR="009C6E2F" w:rsidRDefault="007972BE">
            <w:pPr>
              <w:jc w:val="right"/>
              <w:textAlignment w:val="bottom"/>
            </w:pPr>
            <w:r>
              <w:rPr>
                <w:rFonts w:ascii="Arial" w:eastAsia="宋体" w:hAnsi="Arial" w:cs="Arial"/>
                <w:b/>
                <w:bCs/>
                <w:color w:val="000000"/>
                <w:sz w:val="17"/>
                <w:szCs w:val="17"/>
              </w:rPr>
              <w:t>37,740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BDAC" w14:textId="77777777" w:rsidR="009C6E2F" w:rsidRDefault="009C6E2F">
            <w:pPr>
              <w:jc w:val="right"/>
              <w:rPr>
                <w:rFonts w:ascii="宋体"/>
              </w:rPr>
            </w:pPr>
          </w:p>
        </w:tc>
      </w:tr>
    </w:tbl>
    <w:p w14:paraId="2470BDAE" w14:textId="77777777" w:rsidR="009C6E2F" w:rsidRDefault="007972BE">
      <w:pPr>
        <w:spacing w:before="12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470BDAF" w14:textId="77777777" w:rsidR="009C6E2F" w:rsidRDefault="007972BE">
      <w:pPr>
        <w:spacing w:before="120" w:after="120"/>
        <w:jc w:val="right"/>
      </w:pPr>
      <w:r>
        <w:rPr>
          <w:rFonts w:ascii="Arial" w:eastAsia="宋体" w:hAnsi="Arial" w:cs="Arial"/>
          <w:color w:val="E87722"/>
          <w:sz w:val="17"/>
          <w:szCs w:val="17"/>
        </w:rPr>
        <w:t>3</w:t>
      </w:r>
    </w:p>
    <w:p w14:paraId="2470BDB0" w14:textId="77777777" w:rsidR="009C6E2F" w:rsidRDefault="007972BE">
      <w:r>
        <w:pict w14:anchorId="2470E1E8">
          <v:rect id="_x0000_i1029" style="width:415.3pt;height:1.5pt" o:hralign="center" o:hrstd="t" o:hr="t" fillcolor="#a0a0a0" stroked="f"/>
        </w:pict>
      </w:r>
    </w:p>
    <w:p w14:paraId="2470BDB1" w14:textId="77777777" w:rsidR="009C6E2F" w:rsidRDefault="009C6E2F"/>
    <w:p w14:paraId="2470BDB2" w14:textId="77777777" w:rsidR="009C6E2F" w:rsidRDefault="007972BE">
      <w:hyperlink r:id="rId46" w:anchor="i9e023a7388204bdbacd6aa338988f838_7" w:history="1">
        <w:r>
          <w:rPr>
            <w:rStyle w:val="a5"/>
            <w:rFonts w:ascii="sans-serif" w:eastAsia="sans-serif" w:hAnsi="sans-serif" w:cs="sans-serif"/>
            <w:sz w:val="17"/>
            <w:szCs w:val="17"/>
          </w:rPr>
          <w:t>Table of Contents</w:t>
        </w:r>
      </w:hyperlink>
    </w:p>
    <w:p w14:paraId="2470BDB3" w14:textId="77777777" w:rsidR="009C6E2F" w:rsidRDefault="009C6E2F"/>
    <w:p w14:paraId="2470BDB4" w14:textId="77777777" w:rsidR="009C6E2F" w:rsidRDefault="007972BE">
      <w:pPr>
        <w:spacing w:before="300"/>
      </w:pPr>
      <w:r>
        <w:rPr>
          <w:rFonts w:ascii="sans-serif" w:eastAsia="sans-serif" w:hAnsi="sans-serif" w:cs="sans-serif"/>
          <w:b/>
          <w:bCs/>
          <w:color w:val="E87722"/>
          <w:sz w:val="36"/>
          <w:szCs w:val="36"/>
        </w:rPr>
        <w:t>NIKE, INC.</w:t>
      </w:r>
    </w:p>
    <w:p w14:paraId="2470BDB5" w14:textId="77777777" w:rsidR="009C6E2F" w:rsidRDefault="007972BE">
      <w:pPr>
        <w:spacing w:before="120" w:after="120"/>
      </w:pPr>
      <w:r>
        <w:rPr>
          <w:rFonts w:ascii="sans-serif" w:eastAsia="sans-serif" w:hAnsi="sans-serif" w:cs="sans-serif"/>
          <w:b/>
          <w:bCs/>
          <w:color w:val="000000"/>
          <w:sz w:val="28"/>
          <w:szCs w:val="28"/>
        </w:rPr>
        <w:t>UNAUDITED CONDENSED CONSOLIDATED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5"/>
        <w:gridCol w:w="5802"/>
        <w:gridCol w:w="40"/>
        <w:gridCol w:w="115"/>
        <w:gridCol w:w="1067"/>
        <w:gridCol w:w="36"/>
        <w:gridCol w:w="115"/>
        <w:gridCol w:w="1067"/>
        <w:gridCol w:w="36"/>
      </w:tblGrid>
      <w:tr w:rsidR="009C6E2F" w14:paraId="2470BDBF" w14:textId="77777777">
        <w:tc>
          <w:tcPr>
            <w:tcW w:w="50" w:type="pct"/>
            <w:shd w:val="clear" w:color="auto" w:fill="auto"/>
            <w:vAlign w:val="bottom"/>
          </w:tcPr>
          <w:p w14:paraId="2470BDB6" w14:textId="77777777" w:rsidR="009C6E2F" w:rsidRDefault="009C6E2F">
            <w:pPr>
              <w:rPr>
                <w:rFonts w:ascii="宋体"/>
              </w:rPr>
            </w:pPr>
          </w:p>
        </w:tc>
        <w:tc>
          <w:tcPr>
            <w:tcW w:w="3507" w:type="pct"/>
            <w:shd w:val="clear" w:color="auto" w:fill="auto"/>
            <w:vAlign w:val="bottom"/>
          </w:tcPr>
          <w:p w14:paraId="2470BDB7" w14:textId="77777777" w:rsidR="009C6E2F" w:rsidRDefault="009C6E2F">
            <w:pPr>
              <w:rPr>
                <w:rFonts w:ascii="宋体"/>
              </w:rPr>
            </w:pPr>
          </w:p>
        </w:tc>
        <w:tc>
          <w:tcPr>
            <w:tcW w:w="5" w:type="pct"/>
            <w:shd w:val="clear" w:color="auto" w:fill="auto"/>
            <w:vAlign w:val="bottom"/>
          </w:tcPr>
          <w:p w14:paraId="2470BDB8" w14:textId="77777777" w:rsidR="009C6E2F" w:rsidRDefault="009C6E2F">
            <w:pPr>
              <w:rPr>
                <w:rFonts w:ascii="宋体"/>
              </w:rPr>
            </w:pPr>
          </w:p>
        </w:tc>
        <w:tc>
          <w:tcPr>
            <w:tcW w:w="50" w:type="pct"/>
            <w:shd w:val="clear" w:color="auto" w:fill="auto"/>
            <w:vAlign w:val="bottom"/>
          </w:tcPr>
          <w:p w14:paraId="2470BDB9" w14:textId="77777777" w:rsidR="009C6E2F" w:rsidRDefault="009C6E2F">
            <w:pPr>
              <w:rPr>
                <w:rFonts w:ascii="宋体"/>
              </w:rPr>
            </w:pPr>
          </w:p>
        </w:tc>
        <w:tc>
          <w:tcPr>
            <w:tcW w:w="663" w:type="pct"/>
            <w:shd w:val="clear" w:color="auto" w:fill="auto"/>
            <w:vAlign w:val="bottom"/>
          </w:tcPr>
          <w:p w14:paraId="2470BDBA" w14:textId="77777777" w:rsidR="009C6E2F" w:rsidRDefault="009C6E2F">
            <w:pPr>
              <w:rPr>
                <w:rFonts w:ascii="宋体"/>
              </w:rPr>
            </w:pPr>
          </w:p>
        </w:tc>
        <w:tc>
          <w:tcPr>
            <w:tcW w:w="5" w:type="pct"/>
            <w:shd w:val="clear" w:color="auto" w:fill="auto"/>
            <w:vAlign w:val="bottom"/>
          </w:tcPr>
          <w:p w14:paraId="2470BDBB" w14:textId="77777777" w:rsidR="009C6E2F" w:rsidRDefault="009C6E2F">
            <w:pPr>
              <w:rPr>
                <w:rFonts w:ascii="宋体"/>
              </w:rPr>
            </w:pPr>
          </w:p>
        </w:tc>
        <w:tc>
          <w:tcPr>
            <w:tcW w:w="50" w:type="pct"/>
            <w:shd w:val="clear" w:color="auto" w:fill="auto"/>
            <w:vAlign w:val="bottom"/>
          </w:tcPr>
          <w:p w14:paraId="2470BDBC" w14:textId="77777777" w:rsidR="009C6E2F" w:rsidRDefault="009C6E2F">
            <w:pPr>
              <w:rPr>
                <w:rFonts w:ascii="宋体"/>
              </w:rPr>
            </w:pPr>
          </w:p>
        </w:tc>
        <w:tc>
          <w:tcPr>
            <w:tcW w:w="663" w:type="pct"/>
            <w:shd w:val="clear" w:color="auto" w:fill="auto"/>
            <w:vAlign w:val="bottom"/>
          </w:tcPr>
          <w:p w14:paraId="2470BDBD" w14:textId="77777777" w:rsidR="009C6E2F" w:rsidRDefault="009C6E2F">
            <w:pPr>
              <w:rPr>
                <w:rFonts w:ascii="宋体"/>
              </w:rPr>
            </w:pPr>
          </w:p>
        </w:tc>
        <w:tc>
          <w:tcPr>
            <w:tcW w:w="5" w:type="pct"/>
            <w:shd w:val="clear" w:color="auto" w:fill="auto"/>
            <w:vAlign w:val="bottom"/>
          </w:tcPr>
          <w:p w14:paraId="2470BDBE" w14:textId="77777777" w:rsidR="009C6E2F" w:rsidRDefault="009C6E2F">
            <w:pPr>
              <w:rPr>
                <w:rFonts w:ascii="宋体"/>
              </w:rPr>
            </w:pPr>
          </w:p>
        </w:tc>
      </w:tr>
      <w:tr w:rsidR="009C6E2F" w14:paraId="2470BDC2" w14:textId="77777777">
        <w:tc>
          <w:tcPr>
            <w:tcW w:w="0" w:type="auto"/>
            <w:gridSpan w:val="3"/>
            <w:shd w:val="clear" w:color="auto" w:fill="auto"/>
            <w:tcMar>
              <w:top w:w="0" w:type="dxa"/>
              <w:left w:w="20" w:type="dxa"/>
              <w:bottom w:w="0" w:type="dxa"/>
              <w:right w:w="20" w:type="dxa"/>
            </w:tcMar>
            <w:vAlign w:val="bottom"/>
          </w:tcPr>
          <w:p w14:paraId="2470BDC0"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BDC1"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BDC6" w14:textId="77777777">
        <w:tc>
          <w:tcPr>
            <w:tcW w:w="0" w:type="auto"/>
            <w:gridSpan w:val="3"/>
            <w:shd w:val="clear" w:color="auto" w:fill="auto"/>
            <w:tcMar>
              <w:top w:w="40" w:type="dxa"/>
              <w:left w:w="20" w:type="dxa"/>
              <w:bottom w:w="40" w:type="dxa"/>
              <w:right w:w="20" w:type="dxa"/>
            </w:tcMar>
            <w:vAlign w:val="bottom"/>
          </w:tcPr>
          <w:p w14:paraId="2470BDC3"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DC4"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DC5"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BDC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DC7" w14:textId="77777777" w:rsidR="009C6E2F" w:rsidRDefault="007972BE">
            <w:pPr>
              <w:textAlignment w:val="bottom"/>
            </w:pPr>
            <w:r>
              <w:rPr>
                <w:rFonts w:ascii="Arial" w:eastAsia="宋体" w:hAnsi="Arial" w:cs="Arial"/>
                <w:b/>
                <w:bCs/>
                <w:color w:val="000000"/>
                <w:sz w:val="17"/>
                <w:szCs w:val="17"/>
              </w:rPr>
              <w:t>Cash provided (used) by operations: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DC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DC9" w14:textId="77777777" w:rsidR="009C6E2F" w:rsidRDefault="009C6E2F">
            <w:pPr>
              <w:rPr>
                <w:rFonts w:ascii="宋体"/>
              </w:rPr>
            </w:pPr>
          </w:p>
        </w:tc>
      </w:tr>
      <w:tr w:rsidR="009C6E2F" w14:paraId="2470BDD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DCB" w14:textId="77777777" w:rsidR="009C6E2F" w:rsidRDefault="007972BE">
            <w:pPr>
              <w:textAlignment w:val="bottom"/>
            </w:pPr>
            <w:r>
              <w:rPr>
                <w:rFonts w:ascii="Arial" w:eastAsia="宋体" w:hAnsi="Arial" w:cs="Arial"/>
                <w:color w:val="000000"/>
                <w:sz w:val="17"/>
                <w:szCs w:val="17"/>
              </w:rPr>
              <w:t>Net income</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BDC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BDCD" w14:textId="77777777" w:rsidR="009C6E2F" w:rsidRDefault="007972BE">
            <w:pPr>
              <w:jc w:val="right"/>
              <w:textAlignment w:val="bottom"/>
            </w:pPr>
            <w:r>
              <w:rPr>
                <w:rFonts w:ascii="Arial" w:eastAsia="宋体" w:hAnsi="Arial" w:cs="Arial"/>
                <w:color w:val="000000"/>
                <w:sz w:val="17"/>
                <w:szCs w:val="17"/>
              </w:rPr>
              <w:t>3,211 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DCE"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BDC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BDD0" w14:textId="77777777" w:rsidR="009C6E2F" w:rsidRDefault="007972BE">
            <w:pPr>
              <w:jc w:val="right"/>
              <w:textAlignment w:val="bottom"/>
            </w:pPr>
            <w:r>
              <w:rPr>
                <w:rFonts w:ascii="Arial" w:eastAsia="宋体" w:hAnsi="Arial" w:cs="Arial"/>
                <w:color w:val="000000"/>
                <w:sz w:val="17"/>
                <w:szCs w:val="17"/>
              </w:rPr>
              <w:t>2,769 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DD1" w14:textId="77777777" w:rsidR="009C6E2F" w:rsidRDefault="009C6E2F">
            <w:pPr>
              <w:jc w:val="right"/>
              <w:rPr>
                <w:rFonts w:ascii="宋体"/>
              </w:rPr>
            </w:pPr>
          </w:p>
        </w:tc>
      </w:tr>
      <w:tr w:rsidR="009C6E2F" w14:paraId="2470BDD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DD3" w14:textId="77777777" w:rsidR="009C6E2F" w:rsidRDefault="007972BE">
            <w:pPr>
              <w:textAlignment w:val="bottom"/>
            </w:pPr>
            <w:r>
              <w:rPr>
                <w:rFonts w:ascii="Arial" w:eastAsia="宋体" w:hAnsi="Arial" w:cs="Arial"/>
                <w:color w:val="000000"/>
                <w:sz w:val="17"/>
                <w:szCs w:val="17"/>
              </w:rPr>
              <w:t>Adjustments to reconcile net income to net cash provided (used) by operations: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DD4"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DD5" w14:textId="77777777" w:rsidR="009C6E2F" w:rsidRDefault="009C6E2F">
            <w:pPr>
              <w:rPr>
                <w:rFonts w:ascii="宋体"/>
              </w:rPr>
            </w:pPr>
          </w:p>
        </w:tc>
      </w:tr>
      <w:tr w:rsidR="009C6E2F" w14:paraId="2470BDD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DD7" w14:textId="77777777" w:rsidR="009C6E2F" w:rsidRDefault="007972BE">
            <w:pPr>
              <w:textAlignment w:val="bottom"/>
            </w:pPr>
            <w:r>
              <w:rPr>
                <w:rFonts w:ascii="Arial" w:eastAsia="宋体" w:hAnsi="Arial" w:cs="Arial"/>
                <w:color w:val="000000"/>
                <w:sz w:val="17"/>
                <w:szCs w:val="17"/>
              </w:rPr>
              <w:t>Depreciation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DD8" w14:textId="77777777" w:rsidR="009C6E2F" w:rsidRDefault="007972BE">
            <w:pPr>
              <w:jc w:val="right"/>
              <w:textAlignment w:val="bottom"/>
            </w:pPr>
            <w:r>
              <w:rPr>
                <w:rFonts w:ascii="Arial" w:eastAsia="宋体" w:hAnsi="Arial" w:cs="Arial"/>
                <w:color w:val="000000"/>
                <w:sz w:val="17"/>
                <w:szCs w:val="17"/>
              </w:rPr>
              <w:t>358 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DD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DDA" w14:textId="77777777" w:rsidR="009C6E2F" w:rsidRDefault="007972BE">
            <w:pPr>
              <w:jc w:val="right"/>
              <w:textAlignment w:val="bottom"/>
            </w:pPr>
            <w:r>
              <w:rPr>
                <w:rFonts w:ascii="Arial" w:eastAsia="宋体" w:hAnsi="Arial" w:cs="Arial"/>
                <w:color w:val="000000"/>
                <w:sz w:val="17"/>
                <w:szCs w:val="17"/>
              </w:rPr>
              <w:t>361 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DDB" w14:textId="77777777" w:rsidR="009C6E2F" w:rsidRDefault="009C6E2F">
            <w:pPr>
              <w:jc w:val="right"/>
              <w:rPr>
                <w:rFonts w:ascii="宋体"/>
              </w:rPr>
            </w:pPr>
          </w:p>
        </w:tc>
      </w:tr>
      <w:tr w:rsidR="009C6E2F" w14:paraId="2470BDE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DDD" w14:textId="77777777" w:rsidR="009C6E2F" w:rsidRDefault="007972BE">
            <w:pPr>
              <w:textAlignment w:val="bottom"/>
            </w:pPr>
            <w:r>
              <w:rPr>
                <w:rFonts w:ascii="Arial" w:eastAsia="宋体" w:hAnsi="Arial" w:cs="Arial"/>
                <w:color w:val="000000"/>
                <w:sz w:val="17"/>
                <w:szCs w:val="17"/>
              </w:rPr>
              <w:t>Deferred income taxes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DDE" w14:textId="77777777" w:rsidR="009C6E2F" w:rsidRDefault="007972BE">
            <w:pPr>
              <w:jc w:val="right"/>
              <w:textAlignment w:val="bottom"/>
            </w:pPr>
            <w:r>
              <w:rPr>
                <w:rFonts w:ascii="Arial" w:eastAsia="宋体" w:hAnsi="Arial" w:cs="Arial"/>
                <w:color w:val="000000"/>
                <w:sz w:val="17"/>
                <w:szCs w:val="17"/>
              </w:rPr>
              <w:t>(222)</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DD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DE0" w14:textId="77777777" w:rsidR="009C6E2F" w:rsidRDefault="007972BE">
            <w:pPr>
              <w:jc w:val="right"/>
              <w:textAlignment w:val="bottom"/>
            </w:pPr>
            <w:r>
              <w:rPr>
                <w:rFonts w:ascii="Arial" w:eastAsia="宋体" w:hAnsi="Arial" w:cs="Arial"/>
                <w:color w:val="000000"/>
                <w:sz w:val="17"/>
                <w:szCs w:val="17"/>
              </w:rPr>
              <w:t>(177)</w:t>
            </w:r>
          </w:p>
        </w:tc>
        <w:tc>
          <w:tcPr>
            <w:tcW w:w="0" w:type="auto"/>
            <w:tcBorders>
              <w:top w:val="single" w:sz="4" w:space="0" w:color="808080"/>
            </w:tcBorders>
            <w:shd w:val="clear" w:color="auto" w:fill="auto"/>
            <w:tcMar>
              <w:top w:w="40" w:type="dxa"/>
              <w:left w:w="0" w:type="dxa"/>
              <w:bottom w:w="40" w:type="dxa"/>
              <w:right w:w="20" w:type="dxa"/>
            </w:tcMar>
            <w:vAlign w:val="bottom"/>
          </w:tcPr>
          <w:p w14:paraId="2470BDE1" w14:textId="77777777" w:rsidR="009C6E2F" w:rsidRDefault="009C6E2F">
            <w:pPr>
              <w:jc w:val="right"/>
              <w:rPr>
                <w:rFonts w:ascii="宋体"/>
              </w:rPr>
            </w:pPr>
          </w:p>
        </w:tc>
      </w:tr>
      <w:tr w:rsidR="009C6E2F" w14:paraId="2470BDE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DE3" w14:textId="77777777" w:rsidR="009C6E2F" w:rsidRDefault="007972BE">
            <w:pPr>
              <w:textAlignment w:val="bottom"/>
            </w:pPr>
            <w:r>
              <w:rPr>
                <w:rFonts w:ascii="Arial" w:eastAsia="宋体" w:hAnsi="Arial" w:cs="Arial"/>
                <w:color w:val="000000"/>
                <w:sz w:val="17"/>
                <w:szCs w:val="17"/>
              </w:rPr>
              <w:t>Stock-based compensation</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DE4" w14:textId="77777777" w:rsidR="009C6E2F" w:rsidRDefault="007972BE">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DE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DE6" w14:textId="77777777" w:rsidR="009C6E2F" w:rsidRDefault="007972BE">
            <w:pPr>
              <w:jc w:val="right"/>
              <w:textAlignment w:val="bottom"/>
            </w:pPr>
            <w:r>
              <w:rPr>
                <w:rFonts w:ascii="Arial" w:eastAsia="宋体" w:hAnsi="Arial" w:cs="Arial"/>
                <w:color w:val="000000"/>
                <w:sz w:val="17"/>
                <w:szCs w:val="17"/>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DE7" w14:textId="77777777" w:rsidR="009C6E2F" w:rsidRDefault="009C6E2F">
            <w:pPr>
              <w:jc w:val="right"/>
              <w:rPr>
                <w:rFonts w:ascii="宋体"/>
              </w:rPr>
            </w:pPr>
          </w:p>
        </w:tc>
      </w:tr>
      <w:tr w:rsidR="009C6E2F" w14:paraId="2470BDE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DE9" w14:textId="77777777" w:rsidR="009C6E2F" w:rsidRDefault="007972BE">
            <w:pPr>
              <w:textAlignment w:val="bottom"/>
            </w:pPr>
            <w:r>
              <w:rPr>
                <w:rFonts w:ascii="Arial" w:eastAsia="宋体" w:hAnsi="Arial" w:cs="Arial"/>
                <w:color w:val="000000"/>
                <w:sz w:val="17"/>
                <w:szCs w:val="17"/>
              </w:rPr>
              <w:t>Amortization, impairment and 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DEA"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DE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DEC" w14:textId="77777777" w:rsidR="009C6E2F" w:rsidRDefault="007972BE">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DED" w14:textId="77777777" w:rsidR="009C6E2F" w:rsidRDefault="009C6E2F">
            <w:pPr>
              <w:jc w:val="right"/>
              <w:rPr>
                <w:rFonts w:ascii="宋体"/>
              </w:rPr>
            </w:pPr>
          </w:p>
        </w:tc>
      </w:tr>
      <w:tr w:rsidR="009C6E2F" w14:paraId="2470BDF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DEF" w14:textId="77777777" w:rsidR="009C6E2F" w:rsidRDefault="007972BE">
            <w:pPr>
              <w:textAlignment w:val="bottom"/>
            </w:pPr>
            <w:r>
              <w:rPr>
                <w:rFonts w:ascii="Arial" w:eastAsia="宋体" w:hAnsi="Arial" w:cs="Arial"/>
                <w:color w:val="000000"/>
                <w:sz w:val="17"/>
                <w:szCs w:val="17"/>
              </w:rPr>
              <w:t>Net foreign currency adjustments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DF0" w14:textId="77777777" w:rsidR="009C6E2F" w:rsidRDefault="007972BE">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DF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DF2" w14:textId="77777777" w:rsidR="009C6E2F" w:rsidRDefault="007972BE">
            <w:pPr>
              <w:jc w:val="right"/>
              <w:textAlignment w:val="bottom"/>
            </w:pPr>
            <w:r>
              <w:rPr>
                <w:rFonts w:ascii="Arial" w:eastAsia="宋体" w:hAnsi="Arial" w:cs="Arial"/>
                <w:color w:val="000000"/>
                <w:sz w:val="17"/>
                <w:szCs w:val="17"/>
              </w:rPr>
              <w:t>(98)</w:t>
            </w:r>
          </w:p>
        </w:tc>
        <w:tc>
          <w:tcPr>
            <w:tcW w:w="0" w:type="auto"/>
            <w:tcBorders>
              <w:top w:val="single" w:sz="4" w:space="0" w:color="808080"/>
            </w:tcBorders>
            <w:shd w:val="clear" w:color="auto" w:fill="auto"/>
            <w:tcMar>
              <w:top w:w="40" w:type="dxa"/>
              <w:left w:w="0" w:type="dxa"/>
              <w:bottom w:w="40" w:type="dxa"/>
              <w:right w:w="20" w:type="dxa"/>
            </w:tcMar>
            <w:vAlign w:val="bottom"/>
          </w:tcPr>
          <w:p w14:paraId="2470BDF3" w14:textId="77777777" w:rsidR="009C6E2F" w:rsidRDefault="009C6E2F">
            <w:pPr>
              <w:jc w:val="right"/>
              <w:rPr>
                <w:rFonts w:ascii="宋体"/>
              </w:rPr>
            </w:pPr>
          </w:p>
        </w:tc>
      </w:tr>
      <w:tr w:rsidR="009C6E2F" w14:paraId="2470BDF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DF5" w14:textId="77777777" w:rsidR="009C6E2F" w:rsidRDefault="007972BE">
            <w:pPr>
              <w:textAlignment w:val="bottom"/>
            </w:pPr>
            <w:r>
              <w:rPr>
                <w:rFonts w:ascii="Arial" w:eastAsia="宋体" w:hAnsi="Arial" w:cs="Arial"/>
                <w:color w:val="000000"/>
                <w:sz w:val="17"/>
                <w:szCs w:val="17"/>
              </w:rPr>
              <w:t xml:space="preserve">Changes in certain working capital components and other assets and </w:t>
            </w:r>
            <w:r>
              <w:rPr>
                <w:rFonts w:ascii="Arial" w:eastAsia="宋体" w:hAnsi="Arial" w:cs="Arial"/>
                <w:color w:val="000000"/>
                <w:sz w:val="17"/>
                <w:szCs w:val="17"/>
              </w:rPr>
              <w:t>liabilities: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DF6"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DF7" w14:textId="77777777" w:rsidR="009C6E2F" w:rsidRDefault="009C6E2F">
            <w:pPr>
              <w:rPr>
                <w:rFonts w:ascii="宋体"/>
              </w:rPr>
            </w:pPr>
          </w:p>
        </w:tc>
      </w:tr>
      <w:tr w:rsidR="009C6E2F" w14:paraId="2470BDF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DF9" w14:textId="77777777" w:rsidR="009C6E2F" w:rsidRDefault="007972BE">
            <w:pPr>
              <w:textAlignment w:val="bottom"/>
            </w:pPr>
            <w:r>
              <w:rPr>
                <w:rFonts w:ascii="Arial" w:eastAsia="宋体" w:hAnsi="Arial" w:cs="Arial"/>
                <w:color w:val="000000"/>
                <w:sz w:val="17"/>
                <w:szCs w:val="17"/>
              </w:rPr>
              <w:t>(Increase) decrease in accounts receivable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DFA" w14:textId="77777777" w:rsidR="009C6E2F" w:rsidRDefault="007972BE">
            <w:pPr>
              <w:jc w:val="right"/>
              <w:textAlignment w:val="bottom"/>
            </w:pPr>
            <w:r>
              <w:rPr>
                <w:rFonts w:ascii="Arial" w:eastAsia="宋体" w:hAnsi="Arial" w:cs="Arial"/>
                <w:color w:val="000000"/>
                <w:sz w:val="17"/>
                <w:szCs w:val="17"/>
              </w:rPr>
              <w:t>543 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DF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DFC" w14:textId="77777777" w:rsidR="009C6E2F" w:rsidRDefault="007972BE">
            <w:pPr>
              <w:jc w:val="right"/>
              <w:textAlignment w:val="bottom"/>
            </w:pPr>
            <w:r>
              <w:rPr>
                <w:rFonts w:ascii="Arial" w:eastAsia="宋体" w:hAnsi="Arial" w:cs="Arial"/>
                <w:color w:val="000000"/>
                <w:sz w:val="17"/>
                <w:szCs w:val="17"/>
              </w:rPr>
              <w:t>(921)</w:t>
            </w:r>
          </w:p>
        </w:tc>
        <w:tc>
          <w:tcPr>
            <w:tcW w:w="0" w:type="auto"/>
            <w:tcBorders>
              <w:top w:val="single" w:sz="4" w:space="0" w:color="808080"/>
            </w:tcBorders>
            <w:shd w:val="clear" w:color="auto" w:fill="auto"/>
            <w:tcMar>
              <w:top w:w="40" w:type="dxa"/>
              <w:left w:w="0" w:type="dxa"/>
              <w:bottom w:w="40" w:type="dxa"/>
              <w:right w:w="20" w:type="dxa"/>
            </w:tcMar>
            <w:vAlign w:val="bottom"/>
          </w:tcPr>
          <w:p w14:paraId="2470BDFD" w14:textId="77777777" w:rsidR="009C6E2F" w:rsidRDefault="009C6E2F">
            <w:pPr>
              <w:jc w:val="right"/>
              <w:rPr>
                <w:rFonts w:ascii="宋体"/>
              </w:rPr>
            </w:pPr>
          </w:p>
        </w:tc>
      </w:tr>
      <w:tr w:rsidR="009C6E2F" w14:paraId="2470BE0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DFF" w14:textId="77777777" w:rsidR="009C6E2F" w:rsidRDefault="007972BE">
            <w:pPr>
              <w:textAlignment w:val="bottom"/>
            </w:pPr>
            <w:r>
              <w:rPr>
                <w:rFonts w:ascii="Arial" w:eastAsia="宋体" w:hAnsi="Arial" w:cs="Arial"/>
                <w:color w:val="000000"/>
                <w:sz w:val="17"/>
                <w:szCs w:val="17"/>
              </w:rPr>
              <w:t>(Increase) decrease in inventories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00" w14:textId="77777777" w:rsidR="009C6E2F" w:rsidRDefault="007972BE">
            <w:pPr>
              <w:jc w:val="right"/>
              <w:textAlignment w:val="bottom"/>
            </w:pPr>
            <w:r>
              <w:rPr>
                <w:rFonts w:ascii="Arial" w:eastAsia="宋体" w:hAnsi="Arial" w:cs="Arial"/>
                <w:color w:val="000000"/>
                <w:sz w:val="17"/>
                <w:szCs w:val="17"/>
              </w:rPr>
              <w:t>268 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0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02" w14:textId="77777777" w:rsidR="009C6E2F" w:rsidRDefault="007972BE">
            <w:pPr>
              <w:jc w:val="right"/>
              <w:textAlignment w:val="bottom"/>
            </w:pPr>
            <w:r>
              <w:rPr>
                <w:rFonts w:ascii="Arial" w:eastAsia="宋体" w:hAnsi="Arial" w:cs="Arial"/>
                <w:color w:val="000000"/>
                <w:sz w:val="17"/>
                <w:szCs w:val="17"/>
              </w:rPr>
              <w:t>1,321 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03" w14:textId="77777777" w:rsidR="009C6E2F" w:rsidRDefault="009C6E2F">
            <w:pPr>
              <w:jc w:val="right"/>
              <w:rPr>
                <w:rFonts w:ascii="宋体"/>
              </w:rPr>
            </w:pPr>
          </w:p>
        </w:tc>
      </w:tr>
      <w:tr w:rsidR="009C6E2F" w14:paraId="2470BE0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05" w14:textId="77777777" w:rsidR="009C6E2F" w:rsidRDefault="007972BE">
            <w:pPr>
              <w:textAlignment w:val="bottom"/>
            </w:pPr>
            <w:r>
              <w:rPr>
                <w:rFonts w:ascii="Arial" w:eastAsia="宋体" w:hAnsi="Arial" w:cs="Arial"/>
                <w:color w:val="000000"/>
                <w:sz w:val="17"/>
                <w:szCs w:val="17"/>
              </w:rPr>
              <w:t>(Increase) decrease in prepaid expenses, operating lease right-of-use assets and other current and non-current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06" w14:textId="77777777" w:rsidR="009C6E2F" w:rsidRDefault="007972BE">
            <w:pPr>
              <w:jc w:val="right"/>
              <w:textAlignment w:val="bottom"/>
            </w:pPr>
            <w:r>
              <w:rPr>
                <w:rFonts w:ascii="Arial" w:eastAsia="宋体" w:hAnsi="Arial" w:cs="Arial"/>
                <w:color w:val="000000"/>
                <w:sz w:val="17"/>
                <w:szCs w:val="17"/>
              </w:rPr>
              <w:t>(444)</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0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08" w14:textId="77777777" w:rsidR="009C6E2F" w:rsidRDefault="007972BE">
            <w:pPr>
              <w:jc w:val="right"/>
              <w:textAlignment w:val="bottom"/>
            </w:pPr>
            <w:r>
              <w:rPr>
                <w:rFonts w:ascii="Arial" w:eastAsia="宋体" w:hAnsi="Arial" w:cs="Arial"/>
                <w:color w:val="000000"/>
                <w:sz w:val="17"/>
                <w:szCs w:val="17"/>
              </w:rPr>
              <w:t>(163)</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09" w14:textId="77777777" w:rsidR="009C6E2F" w:rsidRDefault="009C6E2F">
            <w:pPr>
              <w:jc w:val="right"/>
              <w:rPr>
                <w:rFonts w:ascii="宋体"/>
              </w:rPr>
            </w:pPr>
          </w:p>
        </w:tc>
      </w:tr>
      <w:tr w:rsidR="009C6E2F" w14:paraId="2470BE1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0B" w14:textId="77777777" w:rsidR="009C6E2F" w:rsidRDefault="007972BE">
            <w:pPr>
              <w:textAlignment w:val="bottom"/>
            </w:pPr>
            <w:r>
              <w:rPr>
                <w:rFonts w:ascii="Arial" w:eastAsia="宋体" w:hAnsi="Arial" w:cs="Arial"/>
                <w:color w:val="000000"/>
                <w:sz w:val="17"/>
                <w:szCs w:val="17"/>
              </w:rPr>
              <w:t>Increase (decrease) in accounts payable, accrued liabilities, operating lease liabilities and other current and non-current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0C" w14:textId="77777777" w:rsidR="009C6E2F" w:rsidRDefault="007972BE">
            <w:pPr>
              <w:jc w:val="right"/>
              <w:textAlignment w:val="bottom"/>
            </w:pPr>
            <w:r>
              <w:rPr>
                <w:rFonts w:ascii="Arial" w:eastAsia="宋体" w:hAnsi="Arial" w:cs="Arial"/>
                <w:color w:val="000000"/>
                <w:sz w:val="17"/>
                <w:szCs w:val="17"/>
              </w:rPr>
              <w:t>(203)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0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0E" w14:textId="77777777" w:rsidR="009C6E2F" w:rsidRDefault="007972BE">
            <w:pPr>
              <w:jc w:val="right"/>
              <w:textAlignment w:val="bottom"/>
            </w:pPr>
            <w:r>
              <w:rPr>
                <w:rFonts w:ascii="Arial" w:eastAsia="宋体" w:hAnsi="Arial" w:cs="Arial"/>
                <w:color w:val="000000"/>
                <w:sz w:val="17"/>
                <w:szCs w:val="17"/>
              </w:rPr>
              <w:t>(165)</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0F" w14:textId="77777777" w:rsidR="009C6E2F" w:rsidRDefault="009C6E2F">
            <w:pPr>
              <w:jc w:val="right"/>
              <w:rPr>
                <w:rFonts w:ascii="宋体"/>
              </w:rPr>
            </w:pPr>
          </w:p>
        </w:tc>
      </w:tr>
      <w:tr w:rsidR="009C6E2F" w14:paraId="2470BE1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11" w14:textId="77777777" w:rsidR="009C6E2F" w:rsidRDefault="007972BE">
            <w:pPr>
              <w:textAlignment w:val="bottom"/>
            </w:pPr>
            <w:r>
              <w:rPr>
                <w:rFonts w:ascii="Arial" w:eastAsia="宋体" w:hAnsi="Arial" w:cs="Arial"/>
                <w:color w:val="000000"/>
                <w:sz w:val="17"/>
                <w:szCs w:val="17"/>
              </w:rPr>
              <w:t>Cash provided (used) by operations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E12" w14:textId="77777777" w:rsidR="009C6E2F" w:rsidRDefault="007972BE">
            <w:pPr>
              <w:jc w:val="right"/>
              <w:textAlignment w:val="bottom"/>
            </w:pPr>
            <w:r>
              <w:rPr>
                <w:rFonts w:ascii="Arial" w:eastAsia="宋体" w:hAnsi="Arial" w:cs="Arial"/>
                <w:color w:val="000000"/>
                <w:sz w:val="17"/>
                <w:szCs w:val="17"/>
              </w:rPr>
              <w:t>3,868 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E1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E14" w14:textId="77777777" w:rsidR="009C6E2F" w:rsidRDefault="007972BE">
            <w:pPr>
              <w:jc w:val="right"/>
              <w:textAlignment w:val="bottom"/>
            </w:pPr>
            <w:r>
              <w:rPr>
                <w:rFonts w:ascii="Arial" w:eastAsia="宋体" w:hAnsi="Arial" w:cs="Arial"/>
                <w:color w:val="000000"/>
                <w:sz w:val="17"/>
                <w:szCs w:val="17"/>
              </w:rPr>
              <w:t>3,355 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15" w14:textId="77777777" w:rsidR="009C6E2F" w:rsidRDefault="009C6E2F">
            <w:pPr>
              <w:jc w:val="right"/>
              <w:rPr>
                <w:rFonts w:ascii="宋体"/>
              </w:rPr>
            </w:pPr>
          </w:p>
        </w:tc>
      </w:tr>
      <w:tr w:rsidR="009C6E2F" w14:paraId="2470BE1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E17" w14:textId="77777777" w:rsidR="009C6E2F" w:rsidRDefault="007972BE">
            <w:pPr>
              <w:textAlignment w:val="bottom"/>
            </w:pPr>
            <w:r>
              <w:rPr>
                <w:rFonts w:ascii="Arial" w:eastAsia="宋体" w:hAnsi="Arial" w:cs="Arial"/>
                <w:b/>
                <w:bCs/>
                <w:color w:val="000000"/>
                <w:sz w:val="17"/>
                <w:szCs w:val="17"/>
              </w:rPr>
              <w:t xml:space="preserve">Cash provided (used) by investing </w:t>
            </w:r>
            <w:r>
              <w:rPr>
                <w:rFonts w:ascii="Arial" w:eastAsia="宋体" w:hAnsi="Arial" w:cs="Arial"/>
                <w:b/>
                <w:bCs/>
                <w:color w:val="000000"/>
                <w:sz w:val="17"/>
                <w:szCs w:val="17"/>
              </w:rPr>
              <w:t>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E1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E19" w14:textId="77777777" w:rsidR="009C6E2F" w:rsidRDefault="009C6E2F">
            <w:pPr>
              <w:rPr>
                <w:rFonts w:ascii="宋体"/>
              </w:rPr>
            </w:pPr>
          </w:p>
        </w:tc>
      </w:tr>
      <w:tr w:rsidR="009C6E2F" w14:paraId="2470BE2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1B" w14:textId="77777777" w:rsidR="009C6E2F" w:rsidRDefault="007972BE">
            <w:pPr>
              <w:textAlignment w:val="bottom"/>
            </w:pPr>
            <w:r>
              <w:rPr>
                <w:rFonts w:ascii="Arial" w:eastAsia="宋体" w:hAnsi="Arial" w:cs="Arial"/>
                <w:color w:val="000000"/>
                <w:sz w:val="17"/>
                <w:szCs w:val="17"/>
              </w:rPr>
              <w:t>Purchases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1C" w14:textId="77777777" w:rsidR="009C6E2F" w:rsidRDefault="007972BE">
            <w:pPr>
              <w:jc w:val="right"/>
              <w:textAlignment w:val="bottom"/>
            </w:pPr>
            <w:r>
              <w:rPr>
                <w:rFonts w:ascii="Arial" w:eastAsia="宋体" w:hAnsi="Arial" w:cs="Arial"/>
                <w:color w:val="000000"/>
                <w:sz w:val="17"/>
                <w:szCs w:val="17"/>
              </w:rPr>
              <w:t>(6,699)</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1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1E" w14:textId="77777777" w:rsidR="009C6E2F" w:rsidRDefault="007972BE">
            <w:pPr>
              <w:jc w:val="right"/>
              <w:textAlignment w:val="bottom"/>
            </w:pPr>
            <w:r>
              <w:rPr>
                <w:rFonts w:ascii="Arial" w:eastAsia="宋体" w:hAnsi="Arial" w:cs="Arial"/>
                <w:color w:val="000000"/>
                <w:sz w:val="17"/>
                <w:szCs w:val="17"/>
              </w:rPr>
              <w:t>(4,505)</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1F" w14:textId="77777777" w:rsidR="009C6E2F" w:rsidRDefault="009C6E2F">
            <w:pPr>
              <w:jc w:val="right"/>
              <w:rPr>
                <w:rFonts w:ascii="宋体"/>
              </w:rPr>
            </w:pPr>
          </w:p>
        </w:tc>
      </w:tr>
      <w:tr w:rsidR="009C6E2F" w14:paraId="2470BE2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21" w14:textId="77777777" w:rsidR="009C6E2F" w:rsidRDefault="007972BE">
            <w:pPr>
              <w:textAlignment w:val="bottom"/>
            </w:pPr>
            <w:r>
              <w:rPr>
                <w:rFonts w:ascii="Arial" w:eastAsia="宋体" w:hAnsi="Arial" w:cs="Arial"/>
                <w:color w:val="000000"/>
                <w:sz w:val="17"/>
                <w:szCs w:val="17"/>
              </w:rPr>
              <w:t>Maturities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22" w14:textId="77777777" w:rsidR="009C6E2F" w:rsidRDefault="007972BE">
            <w:pPr>
              <w:jc w:val="right"/>
              <w:textAlignment w:val="bottom"/>
            </w:pPr>
            <w:r>
              <w:rPr>
                <w:rFonts w:ascii="Arial" w:eastAsia="宋体" w:hAnsi="Arial" w:cs="Arial"/>
                <w:color w:val="000000"/>
                <w:sz w:val="17"/>
                <w:szCs w:val="17"/>
              </w:rPr>
              <w:t>3,891 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2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24" w14:textId="77777777" w:rsidR="009C6E2F" w:rsidRDefault="007972BE">
            <w:pPr>
              <w:jc w:val="right"/>
              <w:textAlignment w:val="bottom"/>
            </w:pPr>
            <w:r>
              <w:rPr>
                <w:rFonts w:ascii="Arial" w:eastAsia="宋体" w:hAnsi="Arial" w:cs="Arial"/>
                <w:color w:val="000000"/>
                <w:sz w:val="17"/>
                <w:szCs w:val="17"/>
              </w:rPr>
              <w:t>802 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25" w14:textId="77777777" w:rsidR="009C6E2F" w:rsidRDefault="009C6E2F">
            <w:pPr>
              <w:jc w:val="right"/>
              <w:rPr>
                <w:rFonts w:ascii="宋体"/>
              </w:rPr>
            </w:pPr>
          </w:p>
        </w:tc>
      </w:tr>
      <w:tr w:rsidR="009C6E2F" w14:paraId="2470BE2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27" w14:textId="77777777" w:rsidR="009C6E2F" w:rsidRDefault="007972BE">
            <w:pPr>
              <w:textAlignment w:val="bottom"/>
            </w:pPr>
            <w:r>
              <w:rPr>
                <w:rFonts w:ascii="Arial" w:eastAsia="宋体" w:hAnsi="Arial" w:cs="Arial"/>
                <w:color w:val="000000"/>
                <w:sz w:val="17"/>
                <w:szCs w:val="17"/>
              </w:rPr>
              <w:t>Sales of short-term investments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28" w14:textId="77777777" w:rsidR="009C6E2F" w:rsidRDefault="007972BE">
            <w:pPr>
              <w:jc w:val="right"/>
              <w:textAlignment w:val="bottom"/>
            </w:pPr>
            <w:r>
              <w:rPr>
                <w:rFonts w:ascii="Arial" w:eastAsia="宋体" w:hAnsi="Arial" w:cs="Arial"/>
                <w:color w:val="000000"/>
                <w:sz w:val="17"/>
                <w:szCs w:val="17"/>
              </w:rPr>
              <w:t>2,032 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2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2A" w14:textId="77777777" w:rsidR="009C6E2F" w:rsidRDefault="007972BE">
            <w:pPr>
              <w:jc w:val="right"/>
              <w:textAlignment w:val="bottom"/>
            </w:pPr>
            <w:r>
              <w:rPr>
                <w:rFonts w:ascii="Arial" w:eastAsia="宋体" w:hAnsi="Arial" w:cs="Arial"/>
                <w:color w:val="000000"/>
                <w:sz w:val="17"/>
                <w:szCs w:val="17"/>
              </w:rPr>
              <w:t>914 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2B" w14:textId="77777777" w:rsidR="009C6E2F" w:rsidRDefault="009C6E2F">
            <w:pPr>
              <w:jc w:val="right"/>
              <w:rPr>
                <w:rFonts w:ascii="宋体"/>
              </w:rPr>
            </w:pPr>
          </w:p>
        </w:tc>
      </w:tr>
      <w:tr w:rsidR="009C6E2F" w14:paraId="2470BE3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2D" w14:textId="77777777" w:rsidR="009C6E2F" w:rsidRDefault="007972BE">
            <w:pPr>
              <w:textAlignment w:val="bottom"/>
            </w:pPr>
            <w:r>
              <w:rPr>
                <w:rFonts w:ascii="Arial" w:eastAsia="宋体" w:hAnsi="Arial" w:cs="Arial"/>
                <w:color w:val="000000"/>
                <w:sz w:val="17"/>
                <w:szCs w:val="17"/>
              </w:rPr>
              <w:t>Additions to property, plant and 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2E" w14:textId="77777777" w:rsidR="009C6E2F" w:rsidRDefault="007972BE">
            <w:pPr>
              <w:jc w:val="right"/>
              <w:textAlignment w:val="bottom"/>
            </w:pPr>
            <w:r>
              <w:rPr>
                <w:rFonts w:ascii="Arial" w:eastAsia="宋体" w:hAnsi="Arial" w:cs="Arial"/>
                <w:color w:val="000000"/>
                <w:sz w:val="17"/>
                <w:szCs w:val="17"/>
              </w:rPr>
              <w:t>(362)</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2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30" w14:textId="77777777" w:rsidR="009C6E2F" w:rsidRDefault="007972BE">
            <w:pPr>
              <w:jc w:val="right"/>
              <w:textAlignment w:val="bottom"/>
            </w:pPr>
            <w:r>
              <w:rPr>
                <w:rFonts w:ascii="Arial" w:eastAsia="宋体" w:hAnsi="Arial" w:cs="Arial"/>
                <w:color w:val="000000"/>
                <w:sz w:val="17"/>
                <w:szCs w:val="17"/>
              </w:rPr>
              <w:t>(344)</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31" w14:textId="77777777" w:rsidR="009C6E2F" w:rsidRDefault="009C6E2F">
            <w:pPr>
              <w:jc w:val="right"/>
              <w:rPr>
                <w:rFonts w:ascii="宋体"/>
              </w:rPr>
            </w:pPr>
          </w:p>
        </w:tc>
      </w:tr>
      <w:tr w:rsidR="009C6E2F" w14:paraId="2470BE3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33" w14:textId="77777777" w:rsidR="009C6E2F" w:rsidRDefault="007972BE">
            <w:pPr>
              <w:textAlignment w:val="bottom"/>
            </w:pPr>
            <w:r>
              <w:rPr>
                <w:rFonts w:ascii="Arial" w:eastAsia="宋体" w:hAnsi="Arial" w:cs="Arial"/>
                <w:color w:val="000000"/>
                <w:sz w:val="17"/>
                <w:szCs w:val="17"/>
              </w:rPr>
              <w:t xml:space="preserve">Other investing </w:t>
            </w:r>
            <w:r>
              <w:rPr>
                <w:rFonts w:ascii="Arial" w:eastAsia="宋体" w:hAnsi="Arial" w:cs="Arial"/>
                <w:color w:val="000000"/>
                <w:sz w:val="17"/>
                <w:szCs w:val="17"/>
              </w:rPr>
              <w:t>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34" w14:textId="77777777" w:rsidR="009C6E2F" w:rsidRDefault="007972BE">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3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36" w14:textId="77777777" w:rsidR="009C6E2F" w:rsidRDefault="007972BE">
            <w:pPr>
              <w:jc w:val="right"/>
              <w:textAlignment w:val="bottom"/>
            </w:pPr>
            <w:r>
              <w:rPr>
                <w:rFonts w:ascii="Arial" w:eastAsia="宋体" w:hAnsi="Arial" w:cs="Arial"/>
                <w:color w:val="000000"/>
                <w:sz w:val="17"/>
                <w:szCs w:val="17"/>
              </w:rPr>
              <w:t>256 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37" w14:textId="77777777" w:rsidR="009C6E2F" w:rsidRDefault="009C6E2F">
            <w:pPr>
              <w:jc w:val="right"/>
              <w:rPr>
                <w:rFonts w:ascii="宋体"/>
              </w:rPr>
            </w:pPr>
          </w:p>
        </w:tc>
      </w:tr>
      <w:tr w:rsidR="009C6E2F" w14:paraId="2470BE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39" w14:textId="77777777" w:rsidR="009C6E2F" w:rsidRDefault="007972BE">
            <w:pPr>
              <w:textAlignment w:val="bottom"/>
            </w:pPr>
            <w:r>
              <w:rPr>
                <w:rFonts w:ascii="Arial" w:eastAsia="宋体" w:hAnsi="Arial" w:cs="Arial"/>
                <w:color w:val="000000"/>
                <w:sz w:val="17"/>
                <w:szCs w:val="17"/>
              </w:rPr>
              <w:t>Cash provided (used) by investing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E3A" w14:textId="77777777" w:rsidR="009C6E2F" w:rsidRDefault="007972BE">
            <w:pPr>
              <w:jc w:val="right"/>
              <w:textAlignment w:val="bottom"/>
            </w:pPr>
            <w:r>
              <w:rPr>
                <w:rFonts w:ascii="Arial" w:eastAsia="宋体" w:hAnsi="Arial" w:cs="Arial"/>
                <w:color w:val="000000"/>
                <w:sz w:val="17"/>
                <w:szCs w:val="17"/>
              </w:rPr>
              <w:t>(1,105)</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E3B"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E3C" w14:textId="77777777" w:rsidR="009C6E2F" w:rsidRDefault="007972BE">
            <w:pPr>
              <w:jc w:val="right"/>
              <w:textAlignment w:val="bottom"/>
            </w:pPr>
            <w:r>
              <w:rPr>
                <w:rFonts w:ascii="Arial" w:eastAsia="宋体" w:hAnsi="Arial" w:cs="Arial"/>
                <w:color w:val="000000"/>
                <w:sz w:val="17"/>
                <w:szCs w:val="17"/>
              </w:rPr>
              <w:t>(2,877)</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3D" w14:textId="77777777" w:rsidR="009C6E2F" w:rsidRDefault="009C6E2F">
            <w:pPr>
              <w:jc w:val="right"/>
              <w:rPr>
                <w:rFonts w:ascii="宋体"/>
              </w:rPr>
            </w:pPr>
          </w:p>
        </w:tc>
      </w:tr>
      <w:tr w:rsidR="009C6E2F" w14:paraId="2470BE4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E3F" w14:textId="77777777" w:rsidR="009C6E2F" w:rsidRDefault="007972BE">
            <w:pPr>
              <w:textAlignment w:val="bottom"/>
            </w:pPr>
            <w:r>
              <w:rPr>
                <w:rFonts w:ascii="Arial" w:eastAsia="宋体" w:hAnsi="Arial" w:cs="Arial"/>
                <w:b/>
                <w:bCs/>
                <w:color w:val="000000"/>
                <w:sz w:val="17"/>
                <w:szCs w:val="17"/>
              </w:rPr>
              <w:t>Cash provided (used) by financing activities: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E40"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E41" w14:textId="77777777" w:rsidR="009C6E2F" w:rsidRDefault="009C6E2F">
            <w:pPr>
              <w:rPr>
                <w:rFonts w:ascii="宋体"/>
              </w:rPr>
            </w:pPr>
          </w:p>
        </w:tc>
      </w:tr>
      <w:tr w:rsidR="009C6E2F" w14:paraId="2470BE4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43" w14:textId="77777777" w:rsidR="009C6E2F" w:rsidRDefault="007972BE">
            <w:pPr>
              <w:textAlignment w:val="bottom"/>
            </w:pPr>
            <w:r>
              <w:rPr>
                <w:rFonts w:ascii="Arial" w:eastAsia="宋体" w:hAnsi="Arial" w:cs="Arial"/>
                <w:color w:val="000000"/>
                <w:sz w:val="17"/>
                <w:szCs w:val="17"/>
              </w:rPr>
              <w:t>Increase (decrease) in notes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44"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4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46"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47" w14:textId="77777777" w:rsidR="009C6E2F" w:rsidRDefault="009C6E2F">
            <w:pPr>
              <w:jc w:val="right"/>
              <w:rPr>
                <w:rFonts w:ascii="宋体"/>
              </w:rPr>
            </w:pPr>
          </w:p>
        </w:tc>
      </w:tr>
      <w:tr w:rsidR="009C6E2F" w14:paraId="2470BE4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49" w14:textId="77777777" w:rsidR="009C6E2F" w:rsidRDefault="007972BE">
            <w:pPr>
              <w:textAlignment w:val="bottom"/>
            </w:pPr>
            <w:r>
              <w:rPr>
                <w:rFonts w:ascii="Arial" w:eastAsia="宋体" w:hAnsi="Arial" w:cs="Arial"/>
                <w:color w:val="000000"/>
                <w:sz w:val="17"/>
                <w:szCs w:val="17"/>
              </w:rPr>
              <w:t>Repayment of borrowings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4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4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4C" w14:textId="77777777" w:rsidR="009C6E2F" w:rsidRDefault="007972BE">
            <w:pPr>
              <w:jc w:val="right"/>
              <w:textAlignment w:val="bottom"/>
            </w:pPr>
            <w:r>
              <w:rPr>
                <w:rFonts w:ascii="Arial" w:eastAsia="宋体" w:hAnsi="Arial" w:cs="Arial"/>
                <w:color w:val="000000"/>
                <w:sz w:val="17"/>
                <w:szCs w:val="17"/>
              </w:rPr>
              <w:t>(173)</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4D" w14:textId="77777777" w:rsidR="009C6E2F" w:rsidRDefault="009C6E2F">
            <w:pPr>
              <w:jc w:val="right"/>
              <w:rPr>
                <w:rFonts w:ascii="宋体"/>
              </w:rPr>
            </w:pPr>
          </w:p>
        </w:tc>
      </w:tr>
      <w:tr w:rsidR="009C6E2F" w14:paraId="2470BE5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4F" w14:textId="77777777" w:rsidR="009C6E2F" w:rsidRDefault="007972BE">
            <w:pPr>
              <w:textAlignment w:val="bottom"/>
            </w:pPr>
            <w:r>
              <w:rPr>
                <w:rFonts w:ascii="Arial" w:eastAsia="宋体" w:hAnsi="Arial" w:cs="Arial"/>
                <w:color w:val="000000"/>
                <w:sz w:val="17"/>
                <w:szCs w:val="17"/>
              </w:rPr>
              <w:t xml:space="preserve">Proceeds from exercise of </w:t>
            </w:r>
            <w:r>
              <w:rPr>
                <w:rFonts w:ascii="Arial" w:eastAsia="宋体" w:hAnsi="Arial" w:cs="Arial"/>
                <w:color w:val="000000"/>
                <w:sz w:val="17"/>
                <w:szCs w:val="17"/>
              </w:rPr>
              <w:t>stock options and other stock issuances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50" w14:textId="77777777" w:rsidR="009C6E2F" w:rsidRDefault="007972BE">
            <w:pPr>
              <w:jc w:val="right"/>
              <w:textAlignment w:val="bottom"/>
            </w:pPr>
            <w:r>
              <w:rPr>
                <w:rFonts w:ascii="Arial" w:eastAsia="宋体" w:hAnsi="Arial" w:cs="Arial"/>
                <w:color w:val="000000"/>
                <w:sz w:val="17"/>
                <w:szCs w:val="17"/>
              </w:rPr>
              <w:t>846 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5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52" w14:textId="77777777" w:rsidR="009C6E2F" w:rsidRDefault="007972BE">
            <w:pPr>
              <w:jc w:val="right"/>
              <w:textAlignment w:val="bottom"/>
            </w:pPr>
            <w:r>
              <w:rPr>
                <w:rFonts w:ascii="Arial" w:eastAsia="宋体" w:hAnsi="Arial" w:cs="Arial"/>
                <w:color w:val="000000"/>
                <w:sz w:val="17"/>
                <w:szCs w:val="17"/>
              </w:rPr>
              <w:t>781 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53" w14:textId="77777777" w:rsidR="009C6E2F" w:rsidRDefault="009C6E2F">
            <w:pPr>
              <w:jc w:val="right"/>
              <w:rPr>
                <w:rFonts w:ascii="宋体"/>
              </w:rPr>
            </w:pPr>
          </w:p>
        </w:tc>
      </w:tr>
      <w:tr w:rsidR="009C6E2F" w14:paraId="2470BE5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55" w14:textId="77777777" w:rsidR="009C6E2F" w:rsidRDefault="007972BE">
            <w:pPr>
              <w:textAlignment w:val="bottom"/>
            </w:pPr>
            <w:r>
              <w:rPr>
                <w:rFonts w:ascii="Arial" w:eastAsia="宋体" w:hAnsi="Arial" w:cs="Arial"/>
                <w:color w:val="000000"/>
                <w:sz w:val="17"/>
                <w:szCs w:val="17"/>
              </w:rPr>
              <w:t>Repurchase of common stock</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56" w14:textId="77777777" w:rsidR="009C6E2F" w:rsidRDefault="007972BE">
            <w:pPr>
              <w:jc w:val="right"/>
              <w:textAlignment w:val="bottom"/>
            </w:pPr>
            <w:r>
              <w:rPr>
                <w:rFonts w:ascii="Arial" w:eastAsia="宋体" w:hAnsi="Arial" w:cs="Arial"/>
                <w:color w:val="000000"/>
                <w:sz w:val="17"/>
                <w:szCs w:val="17"/>
              </w:rPr>
              <w:t>(1,723)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5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5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59" w14:textId="77777777" w:rsidR="009C6E2F" w:rsidRDefault="009C6E2F">
            <w:pPr>
              <w:jc w:val="right"/>
              <w:rPr>
                <w:rFonts w:ascii="宋体"/>
              </w:rPr>
            </w:pPr>
          </w:p>
        </w:tc>
      </w:tr>
      <w:tr w:rsidR="009C6E2F" w14:paraId="2470BE6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5B" w14:textId="77777777" w:rsidR="009C6E2F" w:rsidRDefault="007972BE">
            <w:pPr>
              <w:textAlignment w:val="bottom"/>
            </w:pPr>
            <w:r>
              <w:rPr>
                <w:rFonts w:ascii="Arial" w:eastAsia="宋体" w:hAnsi="Arial" w:cs="Arial"/>
                <w:color w:val="000000"/>
                <w:sz w:val="17"/>
                <w:szCs w:val="17"/>
              </w:rPr>
              <w:t>Dividends — common and preferred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5C" w14:textId="77777777" w:rsidR="009C6E2F" w:rsidRDefault="007972BE">
            <w:pPr>
              <w:jc w:val="right"/>
              <w:textAlignment w:val="bottom"/>
            </w:pPr>
            <w:r>
              <w:rPr>
                <w:rFonts w:ascii="Arial" w:eastAsia="宋体" w:hAnsi="Arial" w:cs="Arial"/>
                <w:color w:val="000000"/>
                <w:sz w:val="17"/>
                <w:szCs w:val="17"/>
              </w:rPr>
              <w:t>(873)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5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5E" w14:textId="77777777" w:rsidR="009C6E2F" w:rsidRDefault="007972BE">
            <w:pPr>
              <w:jc w:val="right"/>
              <w:textAlignment w:val="bottom"/>
            </w:pPr>
            <w:r>
              <w:rPr>
                <w:rFonts w:ascii="Arial" w:eastAsia="宋体" w:hAnsi="Arial" w:cs="Arial"/>
                <w:color w:val="000000"/>
                <w:sz w:val="17"/>
                <w:szCs w:val="17"/>
              </w:rPr>
              <w:t>(769)</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5F" w14:textId="77777777" w:rsidR="009C6E2F" w:rsidRDefault="009C6E2F">
            <w:pPr>
              <w:jc w:val="right"/>
              <w:rPr>
                <w:rFonts w:ascii="宋体"/>
              </w:rPr>
            </w:pPr>
          </w:p>
        </w:tc>
      </w:tr>
      <w:tr w:rsidR="009C6E2F" w14:paraId="2470BE6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BE61" w14:textId="77777777" w:rsidR="009C6E2F" w:rsidRDefault="007972BE">
            <w:pPr>
              <w:textAlignment w:val="bottom"/>
            </w:pPr>
            <w:r>
              <w:rPr>
                <w:rFonts w:ascii="Arial" w:eastAsia="宋体" w:hAnsi="Arial" w:cs="Arial"/>
                <w:color w:val="000000"/>
                <w:sz w:val="17"/>
                <w:szCs w:val="17"/>
              </w:rPr>
              <w:t>Other financing activities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62" w14:textId="77777777" w:rsidR="009C6E2F" w:rsidRDefault="007972BE">
            <w:pPr>
              <w:jc w:val="right"/>
              <w:textAlignment w:val="bottom"/>
            </w:pPr>
            <w:r>
              <w:rPr>
                <w:rFonts w:ascii="Arial" w:eastAsia="宋体" w:hAnsi="Arial" w:cs="Arial"/>
                <w:color w:val="000000"/>
                <w:sz w:val="17"/>
                <w:szCs w:val="17"/>
              </w:rPr>
              <w:t>(109)</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6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64" w14:textId="77777777" w:rsidR="009C6E2F" w:rsidRDefault="007972BE">
            <w:pPr>
              <w:jc w:val="right"/>
              <w:textAlignment w:val="bottom"/>
            </w:pPr>
            <w:r>
              <w:rPr>
                <w:rFonts w:ascii="Arial" w:eastAsia="宋体" w:hAnsi="Arial" w:cs="Arial"/>
                <w:color w:val="000000"/>
                <w:sz w:val="17"/>
                <w:szCs w:val="17"/>
              </w:rPr>
              <w:t>(94)</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65" w14:textId="77777777" w:rsidR="009C6E2F" w:rsidRDefault="009C6E2F">
            <w:pPr>
              <w:jc w:val="right"/>
              <w:rPr>
                <w:rFonts w:ascii="宋体"/>
              </w:rPr>
            </w:pPr>
          </w:p>
        </w:tc>
      </w:tr>
      <w:tr w:rsidR="009C6E2F" w14:paraId="2470BE6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67" w14:textId="77777777" w:rsidR="009C6E2F" w:rsidRDefault="007972BE">
            <w:pPr>
              <w:textAlignment w:val="bottom"/>
            </w:pPr>
            <w:r>
              <w:rPr>
                <w:rFonts w:ascii="Arial" w:eastAsia="宋体" w:hAnsi="Arial" w:cs="Arial"/>
                <w:color w:val="000000"/>
                <w:sz w:val="17"/>
                <w:szCs w:val="17"/>
              </w:rPr>
              <w:t>Cash provided (used) by financing activities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E68" w14:textId="77777777" w:rsidR="009C6E2F" w:rsidRDefault="007972BE">
            <w:pPr>
              <w:jc w:val="right"/>
              <w:textAlignment w:val="bottom"/>
            </w:pPr>
            <w:r>
              <w:rPr>
                <w:rFonts w:ascii="Arial" w:eastAsia="宋体" w:hAnsi="Arial" w:cs="Arial"/>
                <w:color w:val="000000"/>
                <w:sz w:val="17"/>
                <w:szCs w:val="17"/>
              </w:rPr>
              <w:t>(1,846)</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E69"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E6A" w14:textId="77777777" w:rsidR="009C6E2F" w:rsidRDefault="007972BE">
            <w:pPr>
              <w:jc w:val="right"/>
              <w:textAlignment w:val="bottom"/>
            </w:pPr>
            <w:r>
              <w:rPr>
                <w:rFonts w:ascii="Arial" w:eastAsia="宋体" w:hAnsi="Arial" w:cs="Arial"/>
                <w:color w:val="000000"/>
                <w:sz w:val="17"/>
                <w:szCs w:val="17"/>
              </w:rPr>
              <w:t>(292)</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6B" w14:textId="77777777" w:rsidR="009C6E2F" w:rsidRDefault="009C6E2F">
            <w:pPr>
              <w:jc w:val="right"/>
              <w:rPr>
                <w:rFonts w:ascii="宋体"/>
              </w:rPr>
            </w:pPr>
          </w:p>
        </w:tc>
      </w:tr>
      <w:tr w:rsidR="009C6E2F" w14:paraId="2470BE7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E6D" w14:textId="77777777" w:rsidR="009C6E2F" w:rsidRDefault="007972BE">
            <w:pPr>
              <w:textAlignment w:val="bottom"/>
            </w:pPr>
            <w:r>
              <w:rPr>
                <w:rFonts w:ascii="Arial" w:eastAsia="宋体" w:hAnsi="Arial" w:cs="Arial"/>
                <w:color w:val="000000"/>
                <w:sz w:val="17"/>
                <w:szCs w:val="17"/>
              </w:rPr>
              <w:t>Effect of exchange rate changes on cash and equivalents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6E" w14:textId="77777777" w:rsidR="009C6E2F" w:rsidRDefault="007972BE">
            <w:pPr>
              <w:jc w:val="right"/>
              <w:textAlignment w:val="bottom"/>
            </w:pPr>
            <w:r>
              <w:rPr>
                <w:rFonts w:ascii="Arial" w:eastAsia="宋体" w:hAnsi="Arial" w:cs="Arial"/>
                <w:color w:val="000000"/>
                <w:sz w:val="17"/>
                <w:szCs w:val="17"/>
              </w:rPr>
              <w:t>(55)</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6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70" w14:textId="77777777" w:rsidR="009C6E2F" w:rsidRDefault="007972BE">
            <w:pPr>
              <w:jc w:val="right"/>
              <w:textAlignment w:val="bottom"/>
            </w:pPr>
            <w:r>
              <w:rPr>
                <w:rFonts w:ascii="Arial" w:eastAsia="宋体" w:hAnsi="Arial" w:cs="Arial"/>
                <w:color w:val="000000"/>
                <w:sz w:val="17"/>
                <w:szCs w:val="17"/>
              </w:rPr>
              <w:t>101 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71" w14:textId="77777777" w:rsidR="009C6E2F" w:rsidRDefault="009C6E2F">
            <w:pPr>
              <w:jc w:val="right"/>
              <w:rPr>
                <w:rFonts w:ascii="宋体"/>
              </w:rPr>
            </w:pPr>
          </w:p>
        </w:tc>
      </w:tr>
      <w:tr w:rsidR="009C6E2F" w14:paraId="2470BE7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73" w14:textId="77777777" w:rsidR="009C6E2F" w:rsidRDefault="007972BE">
            <w:pPr>
              <w:textAlignment w:val="bottom"/>
            </w:pPr>
            <w:r>
              <w:rPr>
                <w:rFonts w:ascii="Arial" w:eastAsia="宋体" w:hAnsi="Arial" w:cs="Arial"/>
                <w:color w:val="000000"/>
                <w:sz w:val="17"/>
                <w:szCs w:val="17"/>
              </w:rPr>
              <w:t>Net increase (decrease) in cash and equivalents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E74" w14:textId="77777777" w:rsidR="009C6E2F" w:rsidRDefault="007972BE">
            <w:pPr>
              <w:jc w:val="right"/>
              <w:textAlignment w:val="bottom"/>
            </w:pPr>
            <w:r>
              <w:rPr>
                <w:rFonts w:ascii="Arial" w:eastAsia="宋体" w:hAnsi="Arial" w:cs="Arial"/>
                <w:color w:val="000000"/>
                <w:sz w:val="17"/>
                <w:szCs w:val="17"/>
              </w:rPr>
              <w:t>862 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E7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E76" w14:textId="77777777" w:rsidR="009C6E2F" w:rsidRDefault="007972BE">
            <w:pPr>
              <w:jc w:val="right"/>
              <w:textAlignment w:val="bottom"/>
            </w:pPr>
            <w:r>
              <w:rPr>
                <w:rFonts w:ascii="Arial" w:eastAsia="宋体" w:hAnsi="Arial" w:cs="Arial"/>
                <w:color w:val="000000"/>
                <w:sz w:val="17"/>
                <w:szCs w:val="17"/>
              </w:rPr>
              <w:t>287 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77" w14:textId="77777777" w:rsidR="009C6E2F" w:rsidRDefault="009C6E2F">
            <w:pPr>
              <w:jc w:val="right"/>
              <w:rPr>
                <w:rFonts w:ascii="宋体"/>
              </w:rPr>
            </w:pPr>
          </w:p>
        </w:tc>
      </w:tr>
      <w:tr w:rsidR="009C6E2F" w14:paraId="2470BE7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E79" w14:textId="77777777" w:rsidR="009C6E2F" w:rsidRDefault="007972BE">
            <w:pPr>
              <w:textAlignment w:val="bottom"/>
            </w:pPr>
            <w:r>
              <w:rPr>
                <w:rFonts w:ascii="Arial" w:eastAsia="宋体" w:hAnsi="Arial" w:cs="Arial"/>
                <w:color w:val="000000"/>
                <w:sz w:val="17"/>
                <w:szCs w:val="17"/>
              </w:rPr>
              <w:t>Cash and equivalents, beginning of period</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E7A" w14:textId="77777777" w:rsidR="009C6E2F" w:rsidRDefault="007972BE">
            <w:pPr>
              <w:jc w:val="right"/>
              <w:textAlignment w:val="bottom"/>
            </w:pPr>
            <w:r>
              <w:rPr>
                <w:rFonts w:ascii="Arial" w:eastAsia="宋体" w:hAnsi="Arial" w:cs="Arial"/>
                <w:color w:val="000000"/>
                <w:sz w:val="17"/>
                <w:szCs w:val="17"/>
              </w:rPr>
              <w:t>9,889 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7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E7C" w14:textId="77777777" w:rsidR="009C6E2F" w:rsidRDefault="007972BE">
            <w:pPr>
              <w:jc w:val="right"/>
              <w:textAlignment w:val="bottom"/>
            </w:pPr>
            <w:r>
              <w:rPr>
                <w:rFonts w:ascii="Arial" w:eastAsia="宋体" w:hAnsi="Arial" w:cs="Arial"/>
                <w:color w:val="000000"/>
                <w:sz w:val="17"/>
                <w:szCs w:val="17"/>
              </w:rPr>
              <w:t>8,348 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7D" w14:textId="77777777" w:rsidR="009C6E2F" w:rsidRDefault="009C6E2F">
            <w:pPr>
              <w:jc w:val="right"/>
              <w:rPr>
                <w:rFonts w:ascii="宋体"/>
              </w:rPr>
            </w:pPr>
          </w:p>
        </w:tc>
      </w:tr>
      <w:tr w:rsidR="009C6E2F" w14:paraId="2470BE8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7F" w14:textId="77777777" w:rsidR="009C6E2F" w:rsidRDefault="007972BE">
            <w:pPr>
              <w:textAlignment w:val="bottom"/>
            </w:pPr>
            <w:r>
              <w:rPr>
                <w:rFonts w:ascii="Arial" w:eastAsia="宋体" w:hAnsi="Arial" w:cs="Arial"/>
                <w:b/>
                <w:bCs/>
                <w:color w:val="000000"/>
                <w:sz w:val="17"/>
                <w:szCs w:val="17"/>
              </w:rPr>
              <w:t>CASH AND EQUIVALENTS, END OF PERIOD</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BE8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BE81" w14:textId="77777777" w:rsidR="009C6E2F" w:rsidRDefault="007972BE">
            <w:pPr>
              <w:jc w:val="right"/>
              <w:textAlignment w:val="bottom"/>
            </w:pPr>
            <w:r>
              <w:rPr>
                <w:rFonts w:ascii="Arial" w:eastAsia="宋体" w:hAnsi="Arial" w:cs="Arial"/>
                <w:b/>
                <w:bCs/>
                <w:color w:val="000000"/>
                <w:sz w:val="17"/>
                <w:szCs w:val="17"/>
              </w:rPr>
              <w:t>10,751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E8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E8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E84" w14:textId="77777777" w:rsidR="009C6E2F" w:rsidRDefault="007972BE">
            <w:pPr>
              <w:jc w:val="right"/>
              <w:textAlignment w:val="bottom"/>
            </w:pPr>
            <w:r>
              <w:rPr>
                <w:rFonts w:ascii="Arial" w:eastAsia="宋体" w:hAnsi="Arial" w:cs="Arial"/>
                <w:b/>
                <w:bCs/>
                <w:color w:val="000000"/>
                <w:sz w:val="17"/>
                <w:szCs w:val="17"/>
              </w:rPr>
              <w:t>8,635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85" w14:textId="77777777" w:rsidR="009C6E2F" w:rsidRDefault="009C6E2F">
            <w:pPr>
              <w:jc w:val="right"/>
              <w:rPr>
                <w:rFonts w:ascii="宋体"/>
              </w:rPr>
            </w:pPr>
          </w:p>
        </w:tc>
      </w:tr>
      <w:tr w:rsidR="009C6E2F" w14:paraId="2470BE8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87" w14:textId="77777777" w:rsidR="009C6E2F" w:rsidRDefault="007972BE">
            <w:pPr>
              <w:textAlignment w:val="bottom"/>
            </w:pPr>
            <w:r>
              <w:rPr>
                <w:rFonts w:ascii="Arial" w:eastAsia="宋体" w:hAnsi="Arial" w:cs="Arial"/>
                <w:b/>
                <w:bCs/>
                <w:color w:val="000000"/>
                <w:sz w:val="17"/>
                <w:szCs w:val="17"/>
              </w:rPr>
              <w:t>Supplemental disclosure of cash flow information:</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E8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E89" w14:textId="77777777" w:rsidR="009C6E2F" w:rsidRDefault="009C6E2F">
            <w:pPr>
              <w:rPr>
                <w:rFonts w:ascii="宋体"/>
              </w:rPr>
            </w:pPr>
          </w:p>
        </w:tc>
      </w:tr>
      <w:tr w:rsidR="009C6E2F" w14:paraId="2470BE9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E8B" w14:textId="77777777" w:rsidR="009C6E2F" w:rsidRDefault="007972BE">
            <w:pPr>
              <w:textAlignment w:val="bottom"/>
            </w:pPr>
            <w:r>
              <w:rPr>
                <w:rFonts w:ascii="Arial" w:eastAsia="宋体" w:hAnsi="Arial" w:cs="Arial"/>
                <w:color w:val="000000"/>
                <w:sz w:val="17"/>
                <w:szCs w:val="17"/>
              </w:rPr>
              <w:t>Non-cash additions to property, plant and equipment</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BE8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BE8D" w14:textId="77777777" w:rsidR="009C6E2F" w:rsidRDefault="007972BE">
            <w:pPr>
              <w:jc w:val="right"/>
              <w:textAlignment w:val="bottom"/>
            </w:pPr>
            <w:r>
              <w:rPr>
                <w:rFonts w:ascii="Arial" w:eastAsia="宋体" w:hAnsi="Arial" w:cs="Arial"/>
                <w:color w:val="000000"/>
                <w:sz w:val="17"/>
                <w:szCs w:val="17"/>
              </w:rPr>
              <w:t>103 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E8E"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BE8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BE90" w14:textId="77777777" w:rsidR="009C6E2F" w:rsidRDefault="007972BE">
            <w:pPr>
              <w:jc w:val="right"/>
              <w:textAlignment w:val="bottom"/>
            </w:pPr>
            <w:r>
              <w:rPr>
                <w:rFonts w:ascii="Arial" w:eastAsia="宋体" w:hAnsi="Arial" w:cs="Arial"/>
                <w:color w:val="000000"/>
                <w:sz w:val="17"/>
                <w:szCs w:val="17"/>
              </w:rPr>
              <w:t>118 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E91" w14:textId="77777777" w:rsidR="009C6E2F" w:rsidRDefault="009C6E2F">
            <w:pPr>
              <w:jc w:val="right"/>
              <w:rPr>
                <w:rFonts w:ascii="宋体"/>
              </w:rPr>
            </w:pPr>
          </w:p>
        </w:tc>
      </w:tr>
      <w:tr w:rsidR="009C6E2F" w14:paraId="2470BE98"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BE93" w14:textId="77777777" w:rsidR="009C6E2F" w:rsidRDefault="007972BE">
            <w:pPr>
              <w:textAlignment w:val="bottom"/>
            </w:pPr>
            <w:r>
              <w:rPr>
                <w:rFonts w:ascii="Arial" w:eastAsia="宋体" w:hAnsi="Arial" w:cs="Arial"/>
                <w:color w:val="000000"/>
                <w:sz w:val="17"/>
                <w:szCs w:val="17"/>
              </w:rPr>
              <w:t>Dividends declared and not paid</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BE94" w14:textId="77777777" w:rsidR="009C6E2F" w:rsidRDefault="007972BE">
            <w:pPr>
              <w:jc w:val="right"/>
              <w:textAlignment w:val="bottom"/>
            </w:pPr>
            <w:r>
              <w:rPr>
                <w:rFonts w:ascii="Arial" w:eastAsia="宋体" w:hAnsi="Arial" w:cs="Arial"/>
                <w:color w:val="000000"/>
                <w:sz w:val="17"/>
                <w:szCs w:val="17"/>
              </w:rPr>
              <w:t>481 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BE95"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BE96" w14:textId="77777777" w:rsidR="009C6E2F" w:rsidRDefault="007972BE">
            <w:pPr>
              <w:jc w:val="right"/>
              <w:textAlignment w:val="bottom"/>
            </w:pPr>
            <w:r>
              <w:rPr>
                <w:rFonts w:ascii="Arial" w:eastAsia="宋体" w:hAnsi="Arial" w:cs="Arial"/>
                <w:color w:val="000000"/>
                <w:sz w:val="17"/>
                <w:szCs w:val="17"/>
              </w:rPr>
              <w:t>435 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BE97" w14:textId="77777777" w:rsidR="009C6E2F" w:rsidRDefault="009C6E2F">
            <w:pPr>
              <w:jc w:val="right"/>
              <w:rPr>
                <w:rFonts w:ascii="宋体"/>
              </w:rPr>
            </w:pPr>
          </w:p>
        </w:tc>
      </w:tr>
    </w:tbl>
    <w:p w14:paraId="2470BE99" w14:textId="77777777" w:rsidR="009C6E2F" w:rsidRDefault="007972BE">
      <w:pPr>
        <w:spacing w:before="120" w:after="120"/>
      </w:pPr>
      <w:r>
        <w:rPr>
          <w:rFonts w:ascii="Arial" w:eastAsia="宋体" w:hAnsi="Arial" w:cs="Arial"/>
          <w:i/>
          <w:iCs/>
          <w:color w:val="000000"/>
          <w:sz w:val="17"/>
          <w:szCs w:val="17"/>
        </w:rPr>
        <w:t xml:space="preserve">The accompanying Notes to the Unaudited Condensed Consolidated Financial </w:t>
      </w:r>
      <w:r>
        <w:rPr>
          <w:rFonts w:ascii="Arial" w:eastAsia="宋体" w:hAnsi="Arial" w:cs="Arial"/>
          <w:i/>
          <w:iCs/>
          <w:color w:val="000000"/>
          <w:sz w:val="17"/>
          <w:szCs w:val="17"/>
        </w:rPr>
        <w:t>Statements are an integral part of this statement.</w:t>
      </w:r>
    </w:p>
    <w:p w14:paraId="2470BE9A" w14:textId="77777777" w:rsidR="009C6E2F" w:rsidRDefault="007972BE">
      <w:pPr>
        <w:spacing w:before="120" w:after="120"/>
      </w:pPr>
      <w:r>
        <w:rPr>
          <w:rFonts w:ascii="Arial" w:eastAsia="宋体" w:hAnsi="Arial" w:cs="Arial"/>
          <w:color w:val="E87722"/>
          <w:sz w:val="17"/>
          <w:szCs w:val="17"/>
        </w:rPr>
        <w:t>4</w:t>
      </w:r>
      <w:r>
        <w:rPr>
          <w:rFonts w:ascii="sans-serif" w:eastAsia="sans-serif" w:hAnsi="sans-serif" w:cs="sans-serif"/>
          <w:color w:val="000000"/>
          <w:sz w:val="17"/>
          <w:szCs w:val="17"/>
        </w:rPr>
        <w:t xml:space="preserve"> </w:t>
      </w:r>
    </w:p>
    <w:p w14:paraId="2470BE9B" w14:textId="77777777" w:rsidR="009C6E2F" w:rsidRDefault="007972BE">
      <w:r>
        <w:pict w14:anchorId="2470E1E9">
          <v:rect id="_x0000_i1030" style="width:415.3pt;height:1.5pt" o:hralign="center" o:hrstd="t" o:hr="t" fillcolor="#a0a0a0" stroked="f"/>
        </w:pict>
      </w:r>
    </w:p>
    <w:p w14:paraId="2470BE9C" w14:textId="77777777" w:rsidR="009C6E2F" w:rsidRDefault="009C6E2F"/>
    <w:p w14:paraId="2470BE9D" w14:textId="77777777" w:rsidR="009C6E2F" w:rsidRDefault="007972BE">
      <w:hyperlink r:id="rId47" w:anchor="i9e023a7388204bdbacd6aa338988f838_7" w:history="1">
        <w:r>
          <w:rPr>
            <w:rStyle w:val="a5"/>
            <w:rFonts w:ascii="sans-serif" w:eastAsia="sans-serif" w:hAnsi="sans-serif" w:cs="sans-serif"/>
            <w:sz w:val="17"/>
            <w:szCs w:val="17"/>
          </w:rPr>
          <w:t>Table of Contents</w:t>
        </w:r>
      </w:hyperlink>
    </w:p>
    <w:p w14:paraId="2470BE9E" w14:textId="77777777" w:rsidR="009C6E2F" w:rsidRDefault="009C6E2F"/>
    <w:p w14:paraId="2470BE9F" w14:textId="77777777" w:rsidR="009C6E2F" w:rsidRDefault="007972BE">
      <w:pPr>
        <w:spacing w:before="300"/>
      </w:pPr>
      <w:r>
        <w:rPr>
          <w:rFonts w:ascii="sans-serif" w:eastAsia="sans-serif" w:hAnsi="sans-serif" w:cs="sans-serif"/>
          <w:b/>
          <w:bCs/>
          <w:color w:val="E87722"/>
          <w:sz w:val="36"/>
          <w:szCs w:val="36"/>
        </w:rPr>
        <w:t>NIKE, INC.</w:t>
      </w:r>
    </w:p>
    <w:p w14:paraId="2470BEA0" w14:textId="77777777" w:rsidR="009C6E2F" w:rsidRDefault="007972BE">
      <w:pPr>
        <w:spacing w:before="120" w:after="120"/>
      </w:pPr>
      <w:r>
        <w:rPr>
          <w:rFonts w:ascii="sans-serif" w:eastAsia="sans-serif" w:hAnsi="sans-serif" w:cs="sans-serif"/>
          <w:b/>
          <w:bCs/>
          <w:color w:val="000000"/>
          <w:sz w:val="28"/>
          <w:szCs w:val="28"/>
        </w:rPr>
        <w:t>UNAUDITED CONDENSED CONSOLIDATED STATEMENTS OF SHAREHOLDERS' EQUITY</w:t>
      </w:r>
    </w:p>
    <w:p w14:paraId="2470BEA1" w14:textId="77777777" w:rsidR="009C6E2F" w:rsidRDefault="009C6E2F">
      <w:pPr>
        <w:spacing w:before="10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99"/>
        <w:gridCol w:w="41"/>
        <w:gridCol w:w="87"/>
        <w:gridCol w:w="495"/>
        <w:gridCol w:w="37"/>
        <w:gridCol w:w="111"/>
        <w:gridCol w:w="616"/>
        <w:gridCol w:w="37"/>
        <w:gridCol w:w="36"/>
        <w:gridCol w:w="36"/>
        <w:gridCol w:w="36"/>
        <w:gridCol w:w="87"/>
        <w:gridCol w:w="495"/>
        <w:gridCol w:w="37"/>
        <w:gridCol w:w="111"/>
        <w:gridCol w:w="610"/>
        <w:gridCol w:w="37"/>
        <w:gridCol w:w="110"/>
        <w:gridCol w:w="712"/>
        <w:gridCol w:w="36"/>
        <w:gridCol w:w="110"/>
        <w:gridCol w:w="1165"/>
        <w:gridCol w:w="36"/>
        <w:gridCol w:w="110"/>
        <w:gridCol w:w="679"/>
        <w:gridCol w:w="36"/>
        <w:gridCol w:w="109"/>
        <w:gridCol w:w="534"/>
        <w:gridCol w:w="36"/>
      </w:tblGrid>
      <w:tr w:rsidR="009C6E2F" w14:paraId="2470BEC0" w14:textId="77777777">
        <w:trPr>
          <w:jc w:val="center"/>
        </w:trPr>
        <w:tc>
          <w:tcPr>
            <w:tcW w:w="50" w:type="pct"/>
            <w:shd w:val="clear" w:color="auto" w:fill="auto"/>
            <w:vAlign w:val="bottom"/>
          </w:tcPr>
          <w:p w14:paraId="2470BEA2" w14:textId="77777777" w:rsidR="009C6E2F" w:rsidRDefault="009C6E2F">
            <w:pPr>
              <w:rPr>
                <w:rFonts w:ascii="宋体"/>
              </w:rPr>
            </w:pPr>
          </w:p>
        </w:tc>
        <w:tc>
          <w:tcPr>
            <w:tcW w:w="1560" w:type="pct"/>
            <w:shd w:val="clear" w:color="auto" w:fill="auto"/>
            <w:vAlign w:val="bottom"/>
          </w:tcPr>
          <w:p w14:paraId="2470BEA3" w14:textId="77777777" w:rsidR="009C6E2F" w:rsidRDefault="009C6E2F">
            <w:pPr>
              <w:rPr>
                <w:rFonts w:ascii="宋体"/>
              </w:rPr>
            </w:pPr>
          </w:p>
        </w:tc>
        <w:tc>
          <w:tcPr>
            <w:tcW w:w="5" w:type="pct"/>
            <w:shd w:val="clear" w:color="auto" w:fill="auto"/>
            <w:vAlign w:val="bottom"/>
          </w:tcPr>
          <w:p w14:paraId="2470BEA4" w14:textId="77777777" w:rsidR="009C6E2F" w:rsidRDefault="009C6E2F">
            <w:pPr>
              <w:rPr>
                <w:rFonts w:ascii="宋体"/>
              </w:rPr>
            </w:pPr>
          </w:p>
        </w:tc>
        <w:tc>
          <w:tcPr>
            <w:tcW w:w="50" w:type="pct"/>
            <w:shd w:val="clear" w:color="auto" w:fill="auto"/>
            <w:vAlign w:val="bottom"/>
          </w:tcPr>
          <w:p w14:paraId="2470BEA5" w14:textId="77777777" w:rsidR="009C6E2F" w:rsidRDefault="009C6E2F">
            <w:pPr>
              <w:rPr>
                <w:rFonts w:ascii="宋体"/>
              </w:rPr>
            </w:pPr>
          </w:p>
        </w:tc>
        <w:tc>
          <w:tcPr>
            <w:tcW w:w="285" w:type="pct"/>
            <w:shd w:val="clear" w:color="auto" w:fill="auto"/>
            <w:vAlign w:val="bottom"/>
          </w:tcPr>
          <w:p w14:paraId="2470BEA6" w14:textId="77777777" w:rsidR="009C6E2F" w:rsidRDefault="009C6E2F">
            <w:pPr>
              <w:rPr>
                <w:rFonts w:ascii="宋体"/>
              </w:rPr>
            </w:pPr>
          </w:p>
        </w:tc>
        <w:tc>
          <w:tcPr>
            <w:tcW w:w="5" w:type="pct"/>
            <w:shd w:val="clear" w:color="auto" w:fill="auto"/>
            <w:vAlign w:val="bottom"/>
          </w:tcPr>
          <w:p w14:paraId="2470BEA7" w14:textId="77777777" w:rsidR="009C6E2F" w:rsidRDefault="009C6E2F">
            <w:pPr>
              <w:rPr>
                <w:rFonts w:ascii="宋体"/>
              </w:rPr>
            </w:pPr>
          </w:p>
        </w:tc>
        <w:tc>
          <w:tcPr>
            <w:tcW w:w="50" w:type="pct"/>
            <w:shd w:val="clear" w:color="auto" w:fill="auto"/>
            <w:vAlign w:val="bottom"/>
          </w:tcPr>
          <w:p w14:paraId="2470BEA8" w14:textId="77777777" w:rsidR="009C6E2F" w:rsidRDefault="009C6E2F">
            <w:pPr>
              <w:rPr>
                <w:rFonts w:ascii="宋体"/>
              </w:rPr>
            </w:pPr>
          </w:p>
        </w:tc>
        <w:tc>
          <w:tcPr>
            <w:tcW w:w="346" w:type="pct"/>
            <w:shd w:val="clear" w:color="auto" w:fill="auto"/>
            <w:vAlign w:val="bottom"/>
          </w:tcPr>
          <w:p w14:paraId="2470BEA9" w14:textId="77777777" w:rsidR="009C6E2F" w:rsidRDefault="009C6E2F">
            <w:pPr>
              <w:rPr>
                <w:rFonts w:ascii="宋体"/>
              </w:rPr>
            </w:pPr>
          </w:p>
        </w:tc>
        <w:tc>
          <w:tcPr>
            <w:tcW w:w="5" w:type="pct"/>
            <w:shd w:val="clear" w:color="auto" w:fill="auto"/>
            <w:vAlign w:val="bottom"/>
          </w:tcPr>
          <w:p w14:paraId="2470BEAA" w14:textId="77777777" w:rsidR="009C6E2F" w:rsidRDefault="009C6E2F">
            <w:pPr>
              <w:rPr>
                <w:rFonts w:ascii="宋体"/>
              </w:rPr>
            </w:pPr>
          </w:p>
        </w:tc>
        <w:tc>
          <w:tcPr>
            <w:tcW w:w="5" w:type="pct"/>
            <w:shd w:val="clear" w:color="auto" w:fill="auto"/>
            <w:vAlign w:val="bottom"/>
          </w:tcPr>
          <w:p w14:paraId="2470BEAB" w14:textId="77777777" w:rsidR="009C6E2F" w:rsidRDefault="009C6E2F">
            <w:pPr>
              <w:rPr>
                <w:rFonts w:ascii="宋体"/>
              </w:rPr>
            </w:pPr>
          </w:p>
        </w:tc>
        <w:tc>
          <w:tcPr>
            <w:tcW w:w="28" w:type="pct"/>
            <w:shd w:val="clear" w:color="auto" w:fill="auto"/>
            <w:vAlign w:val="bottom"/>
          </w:tcPr>
          <w:p w14:paraId="2470BEAC" w14:textId="77777777" w:rsidR="009C6E2F" w:rsidRDefault="009C6E2F">
            <w:pPr>
              <w:rPr>
                <w:rFonts w:ascii="宋体"/>
              </w:rPr>
            </w:pPr>
          </w:p>
        </w:tc>
        <w:tc>
          <w:tcPr>
            <w:tcW w:w="5" w:type="pct"/>
            <w:shd w:val="clear" w:color="auto" w:fill="auto"/>
            <w:vAlign w:val="bottom"/>
          </w:tcPr>
          <w:p w14:paraId="2470BEAD" w14:textId="77777777" w:rsidR="009C6E2F" w:rsidRDefault="009C6E2F">
            <w:pPr>
              <w:rPr>
                <w:rFonts w:ascii="宋体"/>
              </w:rPr>
            </w:pPr>
          </w:p>
        </w:tc>
        <w:tc>
          <w:tcPr>
            <w:tcW w:w="50" w:type="pct"/>
            <w:shd w:val="clear" w:color="auto" w:fill="auto"/>
            <w:vAlign w:val="bottom"/>
          </w:tcPr>
          <w:p w14:paraId="2470BEAE" w14:textId="77777777" w:rsidR="009C6E2F" w:rsidRDefault="009C6E2F">
            <w:pPr>
              <w:rPr>
                <w:rFonts w:ascii="宋体"/>
              </w:rPr>
            </w:pPr>
          </w:p>
        </w:tc>
        <w:tc>
          <w:tcPr>
            <w:tcW w:w="285" w:type="pct"/>
            <w:shd w:val="clear" w:color="auto" w:fill="auto"/>
            <w:vAlign w:val="bottom"/>
          </w:tcPr>
          <w:p w14:paraId="2470BEAF" w14:textId="77777777" w:rsidR="009C6E2F" w:rsidRDefault="009C6E2F">
            <w:pPr>
              <w:rPr>
                <w:rFonts w:ascii="宋体"/>
              </w:rPr>
            </w:pPr>
          </w:p>
        </w:tc>
        <w:tc>
          <w:tcPr>
            <w:tcW w:w="5" w:type="pct"/>
            <w:shd w:val="clear" w:color="auto" w:fill="auto"/>
            <w:vAlign w:val="bottom"/>
          </w:tcPr>
          <w:p w14:paraId="2470BEB0" w14:textId="77777777" w:rsidR="009C6E2F" w:rsidRDefault="009C6E2F">
            <w:pPr>
              <w:rPr>
                <w:rFonts w:ascii="宋体"/>
              </w:rPr>
            </w:pPr>
          </w:p>
        </w:tc>
        <w:tc>
          <w:tcPr>
            <w:tcW w:w="50" w:type="pct"/>
            <w:shd w:val="clear" w:color="auto" w:fill="auto"/>
            <w:vAlign w:val="bottom"/>
          </w:tcPr>
          <w:p w14:paraId="2470BEB1" w14:textId="77777777" w:rsidR="009C6E2F" w:rsidRDefault="009C6E2F">
            <w:pPr>
              <w:rPr>
                <w:rFonts w:ascii="宋体"/>
              </w:rPr>
            </w:pPr>
          </w:p>
        </w:tc>
        <w:tc>
          <w:tcPr>
            <w:tcW w:w="323" w:type="pct"/>
            <w:shd w:val="clear" w:color="auto" w:fill="auto"/>
            <w:vAlign w:val="bottom"/>
          </w:tcPr>
          <w:p w14:paraId="2470BEB2" w14:textId="77777777" w:rsidR="009C6E2F" w:rsidRDefault="009C6E2F">
            <w:pPr>
              <w:rPr>
                <w:rFonts w:ascii="宋体"/>
              </w:rPr>
            </w:pPr>
          </w:p>
        </w:tc>
        <w:tc>
          <w:tcPr>
            <w:tcW w:w="5" w:type="pct"/>
            <w:shd w:val="clear" w:color="auto" w:fill="auto"/>
            <w:vAlign w:val="bottom"/>
          </w:tcPr>
          <w:p w14:paraId="2470BEB3" w14:textId="77777777" w:rsidR="009C6E2F" w:rsidRDefault="009C6E2F">
            <w:pPr>
              <w:rPr>
                <w:rFonts w:ascii="宋体"/>
              </w:rPr>
            </w:pPr>
          </w:p>
        </w:tc>
        <w:tc>
          <w:tcPr>
            <w:tcW w:w="50" w:type="pct"/>
            <w:shd w:val="clear" w:color="auto" w:fill="auto"/>
            <w:vAlign w:val="bottom"/>
          </w:tcPr>
          <w:p w14:paraId="2470BEB4" w14:textId="77777777" w:rsidR="009C6E2F" w:rsidRDefault="009C6E2F">
            <w:pPr>
              <w:rPr>
                <w:rFonts w:ascii="宋体"/>
              </w:rPr>
            </w:pPr>
          </w:p>
        </w:tc>
        <w:tc>
          <w:tcPr>
            <w:tcW w:w="385" w:type="pct"/>
            <w:shd w:val="clear" w:color="auto" w:fill="auto"/>
            <w:vAlign w:val="bottom"/>
          </w:tcPr>
          <w:p w14:paraId="2470BEB5" w14:textId="77777777" w:rsidR="009C6E2F" w:rsidRDefault="009C6E2F">
            <w:pPr>
              <w:rPr>
                <w:rFonts w:ascii="宋体"/>
              </w:rPr>
            </w:pPr>
          </w:p>
        </w:tc>
        <w:tc>
          <w:tcPr>
            <w:tcW w:w="5" w:type="pct"/>
            <w:shd w:val="clear" w:color="auto" w:fill="auto"/>
            <w:vAlign w:val="bottom"/>
          </w:tcPr>
          <w:p w14:paraId="2470BEB6" w14:textId="77777777" w:rsidR="009C6E2F" w:rsidRDefault="009C6E2F">
            <w:pPr>
              <w:rPr>
                <w:rFonts w:ascii="宋体"/>
              </w:rPr>
            </w:pPr>
          </w:p>
        </w:tc>
        <w:tc>
          <w:tcPr>
            <w:tcW w:w="50" w:type="pct"/>
            <w:shd w:val="clear" w:color="auto" w:fill="auto"/>
            <w:vAlign w:val="bottom"/>
          </w:tcPr>
          <w:p w14:paraId="2470BEB7" w14:textId="77777777" w:rsidR="009C6E2F" w:rsidRDefault="009C6E2F">
            <w:pPr>
              <w:rPr>
                <w:rFonts w:ascii="宋体"/>
              </w:rPr>
            </w:pPr>
          </w:p>
        </w:tc>
        <w:tc>
          <w:tcPr>
            <w:tcW w:w="586" w:type="pct"/>
            <w:shd w:val="clear" w:color="auto" w:fill="auto"/>
            <w:vAlign w:val="bottom"/>
          </w:tcPr>
          <w:p w14:paraId="2470BEB8" w14:textId="77777777" w:rsidR="009C6E2F" w:rsidRDefault="009C6E2F">
            <w:pPr>
              <w:rPr>
                <w:rFonts w:ascii="宋体"/>
              </w:rPr>
            </w:pPr>
          </w:p>
        </w:tc>
        <w:tc>
          <w:tcPr>
            <w:tcW w:w="5" w:type="pct"/>
            <w:shd w:val="clear" w:color="auto" w:fill="auto"/>
            <w:vAlign w:val="bottom"/>
          </w:tcPr>
          <w:p w14:paraId="2470BEB9" w14:textId="77777777" w:rsidR="009C6E2F" w:rsidRDefault="009C6E2F">
            <w:pPr>
              <w:rPr>
                <w:rFonts w:ascii="宋体"/>
              </w:rPr>
            </w:pPr>
          </w:p>
        </w:tc>
        <w:tc>
          <w:tcPr>
            <w:tcW w:w="50" w:type="pct"/>
            <w:shd w:val="clear" w:color="auto" w:fill="auto"/>
            <w:vAlign w:val="bottom"/>
          </w:tcPr>
          <w:p w14:paraId="2470BEBA" w14:textId="77777777" w:rsidR="009C6E2F" w:rsidRDefault="009C6E2F">
            <w:pPr>
              <w:rPr>
                <w:rFonts w:ascii="宋体"/>
              </w:rPr>
            </w:pPr>
          </w:p>
        </w:tc>
        <w:tc>
          <w:tcPr>
            <w:tcW w:w="370" w:type="pct"/>
            <w:shd w:val="clear" w:color="auto" w:fill="auto"/>
            <w:vAlign w:val="bottom"/>
          </w:tcPr>
          <w:p w14:paraId="2470BEBB" w14:textId="77777777" w:rsidR="009C6E2F" w:rsidRDefault="009C6E2F">
            <w:pPr>
              <w:rPr>
                <w:rFonts w:ascii="宋体"/>
              </w:rPr>
            </w:pPr>
          </w:p>
        </w:tc>
        <w:tc>
          <w:tcPr>
            <w:tcW w:w="5" w:type="pct"/>
            <w:shd w:val="clear" w:color="auto" w:fill="auto"/>
            <w:vAlign w:val="bottom"/>
          </w:tcPr>
          <w:p w14:paraId="2470BEBC" w14:textId="77777777" w:rsidR="009C6E2F" w:rsidRDefault="009C6E2F">
            <w:pPr>
              <w:rPr>
                <w:rFonts w:ascii="宋体"/>
              </w:rPr>
            </w:pPr>
          </w:p>
        </w:tc>
        <w:tc>
          <w:tcPr>
            <w:tcW w:w="50" w:type="pct"/>
            <w:shd w:val="clear" w:color="auto" w:fill="auto"/>
            <w:vAlign w:val="bottom"/>
          </w:tcPr>
          <w:p w14:paraId="2470BEBD" w14:textId="77777777" w:rsidR="009C6E2F" w:rsidRDefault="009C6E2F">
            <w:pPr>
              <w:rPr>
                <w:rFonts w:ascii="宋体"/>
              </w:rPr>
            </w:pPr>
          </w:p>
        </w:tc>
        <w:tc>
          <w:tcPr>
            <w:tcW w:w="323" w:type="pct"/>
            <w:shd w:val="clear" w:color="auto" w:fill="auto"/>
            <w:vAlign w:val="bottom"/>
          </w:tcPr>
          <w:p w14:paraId="2470BEBE" w14:textId="77777777" w:rsidR="009C6E2F" w:rsidRDefault="009C6E2F">
            <w:pPr>
              <w:rPr>
                <w:rFonts w:ascii="宋体"/>
              </w:rPr>
            </w:pPr>
          </w:p>
        </w:tc>
        <w:tc>
          <w:tcPr>
            <w:tcW w:w="5" w:type="pct"/>
            <w:shd w:val="clear" w:color="auto" w:fill="auto"/>
            <w:vAlign w:val="bottom"/>
          </w:tcPr>
          <w:p w14:paraId="2470BEBF" w14:textId="77777777" w:rsidR="009C6E2F" w:rsidRDefault="009C6E2F">
            <w:pPr>
              <w:rPr>
                <w:rFonts w:ascii="宋体"/>
              </w:rPr>
            </w:pPr>
          </w:p>
        </w:tc>
      </w:tr>
      <w:tr w:rsidR="009C6E2F" w14:paraId="2470BEC7"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BEC1"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BEC2" w14:textId="77777777" w:rsidR="009C6E2F" w:rsidRDefault="007972BE">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470BEC3" w14:textId="77777777" w:rsidR="009C6E2F" w:rsidRDefault="007972BE">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470BEC4" w14:textId="77777777" w:rsidR="009C6E2F" w:rsidRDefault="007972BE">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470BEC5" w14:textId="77777777" w:rsidR="009C6E2F" w:rsidRDefault="007972BE">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2470BEC6"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BED0"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BEC8"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BEC9" w14:textId="77777777" w:rsidR="009C6E2F" w:rsidRDefault="007972BE">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ECA"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BECB" w14:textId="77777777" w:rsidR="009C6E2F" w:rsidRDefault="007972BE">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470BECC"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ECD"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ECE"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ECF" w14:textId="77777777" w:rsidR="009C6E2F" w:rsidRDefault="009C6E2F">
            <w:pPr>
              <w:jc w:val="right"/>
              <w:rPr>
                <w:rFonts w:ascii="宋体"/>
              </w:rPr>
            </w:pPr>
          </w:p>
        </w:tc>
      </w:tr>
      <w:tr w:rsidR="009C6E2F" w14:paraId="2470BEDB" w14:textId="77777777">
        <w:trPr>
          <w:trHeight w:val="240"/>
          <w:jc w:val="center"/>
        </w:trPr>
        <w:tc>
          <w:tcPr>
            <w:tcW w:w="0" w:type="auto"/>
            <w:gridSpan w:val="3"/>
            <w:shd w:val="clear" w:color="auto" w:fill="auto"/>
            <w:tcMar>
              <w:top w:w="40" w:type="dxa"/>
              <w:left w:w="20" w:type="dxa"/>
              <w:bottom w:w="40" w:type="dxa"/>
              <w:right w:w="20" w:type="dxa"/>
            </w:tcMar>
            <w:vAlign w:val="bottom"/>
          </w:tcPr>
          <w:p w14:paraId="2470BED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D2" w14:textId="77777777" w:rsidR="009C6E2F" w:rsidRDefault="007972BE">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D3" w14:textId="77777777" w:rsidR="009C6E2F" w:rsidRDefault="007972BE">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470BED4"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D5" w14:textId="77777777" w:rsidR="009C6E2F" w:rsidRDefault="007972BE">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D6" w14:textId="77777777" w:rsidR="009C6E2F" w:rsidRDefault="007972BE">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470BED7"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ED8"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ED9"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EDA" w14:textId="77777777" w:rsidR="009C6E2F" w:rsidRDefault="009C6E2F">
            <w:pPr>
              <w:jc w:val="right"/>
              <w:rPr>
                <w:rFonts w:ascii="宋体"/>
              </w:rPr>
            </w:pPr>
          </w:p>
        </w:tc>
      </w:tr>
      <w:tr w:rsidR="009C6E2F" w14:paraId="2470BEF4"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DC" w14:textId="77777777" w:rsidR="009C6E2F" w:rsidRDefault="007972BE">
            <w:pPr>
              <w:textAlignment w:val="bottom"/>
            </w:pPr>
            <w:r>
              <w:rPr>
                <w:rFonts w:ascii="Arial" w:eastAsia="宋体" w:hAnsi="Arial" w:cs="Arial"/>
                <w:b/>
                <w:bCs/>
                <w:color w:val="000000"/>
                <w:sz w:val="16"/>
                <w:szCs w:val="16"/>
              </w:rPr>
              <w:t>Balance at August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EDD" w14:textId="77777777" w:rsidR="009C6E2F" w:rsidRDefault="007972BE">
            <w:pPr>
              <w:jc w:val="right"/>
              <w:textAlignment w:val="bottom"/>
            </w:pPr>
            <w:r>
              <w:rPr>
                <w:rFonts w:ascii="Arial" w:eastAsia="宋体" w:hAnsi="Arial" w:cs="Arial"/>
                <w:b/>
                <w:bCs/>
                <w:color w:val="000000"/>
                <w:sz w:val="16"/>
                <w:szCs w:val="16"/>
              </w:rPr>
              <w:t>305</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DE"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EDF"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EE0" w14:textId="77777777" w:rsidR="009C6E2F" w:rsidRDefault="007972B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E1"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EE2"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EE3" w14:textId="77777777" w:rsidR="009C6E2F" w:rsidRDefault="007972BE">
            <w:pPr>
              <w:jc w:val="right"/>
              <w:textAlignment w:val="bottom"/>
            </w:pPr>
            <w:r>
              <w:rPr>
                <w:rFonts w:ascii="Arial" w:eastAsia="宋体" w:hAnsi="Arial" w:cs="Arial"/>
                <w:b/>
                <w:bCs/>
                <w:color w:val="000000"/>
                <w:sz w:val="16"/>
                <w:szCs w:val="16"/>
              </w:rPr>
              <w:t>1,278</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E4"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EE5"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EE6" w14:textId="77777777" w:rsidR="009C6E2F" w:rsidRDefault="007972BE">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E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EE8"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EE9" w14:textId="77777777" w:rsidR="009C6E2F" w:rsidRDefault="007972BE">
            <w:pPr>
              <w:jc w:val="right"/>
              <w:textAlignment w:val="bottom"/>
            </w:pPr>
            <w:r>
              <w:rPr>
                <w:rFonts w:ascii="Arial" w:eastAsia="宋体" w:hAnsi="Arial" w:cs="Arial"/>
                <w:b/>
                <w:bCs/>
                <w:color w:val="000000"/>
                <w:sz w:val="16"/>
                <w:szCs w:val="16"/>
              </w:rPr>
              <w:t>10,521</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E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EEB"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EEC" w14:textId="77777777" w:rsidR="009C6E2F" w:rsidRDefault="007972BE">
            <w:pPr>
              <w:jc w:val="right"/>
              <w:textAlignment w:val="bottom"/>
            </w:pPr>
            <w:r>
              <w:rPr>
                <w:rFonts w:ascii="Arial" w:eastAsia="宋体" w:hAnsi="Arial" w:cs="Arial"/>
                <w:b/>
                <w:bCs/>
                <w:color w:val="000000"/>
                <w:sz w:val="16"/>
                <w:szCs w:val="16"/>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ED"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EEE"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EEF" w14:textId="77777777" w:rsidR="009C6E2F" w:rsidRDefault="007972BE">
            <w:pPr>
              <w:jc w:val="right"/>
              <w:textAlignment w:val="bottom"/>
            </w:pPr>
            <w:r>
              <w:rPr>
                <w:rFonts w:ascii="Arial" w:eastAsia="宋体" w:hAnsi="Arial" w:cs="Arial"/>
                <w:b/>
                <w:bCs/>
                <w:color w:val="000000"/>
                <w:sz w:val="16"/>
                <w:szCs w:val="16"/>
              </w:rPr>
              <w:t>3,886</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F0"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EF1"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EF2" w14:textId="77777777" w:rsidR="009C6E2F" w:rsidRDefault="007972BE">
            <w:pPr>
              <w:jc w:val="right"/>
              <w:textAlignment w:val="bottom"/>
            </w:pPr>
            <w:r>
              <w:rPr>
                <w:rFonts w:ascii="Arial" w:eastAsia="宋体" w:hAnsi="Arial" w:cs="Arial"/>
                <w:b/>
                <w:bCs/>
                <w:color w:val="000000"/>
                <w:sz w:val="16"/>
                <w:szCs w:val="16"/>
              </w:rPr>
              <w:t>14,343</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EF3" w14:textId="77777777" w:rsidR="009C6E2F" w:rsidRDefault="009C6E2F">
            <w:pPr>
              <w:jc w:val="right"/>
              <w:rPr>
                <w:rFonts w:ascii="宋体"/>
              </w:rPr>
            </w:pPr>
          </w:p>
        </w:tc>
      </w:tr>
      <w:tr w:rsidR="009C6E2F" w14:paraId="2470BF02"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EF5" w14:textId="77777777" w:rsidR="009C6E2F" w:rsidRDefault="007972BE">
            <w:pPr>
              <w:textAlignment w:val="bottom"/>
            </w:pPr>
            <w:r>
              <w:rPr>
                <w:rFonts w:ascii="Arial" w:eastAsia="宋体" w:hAnsi="Arial" w:cs="Arial"/>
                <w:color w:val="000000"/>
                <w:sz w:val="16"/>
                <w:szCs w:val="16"/>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EF6"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EF7"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EF8"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EF9" w14:textId="77777777" w:rsidR="009C6E2F" w:rsidRDefault="007972BE">
            <w:pPr>
              <w:jc w:val="right"/>
              <w:textAlignment w:val="bottom"/>
            </w:pPr>
            <w:r>
              <w:rPr>
                <w:rFonts w:ascii="Arial" w:eastAsia="宋体" w:hAnsi="Arial" w:cs="Arial"/>
                <w:color w:val="000000"/>
                <w:sz w:val="16"/>
                <w:szCs w:val="16"/>
              </w:rPr>
              <w:t>3 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EFA" w14:textId="77777777" w:rsidR="009C6E2F" w:rsidRDefault="009C6E2F">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EFB"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EFC" w14:textId="77777777" w:rsidR="009C6E2F" w:rsidRDefault="007972BE">
            <w:pPr>
              <w:jc w:val="right"/>
              <w:textAlignment w:val="bottom"/>
            </w:pPr>
            <w:r>
              <w:rPr>
                <w:rFonts w:ascii="Arial" w:eastAsia="宋体" w:hAnsi="Arial" w:cs="Arial"/>
                <w:color w:val="000000"/>
                <w:sz w:val="16"/>
                <w:szCs w:val="16"/>
              </w:rPr>
              <w:t>256 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EFD" w14:textId="77777777" w:rsidR="009C6E2F" w:rsidRDefault="009C6E2F">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EFE"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BEFF"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BF00" w14:textId="77777777" w:rsidR="009C6E2F" w:rsidRDefault="007972BE">
            <w:pPr>
              <w:jc w:val="right"/>
              <w:textAlignment w:val="bottom"/>
            </w:pPr>
            <w:r>
              <w:rPr>
                <w:rFonts w:ascii="Arial" w:eastAsia="宋体" w:hAnsi="Arial" w:cs="Arial"/>
                <w:color w:val="000000"/>
                <w:sz w:val="16"/>
                <w:szCs w:val="16"/>
              </w:rPr>
              <w:t>256 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BF01" w14:textId="77777777" w:rsidR="009C6E2F" w:rsidRDefault="009C6E2F">
            <w:pPr>
              <w:jc w:val="right"/>
              <w:rPr>
                <w:rFonts w:ascii="宋体"/>
              </w:rPr>
            </w:pPr>
          </w:p>
        </w:tc>
      </w:tr>
      <w:tr w:rsidR="009C6E2F" w14:paraId="2470BF11"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03" w14:textId="77777777" w:rsidR="009C6E2F" w:rsidRDefault="007972BE">
            <w:pPr>
              <w:textAlignment w:val="bottom"/>
            </w:pPr>
            <w:r>
              <w:rPr>
                <w:rFonts w:ascii="Arial" w:eastAsia="宋体" w:hAnsi="Arial" w:cs="Arial"/>
                <w:color w:val="000000"/>
                <w:sz w:val="16"/>
                <w:szCs w:val="16"/>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04"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05"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06"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07" w14:textId="77777777" w:rsidR="009C6E2F" w:rsidRDefault="007972BE">
            <w:pPr>
              <w:jc w:val="right"/>
              <w:textAlignment w:val="bottom"/>
            </w:pPr>
            <w:r>
              <w:rPr>
                <w:rFonts w:ascii="Arial" w:eastAsia="宋体" w:hAnsi="Arial" w:cs="Arial"/>
                <w:color w:val="000000"/>
                <w:sz w:val="16"/>
                <w:szCs w:val="16"/>
              </w:rPr>
              <w:t>(6)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08"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09"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0A" w14:textId="77777777" w:rsidR="009C6E2F" w:rsidRDefault="007972BE">
            <w:pPr>
              <w:jc w:val="right"/>
              <w:textAlignment w:val="bottom"/>
            </w:pPr>
            <w:r>
              <w:rPr>
                <w:rFonts w:ascii="Arial" w:eastAsia="宋体" w:hAnsi="Arial" w:cs="Arial"/>
                <w:color w:val="000000"/>
                <w:sz w:val="16"/>
                <w:szCs w:val="16"/>
              </w:rPr>
              <w:t>(40)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0B"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0C"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0D" w14:textId="77777777" w:rsidR="009C6E2F" w:rsidRDefault="007972BE">
            <w:pPr>
              <w:jc w:val="right"/>
              <w:textAlignment w:val="bottom"/>
            </w:pPr>
            <w:r>
              <w:rPr>
                <w:rFonts w:ascii="Arial" w:eastAsia="宋体" w:hAnsi="Arial" w:cs="Arial"/>
                <w:color w:val="000000"/>
                <w:sz w:val="16"/>
                <w:szCs w:val="16"/>
              </w:rPr>
              <w:t>(928)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0E"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0F" w14:textId="77777777" w:rsidR="009C6E2F" w:rsidRDefault="007972BE">
            <w:pPr>
              <w:jc w:val="right"/>
              <w:textAlignment w:val="bottom"/>
            </w:pPr>
            <w:r>
              <w:rPr>
                <w:rFonts w:ascii="Arial" w:eastAsia="宋体" w:hAnsi="Arial" w:cs="Arial"/>
                <w:color w:val="000000"/>
                <w:sz w:val="16"/>
                <w:szCs w:val="16"/>
              </w:rPr>
              <w:t>(968)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10" w14:textId="77777777" w:rsidR="009C6E2F" w:rsidRDefault="009C6E2F">
            <w:pPr>
              <w:jc w:val="right"/>
              <w:rPr>
                <w:rFonts w:ascii="宋体"/>
              </w:rPr>
            </w:pPr>
          </w:p>
        </w:tc>
      </w:tr>
      <w:tr w:rsidR="009C6E2F" w14:paraId="2470BF1E"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12"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6"/>
                <w:szCs w:val="16"/>
              </w:rPr>
              <w:t>Dividends on common stock ($0.305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13"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14"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15"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16"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17"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18"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19"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1A" w14:textId="77777777" w:rsidR="009C6E2F" w:rsidRDefault="007972BE">
            <w:pPr>
              <w:jc w:val="right"/>
              <w:textAlignment w:val="bottom"/>
            </w:pPr>
            <w:r>
              <w:rPr>
                <w:rFonts w:ascii="Arial" w:eastAsia="宋体" w:hAnsi="Arial" w:cs="Arial"/>
                <w:color w:val="000000"/>
                <w:sz w:val="16"/>
                <w:szCs w:val="16"/>
              </w:rPr>
              <w:t>(483)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1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1C" w14:textId="77777777" w:rsidR="009C6E2F" w:rsidRDefault="007972BE">
            <w:pPr>
              <w:jc w:val="right"/>
              <w:textAlignment w:val="bottom"/>
            </w:pPr>
            <w:r>
              <w:rPr>
                <w:rFonts w:ascii="Arial" w:eastAsia="宋体" w:hAnsi="Arial" w:cs="Arial"/>
                <w:color w:val="000000"/>
                <w:sz w:val="16"/>
                <w:szCs w:val="16"/>
              </w:rPr>
              <w:t>(483)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1D" w14:textId="77777777" w:rsidR="009C6E2F" w:rsidRDefault="009C6E2F">
            <w:pPr>
              <w:jc w:val="right"/>
              <w:rPr>
                <w:rFonts w:ascii="宋体"/>
              </w:rPr>
            </w:pPr>
          </w:p>
        </w:tc>
      </w:tr>
      <w:tr w:rsidR="009C6E2F" w14:paraId="2470BF2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1F" w14:textId="77777777" w:rsidR="009C6E2F" w:rsidRDefault="007972BE">
            <w:pPr>
              <w:textAlignment w:val="bottom"/>
            </w:pPr>
            <w:r>
              <w:rPr>
                <w:rFonts w:ascii="Arial" w:eastAsia="宋体" w:hAnsi="Arial" w:cs="Arial"/>
                <w:color w:val="000000"/>
                <w:sz w:val="16"/>
                <w:szCs w:val="16"/>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20"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21"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2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23" w14:textId="77777777" w:rsidR="009C6E2F" w:rsidRDefault="007972BE">
            <w:pPr>
              <w:jc w:val="right"/>
              <w:textAlignment w:val="bottom"/>
            </w:pPr>
            <w:r>
              <w:rPr>
                <w:rFonts w:ascii="Arial" w:eastAsia="宋体" w:hAnsi="Arial" w:cs="Arial"/>
                <w:color w:val="000000"/>
                <w:sz w:val="16"/>
                <w:szCs w:val="16"/>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24"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25"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26" w14:textId="77777777" w:rsidR="009C6E2F" w:rsidRDefault="007972BE">
            <w:pPr>
              <w:jc w:val="right"/>
              <w:textAlignment w:val="bottom"/>
            </w:pPr>
            <w:r>
              <w:rPr>
                <w:rFonts w:ascii="Arial" w:eastAsia="宋体" w:hAnsi="Arial" w:cs="Arial"/>
                <w:color w:val="000000"/>
                <w:sz w:val="16"/>
                <w:szCs w:val="16"/>
              </w:rPr>
              <w:t>83 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27"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28"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29" w14:textId="77777777" w:rsidR="009C6E2F" w:rsidRDefault="007972BE">
            <w:pPr>
              <w:jc w:val="right"/>
              <w:textAlignment w:val="bottom"/>
            </w:pPr>
            <w:r>
              <w:rPr>
                <w:rFonts w:ascii="Arial" w:eastAsia="宋体" w:hAnsi="Arial" w:cs="Arial"/>
                <w:color w:val="000000"/>
                <w:sz w:val="16"/>
                <w:szCs w:val="16"/>
              </w:rPr>
              <w:t>(26)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2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2B" w14:textId="77777777" w:rsidR="009C6E2F" w:rsidRDefault="007972BE">
            <w:pPr>
              <w:jc w:val="right"/>
              <w:textAlignment w:val="bottom"/>
            </w:pPr>
            <w:r>
              <w:rPr>
                <w:rFonts w:ascii="Arial" w:eastAsia="宋体" w:hAnsi="Arial" w:cs="Arial"/>
                <w:color w:val="000000"/>
                <w:sz w:val="16"/>
                <w:szCs w:val="16"/>
              </w:rPr>
              <w:t>57 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2C" w14:textId="77777777" w:rsidR="009C6E2F" w:rsidRDefault="009C6E2F">
            <w:pPr>
              <w:jc w:val="right"/>
              <w:rPr>
                <w:rFonts w:ascii="宋体"/>
              </w:rPr>
            </w:pPr>
          </w:p>
        </w:tc>
      </w:tr>
      <w:tr w:rsidR="009C6E2F" w14:paraId="2470BF3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2E" w14:textId="77777777" w:rsidR="009C6E2F" w:rsidRDefault="007972BE">
            <w:pPr>
              <w:textAlignment w:val="bottom"/>
            </w:pPr>
            <w:r>
              <w:rPr>
                <w:rFonts w:ascii="Arial" w:eastAsia="宋体" w:hAnsi="Arial" w:cs="Arial"/>
                <w:color w:val="000000"/>
                <w:sz w:val="16"/>
                <w:szCs w:val="16"/>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2F"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0"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1"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2"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3"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34" w14:textId="77777777" w:rsidR="009C6E2F" w:rsidRDefault="007972BE">
            <w:pPr>
              <w:jc w:val="right"/>
              <w:textAlignment w:val="bottom"/>
            </w:pPr>
            <w:r>
              <w:rPr>
                <w:rFonts w:ascii="Arial" w:eastAsia="宋体" w:hAnsi="Arial" w:cs="Arial"/>
                <w:color w:val="000000"/>
                <w:sz w:val="16"/>
                <w:szCs w:val="16"/>
              </w:rPr>
              <w:t>170 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35"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6"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38" w14:textId="77777777" w:rsidR="009C6E2F" w:rsidRDefault="007972BE">
            <w:pPr>
              <w:jc w:val="right"/>
              <w:textAlignment w:val="bottom"/>
            </w:pPr>
            <w:r>
              <w:rPr>
                <w:rFonts w:ascii="Arial" w:eastAsia="宋体" w:hAnsi="Arial" w:cs="Arial"/>
                <w:color w:val="000000"/>
                <w:sz w:val="16"/>
                <w:szCs w:val="16"/>
              </w:rPr>
              <w:t>170 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39" w14:textId="77777777" w:rsidR="009C6E2F" w:rsidRDefault="009C6E2F">
            <w:pPr>
              <w:jc w:val="right"/>
              <w:rPr>
                <w:rFonts w:ascii="宋体"/>
              </w:rPr>
            </w:pPr>
          </w:p>
        </w:tc>
      </w:tr>
      <w:tr w:rsidR="009C6E2F" w14:paraId="2470BF4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3B" w14:textId="77777777" w:rsidR="009C6E2F" w:rsidRDefault="007972BE">
            <w:pPr>
              <w:textAlignment w:val="bottom"/>
            </w:pPr>
            <w:r>
              <w:rPr>
                <w:rFonts w:ascii="Arial" w:eastAsia="宋体" w:hAnsi="Arial" w:cs="Arial"/>
                <w:color w:val="000000"/>
                <w:sz w:val="16"/>
                <w:szCs w:val="16"/>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C"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D"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E"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3F"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0"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1"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43" w14:textId="77777777" w:rsidR="009C6E2F" w:rsidRDefault="007972BE">
            <w:pPr>
              <w:jc w:val="right"/>
              <w:textAlignment w:val="bottom"/>
            </w:pPr>
            <w:r>
              <w:rPr>
                <w:rFonts w:ascii="Arial" w:eastAsia="宋体" w:hAnsi="Arial" w:cs="Arial"/>
                <w:color w:val="000000"/>
                <w:sz w:val="16"/>
                <w:szCs w:val="16"/>
              </w:rPr>
              <w:t>1,337 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44"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45" w14:textId="77777777" w:rsidR="009C6E2F" w:rsidRDefault="007972BE">
            <w:pPr>
              <w:jc w:val="right"/>
              <w:textAlignment w:val="bottom"/>
            </w:pPr>
            <w:r>
              <w:rPr>
                <w:rFonts w:ascii="Arial" w:eastAsia="宋体" w:hAnsi="Arial" w:cs="Arial"/>
                <w:color w:val="000000"/>
                <w:sz w:val="16"/>
                <w:szCs w:val="16"/>
              </w:rPr>
              <w:t>1,337 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46" w14:textId="77777777" w:rsidR="009C6E2F" w:rsidRDefault="009C6E2F">
            <w:pPr>
              <w:jc w:val="right"/>
              <w:rPr>
                <w:rFonts w:ascii="宋体"/>
              </w:rPr>
            </w:pPr>
          </w:p>
        </w:tc>
      </w:tr>
      <w:tr w:rsidR="009C6E2F" w14:paraId="2470BF5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48" w14:textId="77777777" w:rsidR="009C6E2F" w:rsidRDefault="007972BE">
            <w:pPr>
              <w:textAlignment w:val="bottom"/>
            </w:pPr>
            <w:r>
              <w:rPr>
                <w:rFonts w:ascii="Arial" w:eastAsia="宋体" w:hAnsi="Arial" w:cs="Arial"/>
                <w:color w:val="000000"/>
                <w:sz w:val="16"/>
                <w:szCs w:val="16"/>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9"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A"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B"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C"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D"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4E"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4F" w14:textId="77777777" w:rsidR="009C6E2F" w:rsidRDefault="007972BE">
            <w:pPr>
              <w:jc w:val="right"/>
              <w:textAlignment w:val="bottom"/>
            </w:pPr>
            <w:r>
              <w:rPr>
                <w:rFonts w:ascii="Arial" w:eastAsia="宋体" w:hAnsi="Arial" w:cs="Arial"/>
                <w:color w:val="000000"/>
                <w:sz w:val="16"/>
                <w:szCs w:val="16"/>
              </w:rPr>
              <w:t>212 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50"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BF5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BF52" w14:textId="77777777" w:rsidR="009C6E2F" w:rsidRDefault="007972BE">
            <w:pPr>
              <w:jc w:val="right"/>
              <w:textAlignment w:val="bottom"/>
            </w:pPr>
            <w:r>
              <w:rPr>
                <w:rFonts w:ascii="Arial" w:eastAsia="宋体" w:hAnsi="Arial" w:cs="Arial"/>
                <w:color w:val="000000"/>
                <w:sz w:val="16"/>
                <w:szCs w:val="16"/>
              </w:rPr>
              <w:t>212 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BF53" w14:textId="77777777" w:rsidR="009C6E2F" w:rsidRDefault="009C6E2F">
            <w:pPr>
              <w:jc w:val="right"/>
              <w:rPr>
                <w:rFonts w:ascii="宋体"/>
              </w:rPr>
            </w:pPr>
          </w:p>
        </w:tc>
      </w:tr>
      <w:tr w:rsidR="009C6E2F" w14:paraId="2470BF6D"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BF55" w14:textId="77777777" w:rsidR="009C6E2F" w:rsidRDefault="007972BE">
            <w:pPr>
              <w:textAlignment w:val="bottom"/>
            </w:pPr>
            <w:r>
              <w:rPr>
                <w:rFonts w:ascii="Arial" w:eastAsia="宋体" w:hAnsi="Arial" w:cs="Arial"/>
                <w:b/>
                <w:bCs/>
                <w:color w:val="000000"/>
                <w:sz w:val="16"/>
                <w:szCs w:val="16"/>
              </w:rPr>
              <w:t>Balance at November 30, 2021</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56" w14:textId="77777777" w:rsidR="009C6E2F" w:rsidRDefault="007972BE">
            <w:pPr>
              <w:jc w:val="right"/>
              <w:textAlignment w:val="bottom"/>
            </w:pPr>
            <w:r>
              <w:rPr>
                <w:rFonts w:ascii="Arial" w:eastAsia="宋体" w:hAnsi="Arial" w:cs="Arial"/>
                <w:b/>
                <w:bCs/>
                <w:color w:val="000000"/>
                <w:sz w:val="16"/>
                <w:szCs w:val="16"/>
              </w:rPr>
              <w:t>305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57"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58"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F59" w14:textId="77777777" w:rsidR="009C6E2F" w:rsidRDefault="007972B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5A"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470BF5B" w14:textId="77777777" w:rsidR="009C6E2F" w:rsidRDefault="009C6E2F">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5C" w14:textId="77777777" w:rsidR="009C6E2F" w:rsidRDefault="007972BE">
            <w:pPr>
              <w:jc w:val="right"/>
              <w:textAlignment w:val="bottom"/>
            </w:pPr>
            <w:r>
              <w:rPr>
                <w:rFonts w:ascii="Arial" w:eastAsia="宋体" w:hAnsi="Arial" w:cs="Arial"/>
                <w:b/>
                <w:bCs/>
                <w:color w:val="000000"/>
                <w:sz w:val="16"/>
                <w:szCs w:val="16"/>
              </w:rPr>
              <w:t>1,278</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5D"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5E"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F5F" w14:textId="77777777" w:rsidR="009C6E2F" w:rsidRDefault="007972BE">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6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61"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F62" w14:textId="77777777" w:rsidR="009C6E2F" w:rsidRDefault="007972BE">
            <w:pPr>
              <w:jc w:val="right"/>
              <w:textAlignment w:val="bottom"/>
            </w:pPr>
            <w:r>
              <w:rPr>
                <w:rFonts w:ascii="Arial" w:eastAsia="宋体" w:hAnsi="Arial" w:cs="Arial"/>
                <w:b/>
                <w:bCs/>
                <w:color w:val="000000"/>
                <w:sz w:val="16"/>
                <w:szCs w:val="16"/>
              </w:rPr>
              <w:t>10,990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63"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64"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F65" w14:textId="77777777" w:rsidR="009C6E2F" w:rsidRDefault="007972BE">
            <w:pPr>
              <w:jc w:val="right"/>
              <w:textAlignment w:val="bottom"/>
            </w:pPr>
            <w:r>
              <w:rPr>
                <w:rFonts w:ascii="Arial" w:eastAsia="宋体" w:hAnsi="Arial" w:cs="Arial"/>
                <w:b/>
                <w:bCs/>
                <w:color w:val="000000"/>
                <w:sz w:val="16"/>
                <w:szCs w:val="16"/>
              </w:rPr>
              <w:t>145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6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67"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F68" w14:textId="77777777" w:rsidR="009C6E2F" w:rsidRDefault="007972BE">
            <w:pPr>
              <w:jc w:val="right"/>
              <w:textAlignment w:val="bottom"/>
            </w:pPr>
            <w:r>
              <w:rPr>
                <w:rFonts w:ascii="Arial" w:eastAsia="宋体" w:hAnsi="Arial" w:cs="Arial"/>
                <w:b/>
                <w:bCs/>
                <w:color w:val="000000"/>
                <w:sz w:val="16"/>
                <w:szCs w:val="16"/>
              </w:rPr>
              <w:t>3,786</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6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BF6A"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BF6B" w14:textId="77777777" w:rsidR="009C6E2F" w:rsidRDefault="007972BE">
            <w:pPr>
              <w:jc w:val="right"/>
              <w:textAlignment w:val="bottom"/>
            </w:pPr>
            <w:r>
              <w:rPr>
                <w:rFonts w:ascii="Arial" w:eastAsia="宋体" w:hAnsi="Arial" w:cs="Arial"/>
                <w:b/>
                <w:bCs/>
                <w:color w:val="000000"/>
                <w:sz w:val="16"/>
                <w:szCs w:val="16"/>
              </w:rPr>
              <w:t>14,924</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BF6C" w14:textId="77777777" w:rsidR="009C6E2F" w:rsidRDefault="009C6E2F">
            <w:pPr>
              <w:jc w:val="right"/>
              <w:rPr>
                <w:rFonts w:ascii="宋体"/>
              </w:rPr>
            </w:pPr>
          </w:p>
        </w:tc>
      </w:tr>
    </w:tbl>
    <w:p w14:paraId="2470BF6E" w14:textId="77777777" w:rsidR="009C6E2F" w:rsidRDefault="009C6E2F">
      <w:pPr>
        <w:spacing w:before="10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99"/>
        <w:gridCol w:w="41"/>
        <w:gridCol w:w="87"/>
        <w:gridCol w:w="495"/>
        <w:gridCol w:w="37"/>
        <w:gridCol w:w="111"/>
        <w:gridCol w:w="616"/>
        <w:gridCol w:w="37"/>
        <w:gridCol w:w="36"/>
        <w:gridCol w:w="36"/>
        <w:gridCol w:w="36"/>
        <w:gridCol w:w="87"/>
        <w:gridCol w:w="495"/>
        <w:gridCol w:w="37"/>
        <w:gridCol w:w="111"/>
        <w:gridCol w:w="610"/>
        <w:gridCol w:w="37"/>
        <w:gridCol w:w="110"/>
        <w:gridCol w:w="712"/>
        <w:gridCol w:w="36"/>
        <w:gridCol w:w="110"/>
        <w:gridCol w:w="1165"/>
        <w:gridCol w:w="36"/>
        <w:gridCol w:w="110"/>
        <w:gridCol w:w="679"/>
        <w:gridCol w:w="36"/>
        <w:gridCol w:w="109"/>
        <w:gridCol w:w="534"/>
        <w:gridCol w:w="36"/>
      </w:tblGrid>
      <w:tr w:rsidR="009C6E2F" w14:paraId="2470BF8D" w14:textId="77777777">
        <w:trPr>
          <w:jc w:val="center"/>
        </w:trPr>
        <w:tc>
          <w:tcPr>
            <w:tcW w:w="50" w:type="pct"/>
            <w:shd w:val="clear" w:color="auto" w:fill="auto"/>
            <w:vAlign w:val="bottom"/>
          </w:tcPr>
          <w:p w14:paraId="2470BF6F" w14:textId="77777777" w:rsidR="009C6E2F" w:rsidRDefault="009C6E2F">
            <w:pPr>
              <w:rPr>
                <w:rFonts w:ascii="宋体"/>
              </w:rPr>
            </w:pPr>
          </w:p>
        </w:tc>
        <w:tc>
          <w:tcPr>
            <w:tcW w:w="1560" w:type="pct"/>
            <w:shd w:val="clear" w:color="auto" w:fill="auto"/>
            <w:vAlign w:val="bottom"/>
          </w:tcPr>
          <w:p w14:paraId="2470BF70" w14:textId="77777777" w:rsidR="009C6E2F" w:rsidRDefault="009C6E2F">
            <w:pPr>
              <w:rPr>
                <w:rFonts w:ascii="宋体"/>
              </w:rPr>
            </w:pPr>
          </w:p>
        </w:tc>
        <w:tc>
          <w:tcPr>
            <w:tcW w:w="5" w:type="pct"/>
            <w:shd w:val="clear" w:color="auto" w:fill="auto"/>
            <w:vAlign w:val="bottom"/>
          </w:tcPr>
          <w:p w14:paraId="2470BF71" w14:textId="77777777" w:rsidR="009C6E2F" w:rsidRDefault="009C6E2F">
            <w:pPr>
              <w:rPr>
                <w:rFonts w:ascii="宋体"/>
              </w:rPr>
            </w:pPr>
          </w:p>
        </w:tc>
        <w:tc>
          <w:tcPr>
            <w:tcW w:w="50" w:type="pct"/>
            <w:shd w:val="clear" w:color="auto" w:fill="auto"/>
            <w:vAlign w:val="bottom"/>
          </w:tcPr>
          <w:p w14:paraId="2470BF72" w14:textId="77777777" w:rsidR="009C6E2F" w:rsidRDefault="009C6E2F">
            <w:pPr>
              <w:rPr>
                <w:rFonts w:ascii="宋体"/>
              </w:rPr>
            </w:pPr>
          </w:p>
        </w:tc>
        <w:tc>
          <w:tcPr>
            <w:tcW w:w="285" w:type="pct"/>
            <w:shd w:val="clear" w:color="auto" w:fill="auto"/>
            <w:vAlign w:val="bottom"/>
          </w:tcPr>
          <w:p w14:paraId="2470BF73" w14:textId="77777777" w:rsidR="009C6E2F" w:rsidRDefault="009C6E2F">
            <w:pPr>
              <w:rPr>
                <w:rFonts w:ascii="宋体"/>
              </w:rPr>
            </w:pPr>
          </w:p>
        </w:tc>
        <w:tc>
          <w:tcPr>
            <w:tcW w:w="5" w:type="pct"/>
            <w:shd w:val="clear" w:color="auto" w:fill="auto"/>
            <w:vAlign w:val="bottom"/>
          </w:tcPr>
          <w:p w14:paraId="2470BF74" w14:textId="77777777" w:rsidR="009C6E2F" w:rsidRDefault="009C6E2F">
            <w:pPr>
              <w:rPr>
                <w:rFonts w:ascii="宋体"/>
              </w:rPr>
            </w:pPr>
          </w:p>
        </w:tc>
        <w:tc>
          <w:tcPr>
            <w:tcW w:w="50" w:type="pct"/>
            <w:shd w:val="clear" w:color="auto" w:fill="auto"/>
            <w:vAlign w:val="bottom"/>
          </w:tcPr>
          <w:p w14:paraId="2470BF75" w14:textId="77777777" w:rsidR="009C6E2F" w:rsidRDefault="009C6E2F">
            <w:pPr>
              <w:rPr>
                <w:rFonts w:ascii="宋体"/>
              </w:rPr>
            </w:pPr>
          </w:p>
        </w:tc>
        <w:tc>
          <w:tcPr>
            <w:tcW w:w="346" w:type="pct"/>
            <w:shd w:val="clear" w:color="auto" w:fill="auto"/>
            <w:vAlign w:val="bottom"/>
          </w:tcPr>
          <w:p w14:paraId="2470BF76" w14:textId="77777777" w:rsidR="009C6E2F" w:rsidRDefault="009C6E2F">
            <w:pPr>
              <w:rPr>
                <w:rFonts w:ascii="宋体"/>
              </w:rPr>
            </w:pPr>
          </w:p>
        </w:tc>
        <w:tc>
          <w:tcPr>
            <w:tcW w:w="5" w:type="pct"/>
            <w:shd w:val="clear" w:color="auto" w:fill="auto"/>
            <w:vAlign w:val="bottom"/>
          </w:tcPr>
          <w:p w14:paraId="2470BF77" w14:textId="77777777" w:rsidR="009C6E2F" w:rsidRDefault="009C6E2F">
            <w:pPr>
              <w:rPr>
                <w:rFonts w:ascii="宋体"/>
              </w:rPr>
            </w:pPr>
          </w:p>
        </w:tc>
        <w:tc>
          <w:tcPr>
            <w:tcW w:w="5" w:type="pct"/>
            <w:shd w:val="clear" w:color="auto" w:fill="auto"/>
            <w:vAlign w:val="bottom"/>
          </w:tcPr>
          <w:p w14:paraId="2470BF78" w14:textId="77777777" w:rsidR="009C6E2F" w:rsidRDefault="009C6E2F">
            <w:pPr>
              <w:rPr>
                <w:rFonts w:ascii="宋体"/>
              </w:rPr>
            </w:pPr>
          </w:p>
        </w:tc>
        <w:tc>
          <w:tcPr>
            <w:tcW w:w="28" w:type="pct"/>
            <w:shd w:val="clear" w:color="auto" w:fill="auto"/>
            <w:vAlign w:val="bottom"/>
          </w:tcPr>
          <w:p w14:paraId="2470BF79" w14:textId="77777777" w:rsidR="009C6E2F" w:rsidRDefault="009C6E2F">
            <w:pPr>
              <w:rPr>
                <w:rFonts w:ascii="宋体"/>
              </w:rPr>
            </w:pPr>
          </w:p>
        </w:tc>
        <w:tc>
          <w:tcPr>
            <w:tcW w:w="5" w:type="pct"/>
            <w:shd w:val="clear" w:color="auto" w:fill="auto"/>
            <w:vAlign w:val="bottom"/>
          </w:tcPr>
          <w:p w14:paraId="2470BF7A" w14:textId="77777777" w:rsidR="009C6E2F" w:rsidRDefault="009C6E2F">
            <w:pPr>
              <w:rPr>
                <w:rFonts w:ascii="宋体"/>
              </w:rPr>
            </w:pPr>
          </w:p>
        </w:tc>
        <w:tc>
          <w:tcPr>
            <w:tcW w:w="50" w:type="pct"/>
            <w:shd w:val="clear" w:color="auto" w:fill="auto"/>
            <w:vAlign w:val="bottom"/>
          </w:tcPr>
          <w:p w14:paraId="2470BF7B" w14:textId="77777777" w:rsidR="009C6E2F" w:rsidRDefault="009C6E2F">
            <w:pPr>
              <w:rPr>
                <w:rFonts w:ascii="宋体"/>
              </w:rPr>
            </w:pPr>
          </w:p>
        </w:tc>
        <w:tc>
          <w:tcPr>
            <w:tcW w:w="285" w:type="pct"/>
            <w:shd w:val="clear" w:color="auto" w:fill="auto"/>
            <w:vAlign w:val="bottom"/>
          </w:tcPr>
          <w:p w14:paraId="2470BF7C" w14:textId="77777777" w:rsidR="009C6E2F" w:rsidRDefault="009C6E2F">
            <w:pPr>
              <w:rPr>
                <w:rFonts w:ascii="宋体"/>
              </w:rPr>
            </w:pPr>
          </w:p>
        </w:tc>
        <w:tc>
          <w:tcPr>
            <w:tcW w:w="5" w:type="pct"/>
            <w:shd w:val="clear" w:color="auto" w:fill="auto"/>
            <w:vAlign w:val="bottom"/>
          </w:tcPr>
          <w:p w14:paraId="2470BF7D" w14:textId="77777777" w:rsidR="009C6E2F" w:rsidRDefault="009C6E2F">
            <w:pPr>
              <w:rPr>
                <w:rFonts w:ascii="宋体"/>
              </w:rPr>
            </w:pPr>
          </w:p>
        </w:tc>
        <w:tc>
          <w:tcPr>
            <w:tcW w:w="50" w:type="pct"/>
            <w:shd w:val="clear" w:color="auto" w:fill="auto"/>
            <w:vAlign w:val="bottom"/>
          </w:tcPr>
          <w:p w14:paraId="2470BF7E" w14:textId="77777777" w:rsidR="009C6E2F" w:rsidRDefault="009C6E2F">
            <w:pPr>
              <w:rPr>
                <w:rFonts w:ascii="宋体"/>
              </w:rPr>
            </w:pPr>
          </w:p>
        </w:tc>
        <w:tc>
          <w:tcPr>
            <w:tcW w:w="323" w:type="pct"/>
            <w:shd w:val="clear" w:color="auto" w:fill="auto"/>
            <w:vAlign w:val="bottom"/>
          </w:tcPr>
          <w:p w14:paraId="2470BF7F" w14:textId="77777777" w:rsidR="009C6E2F" w:rsidRDefault="009C6E2F">
            <w:pPr>
              <w:rPr>
                <w:rFonts w:ascii="宋体"/>
              </w:rPr>
            </w:pPr>
          </w:p>
        </w:tc>
        <w:tc>
          <w:tcPr>
            <w:tcW w:w="5" w:type="pct"/>
            <w:shd w:val="clear" w:color="auto" w:fill="auto"/>
            <w:vAlign w:val="bottom"/>
          </w:tcPr>
          <w:p w14:paraId="2470BF80" w14:textId="77777777" w:rsidR="009C6E2F" w:rsidRDefault="009C6E2F">
            <w:pPr>
              <w:rPr>
                <w:rFonts w:ascii="宋体"/>
              </w:rPr>
            </w:pPr>
          </w:p>
        </w:tc>
        <w:tc>
          <w:tcPr>
            <w:tcW w:w="50" w:type="pct"/>
            <w:shd w:val="clear" w:color="auto" w:fill="auto"/>
            <w:vAlign w:val="bottom"/>
          </w:tcPr>
          <w:p w14:paraId="2470BF81" w14:textId="77777777" w:rsidR="009C6E2F" w:rsidRDefault="009C6E2F">
            <w:pPr>
              <w:rPr>
                <w:rFonts w:ascii="宋体"/>
              </w:rPr>
            </w:pPr>
          </w:p>
        </w:tc>
        <w:tc>
          <w:tcPr>
            <w:tcW w:w="385" w:type="pct"/>
            <w:shd w:val="clear" w:color="auto" w:fill="auto"/>
            <w:vAlign w:val="bottom"/>
          </w:tcPr>
          <w:p w14:paraId="2470BF82" w14:textId="77777777" w:rsidR="009C6E2F" w:rsidRDefault="009C6E2F">
            <w:pPr>
              <w:rPr>
                <w:rFonts w:ascii="宋体"/>
              </w:rPr>
            </w:pPr>
          </w:p>
        </w:tc>
        <w:tc>
          <w:tcPr>
            <w:tcW w:w="5" w:type="pct"/>
            <w:shd w:val="clear" w:color="auto" w:fill="auto"/>
            <w:vAlign w:val="bottom"/>
          </w:tcPr>
          <w:p w14:paraId="2470BF83" w14:textId="77777777" w:rsidR="009C6E2F" w:rsidRDefault="009C6E2F">
            <w:pPr>
              <w:rPr>
                <w:rFonts w:ascii="宋体"/>
              </w:rPr>
            </w:pPr>
          </w:p>
        </w:tc>
        <w:tc>
          <w:tcPr>
            <w:tcW w:w="50" w:type="pct"/>
            <w:shd w:val="clear" w:color="auto" w:fill="auto"/>
            <w:vAlign w:val="bottom"/>
          </w:tcPr>
          <w:p w14:paraId="2470BF84" w14:textId="77777777" w:rsidR="009C6E2F" w:rsidRDefault="009C6E2F">
            <w:pPr>
              <w:rPr>
                <w:rFonts w:ascii="宋体"/>
              </w:rPr>
            </w:pPr>
          </w:p>
        </w:tc>
        <w:tc>
          <w:tcPr>
            <w:tcW w:w="586" w:type="pct"/>
            <w:shd w:val="clear" w:color="auto" w:fill="auto"/>
            <w:vAlign w:val="bottom"/>
          </w:tcPr>
          <w:p w14:paraId="2470BF85" w14:textId="77777777" w:rsidR="009C6E2F" w:rsidRDefault="009C6E2F">
            <w:pPr>
              <w:rPr>
                <w:rFonts w:ascii="宋体"/>
              </w:rPr>
            </w:pPr>
          </w:p>
        </w:tc>
        <w:tc>
          <w:tcPr>
            <w:tcW w:w="5" w:type="pct"/>
            <w:shd w:val="clear" w:color="auto" w:fill="auto"/>
            <w:vAlign w:val="bottom"/>
          </w:tcPr>
          <w:p w14:paraId="2470BF86" w14:textId="77777777" w:rsidR="009C6E2F" w:rsidRDefault="009C6E2F">
            <w:pPr>
              <w:rPr>
                <w:rFonts w:ascii="宋体"/>
              </w:rPr>
            </w:pPr>
          </w:p>
        </w:tc>
        <w:tc>
          <w:tcPr>
            <w:tcW w:w="50" w:type="pct"/>
            <w:shd w:val="clear" w:color="auto" w:fill="auto"/>
            <w:vAlign w:val="bottom"/>
          </w:tcPr>
          <w:p w14:paraId="2470BF87" w14:textId="77777777" w:rsidR="009C6E2F" w:rsidRDefault="009C6E2F">
            <w:pPr>
              <w:rPr>
                <w:rFonts w:ascii="宋体"/>
              </w:rPr>
            </w:pPr>
          </w:p>
        </w:tc>
        <w:tc>
          <w:tcPr>
            <w:tcW w:w="370" w:type="pct"/>
            <w:shd w:val="clear" w:color="auto" w:fill="auto"/>
            <w:vAlign w:val="bottom"/>
          </w:tcPr>
          <w:p w14:paraId="2470BF88" w14:textId="77777777" w:rsidR="009C6E2F" w:rsidRDefault="009C6E2F">
            <w:pPr>
              <w:rPr>
                <w:rFonts w:ascii="宋体"/>
              </w:rPr>
            </w:pPr>
          </w:p>
        </w:tc>
        <w:tc>
          <w:tcPr>
            <w:tcW w:w="5" w:type="pct"/>
            <w:shd w:val="clear" w:color="auto" w:fill="auto"/>
            <w:vAlign w:val="bottom"/>
          </w:tcPr>
          <w:p w14:paraId="2470BF89" w14:textId="77777777" w:rsidR="009C6E2F" w:rsidRDefault="009C6E2F">
            <w:pPr>
              <w:rPr>
                <w:rFonts w:ascii="宋体"/>
              </w:rPr>
            </w:pPr>
          </w:p>
        </w:tc>
        <w:tc>
          <w:tcPr>
            <w:tcW w:w="50" w:type="pct"/>
            <w:shd w:val="clear" w:color="auto" w:fill="auto"/>
            <w:vAlign w:val="bottom"/>
          </w:tcPr>
          <w:p w14:paraId="2470BF8A" w14:textId="77777777" w:rsidR="009C6E2F" w:rsidRDefault="009C6E2F">
            <w:pPr>
              <w:rPr>
                <w:rFonts w:ascii="宋体"/>
              </w:rPr>
            </w:pPr>
          </w:p>
        </w:tc>
        <w:tc>
          <w:tcPr>
            <w:tcW w:w="323" w:type="pct"/>
            <w:shd w:val="clear" w:color="auto" w:fill="auto"/>
            <w:vAlign w:val="bottom"/>
          </w:tcPr>
          <w:p w14:paraId="2470BF8B" w14:textId="77777777" w:rsidR="009C6E2F" w:rsidRDefault="009C6E2F">
            <w:pPr>
              <w:rPr>
                <w:rFonts w:ascii="宋体"/>
              </w:rPr>
            </w:pPr>
          </w:p>
        </w:tc>
        <w:tc>
          <w:tcPr>
            <w:tcW w:w="5" w:type="pct"/>
            <w:shd w:val="clear" w:color="auto" w:fill="auto"/>
            <w:vAlign w:val="bottom"/>
          </w:tcPr>
          <w:p w14:paraId="2470BF8C" w14:textId="77777777" w:rsidR="009C6E2F" w:rsidRDefault="009C6E2F">
            <w:pPr>
              <w:rPr>
                <w:rFonts w:ascii="宋体"/>
              </w:rPr>
            </w:pPr>
          </w:p>
        </w:tc>
      </w:tr>
      <w:tr w:rsidR="009C6E2F" w14:paraId="2470BF94"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BF8E"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BF8F" w14:textId="77777777" w:rsidR="009C6E2F" w:rsidRDefault="007972BE">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470BF90" w14:textId="77777777" w:rsidR="009C6E2F" w:rsidRDefault="007972BE">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470BF91" w14:textId="77777777" w:rsidR="009C6E2F" w:rsidRDefault="007972BE">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470BF92" w14:textId="77777777" w:rsidR="009C6E2F" w:rsidRDefault="007972BE">
            <w:pPr>
              <w:jc w:val="right"/>
              <w:textAlignment w:val="bottom"/>
            </w:pPr>
            <w:r>
              <w:rPr>
                <w:rFonts w:ascii="sans-serif" w:eastAsia="sans-serif" w:hAnsi="sans-serif" w:cs="sans-serif"/>
                <w:b/>
                <w:bCs/>
                <w:color w:val="000000"/>
                <w:sz w:val="17"/>
                <w:szCs w:val="17"/>
              </w:rPr>
              <w:t xml:space="preserve">RETAINED EARNINGS </w:t>
            </w:r>
            <w:r>
              <w:rPr>
                <w:rFonts w:ascii="sans-serif" w:eastAsia="sans-serif" w:hAnsi="sans-serif" w:cs="sans-serif"/>
                <w:b/>
                <w:bCs/>
                <w:color w:val="000000"/>
                <w:sz w:val="17"/>
                <w:szCs w:val="17"/>
              </w:rPr>
              <w:t>(DEFICIT)</w:t>
            </w:r>
          </w:p>
        </w:tc>
        <w:tc>
          <w:tcPr>
            <w:tcW w:w="0" w:type="auto"/>
            <w:gridSpan w:val="3"/>
            <w:vMerge w:val="restart"/>
            <w:shd w:val="clear" w:color="auto" w:fill="auto"/>
            <w:tcMar>
              <w:top w:w="40" w:type="dxa"/>
              <w:left w:w="20" w:type="dxa"/>
              <w:bottom w:w="40" w:type="dxa"/>
              <w:right w:w="20" w:type="dxa"/>
            </w:tcMar>
            <w:vAlign w:val="bottom"/>
          </w:tcPr>
          <w:p w14:paraId="2470BF93"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BF9D"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BF95"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BF96" w14:textId="77777777" w:rsidR="009C6E2F" w:rsidRDefault="007972BE">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97"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BF98" w14:textId="77777777" w:rsidR="009C6E2F" w:rsidRDefault="007972BE">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470BF99"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F9A"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F9B"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F9C" w14:textId="77777777" w:rsidR="009C6E2F" w:rsidRDefault="009C6E2F">
            <w:pPr>
              <w:jc w:val="right"/>
              <w:rPr>
                <w:rFonts w:ascii="宋体"/>
              </w:rPr>
            </w:pPr>
          </w:p>
        </w:tc>
      </w:tr>
      <w:tr w:rsidR="009C6E2F" w14:paraId="2470BFA8" w14:textId="77777777">
        <w:trPr>
          <w:trHeight w:val="240"/>
          <w:jc w:val="center"/>
        </w:trPr>
        <w:tc>
          <w:tcPr>
            <w:tcW w:w="0" w:type="auto"/>
            <w:gridSpan w:val="3"/>
            <w:shd w:val="clear" w:color="auto" w:fill="auto"/>
            <w:tcMar>
              <w:top w:w="40" w:type="dxa"/>
              <w:left w:w="20" w:type="dxa"/>
              <w:bottom w:w="40" w:type="dxa"/>
              <w:right w:w="20" w:type="dxa"/>
            </w:tcMar>
            <w:vAlign w:val="bottom"/>
          </w:tcPr>
          <w:p w14:paraId="2470BF9E"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F9F" w14:textId="77777777" w:rsidR="009C6E2F" w:rsidRDefault="007972BE">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FA0" w14:textId="77777777" w:rsidR="009C6E2F" w:rsidRDefault="007972BE">
            <w:pPr>
              <w:jc w:val="right"/>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470BFA1"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FA2" w14:textId="77777777" w:rsidR="009C6E2F" w:rsidRDefault="007972BE">
            <w:pPr>
              <w:jc w:val="right"/>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FA3" w14:textId="77777777" w:rsidR="009C6E2F" w:rsidRDefault="007972BE">
            <w:pPr>
              <w:jc w:val="right"/>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470BFA4"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FA5"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FA6"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BFA7" w14:textId="77777777" w:rsidR="009C6E2F" w:rsidRDefault="009C6E2F">
            <w:pPr>
              <w:jc w:val="right"/>
              <w:rPr>
                <w:rFonts w:ascii="宋体"/>
              </w:rPr>
            </w:pPr>
          </w:p>
        </w:tc>
      </w:tr>
      <w:tr w:rsidR="009C6E2F" w14:paraId="2470BFC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FA9" w14:textId="77777777" w:rsidR="009C6E2F" w:rsidRDefault="007972BE">
            <w:pPr>
              <w:textAlignment w:val="bottom"/>
            </w:pPr>
            <w:r>
              <w:rPr>
                <w:rFonts w:ascii="Arial" w:eastAsia="宋体" w:hAnsi="Arial" w:cs="Arial"/>
                <w:b/>
                <w:bCs/>
                <w:color w:val="000000"/>
                <w:sz w:val="16"/>
                <w:szCs w:val="16"/>
              </w:rPr>
              <w:t>Balance at August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FAA" w14:textId="77777777" w:rsidR="009C6E2F" w:rsidRDefault="007972BE">
            <w:pPr>
              <w:jc w:val="right"/>
              <w:textAlignment w:val="bottom"/>
            </w:pPr>
            <w:r>
              <w:rPr>
                <w:rFonts w:ascii="Arial" w:eastAsia="宋体" w:hAnsi="Arial" w:cs="Arial"/>
                <w:b/>
                <w:bCs/>
                <w:color w:val="000000"/>
                <w:sz w:val="16"/>
                <w:szCs w:val="16"/>
              </w:rPr>
              <w:t>315</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AB"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FAC"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FAD" w14:textId="77777777" w:rsidR="009C6E2F" w:rsidRDefault="007972B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AE"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AF"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FB0" w14:textId="77777777" w:rsidR="009C6E2F" w:rsidRDefault="007972BE">
            <w:pPr>
              <w:jc w:val="right"/>
              <w:textAlignment w:val="bottom"/>
            </w:pPr>
            <w:r>
              <w:rPr>
                <w:rFonts w:ascii="Arial" w:eastAsia="宋体" w:hAnsi="Arial" w:cs="Arial"/>
                <w:b/>
                <w:bCs/>
                <w:color w:val="000000"/>
                <w:sz w:val="16"/>
                <w:szCs w:val="16"/>
              </w:rPr>
              <w:t>1,250</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B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FB2"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FB3" w14:textId="77777777" w:rsidR="009C6E2F" w:rsidRDefault="007972BE">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B4"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FB5"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FB6" w14:textId="77777777" w:rsidR="009C6E2F" w:rsidRDefault="007972BE">
            <w:pPr>
              <w:jc w:val="right"/>
              <w:textAlignment w:val="bottom"/>
            </w:pPr>
            <w:r>
              <w:rPr>
                <w:rFonts w:ascii="Arial" w:eastAsia="宋体" w:hAnsi="Arial" w:cs="Arial"/>
                <w:b/>
                <w:bCs/>
                <w:color w:val="000000"/>
                <w:sz w:val="16"/>
                <w:szCs w:val="16"/>
              </w:rPr>
              <w:t>8,695</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B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FB8"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FB9" w14:textId="77777777" w:rsidR="009C6E2F" w:rsidRDefault="007972BE">
            <w:pPr>
              <w:jc w:val="right"/>
              <w:textAlignment w:val="bottom"/>
            </w:pPr>
            <w:r>
              <w:rPr>
                <w:rFonts w:ascii="Arial" w:eastAsia="宋体" w:hAnsi="Arial" w:cs="Arial"/>
                <w:b/>
                <w:bCs/>
                <w:color w:val="000000"/>
                <w:sz w:val="16"/>
                <w:szCs w:val="16"/>
              </w:rPr>
              <w:t>(401)</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B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FBB"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FBC" w14:textId="77777777" w:rsidR="009C6E2F" w:rsidRDefault="007972BE">
            <w:pPr>
              <w:jc w:val="right"/>
              <w:textAlignment w:val="bottom"/>
            </w:pPr>
            <w:r>
              <w:rPr>
                <w:rFonts w:ascii="Arial" w:eastAsia="宋体" w:hAnsi="Arial" w:cs="Arial"/>
                <w:b/>
                <w:bCs/>
                <w:color w:val="000000"/>
                <w:sz w:val="16"/>
                <w:szCs w:val="16"/>
              </w:rPr>
              <w:t>927</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BD"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BFBE"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BFBF" w14:textId="77777777" w:rsidR="009C6E2F" w:rsidRDefault="007972BE">
            <w:pPr>
              <w:jc w:val="right"/>
              <w:textAlignment w:val="bottom"/>
            </w:pPr>
            <w:r>
              <w:rPr>
                <w:rFonts w:ascii="Arial" w:eastAsia="宋体" w:hAnsi="Arial" w:cs="Arial"/>
                <w:b/>
                <w:bCs/>
                <w:color w:val="000000"/>
                <w:sz w:val="16"/>
                <w:szCs w:val="16"/>
              </w:rPr>
              <w:t>9,224</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C0" w14:textId="77777777" w:rsidR="009C6E2F" w:rsidRDefault="009C6E2F">
            <w:pPr>
              <w:jc w:val="right"/>
              <w:rPr>
                <w:rFonts w:ascii="宋体"/>
              </w:rPr>
            </w:pPr>
          </w:p>
        </w:tc>
      </w:tr>
      <w:tr w:rsidR="009C6E2F" w14:paraId="2470BFC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BFC2" w14:textId="77777777" w:rsidR="009C6E2F" w:rsidRDefault="007972BE">
            <w:pPr>
              <w:textAlignment w:val="bottom"/>
            </w:pPr>
            <w:r>
              <w:rPr>
                <w:rFonts w:ascii="Arial" w:eastAsia="宋体" w:hAnsi="Arial" w:cs="Arial"/>
                <w:color w:val="000000"/>
                <w:sz w:val="16"/>
                <w:szCs w:val="16"/>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C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C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C5"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FC6" w14:textId="77777777" w:rsidR="009C6E2F" w:rsidRDefault="007972BE">
            <w:pPr>
              <w:jc w:val="right"/>
              <w:textAlignment w:val="bottom"/>
            </w:pPr>
            <w:r>
              <w:rPr>
                <w:rFonts w:ascii="Arial" w:eastAsia="宋体" w:hAnsi="Arial" w:cs="Arial"/>
                <w:color w:val="000000"/>
                <w:sz w:val="16"/>
                <w:szCs w:val="16"/>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C7"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C8"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FC9" w14:textId="77777777" w:rsidR="009C6E2F" w:rsidRDefault="007972BE">
            <w:pPr>
              <w:jc w:val="right"/>
              <w:textAlignment w:val="bottom"/>
            </w:pPr>
            <w:r>
              <w:rPr>
                <w:rFonts w:ascii="Arial" w:eastAsia="宋体" w:hAnsi="Arial" w:cs="Arial"/>
                <w:color w:val="000000"/>
                <w:sz w:val="16"/>
                <w:szCs w:val="16"/>
              </w:rPr>
              <w:t>366 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CA"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C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BFCC"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BFCD" w14:textId="77777777" w:rsidR="009C6E2F" w:rsidRDefault="007972BE">
            <w:pPr>
              <w:jc w:val="right"/>
              <w:textAlignment w:val="bottom"/>
            </w:pPr>
            <w:r>
              <w:rPr>
                <w:rFonts w:ascii="Arial" w:eastAsia="宋体" w:hAnsi="Arial" w:cs="Arial"/>
                <w:color w:val="000000"/>
                <w:sz w:val="16"/>
                <w:szCs w:val="16"/>
              </w:rPr>
              <w:t>366 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BFCE" w14:textId="77777777" w:rsidR="009C6E2F" w:rsidRDefault="009C6E2F">
            <w:pPr>
              <w:jc w:val="right"/>
              <w:rPr>
                <w:rFonts w:ascii="宋体"/>
              </w:rPr>
            </w:pPr>
          </w:p>
        </w:tc>
      </w:tr>
      <w:tr w:rsidR="009C6E2F" w14:paraId="2470BFD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D0" w14:textId="77777777" w:rsidR="009C6E2F" w:rsidRDefault="007972BE">
            <w:pPr>
              <w:textAlignment w:val="bottom"/>
            </w:pPr>
            <w:r>
              <w:rPr>
                <w:rFonts w:ascii="Arial" w:eastAsia="宋体" w:hAnsi="Arial" w:cs="Arial"/>
                <w:color w:val="000000"/>
                <w:sz w:val="16"/>
                <w:szCs w:val="16"/>
              </w:rPr>
              <w:t>Conversion to Class B Common Stock</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D1" w14:textId="77777777" w:rsidR="009C6E2F" w:rsidRDefault="007972BE">
            <w:pPr>
              <w:jc w:val="right"/>
              <w:textAlignment w:val="bottom"/>
            </w:pPr>
            <w:r>
              <w:rPr>
                <w:rFonts w:ascii="Arial" w:eastAsia="宋体" w:hAnsi="Arial" w:cs="Arial"/>
                <w:color w:val="000000"/>
                <w:sz w:val="16"/>
                <w:szCs w:val="16"/>
              </w:rPr>
              <w:t>(10)</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D2"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D3"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D4"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D5" w14:textId="77777777" w:rsidR="009C6E2F" w:rsidRDefault="007972BE">
            <w:pPr>
              <w:jc w:val="right"/>
              <w:textAlignment w:val="bottom"/>
            </w:pPr>
            <w:r>
              <w:rPr>
                <w:rFonts w:ascii="Arial" w:eastAsia="宋体" w:hAnsi="Arial" w:cs="Arial"/>
                <w:color w:val="000000"/>
                <w:sz w:val="16"/>
                <w:szCs w:val="16"/>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D6"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D7"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D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D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DA"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DB" w14:textId="77777777" w:rsidR="009C6E2F" w:rsidRDefault="007972BE">
            <w:pPr>
              <w:jc w:val="right"/>
              <w:textAlignment w:val="bottom"/>
            </w:pPr>
            <w:r>
              <w:rPr>
                <w:rFonts w:ascii="Arial" w:eastAsia="宋体" w:hAnsi="Arial" w:cs="Arial"/>
                <w:color w:val="000000"/>
                <w:sz w:val="16"/>
                <w:szCs w:val="16"/>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DC" w14:textId="77777777" w:rsidR="009C6E2F" w:rsidRDefault="009C6E2F">
            <w:pPr>
              <w:jc w:val="right"/>
              <w:rPr>
                <w:rFonts w:ascii="宋体"/>
              </w:rPr>
            </w:pPr>
          </w:p>
        </w:tc>
      </w:tr>
      <w:tr w:rsidR="009C6E2F" w14:paraId="2470BFE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DE"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6"/>
                <w:szCs w:val="16"/>
              </w:rPr>
              <w:t>Dividends on common stock ($0.275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DF"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0"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1"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2"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3"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4"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5"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E6" w14:textId="77777777" w:rsidR="009C6E2F" w:rsidRDefault="007972BE">
            <w:pPr>
              <w:jc w:val="right"/>
              <w:textAlignment w:val="bottom"/>
            </w:pPr>
            <w:r>
              <w:rPr>
                <w:rFonts w:ascii="Arial" w:eastAsia="宋体" w:hAnsi="Arial" w:cs="Arial"/>
                <w:color w:val="000000"/>
                <w:sz w:val="16"/>
                <w:szCs w:val="16"/>
              </w:rPr>
              <w:t>(437)</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E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E8" w14:textId="77777777" w:rsidR="009C6E2F" w:rsidRDefault="007972BE">
            <w:pPr>
              <w:jc w:val="right"/>
              <w:textAlignment w:val="bottom"/>
            </w:pPr>
            <w:r>
              <w:rPr>
                <w:rFonts w:ascii="Arial" w:eastAsia="宋体" w:hAnsi="Arial" w:cs="Arial"/>
                <w:color w:val="000000"/>
                <w:sz w:val="16"/>
                <w:szCs w:val="16"/>
              </w:rPr>
              <w:t>(437)</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E9" w14:textId="77777777" w:rsidR="009C6E2F" w:rsidRDefault="009C6E2F">
            <w:pPr>
              <w:jc w:val="right"/>
              <w:rPr>
                <w:rFonts w:ascii="宋体"/>
              </w:rPr>
            </w:pPr>
          </w:p>
        </w:tc>
      </w:tr>
      <w:tr w:rsidR="009C6E2F" w14:paraId="2470BFF9"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EB" w14:textId="77777777" w:rsidR="009C6E2F" w:rsidRDefault="007972BE">
            <w:pPr>
              <w:textAlignment w:val="bottom"/>
            </w:pPr>
            <w:r>
              <w:rPr>
                <w:rFonts w:ascii="Arial" w:eastAsia="宋体" w:hAnsi="Arial" w:cs="Arial"/>
                <w:color w:val="000000"/>
                <w:sz w:val="16"/>
                <w:szCs w:val="16"/>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C"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E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EF" w14:textId="77777777" w:rsidR="009C6E2F" w:rsidRDefault="007972BE">
            <w:pPr>
              <w:jc w:val="right"/>
              <w:textAlignment w:val="bottom"/>
            </w:pPr>
            <w:r>
              <w:rPr>
                <w:rFonts w:ascii="Arial" w:eastAsia="宋体" w:hAnsi="Arial" w:cs="Arial"/>
                <w:color w:val="000000"/>
                <w:sz w:val="16"/>
                <w:szCs w:val="16"/>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F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F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F2" w14:textId="77777777" w:rsidR="009C6E2F" w:rsidRDefault="007972BE">
            <w:pPr>
              <w:jc w:val="right"/>
              <w:textAlignment w:val="bottom"/>
            </w:pPr>
            <w:r>
              <w:rPr>
                <w:rFonts w:ascii="Arial" w:eastAsia="宋体" w:hAnsi="Arial" w:cs="Arial"/>
                <w:color w:val="000000"/>
                <w:sz w:val="16"/>
                <w:szCs w:val="16"/>
              </w:rPr>
              <w:t>86 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F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F4"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F5" w14:textId="77777777" w:rsidR="009C6E2F" w:rsidRDefault="007972BE">
            <w:pPr>
              <w:jc w:val="right"/>
              <w:textAlignment w:val="bottom"/>
            </w:pPr>
            <w:r>
              <w:rPr>
                <w:rFonts w:ascii="Arial" w:eastAsia="宋体" w:hAnsi="Arial" w:cs="Arial"/>
                <w:color w:val="000000"/>
                <w:sz w:val="16"/>
                <w:szCs w:val="16"/>
              </w:rPr>
              <w:t>(11)</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F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BFF7" w14:textId="77777777" w:rsidR="009C6E2F" w:rsidRDefault="007972BE">
            <w:pPr>
              <w:jc w:val="right"/>
              <w:textAlignment w:val="bottom"/>
            </w:pPr>
            <w:r>
              <w:rPr>
                <w:rFonts w:ascii="Arial" w:eastAsia="宋体" w:hAnsi="Arial" w:cs="Arial"/>
                <w:color w:val="000000"/>
                <w:sz w:val="16"/>
                <w:szCs w:val="16"/>
              </w:rPr>
              <w:t>75 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BFF8" w14:textId="77777777" w:rsidR="009C6E2F" w:rsidRDefault="009C6E2F">
            <w:pPr>
              <w:jc w:val="right"/>
              <w:rPr>
                <w:rFonts w:ascii="宋体"/>
              </w:rPr>
            </w:pPr>
          </w:p>
        </w:tc>
      </w:tr>
      <w:tr w:rsidR="009C6E2F" w14:paraId="2470C006"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BFFA" w14:textId="77777777" w:rsidR="009C6E2F" w:rsidRDefault="007972BE">
            <w:pPr>
              <w:textAlignment w:val="bottom"/>
            </w:pPr>
            <w:r>
              <w:rPr>
                <w:rFonts w:ascii="Arial" w:eastAsia="宋体" w:hAnsi="Arial" w:cs="Arial"/>
                <w:color w:val="000000"/>
                <w:sz w:val="16"/>
                <w:szCs w:val="16"/>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FB"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FC"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F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FE"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BFFF"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000" w14:textId="77777777" w:rsidR="009C6E2F" w:rsidRDefault="007972BE">
            <w:pPr>
              <w:jc w:val="right"/>
              <w:textAlignment w:val="bottom"/>
            </w:pPr>
            <w:r>
              <w:rPr>
                <w:rFonts w:ascii="Arial" w:eastAsia="宋体" w:hAnsi="Arial" w:cs="Arial"/>
                <w:color w:val="000000"/>
                <w:sz w:val="16"/>
                <w:szCs w:val="16"/>
              </w:rPr>
              <w:t>189 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00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2"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3"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004" w14:textId="77777777" w:rsidR="009C6E2F" w:rsidRDefault="007972BE">
            <w:pPr>
              <w:jc w:val="right"/>
              <w:textAlignment w:val="bottom"/>
            </w:pPr>
            <w:r>
              <w:rPr>
                <w:rFonts w:ascii="Arial" w:eastAsia="宋体" w:hAnsi="Arial" w:cs="Arial"/>
                <w:color w:val="000000"/>
                <w:sz w:val="16"/>
                <w:szCs w:val="16"/>
              </w:rPr>
              <w:t>189 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005" w14:textId="77777777" w:rsidR="009C6E2F" w:rsidRDefault="009C6E2F">
            <w:pPr>
              <w:jc w:val="right"/>
              <w:rPr>
                <w:rFonts w:ascii="宋体"/>
              </w:rPr>
            </w:pPr>
          </w:p>
        </w:tc>
      </w:tr>
      <w:tr w:rsidR="009C6E2F" w14:paraId="2470C013"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07" w14:textId="77777777" w:rsidR="009C6E2F" w:rsidRDefault="007972BE">
            <w:pPr>
              <w:textAlignment w:val="bottom"/>
            </w:pPr>
            <w:r>
              <w:rPr>
                <w:rFonts w:ascii="Arial" w:eastAsia="宋体" w:hAnsi="Arial" w:cs="Arial"/>
                <w:color w:val="000000"/>
                <w:sz w:val="16"/>
                <w:szCs w:val="16"/>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A"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B"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C"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0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00F" w14:textId="77777777" w:rsidR="009C6E2F" w:rsidRDefault="007972BE">
            <w:pPr>
              <w:jc w:val="right"/>
              <w:textAlignment w:val="bottom"/>
            </w:pPr>
            <w:r>
              <w:rPr>
                <w:rFonts w:ascii="Arial" w:eastAsia="宋体" w:hAnsi="Arial" w:cs="Arial"/>
                <w:color w:val="000000"/>
                <w:sz w:val="16"/>
                <w:szCs w:val="16"/>
              </w:rPr>
              <w:t>1,251 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01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011" w14:textId="77777777" w:rsidR="009C6E2F" w:rsidRDefault="007972BE">
            <w:pPr>
              <w:jc w:val="right"/>
              <w:textAlignment w:val="bottom"/>
            </w:pPr>
            <w:r>
              <w:rPr>
                <w:rFonts w:ascii="Arial" w:eastAsia="宋体" w:hAnsi="Arial" w:cs="Arial"/>
                <w:color w:val="000000"/>
                <w:sz w:val="16"/>
                <w:szCs w:val="16"/>
              </w:rPr>
              <w:t>1,251 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012" w14:textId="77777777" w:rsidR="009C6E2F" w:rsidRDefault="009C6E2F">
            <w:pPr>
              <w:jc w:val="right"/>
              <w:rPr>
                <w:rFonts w:ascii="宋体"/>
              </w:rPr>
            </w:pPr>
          </w:p>
        </w:tc>
      </w:tr>
      <w:tr w:rsidR="009C6E2F" w14:paraId="2470C02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14" w14:textId="77777777" w:rsidR="009C6E2F" w:rsidRDefault="007972BE">
            <w:pPr>
              <w:textAlignment w:val="bottom"/>
            </w:pPr>
            <w:r>
              <w:rPr>
                <w:rFonts w:ascii="Arial" w:eastAsia="宋体" w:hAnsi="Arial" w:cs="Arial"/>
                <w:color w:val="000000"/>
                <w:sz w:val="16"/>
                <w:szCs w:val="16"/>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15"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16"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17"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1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1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1A"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01B" w14:textId="77777777" w:rsidR="009C6E2F" w:rsidRDefault="007972BE">
            <w:pPr>
              <w:jc w:val="right"/>
              <w:textAlignment w:val="bottom"/>
            </w:pPr>
            <w:r>
              <w:rPr>
                <w:rFonts w:ascii="Arial" w:eastAsia="宋体" w:hAnsi="Arial" w:cs="Arial"/>
                <w:color w:val="000000"/>
                <w:sz w:val="16"/>
                <w:szCs w:val="16"/>
              </w:rPr>
              <w:t>(28)</w:t>
            </w:r>
          </w:p>
        </w:tc>
        <w:tc>
          <w:tcPr>
            <w:tcW w:w="0" w:type="auto"/>
            <w:tcBorders>
              <w:top w:val="single" w:sz="4" w:space="0" w:color="808080"/>
            </w:tcBorders>
            <w:shd w:val="clear" w:color="auto" w:fill="auto"/>
            <w:tcMar>
              <w:top w:w="40" w:type="dxa"/>
              <w:left w:w="0" w:type="dxa"/>
              <w:bottom w:w="40" w:type="dxa"/>
              <w:right w:w="20" w:type="dxa"/>
            </w:tcMar>
            <w:vAlign w:val="bottom"/>
          </w:tcPr>
          <w:p w14:paraId="2470C01C"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01D"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01E" w14:textId="77777777" w:rsidR="009C6E2F" w:rsidRDefault="007972BE">
            <w:pPr>
              <w:jc w:val="right"/>
              <w:textAlignment w:val="bottom"/>
            </w:pPr>
            <w:r>
              <w:rPr>
                <w:rFonts w:ascii="Arial" w:eastAsia="宋体" w:hAnsi="Arial" w:cs="Arial"/>
                <w:color w:val="000000"/>
                <w:sz w:val="16"/>
                <w:szCs w:val="16"/>
              </w:rPr>
              <w:t>(28)</w:t>
            </w:r>
          </w:p>
        </w:tc>
        <w:tc>
          <w:tcPr>
            <w:tcW w:w="0" w:type="auto"/>
            <w:tcBorders>
              <w:top w:val="single" w:sz="4" w:space="0" w:color="808080"/>
            </w:tcBorders>
            <w:shd w:val="clear" w:color="auto" w:fill="auto"/>
            <w:tcMar>
              <w:top w:w="40" w:type="dxa"/>
              <w:left w:w="0" w:type="dxa"/>
              <w:bottom w:w="40" w:type="dxa"/>
              <w:right w:w="20" w:type="dxa"/>
            </w:tcMar>
            <w:vAlign w:val="bottom"/>
          </w:tcPr>
          <w:p w14:paraId="2470C01F" w14:textId="77777777" w:rsidR="009C6E2F" w:rsidRDefault="009C6E2F">
            <w:pPr>
              <w:jc w:val="right"/>
              <w:rPr>
                <w:rFonts w:ascii="宋体"/>
              </w:rPr>
            </w:pPr>
          </w:p>
        </w:tc>
      </w:tr>
      <w:tr w:rsidR="009C6E2F" w14:paraId="2470C039"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021" w14:textId="77777777" w:rsidR="009C6E2F" w:rsidRDefault="007972BE">
            <w:pPr>
              <w:textAlignment w:val="bottom"/>
            </w:pPr>
            <w:r>
              <w:rPr>
                <w:rFonts w:ascii="Arial" w:eastAsia="宋体" w:hAnsi="Arial" w:cs="Arial"/>
                <w:b/>
                <w:bCs/>
                <w:color w:val="000000"/>
                <w:sz w:val="16"/>
                <w:szCs w:val="16"/>
              </w:rPr>
              <w:t>Balance at November 30, 2020</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22" w14:textId="77777777" w:rsidR="009C6E2F" w:rsidRDefault="007972BE">
            <w:pPr>
              <w:jc w:val="right"/>
              <w:textAlignment w:val="bottom"/>
            </w:pPr>
            <w:r>
              <w:rPr>
                <w:rFonts w:ascii="Arial" w:eastAsia="宋体" w:hAnsi="Arial" w:cs="Arial"/>
                <w:b/>
                <w:bCs/>
                <w:color w:val="000000"/>
                <w:sz w:val="16"/>
                <w:szCs w:val="16"/>
              </w:rPr>
              <w:t>305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23"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24"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025" w14:textId="77777777" w:rsidR="009C6E2F" w:rsidRDefault="007972B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26"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027" w14:textId="77777777" w:rsidR="009C6E2F" w:rsidRDefault="009C6E2F">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28" w14:textId="77777777" w:rsidR="009C6E2F" w:rsidRDefault="007972BE">
            <w:pPr>
              <w:jc w:val="right"/>
              <w:textAlignment w:val="bottom"/>
            </w:pPr>
            <w:r>
              <w:rPr>
                <w:rFonts w:ascii="Arial" w:eastAsia="宋体" w:hAnsi="Arial" w:cs="Arial"/>
                <w:b/>
                <w:bCs/>
                <w:color w:val="000000"/>
                <w:sz w:val="16"/>
                <w:szCs w:val="16"/>
              </w:rPr>
              <w:t>1,270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2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2A"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02B" w14:textId="77777777" w:rsidR="009C6E2F" w:rsidRDefault="007972BE">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2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2D"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02E" w14:textId="77777777" w:rsidR="009C6E2F" w:rsidRDefault="007972BE">
            <w:pPr>
              <w:jc w:val="right"/>
              <w:textAlignment w:val="bottom"/>
            </w:pPr>
            <w:r>
              <w:rPr>
                <w:rFonts w:ascii="Arial" w:eastAsia="宋体" w:hAnsi="Arial" w:cs="Arial"/>
                <w:b/>
                <w:bCs/>
                <w:color w:val="000000"/>
                <w:sz w:val="16"/>
                <w:szCs w:val="16"/>
              </w:rPr>
              <w:t>9,336</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2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30"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031" w14:textId="77777777" w:rsidR="009C6E2F" w:rsidRDefault="007972BE">
            <w:pPr>
              <w:jc w:val="right"/>
              <w:textAlignment w:val="bottom"/>
            </w:pPr>
            <w:r>
              <w:rPr>
                <w:rFonts w:ascii="Arial" w:eastAsia="宋体" w:hAnsi="Arial" w:cs="Arial"/>
                <w:b/>
                <w:bCs/>
                <w:color w:val="000000"/>
                <w:sz w:val="16"/>
                <w:szCs w:val="16"/>
              </w:rPr>
              <w:t>(429)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3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33"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034" w14:textId="77777777" w:rsidR="009C6E2F" w:rsidRDefault="007972BE">
            <w:pPr>
              <w:jc w:val="right"/>
              <w:textAlignment w:val="bottom"/>
            </w:pPr>
            <w:r>
              <w:rPr>
                <w:rFonts w:ascii="Arial" w:eastAsia="宋体" w:hAnsi="Arial" w:cs="Arial"/>
                <w:b/>
                <w:bCs/>
                <w:color w:val="000000"/>
                <w:sz w:val="16"/>
                <w:szCs w:val="16"/>
              </w:rPr>
              <w:t>1,730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35"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036"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037" w14:textId="77777777" w:rsidR="009C6E2F" w:rsidRDefault="007972BE">
            <w:pPr>
              <w:jc w:val="right"/>
              <w:textAlignment w:val="bottom"/>
            </w:pPr>
            <w:r>
              <w:rPr>
                <w:rFonts w:ascii="Arial" w:eastAsia="宋体" w:hAnsi="Arial" w:cs="Arial"/>
                <w:b/>
                <w:bCs/>
                <w:color w:val="000000"/>
                <w:sz w:val="16"/>
                <w:szCs w:val="16"/>
              </w:rPr>
              <w:t>10,640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038" w14:textId="77777777" w:rsidR="009C6E2F" w:rsidRDefault="009C6E2F">
            <w:pPr>
              <w:jc w:val="right"/>
              <w:rPr>
                <w:rFonts w:ascii="宋体"/>
              </w:rPr>
            </w:pPr>
          </w:p>
        </w:tc>
      </w:tr>
    </w:tbl>
    <w:p w14:paraId="2470C03A" w14:textId="77777777" w:rsidR="009C6E2F" w:rsidRDefault="007972BE">
      <w:pPr>
        <w:spacing w:before="120" w:after="120"/>
        <w:jc w:val="right"/>
      </w:pPr>
      <w:r>
        <w:rPr>
          <w:rFonts w:ascii="Arial" w:eastAsia="宋体" w:hAnsi="Arial" w:cs="Arial"/>
          <w:color w:val="E87722"/>
          <w:sz w:val="17"/>
          <w:szCs w:val="17"/>
        </w:rPr>
        <w:t>5</w:t>
      </w:r>
    </w:p>
    <w:p w14:paraId="2470C03B" w14:textId="77777777" w:rsidR="009C6E2F" w:rsidRDefault="007972BE">
      <w:r>
        <w:pict w14:anchorId="2470E1EA">
          <v:rect id="_x0000_i1031" style="width:415.3pt;height:1.5pt" o:hralign="center" o:hrstd="t" o:hr="t" fillcolor="#a0a0a0" stroked="f"/>
        </w:pict>
      </w:r>
    </w:p>
    <w:p w14:paraId="2470C03C" w14:textId="77777777" w:rsidR="009C6E2F" w:rsidRDefault="009C6E2F"/>
    <w:p w14:paraId="2470C03D" w14:textId="77777777" w:rsidR="009C6E2F" w:rsidRDefault="007972BE">
      <w:hyperlink r:id="rId48" w:anchor="i9e023a7388204bdbacd6aa338988f838_7" w:history="1">
        <w:r>
          <w:rPr>
            <w:rStyle w:val="a5"/>
            <w:rFonts w:ascii="sans-serif" w:eastAsia="sans-serif" w:hAnsi="sans-serif" w:cs="sans-serif"/>
            <w:sz w:val="17"/>
            <w:szCs w:val="17"/>
          </w:rPr>
          <w:t>Table of Contents</w:t>
        </w:r>
      </w:hyperlink>
    </w:p>
    <w:p w14:paraId="2470C03E" w14:textId="77777777" w:rsidR="009C6E2F" w:rsidRDefault="009C6E2F"/>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32"/>
        <w:gridCol w:w="41"/>
        <w:gridCol w:w="87"/>
        <w:gridCol w:w="495"/>
        <w:gridCol w:w="36"/>
        <w:gridCol w:w="116"/>
        <w:gridCol w:w="616"/>
        <w:gridCol w:w="36"/>
        <w:gridCol w:w="36"/>
        <w:gridCol w:w="36"/>
        <w:gridCol w:w="36"/>
        <w:gridCol w:w="87"/>
        <w:gridCol w:w="495"/>
        <w:gridCol w:w="37"/>
        <w:gridCol w:w="117"/>
        <w:gridCol w:w="610"/>
        <w:gridCol w:w="37"/>
        <w:gridCol w:w="116"/>
        <w:gridCol w:w="712"/>
        <w:gridCol w:w="36"/>
        <w:gridCol w:w="116"/>
        <w:gridCol w:w="1165"/>
        <w:gridCol w:w="36"/>
        <w:gridCol w:w="116"/>
        <w:gridCol w:w="679"/>
        <w:gridCol w:w="36"/>
        <w:gridCol w:w="115"/>
        <w:gridCol w:w="568"/>
        <w:gridCol w:w="36"/>
      </w:tblGrid>
      <w:tr w:rsidR="009C6E2F" w14:paraId="2470C05D" w14:textId="77777777">
        <w:trPr>
          <w:jc w:val="center"/>
        </w:trPr>
        <w:tc>
          <w:tcPr>
            <w:tcW w:w="50" w:type="pct"/>
            <w:shd w:val="clear" w:color="auto" w:fill="auto"/>
            <w:vAlign w:val="bottom"/>
          </w:tcPr>
          <w:p w14:paraId="2470C03F" w14:textId="77777777" w:rsidR="009C6E2F" w:rsidRDefault="009C6E2F">
            <w:pPr>
              <w:rPr>
                <w:rFonts w:ascii="宋体"/>
              </w:rPr>
            </w:pPr>
          </w:p>
        </w:tc>
        <w:tc>
          <w:tcPr>
            <w:tcW w:w="1560" w:type="pct"/>
            <w:shd w:val="clear" w:color="auto" w:fill="auto"/>
            <w:vAlign w:val="bottom"/>
          </w:tcPr>
          <w:p w14:paraId="2470C040" w14:textId="77777777" w:rsidR="009C6E2F" w:rsidRDefault="009C6E2F">
            <w:pPr>
              <w:rPr>
                <w:rFonts w:ascii="宋体"/>
              </w:rPr>
            </w:pPr>
          </w:p>
        </w:tc>
        <w:tc>
          <w:tcPr>
            <w:tcW w:w="5" w:type="pct"/>
            <w:shd w:val="clear" w:color="auto" w:fill="auto"/>
            <w:vAlign w:val="bottom"/>
          </w:tcPr>
          <w:p w14:paraId="2470C041" w14:textId="77777777" w:rsidR="009C6E2F" w:rsidRDefault="009C6E2F">
            <w:pPr>
              <w:rPr>
                <w:rFonts w:ascii="宋体"/>
              </w:rPr>
            </w:pPr>
          </w:p>
        </w:tc>
        <w:tc>
          <w:tcPr>
            <w:tcW w:w="50" w:type="pct"/>
            <w:shd w:val="clear" w:color="auto" w:fill="auto"/>
            <w:vAlign w:val="bottom"/>
          </w:tcPr>
          <w:p w14:paraId="2470C042" w14:textId="77777777" w:rsidR="009C6E2F" w:rsidRDefault="009C6E2F">
            <w:pPr>
              <w:rPr>
                <w:rFonts w:ascii="宋体"/>
              </w:rPr>
            </w:pPr>
          </w:p>
        </w:tc>
        <w:tc>
          <w:tcPr>
            <w:tcW w:w="285" w:type="pct"/>
            <w:shd w:val="clear" w:color="auto" w:fill="auto"/>
            <w:vAlign w:val="bottom"/>
          </w:tcPr>
          <w:p w14:paraId="2470C043" w14:textId="77777777" w:rsidR="009C6E2F" w:rsidRDefault="009C6E2F">
            <w:pPr>
              <w:rPr>
                <w:rFonts w:ascii="宋体"/>
              </w:rPr>
            </w:pPr>
          </w:p>
        </w:tc>
        <w:tc>
          <w:tcPr>
            <w:tcW w:w="5" w:type="pct"/>
            <w:shd w:val="clear" w:color="auto" w:fill="auto"/>
            <w:vAlign w:val="bottom"/>
          </w:tcPr>
          <w:p w14:paraId="2470C044" w14:textId="77777777" w:rsidR="009C6E2F" w:rsidRDefault="009C6E2F">
            <w:pPr>
              <w:rPr>
                <w:rFonts w:ascii="宋体"/>
              </w:rPr>
            </w:pPr>
          </w:p>
        </w:tc>
        <w:tc>
          <w:tcPr>
            <w:tcW w:w="50" w:type="pct"/>
            <w:shd w:val="clear" w:color="auto" w:fill="auto"/>
            <w:vAlign w:val="bottom"/>
          </w:tcPr>
          <w:p w14:paraId="2470C045" w14:textId="77777777" w:rsidR="009C6E2F" w:rsidRDefault="009C6E2F">
            <w:pPr>
              <w:rPr>
                <w:rFonts w:ascii="宋体"/>
              </w:rPr>
            </w:pPr>
          </w:p>
        </w:tc>
        <w:tc>
          <w:tcPr>
            <w:tcW w:w="346" w:type="pct"/>
            <w:shd w:val="clear" w:color="auto" w:fill="auto"/>
            <w:vAlign w:val="bottom"/>
          </w:tcPr>
          <w:p w14:paraId="2470C046" w14:textId="77777777" w:rsidR="009C6E2F" w:rsidRDefault="009C6E2F">
            <w:pPr>
              <w:rPr>
                <w:rFonts w:ascii="宋体"/>
              </w:rPr>
            </w:pPr>
          </w:p>
        </w:tc>
        <w:tc>
          <w:tcPr>
            <w:tcW w:w="5" w:type="pct"/>
            <w:shd w:val="clear" w:color="auto" w:fill="auto"/>
            <w:vAlign w:val="bottom"/>
          </w:tcPr>
          <w:p w14:paraId="2470C047" w14:textId="77777777" w:rsidR="009C6E2F" w:rsidRDefault="009C6E2F">
            <w:pPr>
              <w:rPr>
                <w:rFonts w:ascii="宋体"/>
              </w:rPr>
            </w:pPr>
          </w:p>
        </w:tc>
        <w:tc>
          <w:tcPr>
            <w:tcW w:w="5" w:type="pct"/>
            <w:shd w:val="clear" w:color="auto" w:fill="auto"/>
            <w:vAlign w:val="bottom"/>
          </w:tcPr>
          <w:p w14:paraId="2470C048" w14:textId="77777777" w:rsidR="009C6E2F" w:rsidRDefault="009C6E2F">
            <w:pPr>
              <w:rPr>
                <w:rFonts w:ascii="宋体"/>
              </w:rPr>
            </w:pPr>
          </w:p>
        </w:tc>
        <w:tc>
          <w:tcPr>
            <w:tcW w:w="28" w:type="pct"/>
            <w:shd w:val="clear" w:color="auto" w:fill="auto"/>
            <w:vAlign w:val="bottom"/>
          </w:tcPr>
          <w:p w14:paraId="2470C049" w14:textId="77777777" w:rsidR="009C6E2F" w:rsidRDefault="009C6E2F">
            <w:pPr>
              <w:rPr>
                <w:rFonts w:ascii="宋体"/>
              </w:rPr>
            </w:pPr>
          </w:p>
        </w:tc>
        <w:tc>
          <w:tcPr>
            <w:tcW w:w="5" w:type="pct"/>
            <w:shd w:val="clear" w:color="auto" w:fill="auto"/>
            <w:vAlign w:val="bottom"/>
          </w:tcPr>
          <w:p w14:paraId="2470C04A" w14:textId="77777777" w:rsidR="009C6E2F" w:rsidRDefault="009C6E2F">
            <w:pPr>
              <w:rPr>
                <w:rFonts w:ascii="宋体"/>
              </w:rPr>
            </w:pPr>
          </w:p>
        </w:tc>
        <w:tc>
          <w:tcPr>
            <w:tcW w:w="50" w:type="pct"/>
            <w:shd w:val="clear" w:color="auto" w:fill="auto"/>
            <w:vAlign w:val="bottom"/>
          </w:tcPr>
          <w:p w14:paraId="2470C04B" w14:textId="77777777" w:rsidR="009C6E2F" w:rsidRDefault="009C6E2F">
            <w:pPr>
              <w:rPr>
                <w:rFonts w:ascii="宋体"/>
              </w:rPr>
            </w:pPr>
          </w:p>
        </w:tc>
        <w:tc>
          <w:tcPr>
            <w:tcW w:w="285" w:type="pct"/>
            <w:shd w:val="clear" w:color="auto" w:fill="auto"/>
            <w:vAlign w:val="bottom"/>
          </w:tcPr>
          <w:p w14:paraId="2470C04C" w14:textId="77777777" w:rsidR="009C6E2F" w:rsidRDefault="009C6E2F">
            <w:pPr>
              <w:rPr>
                <w:rFonts w:ascii="宋体"/>
              </w:rPr>
            </w:pPr>
          </w:p>
        </w:tc>
        <w:tc>
          <w:tcPr>
            <w:tcW w:w="5" w:type="pct"/>
            <w:shd w:val="clear" w:color="auto" w:fill="auto"/>
            <w:vAlign w:val="bottom"/>
          </w:tcPr>
          <w:p w14:paraId="2470C04D" w14:textId="77777777" w:rsidR="009C6E2F" w:rsidRDefault="009C6E2F">
            <w:pPr>
              <w:rPr>
                <w:rFonts w:ascii="宋体"/>
              </w:rPr>
            </w:pPr>
          </w:p>
        </w:tc>
        <w:tc>
          <w:tcPr>
            <w:tcW w:w="50" w:type="pct"/>
            <w:shd w:val="clear" w:color="auto" w:fill="auto"/>
            <w:vAlign w:val="bottom"/>
          </w:tcPr>
          <w:p w14:paraId="2470C04E" w14:textId="77777777" w:rsidR="009C6E2F" w:rsidRDefault="009C6E2F">
            <w:pPr>
              <w:rPr>
                <w:rFonts w:ascii="宋体"/>
              </w:rPr>
            </w:pPr>
          </w:p>
        </w:tc>
        <w:tc>
          <w:tcPr>
            <w:tcW w:w="323" w:type="pct"/>
            <w:shd w:val="clear" w:color="auto" w:fill="auto"/>
            <w:vAlign w:val="bottom"/>
          </w:tcPr>
          <w:p w14:paraId="2470C04F" w14:textId="77777777" w:rsidR="009C6E2F" w:rsidRDefault="009C6E2F">
            <w:pPr>
              <w:rPr>
                <w:rFonts w:ascii="宋体"/>
              </w:rPr>
            </w:pPr>
          </w:p>
        </w:tc>
        <w:tc>
          <w:tcPr>
            <w:tcW w:w="5" w:type="pct"/>
            <w:shd w:val="clear" w:color="auto" w:fill="auto"/>
            <w:vAlign w:val="bottom"/>
          </w:tcPr>
          <w:p w14:paraId="2470C050" w14:textId="77777777" w:rsidR="009C6E2F" w:rsidRDefault="009C6E2F">
            <w:pPr>
              <w:rPr>
                <w:rFonts w:ascii="宋体"/>
              </w:rPr>
            </w:pPr>
          </w:p>
        </w:tc>
        <w:tc>
          <w:tcPr>
            <w:tcW w:w="50" w:type="pct"/>
            <w:shd w:val="clear" w:color="auto" w:fill="auto"/>
            <w:vAlign w:val="bottom"/>
          </w:tcPr>
          <w:p w14:paraId="2470C051" w14:textId="77777777" w:rsidR="009C6E2F" w:rsidRDefault="009C6E2F">
            <w:pPr>
              <w:rPr>
                <w:rFonts w:ascii="宋体"/>
              </w:rPr>
            </w:pPr>
          </w:p>
        </w:tc>
        <w:tc>
          <w:tcPr>
            <w:tcW w:w="385" w:type="pct"/>
            <w:shd w:val="clear" w:color="auto" w:fill="auto"/>
            <w:vAlign w:val="bottom"/>
          </w:tcPr>
          <w:p w14:paraId="2470C052" w14:textId="77777777" w:rsidR="009C6E2F" w:rsidRDefault="009C6E2F">
            <w:pPr>
              <w:rPr>
                <w:rFonts w:ascii="宋体"/>
              </w:rPr>
            </w:pPr>
          </w:p>
        </w:tc>
        <w:tc>
          <w:tcPr>
            <w:tcW w:w="5" w:type="pct"/>
            <w:shd w:val="clear" w:color="auto" w:fill="auto"/>
            <w:vAlign w:val="bottom"/>
          </w:tcPr>
          <w:p w14:paraId="2470C053" w14:textId="77777777" w:rsidR="009C6E2F" w:rsidRDefault="009C6E2F">
            <w:pPr>
              <w:rPr>
                <w:rFonts w:ascii="宋体"/>
              </w:rPr>
            </w:pPr>
          </w:p>
        </w:tc>
        <w:tc>
          <w:tcPr>
            <w:tcW w:w="50" w:type="pct"/>
            <w:shd w:val="clear" w:color="auto" w:fill="auto"/>
            <w:vAlign w:val="bottom"/>
          </w:tcPr>
          <w:p w14:paraId="2470C054" w14:textId="77777777" w:rsidR="009C6E2F" w:rsidRDefault="009C6E2F">
            <w:pPr>
              <w:rPr>
                <w:rFonts w:ascii="宋体"/>
              </w:rPr>
            </w:pPr>
          </w:p>
        </w:tc>
        <w:tc>
          <w:tcPr>
            <w:tcW w:w="586" w:type="pct"/>
            <w:shd w:val="clear" w:color="auto" w:fill="auto"/>
            <w:vAlign w:val="bottom"/>
          </w:tcPr>
          <w:p w14:paraId="2470C055" w14:textId="77777777" w:rsidR="009C6E2F" w:rsidRDefault="009C6E2F">
            <w:pPr>
              <w:rPr>
                <w:rFonts w:ascii="宋体"/>
              </w:rPr>
            </w:pPr>
          </w:p>
        </w:tc>
        <w:tc>
          <w:tcPr>
            <w:tcW w:w="5" w:type="pct"/>
            <w:shd w:val="clear" w:color="auto" w:fill="auto"/>
            <w:vAlign w:val="bottom"/>
          </w:tcPr>
          <w:p w14:paraId="2470C056" w14:textId="77777777" w:rsidR="009C6E2F" w:rsidRDefault="009C6E2F">
            <w:pPr>
              <w:rPr>
                <w:rFonts w:ascii="宋体"/>
              </w:rPr>
            </w:pPr>
          </w:p>
        </w:tc>
        <w:tc>
          <w:tcPr>
            <w:tcW w:w="50" w:type="pct"/>
            <w:shd w:val="clear" w:color="auto" w:fill="auto"/>
            <w:vAlign w:val="bottom"/>
          </w:tcPr>
          <w:p w14:paraId="2470C057" w14:textId="77777777" w:rsidR="009C6E2F" w:rsidRDefault="009C6E2F">
            <w:pPr>
              <w:rPr>
                <w:rFonts w:ascii="宋体"/>
              </w:rPr>
            </w:pPr>
          </w:p>
        </w:tc>
        <w:tc>
          <w:tcPr>
            <w:tcW w:w="370" w:type="pct"/>
            <w:shd w:val="clear" w:color="auto" w:fill="auto"/>
            <w:vAlign w:val="bottom"/>
          </w:tcPr>
          <w:p w14:paraId="2470C058" w14:textId="77777777" w:rsidR="009C6E2F" w:rsidRDefault="009C6E2F">
            <w:pPr>
              <w:rPr>
                <w:rFonts w:ascii="宋体"/>
              </w:rPr>
            </w:pPr>
          </w:p>
        </w:tc>
        <w:tc>
          <w:tcPr>
            <w:tcW w:w="5" w:type="pct"/>
            <w:shd w:val="clear" w:color="auto" w:fill="auto"/>
            <w:vAlign w:val="bottom"/>
          </w:tcPr>
          <w:p w14:paraId="2470C059" w14:textId="77777777" w:rsidR="009C6E2F" w:rsidRDefault="009C6E2F">
            <w:pPr>
              <w:rPr>
                <w:rFonts w:ascii="宋体"/>
              </w:rPr>
            </w:pPr>
          </w:p>
        </w:tc>
        <w:tc>
          <w:tcPr>
            <w:tcW w:w="50" w:type="pct"/>
            <w:shd w:val="clear" w:color="auto" w:fill="auto"/>
            <w:vAlign w:val="bottom"/>
          </w:tcPr>
          <w:p w14:paraId="2470C05A" w14:textId="77777777" w:rsidR="009C6E2F" w:rsidRDefault="009C6E2F">
            <w:pPr>
              <w:rPr>
                <w:rFonts w:ascii="宋体"/>
              </w:rPr>
            </w:pPr>
          </w:p>
        </w:tc>
        <w:tc>
          <w:tcPr>
            <w:tcW w:w="323" w:type="pct"/>
            <w:shd w:val="clear" w:color="auto" w:fill="auto"/>
            <w:vAlign w:val="bottom"/>
          </w:tcPr>
          <w:p w14:paraId="2470C05B" w14:textId="77777777" w:rsidR="009C6E2F" w:rsidRDefault="009C6E2F">
            <w:pPr>
              <w:rPr>
                <w:rFonts w:ascii="宋体"/>
              </w:rPr>
            </w:pPr>
          </w:p>
        </w:tc>
        <w:tc>
          <w:tcPr>
            <w:tcW w:w="5" w:type="pct"/>
            <w:shd w:val="clear" w:color="auto" w:fill="auto"/>
            <w:vAlign w:val="bottom"/>
          </w:tcPr>
          <w:p w14:paraId="2470C05C" w14:textId="77777777" w:rsidR="009C6E2F" w:rsidRDefault="009C6E2F">
            <w:pPr>
              <w:rPr>
                <w:rFonts w:ascii="宋体"/>
              </w:rPr>
            </w:pPr>
          </w:p>
        </w:tc>
      </w:tr>
      <w:tr w:rsidR="009C6E2F" w14:paraId="2470C064"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C05E"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C05F" w14:textId="77777777" w:rsidR="009C6E2F" w:rsidRDefault="007972BE">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shd w:val="clear" w:color="auto" w:fill="auto"/>
            <w:tcMar>
              <w:top w:w="40" w:type="dxa"/>
              <w:left w:w="20" w:type="dxa"/>
              <w:bottom w:w="40" w:type="dxa"/>
              <w:right w:w="20" w:type="dxa"/>
            </w:tcMar>
            <w:vAlign w:val="bottom"/>
          </w:tcPr>
          <w:p w14:paraId="2470C060" w14:textId="77777777" w:rsidR="009C6E2F" w:rsidRDefault="007972BE">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shd w:val="clear" w:color="auto" w:fill="auto"/>
            <w:tcMar>
              <w:top w:w="40" w:type="dxa"/>
              <w:left w:w="20" w:type="dxa"/>
              <w:bottom w:w="40" w:type="dxa"/>
              <w:right w:w="20" w:type="dxa"/>
            </w:tcMar>
            <w:vAlign w:val="bottom"/>
          </w:tcPr>
          <w:p w14:paraId="2470C061" w14:textId="77777777" w:rsidR="009C6E2F" w:rsidRDefault="007972BE">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shd w:val="clear" w:color="auto" w:fill="auto"/>
            <w:tcMar>
              <w:top w:w="40" w:type="dxa"/>
              <w:left w:w="20" w:type="dxa"/>
              <w:bottom w:w="40" w:type="dxa"/>
              <w:right w:w="20" w:type="dxa"/>
            </w:tcMar>
            <w:vAlign w:val="bottom"/>
          </w:tcPr>
          <w:p w14:paraId="2470C062" w14:textId="77777777" w:rsidR="009C6E2F" w:rsidRDefault="007972BE">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shd w:val="clear" w:color="auto" w:fill="auto"/>
            <w:tcMar>
              <w:top w:w="40" w:type="dxa"/>
              <w:left w:w="20" w:type="dxa"/>
              <w:bottom w:w="40" w:type="dxa"/>
              <w:right w:w="20" w:type="dxa"/>
            </w:tcMar>
            <w:vAlign w:val="bottom"/>
          </w:tcPr>
          <w:p w14:paraId="2470C063"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C06D"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C065"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066" w14:textId="77777777" w:rsidR="009C6E2F" w:rsidRDefault="007972BE">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067"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068" w14:textId="77777777" w:rsidR="009C6E2F" w:rsidRDefault="007972BE">
            <w:pPr>
              <w:jc w:val="center"/>
              <w:textAlignment w:val="bottom"/>
            </w:pPr>
            <w:r>
              <w:rPr>
                <w:rFonts w:ascii="sans-serif" w:eastAsia="sans-serif" w:hAnsi="sans-serif" w:cs="sans-serif"/>
                <w:b/>
                <w:bCs/>
                <w:color w:val="000000"/>
                <w:sz w:val="17"/>
                <w:szCs w:val="17"/>
              </w:rPr>
              <w:t>CLASS B</w:t>
            </w:r>
          </w:p>
        </w:tc>
        <w:tc>
          <w:tcPr>
            <w:tcW w:w="0" w:type="auto"/>
            <w:gridSpan w:val="3"/>
            <w:vMerge/>
            <w:shd w:val="clear" w:color="auto" w:fill="auto"/>
            <w:tcMar>
              <w:top w:w="40" w:type="dxa"/>
              <w:left w:w="20" w:type="dxa"/>
              <w:bottom w:w="40" w:type="dxa"/>
              <w:right w:w="20" w:type="dxa"/>
            </w:tcMar>
            <w:vAlign w:val="bottom"/>
          </w:tcPr>
          <w:p w14:paraId="2470C069"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C06A"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C06B"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C06C" w14:textId="77777777" w:rsidR="009C6E2F" w:rsidRDefault="009C6E2F">
            <w:pPr>
              <w:jc w:val="right"/>
              <w:rPr>
                <w:rFonts w:ascii="宋体"/>
              </w:rPr>
            </w:pPr>
          </w:p>
        </w:tc>
      </w:tr>
      <w:tr w:rsidR="009C6E2F" w14:paraId="2470C078" w14:textId="77777777">
        <w:trPr>
          <w:trHeight w:val="240"/>
          <w:jc w:val="center"/>
        </w:trPr>
        <w:tc>
          <w:tcPr>
            <w:tcW w:w="0" w:type="auto"/>
            <w:gridSpan w:val="3"/>
            <w:shd w:val="clear" w:color="auto" w:fill="auto"/>
            <w:tcMar>
              <w:top w:w="40" w:type="dxa"/>
              <w:left w:w="20" w:type="dxa"/>
              <w:bottom w:w="40" w:type="dxa"/>
              <w:right w:w="20" w:type="dxa"/>
            </w:tcMar>
            <w:vAlign w:val="bottom"/>
          </w:tcPr>
          <w:p w14:paraId="2470C06E" w14:textId="77777777" w:rsidR="009C6E2F" w:rsidRDefault="007972BE">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06F" w14:textId="77777777" w:rsidR="009C6E2F" w:rsidRDefault="007972BE">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070" w14:textId="77777777" w:rsidR="009C6E2F" w:rsidRDefault="007972BE">
            <w:pPr>
              <w:jc w:val="center"/>
              <w:textAlignment w:val="bottom"/>
            </w:pPr>
            <w:r>
              <w:rPr>
                <w:rFonts w:ascii="sans-serif" w:eastAsia="sans-serif" w:hAnsi="sans-serif" w:cs="sans-serif"/>
                <w:b/>
                <w:bCs/>
                <w:color w:val="000000"/>
                <w:sz w:val="17"/>
                <w:szCs w:val="17"/>
              </w:rPr>
              <w:t>AMOUNT</w:t>
            </w:r>
          </w:p>
        </w:tc>
        <w:tc>
          <w:tcPr>
            <w:tcW w:w="0" w:type="auto"/>
            <w:gridSpan w:val="3"/>
            <w:shd w:val="clear" w:color="auto" w:fill="auto"/>
            <w:tcMar>
              <w:top w:w="0" w:type="dxa"/>
              <w:left w:w="20" w:type="dxa"/>
              <w:bottom w:w="0" w:type="dxa"/>
              <w:right w:w="20" w:type="dxa"/>
            </w:tcMar>
            <w:vAlign w:val="bottom"/>
          </w:tcPr>
          <w:p w14:paraId="2470C071"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072" w14:textId="77777777" w:rsidR="009C6E2F" w:rsidRDefault="007972BE">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073" w14:textId="77777777" w:rsidR="009C6E2F" w:rsidRDefault="007972BE">
            <w:pPr>
              <w:jc w:val="center"/>
              <w:textAlignment w:val="bottom"/>
            </w:pPr>
            <w:r>
              <w:rPr>
                <w:rFonts w:ascii="sans-serif" w:eastAsia="sans-serif" w:hAnsi="sans-serif" w:cs="sans-serif"/>
                <w:b/>
                <w:bCs/>
                <w:color w:val="000000"/>
                <w:sz w:val="17"/>
                <w:szCs w:val="17"/>
              </w:rPr>
              <w:t>AMOUNT</w:t>
            </w:r>
          </w:p>
        </w:tc>
        <w:tc>
          <w:tcPr>
            <w:tcW w:w="0" w:type="auto"/>
            <w:gridSpan w:val="3"/>
            <w:vMerge/>
            <w:shd w:val="clear" w:color="auto" w:fill="auto"/>
            <w:tcMar>
              <w:top w:w="40" w:type="dxa"/>
              <w:left w:w="20" w:type="dxa"/>
              <w:bottom w:w="40" w:type="dxa"/>
              <w:right w:w="20" w:type="dxa"/>
            </w:tcMar>
            <w:vAlign w:val="bottom"/>
          </w:tcPr>
          <w:p w14:paraId="2470C074"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C075"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C076" w14:textId="77777777" w:rsidR="009C6E2F" w:rsidRDefault="009C6E2F">
            <w:pPr>
              <w:jc w:val="right"/>
              <w:rPr>
                <w:rFonts w:ascii="宋体"/>
              </w:rPr>
            </w:pPr>
          </w:p>
        </w:tc>
        <w:tc>
          <w:tcPr>
            <w:tcW w:w="0" w:type="auto"/>
            <w:gridSpan w:val="3"/>
            <w:vMerge/>
            <w:shd w:val="clear" w:color="auto" w:fill="auto"/>
            <w:tcMar>
              <w:top w:w="40" w:type="dxa"/>
              <w:left w:w="20" w:type="dxa"/>
              <w:bottom w:w="40" w:type="dxa"/>
              <w:right w:w="20" w:type="dxa"/>
            </w:tcMar>
            <w:vAlign w:val="bottom"/>
          </w:tcPr>
          <w:p w14:paraId="2470C077" w14:textId="77777777" w:rsidR="009C6E2F" w:rsidRDefault="009C6E2F">
            <w:pPr>
              <w:jc w:val="right"/>
              <w:rPr>
                <w:rFonts w:ascii="宋体"/>
              </w:rPr>
            </w:pPr>
          </w:p>
        </w:tc>
      </w:tr>
      <w:tr w:rsidR="009C6E2F" w14:paraId="2470C09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079" w14:textId="77777777" w:rsidR="009C6E2F" w:rsidRDefault="007972BE">
            <w:pPr>
              <w:textAlignment w:val="bottom"/>
            </w:pPr>
            <w:r>
              <w:rPr>
                <w:rFonts w:ascii="Arial" w:eastAsia="宋体" w:hAnsi="Arial" w:cs="Arial"/>
                <w:b/>
                <w:bCs/>
                <w:color w:val="000000"/>
                <w:sz w:val="17"/>
                <w:szCs w:val="17"/>
              </w:rPr>
              <w:t>Balance at May 31, 2021</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07A" w14:textId="77777777" w:rsidR="009C6E2F" w:rsidRDefault="007972BE">
            <w:pPr>
              <w:jc w:val="right"/>
              <w:textAlignment w:val="bottom"/>
            </w:pPr>
            <w:r>
              <w:rPr>
                <w:rFonts w:ascii="Arial" w:eastAsia="宋体" w:hAnsi="Arial" w:cs="Arial"/>
                <w:b/>
                <w:bCs/>
                <w:color w:val="000000"/>
                <w:sz w:val="17"/>
                <w:szCs w:val="17"/>
              </w:rPr>
              <w:t>305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7B"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07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07D" w14:textId="77777777" w:rsidR="009C6E2F" w:rsidRDefault="007972BE">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7E"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07F"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080" w14:textId="77777777" w:rsidR="009C6E2F" w:rsidRDefault="007972BE">
            <w:pPr>
              <w:jc w:val="right"/>
              <w:textAlignment w:val="bottom"/>
            </w:pPr>
            <w:r>
              <w:rPr>
                <w:rFonts w:ascii="Arial" w:eastAsia="宋体" w:hAnsi="Arial" w:cs="Arial"/>
                <w:b/>
                <w:bCs/>
                <w:color w:val="000000"/>
                <w:sz w:val="17"/>
                <w:szCs w:val="17"/>
              </w:rPr>
              <w:t>1,273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8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08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083" w14:textId="77777777" w:rsidR="009C6E2F" w:rsidRDefault="007972BE">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84"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08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086" w14:textId="77777777" w:rsidR="009C6E2F" w:rsidRDefault="007972BE">
            <w:pPr>
              <w:jc w:val="right"/>
              <w:textAlignment w:val="bottom"/>
            </w:pPr>
            <w:r>
              <w:rPr>
                <w:rFonts w:ascii="Arial" w:eastAsia="宋体" w:hAnsi="Arial" w:cs="Arial"/>
                <w:b/>
                <w:bCs/>
                <w:color w:val="000000"/>
                <w:sz w:val="17"/>
                <w:szCs w:val="17"/>
              </w:rPr>
              <w:t>9,965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8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08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089" w14:textId="77777777" w:rsidR="009C6E2F" w:rsidRDefault="007972BE">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8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08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08C" w14:textId="77777777" w:rsidR="009C6E2F" w:rsidRDefault="007972BE">
            <w:pPr>
              <w:jc w:val="right"/>
              <w:textAlignment w:val="bottom"/>
            </w:pPr>
            <w:r>
              <w:rPr>
                <w:rFonts w:ascii="Arial" w:eastAsia="宋体" w:hAnsi="Arial" w:cs="Arial"/>
                <w:b/>
                <w:bCs/>
                <w:color w:val="000000"/>
                <w:sz w:val="17"/>
                <w:szCs w:val="17"/>
              </w:rPr>
              <w:t>3,179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8D"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08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08F" w14:textId="77777777" w:rsidR="009C6E2F" w:rsidRDefault="007972BE">
            <w:pPr>
              <w:jc w:val="right"/>
              <w:textAlignment w:val="bottom"/>
            </w:pPr>
            <w:r>
              <w:rPr>
                <w:rFonts w:ascii="Arial" w:eastAsia="宋体" w:hAnsi="Arial" w:cs="Arial"/>
                <w:b/>
                <w:bCs/>
                <w:color w:val="000000"/>
                <w:sz w:val="17"/>
                <w:szCs w:val="17"/>
              </w:rPr>
              <w:t>12,767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090" w14:textId="77777777" w:rsidR="009C6E2F" w:rsidRDefault="009C6E2F">
            <w:pPr>
              <w:jc w:val="right"/>
              <w:rPr>
                <w:rFonts w:ascii="宋体"/>
              </w:rPr>
            </w:pPr>
          </w:p>
        </w:tc>
      </w:tr>
      <w:tr w:rsidR="009C6E2F" w14:paraId="2470C09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092" w14:textId="77777777" w:rsidR="009C6E2F" w:rsidRDefault="007972BE">
            <w:pPr>
              <w:textAlignment w:val="bottom"/>
            </w:pPr>
            <w:r>
              <w:rPr>
                <w:rFonts w:ascii="Arial" w:eastAsia="宋体" w:hAnsi="Arial" w:cs="Arial"/>
                <w:color w:val="000000"/>
                <w:sz w:val="17"/>
                <w:szCs w:val="17"/>
              </w:rPr>
              <w:t>Stock options exercised</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093"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094"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095"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096"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097" w14:textId="77777777" w:rsidR="009C6E2F" w:rsidRDefault="009C6E2F">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098"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099" w14:textId="77777777" w:rsidR="009C6E2F" w:rsidRDefault="007972BE">
            <w:pPr>
              <w:jc w:val="right"/>
              <w:textAlignment w:val="bottom"/>
            </w:pPr>
            <w:r>
              <w:rPr>
                <w:rFonts w:ascii="Arial" w:eastAsia="宋体" w:hAnsi="Arial" w:cs="Arial"/>
                <w:color w:val="000000"/>
                <w:sz w:val="17"/>
                <w:szCs w:val="17"/>
              </w:rPr>
              <w:t>725 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09A" w14:textId="77777777" w:rsidR="009C6E2F" w:rsidRDefault="009C6E2F">
            <w:pPr>
              <w:jc w:val="right"/>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09B"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09C"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09D" w14:textId="77777777" w:rsidR="009C6E2F" w:rsidRDefault="007972BE">
            <w:pPr>
              <w:jc w:val="right"/>
              <w:textAlignment w:val="bottom"/>
            </w:pPr>
            <w:r>
              <w:rPr>
                <w:rFonts w:ascii="Arial" w:eastAsia="宋体" w:hAnsi="Arial" w:cs="Arial"/>
                <w:color w:val="000000"/>
                <w:sz w:val="17"/>
                <w:szCs w:val="17"/>
              </w:rPr>
              <w:t>725 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09E" w14:textId="77777777" w:rsidR="009C6E2F" w:rsidRDefault="009C6E2F">
            <w:pPr>
              <w:jc w:val="right"/>
              <w:rPr>
                <w:rFonts w:ascii="宋体"/>
              </w:rPr>
            </w:pPr>
          </w:p>
        </w:tc>
      </w:tr>
      <w:tr w:rsidR="009C6E2F" w14:paraId="2470C0AE"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A0" w14:textId="77777777" w:rsidR="009C6E2F" w:rsidRDefault="007972BE">
            <w:pPr>
              <w:textAlignment w:val="bottom"/>
            </w:pPr>
            <w:r>
              <w:rPr>
                <w:rFonts w:ascii="Arial" w:eastAsia="宋体" w:hAnsi="Arial" w:cs="Arial"/>
                <w:color w:val="000000"/>
                <w:sz w:val="17"/>
                <w:szCs w:val="17"/>
              </w:rPr>
              <w:t>Repurchase of Class B Common Stock</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A1"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A2"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A3"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A4" w14:textId="77777777" w:rsidR="009C6E2F" w:rsidRDefault="007972BE">
            <w:pPr>
              <w:jc w:val="right"/>
              <w:textAlignment w:val="bottom"/>
            </w:pPr>
            <w:r>
              <w:rPr>
                <w:rFonts w:ascii="Arial" w:eastAsia="宋体" w:hAnsi="Arial" w:cs="Arial"/>
                <w:color w:val="000000"/>
                <w:sz w:val="17"/>
                <w:szCs w:val="17"/>
              </w:rPr>
              <w:t>(11)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A5"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A6"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A7" w14:textId="77777777" w:rsidR="009C6E2F" w:rsidRDefault="007972BE">
            <w:pPr>
              <w:jc w:val="right"/>
              <w:textAlignment w:val="bottom"/>
            </w:pPr>
            <w:r>
              <w:rPr>
                <w:rFonts w:ascii="Arial" w:eastAsia="宋体" w:hAnsi="Arial" w:cs="Arial"/>
                <w:color w:val="000000"/>
                <w:sz w:val="17"/>
                <w:szCs w:val="17"/>
              </w:rPr>
              <w:t>(69)</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A8"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A9"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AA" w14:textId="77777777" w:rsidR="009C6E2F" w:rsidRDefault="007972BE">
            <w:pPr>
              <w:jc w:val="right"/>
              <w:textAlignment w:val="bottom"/>
            </w:pPr>
            <w:r>
              <w:rPr>
                <w:rFonts w:ascii="Arial" w:eastAsia="宋体" w:hAnsi="Arial" w:cs="Arial"/>
                <w:color w:val="000000"/>
                <w:sz w:val="17"/>
                <w:szCs w:val="17"/>
              </w:rPr>
              <w:t>(1,641)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A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AC" w14:textId="77777777" w:rsidR="009C6E2F" w:rsidRDefault="007972BE">
            <w:pPr>
              <w:jc w:val="right"/>
              <w:textAlignment w:val="bottom"/>
            </w:pPr>
            <w:r>
              <w:rPr>
                <w:rFonts w:ascii="Arial" w:eastAsia="宋体" w:hAnsi="Arial" w:cs="Arial"/>
                <w:color w:val="000000"/>
                <w:sz w:val="17"/>
                <w:szCs w:val="17"/>
              </w:rPr>
              <w:t>(1,710)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AD" w14:textId="77777777" w:rsidR="009C6E2F" w:rsidRDefault="009C6E2F">
            <w:pPr>
              <w:jc w:val="right"/>
              <w:rPr>
                <w:rFonts w:ascii="宋体"/>
              </w:rPr>
            </w:pPr>
          </w:p>
        </w:tc>
      </w:tr>
      <w:tr w:rsidR="009C6E2F" w14:paraId="2470C0BB"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AF"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Dividends on common stock ($0.580 per share) and preferred stock ($0.10 per share)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0"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1"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2"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3"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4"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5"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6"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B7" w14:textId="77777777" w:rsidR="009C6E2F" w:rsidRDefault="007972BE">
            <w:pPr>
              <w:jc w:val="right"/>
              <w:textAlignment w:val="bottom"/>
            </w:pPr>
            <w:r>
              <w:rPr>
                <w:rFonts w:ascii="Arial" w:eastAsia="宋体" w:hAnsi="Arial" w:cs="Arial"/>
                <w:color w:val="000000"/>
                <w:sz w:val="17"/>
                <w:szCs w:val="17"/>
              </w:rPr>
              <w:t>(918)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B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B9" w14:textId="77777777" w:rsidR="009C6E2F" w:rsidRDefault="007972BE">
            <w:pPr>
              <w:jc w:val="right"/>
              <w:textAlignment w:val="bottom"/>
            </w:pPr>
            <w:r>
              <w:rPr>
                <w:rFonts w:ascii="Arial" w:eastAsia="宋体" w:hAnsi="Arial" w:cs="Arial"/>
                <w:color w:val="000000"/>
                <w:sz w:val="17"/>
                <w:szCs w:val="17"/>
              </w:rPr>
              <w:t>(918)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BA" w14:textId="77777777" w:rsidR="009C6E2F" w:rsidRDefault="009C6E2F">
            <w:pPr>
              <w:jc w:val="right"/>
              <w:rPr>
                <w:rFonts w:ascii="宋体"/>
              </w:rPr>
            </w:pPr>
          </w:p>
        </w:tc>
      </w:tr>
      <w:tr w:rsidR="009C6E2F" w14:paraId="2470C0C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BC" w14:textId="77777777" w:rsidR="009C6E2F" w:rsidRDefault="007972BE">
            <w:pPr>
              <w:textAlignment w:val="bottom"/>
            </w:pPr>
            <w:r>
              <w:rPr>
                <w:rFonts w:ascii="Arial" w:eastAsia="宋体" w:hAnsi="Arial" w:cs="Arial"/>
                <w:color w:val="000000"/>
                <w:sz w:val="17"/>
                <w:szCs w:val="17"/>
              </w:rPr>
              <w:t>Issuance of shares to employees, net of shares withheld for employee taxes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D"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E"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B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C0"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C1"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C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C3" w14:textId="77777777" w:rsidR="009C6E2F" w:rsidRDefault="007972BE">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C4"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C5"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C6" w14:textId="77777777" w:rsidR="009C6E2F" w:rsidRDefault="007972BE">
            <w:pPr>
              <w:jc w:val="right"/>
              <w:textAlignment w:val="bottom"/>
            </w:pPr>
            <w:r>
              <w:rPr>
                <w:rFonts w:ascii="Arial" w:eastAsia="宋体" w:hAnsi="Arial" w:cs="Arial"/>
                <w:color w:val="000000"/>
                <w:sz w:val="17"/>
                <w:szCs w:val="17"/>
              </w:rPr>
              <w:t>(45)</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C7"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C8" w14:textId="77777777" w:rsidR="009C6E2F" w:rsidRDefault="007972BE">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C9" w14:textId="77777777" w:rsidR="009C6E2F" w:rsidRDefault="009C6E2F">
            <w:pPr>
              <w:jc w:val="right"/>
              <w:rPr>
                <w:rFonts w:ascii="宋体"/>
              </w:rPr>
            </w:pPr>
          </w:p>
        </w:tc>
      </w:tr>
      <w:tr w:rsidR="009C6E2F" w14:paraId="2470C0D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CB" w14:textId="77777777" w:rsidR="009C6E2F" w:rsidRDefault="007972BE">
            <w:pPr>
              <w:textAlignment w:val="bottom"/>
            </w:pPr>
            <w:r>
              <w:rPr>
                <w:rFonts w:ascii="Arial" w:eastAsia="宋体" w:hAnsi="Arial" w:cs="Arial"/>
                <w:color w:val="000000"/>
                <w:sz w:val="17"/>
                <w:szCs w:val="17"/>
              </w:rPr>
              <w:t>Stock-based compensation</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CC"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CD"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CE"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CF"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0"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D1" w14:textId="77777777" w:rsidR="009C6E2F" w:rsidRDefault="007972BE">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D2"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3"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D5" w14:textId="77777777" w:rsidR="009C6E2F" w:rsidRDefault="007972BE">
            <w:pPr>
              <w:jc w:val="right"/>
              <w:textAlignment w:val="bottom"/>
            </w:pPr>
            <w:r>
              <w:rPr>
                <w:rFonts w:ascii="Arial" w:eastAsia="宋体" w:hAnsi="Arial" w:cs="Arial"/>
                <w:color w:val="000000"/>
                <w:sz w:val="17"/>
                <w:szCs w:val="17"/>
              </w:rPr>
              <w:t>306 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D6" w14:textId="77777777" w:rsidR="009C6E2F" w:rsidRDefault="009C6E2F">
            <w:pPr>
              <w:jc w:val="right"/>
              <w:rPr>
                <w:rFonts w:ascii="宋体"/>
              </w:rPr>
            </w:pPr>
          </w:p>
        </w:tc>
      </w:tr>
      <w:tr w:rsidR="009C6E2F" w14:paraId="2470C0E4"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D8" w14:textId="77777777" w:rsidR="009C6E2F" w:rsidRDefault="007972BE">
            <w:pPr>
              <w:textAlignment w:val="bottom"/>
            </w:pPr>
            <w:r>
              <w:rPr>
                <w:rFonts w:ascii="Arial" w:eastAsia="宋体" w:hAnsi="Arial" w:cs="Arial"/>
                <w:color w:val="000000"/>
                <w:sz w:val="17"/>
                <w:szCs w:val="17"/>
              </w:rPr>
              <w:t>Net income</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9"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A"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B"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C"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D"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E"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D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E0" w14:textId="77777777" w:rsidR="009C6E2F" w:rsidRDefault="007972BE">
            <w:pPr>
              <w:jc w:val="right"/>
              <w:textAlignment w:val="bottom"/>
            </w:pPr>
            <w:r>
              <w:rPr>
                <w:rFonts w:ascii="Arial" w:eastAsia="宋体" w:hAnsi="Arial" w:cs="Arial"/>
                <w:color w:val="000000"/>
                <w:sz w:val="17"/>
                <w:szCs w:val="17"/>
              </w:rPr>
              <w:t>3,211 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E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E2" w14:textId="77777777" w:rsidR="009C6E2F" w:rsidRDefault="007972BE">
            <w:pPr>
              <w:jc w:val="right"/>
              <w:textAlignment w:val="bottom"/>
            </w:pPr>
            <w:r>
              <w:rPr>
                <w:rFonts w:ascii="Arial" w:eastAsia="宋体" w:hAnsi="Arial" w:cs="Arial"/>
                <w:color w:val="000000"/>
                <w:sz w:val="17"/>
                <w:szCs w:val="17"/>
              </w:rPr>
              <w:t>3,211 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E3" w14:textId="77777777" w:rsidR="009C6E2F" w:rsidRDefault="009C6E2F">
            <w:pPr>
              <w:jc w:val="right"/>
              <w:rPr>
                <w:rFonts w:ascii="宋体"/>
              </w:rPr>
            </w:pPr>
          </w:p>
        </w:tc>
      </w:tr>
      <w:tr w:rsidR="009C6E2F" w14:paraId="2470C0F1"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0E5" w14:textId="77777777" w:rsidR="009C6E2F" w:rsidRDefault="007972BE">
            <w:pPr>
              <w:textAlignment w:val="bottom"/>
            </w:pPr>
            <w:r>
              <w:rPr>
                <w:rFonts w:ascii="Arial" w:eastAsia="宋体" w:hAnsi="Arial" w:cs="Arial"/>
                <w:color w:val="000000"/>
                <w:sz w:val="17"/>
                <w:szCs w:val="17"/>
              </w:rPr>
              <w:t>Other comprehensive income (loss)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E6"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E7"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E8"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E9"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EA"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EB"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EC" w14:textId="77777777" w:rsidR="009C6E2F" w:rsidRDefault="007972BE">
            <w:pPr>
              <w:jc w:val="right"/>
              <w:textAlignment w:val="bottom"/>
            </w:pPr>
            <w:r>
              <w:rPr>
                <w:rFonts w:ascii="Arial" w:eastAsia="宋体" w:hAnsi="Arial" w:cs="Arial"/>
                <w:color w:val="000000"/>
                <w:sz w:val="17"/>
                <w:szCs w:val="17"/>
              </w:rPr>
              <w:t>525 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ED"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0EE"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0EF" w14:textId="77777777" w:rsidR="009C6E2F" w:rsidRDefault="007972BE">
            <w:pPr>
              <w:jc w:val="right"/>
              <w:textAlignment w:val="bottom"/>
            </w:pPr>
            <w:r>
              <w:rPr>
                <w:rFonts w:ascii="Arial" w:eastAsia="宋体" w:hAnsi="Arial" w:cs="Arial"/>
                <w:color w:val="000000"/>
                <w:sz w:val="17"/>
                <w:szCs w:val="17"/>
              </w:rPr>
              <w:t>525 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0F0" w14:textId="77777777" w:rsidR="009C6E2F" w:rsidRDefault="009C6E2F">
            <w:pPr>
              <w:jc w:val="right"/>
              <w:rPr>
                <w:rFonts w:ascii="宋体"/>
              </w:rPr>
            </w:pPr>
          </w:p>
        </w:tc>
      </w:tr>
      <w:tr w:rsidR="009C6E2F" w14:paraId="2470C10A"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0F2" w14:textId="77777777" w:rsidR="009C6E2F" w:rsidRDefault="007972BE">
            <w:pPr>
              <w:textAlignment w:val="bottom"/>
            </w:pPr>
            <w:r>
              <w:rPr>
                <w:rFonts w:ascii="Arial" w:eastAsia="宋体" w:hAnsi="Arial" w:cs="Arial"/>
                <w:b/>
                <w:bCs/>
                <w:color w:val="000000"/>
                <w:sz w:val="16"/>
                <w:szCs w:val="16"/>
              </w:rPr>
              <w:t>Balance at November 30, 2021</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0F3" w14:textId="77777777" w:rsidR="009C6E2F" w:rsidRDefault="007972BE">
            <w:pPr>
              <w:jc w:val="right"/>
              <w:textAlignment w:val="bottom"/>
            </w:pPr>
            <w:r>
              <w:rPr>
                <w:rFonts w:ascii="Arial" w:eastAsia="宋体" w:hAnsi="Arial" w:cs="Arial"/>
                <w:b/>
                <w:bCs/>
                <w:color w:val="000000"/>
                <w:sz w:val="16"/>
                <w:szCs w:val="16"/>
              </w:rPr>
              <w:t>305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0F4"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0F5"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0F6" w14:textId="77777777" w:rsidR="009C6E2F" w:rsidRDefault="007972B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0F7"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470C0F8" w14:textId="77777777" w:rsidR="009C6E2F" w:rsidRDefault="009C6E2F">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0F9" w14:textId="77777777" w:rsidR="009C6E2F" w:rsidRDefault="007972BE">
            <w:pPr>
              <w:jc w:val="right"/>
              <w:textAlignment w:val="bottom"/>
            </w:pPr>
            <w:r>
              <w:rPr>
                <w:rFonts w:ascii="Arial" w:eastAsia="宋体" w:hAnsi="Arial" w:cs="Arial"/>
                <w:b/>
                <w:bCs/>
                <w:color w:val="000000"/>
                <w:sz w:val="16"/>
                <w:szCs w:val="16"/>
              </w:rPr>
              <w:t>1,278</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0FA"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0FB"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0FC" w14:textId="77777777" w:rsidR="009C6E2F" w:rsidRDefault="007972BE">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0FD"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0FE"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0FF" w14:textId="77777777" w:rsidR="009C6E2F" w:rsidRDefault="007972BE">
            <w:pPr>
              <w:jc w:val="right"/>
              <w:textAlignment w:val="bottom"/>
            </w:pPr>
            <w:r>
              <w:rPr>
                <w:rFonts w:ascii="Arial" w:eastAsia="宋体" w:hAnsi="Arial" w:cs="Arial"/>
                <w:b/>
                <w:bCs/>
                <w:color w:val="000000"/>
                <w:sz w:val="16"/>
                <w:szCs w:val="16"/>
              </w:rPr>
              <w:t>10,990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10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101"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102" w14:textId="77777777" w:rsidR="009C6E2F" w:rsidRDefault="007972BE">
            <w:pPr>
              <w:jc w:val="right"/>
              <w:textAlignment w:val="bottom"/>
            </w:pPr>
            <w:r>
              <w:rPr>
                <w:rFonts w:ascii="Arial" w:eastAsia="宋体" w:hAnsi="Arial" w:cs="Arial"/>
                <w:b/>
                <w:bCs/>
                <w:color w:val="000000"/>
                <w:sz w:val="16"/>
                <w:szCs w:val="16"/>
              </w:rPr>
              <w:t>145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103"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104"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105" w14:textId="77777777" w:rsidR="009C6E2F" w:rsidRDefault="007972BE">
            <w:pPr>
              <w:jc w:val="right"/>
              <w:textAlignment w:val="bottom"/>
            </w:pPr>
            <w:r>
              <w:rPr>
                <w:rFonts w:ascii="Arial" w:eastAsia="宋体" w:hAnsi="Arial" w:cs="Arial"/>
                <w:b/>
                <w:bCs/>
                <w:color w:val="000000"/>
                <w:sz w:val="16"/>
                <w:szCs w:val="16"/>
              </w:rPr>
              <w:t>3,786</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10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107"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108" w14:textId="77777777" w:rsidR="009C6E2F" w:rsidRDefault="007972BE">
            <w:pPr>
              <w:jc w:val="right"/>
              <w:textAlignment w:val="bottom"/>
            </w:pPr>
            <w:r>
              <w:rPr>
                <w:rFonts w:ascii="Arial" w:eastAsia="宋体" w:hAnsi="Arial" w:cs="Arial"/>
                <w:b/>
                <w:bCs/>
                <w:color w:val="000000"/>
                <w:sz w:val="16"/>
                <w:szCs w:val="16"/>
              </w:rPr>
              <w:t>14,924</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109" w14:textId="77777777" w:rsidR="009C6E2F" w:rsidRDefault="009C6E2F">
            <w:pPr>
              <w:jc w:val="right"/>
              <w:rPr>
                <w:rFonts w:ascii="宋体"/>
              </w:rPr>
            </w:pPr>
          </w:p>
        </w:tc>
      </w:tr>
    </w:tbl>
    <w:p w14:paraId="2470C10B" w14:textId="77777777" w:rsidR="009C6E2F" w:rsidRDefault="009C6E2F">
      <w:pPr>
        <w:spacing w:before="120" w:after="120"/>
        <w:jc w:val="center"/>
      </w:pP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1699"/>
        <w:gridCol w:w="41"/>
        <w:gridCol w:w="87"/>
        <w:gridCol w:w="495"/>
        <w:gridCol w:w="37"/>
        <w:gridCol w:w="111"/>
        <w:gridCol w:w="616"/>
        <w:gridCol w:w="37"/>
        <w:gridCol w:w="36"/>
        <w:gridCol w:w="36"/>
        <w:gridCol w:w="36"/>
        <w:gridCol w:w="87"/>
        <w:gridCol w:w="495"/>
        <w:gridCol w:w="37"/>
        <w:gridCol w:w="111"/>
        <w:gridCol w:w="610"/>
        <w:gridCol w:w="37"/>
        <w:gridCol w:w="110"/>
        <w:gridCol w:w="712"/>
        <w:gridCol w:w="36"/>
        <w:gridCol w:w="110"/>
        <w:gridCol w:w="1165"/>
        <w:gridCol w:w="36"/>
        <w:gridCol w:w="110"/>
        <w:gridCol w:w="679"/>
        <w:gridCol w:w="36"/>
        <w:gridCol w:w="109"/>
        <w:gridCol w:w="534"/>
        <w:gridCol w:w="36"/>
      </w:tblGrid>
      <w:tr w:rsidR="009C6E2F" w14:paraId="2470C12A" w14:textId="77777777">
        <w:trPr>
          <w:jc w:val="center"/>
        </w:trPr>
        <w:tc>
          <w:tcPr>
            <w:tcW w:w="50" w:type="pct"/>
            <w:shd w:val="clear" w:color="auto" w:fill="auto"/>
            <w:vAlign w:val="bottom"/>
          </w:tcPr>
          <w:p w14:paraId="2470C10C" w14:textId="77777777" w:rsidR="009C6E2F" w:rsidRDefault="009C6E2F">
            <w:pPr>
              <w:rPr>
                <w:rFonts w:ascii="宋体"/>
              </w:rPr>
            </w:pPr>
          </w:p>
        </w:tc>
        <w:tc>
          <w:tcPr>
            <w:tcW w:w="1560" w:type="pct"/>
            <w:shd w:val="clear" w:color="auto" w:fill="auto"/>
            <w:vAlign w:val="bottom"/>
          </w:tcPr>
          <w:p w14:paraId="2470C10D" w14:textId="77777777" w:rsidR="009C6E2F" w:rsidRDefault="009C6E2F">
            <w:pPr>
              <w:rPr>
                <w:rFonts w:ascii="宋体"/>
              </w:rPr>
            </w:pPr>
          </w:p>
        </w:tc>
        <w:tc>
          <w:tcPr>
            <w:tcW w:w="5" w:type="pct"/>
            <w:shd w:val="clear" w:color="auto" w:fill="auto"/>
            <w:vAlign w:val="bottom"/>
          </w:tcPr>
          <w:p w14:paraId="2470C10E" w14:textId="77777777" w:rsidR="009C6E2F" w:rsidRDefault="009C6E2F">
            <w:pPr>
              <w:rPr>
                <w:rFonts w:ascii="宋体"/>
              </w:rPr>
            </w:pPr>
          </w:p>
        </w:tc>
        <w:tc>
          <w:tcPr>
            <w:tcW w:w="50" w:type="pct"/>
            <w:shd w:val="clear" w:color="auto" w:fill="auto"/>
            <w:vAlign w:val="bottom"/>
          </w:tcPr>
          <w:p w14:paraId="2470C10F" w14:textId="77777777" w:rsidR="009C6E2F" w:rsidRDefault="009C6E2F">
            <w:pPr>
              <w:rPr>
                <w:rFonts w:ascii="宋体"/>
              </w:rPr>
            </w:pPr>
          </w:p>
        </w:tc>
        <w:tc>
          <w:tcPr>
            <w:tcW w:w="285" w:type="pct"/>
            <w:shd w:val="clear" w:color="auto" w:fill="auto"/>
            <w:vAlign w:val="bottom"/>
          </w:tcPr>
          <w:p w14:paraId="2470C110" w14:textId="77777777" w:rsidR="009C6E2F" w:rsidRDefault="009C6E2F">
            <w:pPr>
              <w:rPr>
                <w:rFonts w:ascii="宋体"/>
              </w:rPr>
            </w:pPr>
          </w:p>
        </w:tc>
        <w:tc>
          <w:tcPr>
            <w:tcW w:w="5" w:type="pct"/>
            <w:shd w:val="clear" w:color="auto" w:fill="auto"/>
            <w:vAlign w:val="bottom"/>
          </w:tcPr>
          <w:p w14:paraId="2470C111" w14:textId="77777777" w:rsidR="009C6E2F" w:rsidRDefault="009C6E2F">
            <w:pPr>
              <w:rPr>
                <w:rFonts w:ascii="宋体"/>
              </w:rPr>
            </w:pPr>
          </w:p>
        </w:tc>
        <w:tc>
          <w:tcPr>
            <w:tcW w:w="50" w:type="pct"/>
            <w:shd w:val="clear" w:color="auto" w:fill="auto"/>
            <w:vAlign w:val="bottom"/>
          </w:tcPr>
          <w:p w14:paraId="2470C112" w14:textId="77777777" w:rsidR="009C6E2F" w:rsidRDefault="009C6E2F">
            <w:pPr>
              <w:rPr>
                <w:rFonts w:ascii="宋体"/>
              </w:rPr>
            </w:pPr>
          </w:p>
        </w:tc>
        <w:tc>
          <w:tcPr>
            <w:tcW w:w="346" w:type="pct"/>
            <w:shd w:val="clear" w:color="auto" w:fill="auto"/>
            <w:vAlign w:val="bottom"/>
          </w:tcPr>
          <w:p w14:paraId="2470C113" w14:textId="77777777" w:rsidR="009C6E2F" w:rsidRDefault="009C6E2F">
            <w:pPr>
              <w:rPr>
                <w:rFonts w:ascii="宋体"/>
              </w:rPr>
            </w:pPr>
          </w:p>
        </w:tc>
        <w:tc>
          <w:tcPr>
            <w:tcW w:w="5" w:type="pct"/>
            <w:shd w:val="clear" w:color="auto" w:fill="auto"/>
            <w:vAlign w:val="bottom"/>
          </w:tcPr>
          <w:p w14:paraId="2470C114" w14:textId="77777777" w:rsidR="009C6E2F" w:rsidRDefault="009C6E2F">
            <w:pPr>
              <w:rPr>
                <w:rFonts w:ascii="宋体"/>
              </w:rPr>
            </w:pPr>
          </w:p>
        </w:tc>
        <w:tc>
          <w:tcPr>
            <w:tcW w:w="5" w:type="pct"/>
            <w:shd w:val="clear" w:color="auto" w:fill="auto"/>
            <w:vAlign w:val="bottom"/>
          </w:tcPr>
          <w:p w14:paraId="2470C115" w14:textId="77777777" w:rsidR="009C6E2F" w:rsidRDefault="009C6E2F">
            <w:pPr>
              <w:rPr>
                <w:rFonts w:ascii="宋体"/>
              </w:rPr>
            </w:pPr>
          </w:p>
        </w:tc>
        <w:tc>
          <w:tcPr>
            <w:tcW w:w="28" w:type="pct"/>
            <w:shd w:val="clear" w:color="auto" w:fill="auto"/>
            <w:vAlign w:val="bottom"/>
          </w:tcPr>
          <w:p w14:paraId="2470C116" w14:textId="77777777" w:rsidR="009C6E2F" w:rsidRDefault="009C6E2F">
            <w:pPr>
              <w:rPr>
                <w:rFonts w:ascii="宋体"/>
              </w:rPr>
            </w:pPr>
          </w:p>
        </w:tc>
        <w:tc>
          <w:tcPr>
            <w:tcW w:w="5" w:type="pct"/>
            <w:shd w:val="clear" w:color="auto" w:fill="auto"/>
            <w:vAlign w:val="bottom"/>
          </w:tcPr>
          <w:p w14:paraId="2470C117" w14:textId="77777777" w:rsidR="009C6E2F" w:rsidRDefault="009C6E2F">
            <w:pPr>
              <w:rPr>
                <w:rFonts w:ascii="宋体"/>
              </w:rPr>
            </w:pPr>
          </w:p>
        </w:tc>
        <w:tc>
          <w:tcPr>
            <w:tcW w:w="50" w:type="pct"/>
            <w:shd w:val="clear" w:color="auto" w:fill="auto"/>
            <w:vAlign w:val="bottom"/>
          </w:tcPr>
          <w:p w14:paraId="2470C118" w14:textId="77777777" w:rsidR="009C6E2F" w:rsidRDefault="009C6E2F">
            <w:pPr>
              <w:rPr>
                <w:rFonts w:ascii="宋体"/>
              </w:rPr>
            </w:pPr>
          </w:p>
        </w:tc>
        <w:tc>
          <w:tcPr>
            <w:tcW w:w="285" w:type="pct"/>
            <w:shd w:val="clear" w:color="auto" w:fill="auto"/>
            <w:vAlign w:val="bottom"/>
          </w:tcPr>
          <w:p w14:paraId="2470C119" w14:textId="77777777" w:rsidR="009C6E2F" w:rsidRDefault="009C6E2F">
            <w:pPr>
              <w:rPr>
                <w:rFonts w:ascii="宋体"/>
              </w:rPr>
            </w:pPr>
          </w:p>
        </w:tc>
        <w:tc>
          <w:tcPr>
            <w:tcW w:w="5" w:type="pct"/>
            <w:shd w:val="clear" w:color="auto" w:fill="auto"/>
            <w:vAlign w:val="bottom"/>
          </w:tcPr>
          <w:p w14:paraId="2470C11A" w14:textId="77777777" w:rsidR="009C6E2F" w:rsidRDefault="009C6E2F">
            <w:pPr>
              <w:rPr>
                <w:rFonts w:ascii="宋体"/>
              </w:rPr>
            </w:pPr>
          </w:p>
        </w:tc>
        <w:tc>
          <w:tcPr>
            <w:tcW w:w="50" w:type="pct"/>
            <w:shd w:val="clear" w:color="auto" w:fill="auto"/>
            <w:vAlign w:val="bottom"/>
          </w:tcPr>
          <w:p w14:paraId="2470C11B" w14:textId="77777777" w:rsidR="009C6E2F" w:rsidRDefault="009C6E2F">
            <w:pPr>
              <w:rPr>
                <w:rFonts w:ascii="宋体"/>
              </w:rPr>
            </w:pPr>
          </w:p>
        </w:tc>
        <w:tc>
          <w:tcPr>
            <w:tcW w:w="323" w:type="pct"/>
            <w:shd w:val="clear" w:color="auto" w:fill="auto"/>
            <w:vAlign w:val="bottom"/>
          </w:tcPr>
          <w:p w14:paraId="2470C11C" w14:textId="77777777" w:rsidR="009C6E2F" w:rsidRDefault="009C6E2F">
            <w:pPr>
              <w:rPr>
                <w:rFonts w:ascii="宋体"/>
              </w:rPr>
            </w:pPr>
          </w:p>
        </w:tc>
        <w:tc>
          <w:tcPr>
            <w:tcW w:w="5" w:type="pct"/>
            <w:shd w:val="clear" w:color="auto" w:fill="auto"/>
            <w:vAlign w:val="bottom"/>
          </w:tcPr>
          <w:p w14:paraId="2470C11D" w14:textId="77777777" w:rsidR="009C6E2F" w:rsidRDefault="009C6E2F">
            <w:pPr>
              <w:rPr>
                <w:rFonts w:ascii="宋体"/>
              </w:rPr>
            </w:pPr>
          </w:p>
        </w:tc>
        <w:tc>
          <w:tcPr>
            <w:tcW w:w="50" w:type="pct"/>
            <w:shd w:val="clear" w:color="auto" w:fill="auto"/>
            <w:vAlign w:val="bottom"/>
          </w:tcPr>
          <w:p w14:paraId="2470C11E" w14:textId="77777777" w:rsidR="009C6E2F" w:rsidRDefault="009C6E2F">
            <w:pPr>
              <w:rPr>
                <w:rFonts w:ascii="宋体"/>
              </w:rPr>
            </w:pPr>
          </w:p>
        </w:tc>
        <w:tc>
          <w:tcPr>
            <w:tcW w:w="385" w:type="pct"/>
            <w:shd w:val="clear" w:color="auto" w:fill="auto"/>
            <w:vAlign w:val="bottom"/>
          </w:tcPr>
          <w:p w14:paraId="2470C11F" w14:textId="77777777" w:rsidR="009C6E2F" w:rsidRDefault="009C6E2F">
            <w:pPr>
              <w:rPr>
                <w:rFonts w:ascii="宋体"/>
              </w:rPr>
            </w:pPr>
          </w:p>
        </w:tc>
        <w:tc>
          <w:tcPr>
            <w:tcW w:w="5" w:type="pct"/>
            <w:shd w:val="clear" w:color="auto" w:fill="auto"/>
            <w:vAlign w:val="bottom"/>
          </w:tcPr>
          <w:p w14:paraId="2470C120" w14:textId="77777777" w:rsidR="009C6E2F" w:rsidRDefault="009C6E2F">
            <w:pPr>
              <w:rPr>
                <w:rFonts w:ascii="宋体"/>
              </w:rPr>
            </w:pPr>
          </w:p>
        </w:tc>
        <w:tc>
          <w:tcPr>
            <w:tcW w:w="50" w:type="pct"/>
            <w:shd w:val="clear" w:color="auto" w:fill="auto"/>
            <w:vAlign w:val="bottom"/>
          </w:tcPr>
          <w:p w14:paraId="2470C121" w14:textId="77777777" w:rsidR="009C6E2F" w:rsidRDefault="009C6E2F">
            <w:pPr>
              <w:rPr>
                <w:rFonts w:ascii="宋体"/>
              </w:rPr>
            </w:pPr>
          </w:p>
        </w:tc>
        <w:tc>
          <w:tcPr>
            <w:tcW w:w="586" w:type="pct"/>
            <w:shd w:val="clear" w:color="auto" w:fill="auto"/>
            <w:vAlign w:val="bottom"/>
          </w:tcPr>
          <w:p w14:paraId="2470C122" w14:textId="77777777" w:rsidR="009C6E2F" w:rsidRDefault="009C6E2F">
            <w:pPr>
              <w:rPr>
                <w:rFonts w:ascii="宋体"/>
              </w:rPr>
            </w:pPr>
          </w:p>
        </w:tc>
        <w:tc>
          <w:tcPr>
            <w:tcW w:w="5" w:type="pct"/>
            <w:shd w:val="clear" w:color="auto" w:fill="auto"/>
            <w:vAlign w:val="bottom"/>
          </w:tcPr>
          <w:p w14:paraId="2470C123" w14:textId="77777777" w:rsidR="009C6E2F" w:rsidRDefault="009C6E2F">
            <w:pPr>
              <w:rPr>
                <w:rFonts w:ascii="宋体"/>
              </w:rPr>
            </w:pPr>
          </w:p>
        </w:tc>
        <w:tc>
          <w:tcPr>
            <w:tcW w:w="50" w:type="pct"/>
            <w:shd w:val="clear" w:color="auto" w:fill="auto"/>
            <w:vAlign w:val="bottom"/>
          </w:tcPr>
          <w:p w14:paraId="2470C124" w14:textId="77777777" w:rsidR="009C6E2F" w:rsidRDefault="009C6E2F">
            <w:pPr>
              <w:rPr>
                <w:rFonts w:ascii="宋体"/>
              </w:rPr>
            </w:pPr>
          </w:p>
        </w:tc>
        <w:tc>
          <w:tcPr>
            <w:tcW w:w="370" w:type="pct"/>
            <w:shd w:val="clear" w:color="auto" w:fill="auto"/>
            <w:vAlign w:val="bottom"/>
          </w:tcPr>
          <w:p w14:paraId="2470C125" w14:textId="77777777" w:rsidR="009C6E2F" w:rsidRDefault="009C6E2F">
            <w:pPr>
              <w:rPr>
                <w:rFonts w:ascii="宋体"/>
              </w:rPr>
            </w:pPr>
          </w:p>
        </w:tc>
        <w:tc>
          <w:tcPr>
            <w:tcW w:w="5" w:type="pct"/>
            <w:shd w:val="clear" w:color="auto" w:fill="auto"/>
            <w:vAlign w:val="bottom"/>
          </w:tcPr>
          <w:p w14:paraId="2470C126" w14:textId="77777777" w:rsidR="009C6E2F" w:rsidRDefault="009C6E2F">
            <w:pPr>
              <w:rPr>
                <w:rFonts w:ascii="宋体"/>
              </w:rPr>
            </w:pPr>
          </w:p>
        </w:tc>
        <w:tc>
          <w:tcPr>
            <w:tcW w:w="50" w:type="pct"/>
            <w:shd w:val="clear" w:color="auto" w:fill="auto"/>
            <w:vAlign w:val="bottom"/>
          </w:tcPr>
          <w:p w14:paraId="2470C127" w14:textId="77777777" w:rsidR="009C6E2F" w:rsidRDefault="009C6E2F">
            <w:pPr>
              <w:rPr>
                <w:rFonts w:ascii="宋体"/>
              </w:rPr>
            </w:pPr>
          </w:p>
        </w:tc>
        <w:tc>
          <w:tcPr>
            <w:tcW w:w="323" w:type="pct"/>
            <w:shd w:val="clear" w:color="auto" w:fill="auto"/>
            <w:vAlign w:val="bottom"/>
          </w:tcPr>
          <w:p w14:paraId="2470C128" w14:textId="77777777" w:rsidR="009C6E2F" w:rsidRDefault="009C6E2F">
            <w:pPr>
              <w:rPr>
                <w:rFonts w:ascii="宋体"/>
              </w:rPr>
            </w:pPr>
          </w:p>
        </w:tc>
        <w:tc>
          <w:tcPr>
            <w:tcW w:w="5" w:type="pct"/>
            <w:shd w:val="clear" w:color="auto" w:fill="auto"/>
            <w:vAlign w:val="bottom"/>
          </w:tcPr>
          <w:p w14:paraId="2470C129" w14:textId="77777777" w:rsidR="009C6E2F" w:rsidRDefault="009C6E2F">
            <w:pPr>
              <w:rPr>
                <w:rFonts w:ascii="宋体"/>
              </w:rPr>
            </w:pPr>
          </w:p>
        </w:tc>
      </w:tr>
      <w:tr w:rsidR="009C6E2F" w14:paraId="2470C131"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C12B"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C12C" w14:textId="77777777" w:rsidR="009C6E2F" w:rsidRDefault="007972BE">
            <w:pPr>
              <w:jc w:val="center"/>
              <w:textAlignment w:val="bottom"/>
            </w:pPr>
            <w:r>
              <w:rPr>
                <w:rFonts w:ascii="sans-serif" w:eastAsia="sans-serif" w:hAnsi="sans-serif" w:cs="sans-serif"/>
                <w:b/>
                <w:bCs/>
                <w:color w:val="000000"/>
                <w:sz w:val="17"/>
                <w:szCs w:val="17"/>
              </w:rPr>
              <w:t>COMMON STOCK</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470C12D" w14:textId="77777777" w:rsidR="009C6E2F" w:rsidRDefault="007972BE">
            <w:pPr>
              <w:jc w:val="right"/>
              <w:textAlignment w:val="bottom"/>
            </w:pPr>
            <w:r>
              <w:rPr>
                <w:rFonts w:ascii="sans-serif" w:eastAsia="sans-serif" w:hAnsi="sans-serif" w:cs="sans-serif"/>
                <w:b/>
                <w:bCs/>
                <w:color w:val="000000"/>
                <w:sz w:val="17"/>
                <w:szCs w:val="17"/>
              </w:rPr>
              <w:t>CAPITAL IN EXCESS OF STATED VALUE</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470C12E" w14:textId="77777777" w:rsidR="009C6E2F" w:rsidRDefault="007972BE">
            <w:pPr>
              <w:jc w:val="right"/>
              <w:textAlignment w:val="bottom"/>
            </w:pPr>
            <w:r>
              <w:rPr>
                <w:rFonts w:ascii="sans-serif" w:eastAsia="sans-serif" w:hAnsi="sans-serif" w:cs="sans-serif"/>
                <w:b/>
                <w:bCs/>
                <w:color w:val="000000"/>
                <w:sz w:val="17"/>
                <w:szCs w:val="17"/>
              </w:rPr>
              <w:t>ACCUMULATED OTHER COMPREHENSIVE INCOME (LOSS)</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470C12F" w14:textId="77777777" w:rsidR="009C6E2F" w:rsidRDefault="007972BE">
            <w:pPr>
              <w:jc w:val="right"/>
              <w:textAlignment w:val="bottom"/>
            </w:pPr>
            <w:r>
              <w:rPr>
                <w:rFonts w:ascii="sans-serif" w:eastAsia="sans-serif" w:hAnsi="sans-serif" w:cs="sans-serif"/>
                <w:b/>
                <w:bCs/>
                <w:color w:val="000000"/>
                <w:sz w:val="17"/>
                <w:szCs w:val="17"/>
              </w:rPr>
              <w:t>RETAINED EARNINGS (DEFICIT)</w:t>
            </w:r>
          </w:p>
        </w:tc>
        <w:tc>
          <w:tcPr>
            <w:tcW w:w="0" w:type="auto"/>
            <w:gridSpan w:val="3"/>
            <w:vMerge w:val="restart"/>
            <w:tcBorders>
              <w:bottom w:val="single" w:sz="8" w:space="0" w:color="E87722"/>
            </w:tcBorders>
            <w:shd w:val="clear" w:color="auto" w:fill="auto"/>
            <w:tcMar>
              <w:top w:w="40" w:type="dxa"/>
              <w:left w:w="20" w:type="dxa"/>
              <w:bottom w:w="40" w:type="dxa"/>
              <w:right w:w="20" w:type="dxa"/>
            </w:tcMar>
            <w:vAlign w:val="bottom"/>
          </w:tcPr>
          <w:p w14:paraId="2470C130"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C13A" w14:textId="77777777">
        <w:trPr>
          <w:trHeight w:val="240"/>
          <w:jc w:val="center"/>
        </w:trPr>
        <w:tc>
          <w:tcPr>
            <w:tcW w:w="0" w:type="auto"/>
            <w:gridSpan w:val="3"/>
            <w:shd w:val="clear" w:color="auto" w:fill="auto"/>
            <w:tcMar>
              <w:top w:w="0" w:type="dxa"/>
              <w:left w:w="20" w:type="dxa"/>
              <w:bottom w:w="0" w:type="dxa"/>
              <w:right w:w="20" w:type="dxa"/>
            </w:tcMar>
            <w:vAlign w:val="bottom"/>
          </w:tcPr>
          <w:p w14:paraId="2470C132"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133" w14:textId="77777777" w:rsidR="009C6E2F" w:rsidRDefault="007972BE">
            <w:pPr>
              <w:jc w:val="center"/>
              <w:textAlignment w:val="bottom"/>
            </w:pPr>
            <w:r>
              <w:rPr>
                <w:rFonts w:ascii="sans-serif" w:eastAsia="sans-serif" w:hAnsi="sans-serif" w:cs="sans-serif"/>
                <w:b/>
                <w:bCs/>
                <w:color w:val="000000"/>
                <w:sz w:val="17"/>
                <w:szCs w:val="17"/>
              </w:rPr>
              <w:t>CLASS A</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34"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135" w14:textId="77777777" w:rsidR="009C6E2F" w:rsidRDefault="007972BE">
            <w:pPr>
              <w:jc w:val="center"/>
              <w:textAlignment w:val="bottom"/>
            </w:pPr>
            <w:r>
              <w:rPr>
                <w:rFonts w:ascii="sans-serif" w:eastAsia="sans-serif" w:hAnsi="sans-serif" w:cs="sans-serif"/>
                <w:b/>
                <w:bCs/>
                <w:color w:val="000000"/>
                <w:sz w:val="17"/>
                <w:szCs w:val="17"/>
              </w:rPr>
              <w:t>CLASS B</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36" w14:textId="77777777" w:rsidR="009C6E2F" w:rsidRDefault="009C6E2F">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37" w14:textId="77777777" w:rsidR="009C6E2F" w:rsidRDefault="009C6E2F">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38" w14:textId="77777777" w:rsidR="009C6E2F" w:rsidRDefault="009C6E2F">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39" w14:textId="77777777" w:rsidR="009C6E2F" w:rsidRDefault="009C6E2F">
            <w:pPr>
              <w:jc w:val="right"/>
              <w:rPr>
                <w:rFonts w:ascii="宋体"/>
              </w:rPr>
            </w:pPr>
          </w:p>
        </w:tc>
      </w:tr>
      <w:tr w:rsidR="009C6E2F" w14:paraId="2470C145" w14:textId="77777777">
        <w:trPr>
          <w:trHeight w:val="240"/>
          <w:jc w:val="center"/>
        </w:trPr>
        <w:tc>
          <w:tcPr>
            <w:tcW w:w="0" w:type="auto"/>
            <w:gridSpan w:val="3"/>
            <w:tcBorders>
              <w:bottom w:val="single" w:sz="8" w:space="0" w:color="E87722"/>
            </w:tcBorders>
            <w:shd w:val="clear" w:color="auto" w:fill="auto"/>
            <w:tcMar>
              <w:top w:w="40" w:type="dxa"/>
              <w:left w:w="20" w:type="dxa"/>
              <w:bottom w:w="40" w:type="dxa"/>
              <w:right w:w="20" w:type="dxa"/>
            </w:tcMar>
            <w:vAlign w:val="bottom"/>
          </w:tcPr>
          <w:p w14:paraId="2470C13B" w14:textId="77777777" w:rsidR="009C6E2F" w:rsidRDefault="007972BE">
            <w:pP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13C" w14:textId="77777777" w:rsidR="009C6E2F" w:rsidRDefault="007972BE">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13D" w14:textId="77777777" w:rsidR="009C6E2F" w:rsidRDefault="007972BE">
            <w:pPr>
              <w:jc w:val="center"/>
              <w:textAlignment w:val="bottom"/>
            </w:pPr>
            <w:r>
              <w:rPr>
                <w:rFonts w:ascii="sans-serif" w:eastAsia="sans-serif" w:hAnsi="sans-serif" w:cs="sans-serif"/>
                <w:b/>
                <w:bCs/>
                <w:color w:val="000000"/>
                <w:sz w:val="17"/>
                <w:szCs w:val="17"/>
              </w:rPr>
              <w:t>AMOUNT</w:t>
            </w:r>
          </w:p>
        </w:tc>
        <w:tc>
          <w:tcPr>
            <w:tcW w:w="0" w:type="auto"/>
            <w:gridSpan w:val="3"/>
            <w:tcBorders>
              <w:bottom w:val="single" w:sz="8" w:space="0" w:color="E87722"/>
            </w:tcBorders>
            <w:shd w:val="clear" w:color="auto" w:fill="auto"/>
            <w:tcMar>
              <w:top w:w="0" w:type="dxa"/>
              <w:left w:w="20" w:type="dxa"/>
              <w:bottom w:w="0" w:type="dxa"/>
              <w:right w:w="20" w:type="dxa"/>
            </w:tcMar>
            <w:vAlign w:val="bottom"/>
          </w:tcPr>
          <w:p w14:paraId="2470C13E"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13F" w14:textId="77777777" w:rsidR="009C6E2F" w:rsidRDefault="007972BE">
            <w:pPr>
              <w:jc w:val="center"/>
              <w:textAlignment w:val="bottom"/>
            </w:pPr>
            <w:r>
              <w:rPr>
                <w:rFonts w:ascii="sans-serif" w:eastAsia="sans-serif" w:hAnsi="sans-serif" w:cs="sans-serif"/>
                <w:b/>
                <w:bCs/>
                <w:color w:val="000000"/>
                <w:sz w:val="17"/>
                <w:szCs w:val="17"/>
              </w:rPr>
              <w:t>SHARES</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140" w14:textId="77777777" w:rsidR="009C6E2F" w:rsidRDefault="007972BE">
            <w:pPr>
              <w:jc w:val="center"/>
              <w:textAlignment w:val="bottom"/>
            </w:pPr>
            <w:r>
              <w:rPr>
                <w:rFonts w:ascii="sans-serif" w:eastAsia="sans-serif" w:hAnsi="sans-serif" w:cs="sans-serif"/>
                <w:b/>
                <w:bCs/>
                <w:color w:val="000000"/>
                <w:sz w:val="17"/>
                <w:szCs w:val="17"/>
              </w:rPr>
              <w:t>AMOUNT</w:t>
            </w: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41" w14:textId="77777777" w:rsidR="009C6E2F" w:rsidRDefault="009C6E2F">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42" w14:textId="77777777" w:rsidR="009C6E2F" w:rsidRDefault="009C6E2F">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43" w14:textId="77777777" w:rsidR="009C6E2F" w:rsidRDefault="009C6E2F">
            <w:pPr>
              <w:jc w:val="right"/>
              <w:rPr>
                <w:rFonts w:ascii="宋体"/>
              </w:rPr>
            </w:pPr>
          </w:p>
        </w:tc>
        <w:tc>
          <w:tcPr>
            <w:tcW w:w="0" w:type="auto"/>
            <w:gridSpan w:val="3"/>
            <w:vMerge/>
            <w:tcBorders>
              <w:bottom w:val="single" w:sz="8" w:space="0" w:color="E87722"/>
            </w:tcBorders>
            <w:shd w:val="clear" w:color="auto" w:fill="auto"/>
            <w:tcMar>
              <w:top w:w="40" w:type="dxa"/>
              <w:left w:w="20" w:type="dxa"/>
              <w:bottom w:w="40" w:type="dxa"/>
              <w:right w:w="20" w:type="dxa"/>
            </w:tcMar>
            <w:vAlign w:val="bottom"/>
          </w:tcPr>
          <w:p w14:paraId="2470C144" w14:textId="77777777" w:rsidR="009C6E2F" w:rsidRDefault="009C6E2F">
            <w:pPr>
              <w:jc w:val="right"/>
              <w:rPr>
                <w:rFonts w:ascii="宋体"/>
              </w:rPr>
            </w:pPr>
          </w:p>
        </w:tc>
      </w:tr>
      <w:tr w:rsidR="009C6E2F" w14:paraId="2470C15E"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146" w14:textId="77777777" w:rsidR="009C6E2F" w:rsidRDefault="007972BE">
            <w:pPr>
              <w:textAlignment w:val="bottom"/>
            </w:pPr>
            <w:r>
              <w:rPr>
                <w:rFonts w:ascii="Arial" w:eastAsia="宋体" w:hAnsi="Arial" w:cs="Arial"/>
                <w:b/>
                <w:bCs/>
                <w:color w:val="000000"/>
                <w:sz w:val="16"/>
                <w:szCs w:val="16"/>
              </w:rPr>
              <w:t>Balance at May 31, 2020</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147" w14:textId="77777777" w:rsidR="009C6E2F" w:rsidRDefault="007972BE">
            <w:pPr>
              <w:jc w:val="right"/>
              <w:textAlignment w:val="bottom"/>
            </w:pPr>
            <w:r>
              <w:rPr>
                <w:rFonts w:ascii="Arial" w:eastAsia="宋体" w:hAnsi="Arial" w:cs="Arial"/>
                <w:b/>
                <w:bCs/>
                <w:color w:val="000000"/>
                <w:sz w:val="16"/>
                <w:szCs w:val="16"/>
              </w:rPr>
              <w:t>315</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48"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149"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14A" w14:textId="77777777" w:rsidR="009C6E2F" w:rsidRDefault="007972B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4B"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4C"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14D" w14:textId="77777777" w:rsidR="009C6E2F" w:rsidRDefault="007972BE">
            <w:pPr>
              <w:jc w:val="right"/>
              <w:textAlignment w:val="bottom"/>
            </w:pPr>
            <w:r>
              <w:rPr>
                <w:rFonts w:ascii="Arial" w:eastAsia="宋体" w:hAnsi="Arial" w:cs="Arial"/>
                <w:b/>
                <w:bCs/>
                <w:color w:val="000000"/>
                <w:sz w:val="16"/>
                <w:szCs w:val="16"/>
              </w:rPr>
              <w:t>1,243</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4E"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14F"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150" w14:textId="77777777" w:rsidR="009C6E2F" w:rsidRDefault="007972BE">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5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152"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153" w14:textId="77777777" w:rsidR="009C6E2F" w:rsidRDefault="007972BE">
            <w:pPr>
              <w:jc w:val="right"/>
              <w:textAlignment w:val="bottom"/>
            </w:pPr>
            <w:r>
              <w:rPr>
                <w:rFonts w:ascii="Arial" w:eastAsia="宋体" w:hAnsi="Arial" w:cs="Arial"/>
                <w:b/>
                <w:bCs/>
                <w:color w:val="000000"/>
                <w:sz w:val="16"/>
                <w:szCs w:val="16"/>
              </w:rPr>
              <w:t>8,299</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54"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155"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156" w14:textId="77777777" w:rsidR="009C6E2F" w:rsidRDefault="007972BE">
            <w:pPr>
              <w:jc w:val="right"/>
              <w:textAlignment w:val="bottom"/>
            </w:pPr>
            <w:r>
              <w:rPr>
                <w:rFonts w:ascii="Arial" w:eastAsia="宋体" w:hAnsi="Arial" w:cs="Arial"/>
                <w:b/>
                <w:bCs/>
                <w:color w:val="000000"/>
                <w:sz w:val="16"/>
                <w:szCs w:val="16"/>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5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158"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159" w14:textId="77777777" w:rsidR="009C6E2F" w:rsidRDefault="007972BE">
            <w:pPr>
              <w:jc w:val="right"/>
              <w:textAlignment w:val="bottom"/>
            </w:pPr>
            <w:r>
              <w:rPr>
                <w:rFonts w:ascii="Arial" w:eastAsia="宋体" w:hAnsi="Arial" w:cs="Arial"/>
                <w:b/>
                <w:bCs/>
                <w:color w:val="000000"/>
                <w:sz w:val="16"/>
                <w:szCs w:val="16"/>
              </w:rPr>
              <w:t>(191)</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5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15B"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15C" w14:textId="77777777" w:rsidR="009C6E2F" w:rsidRDefault="007972BE">
            <w:pPr>
              <w:jc w:val="right"/>
              <w:textAlignment w:val="bottom"/>
            </w:pPr>
            <w:r>
              <w:rPr>
                <w:rFonts w:ascii="Arial" w:eastAsia="宋体" w:hAnsi="Arial" w:cs="Arial"/>
                <w:b/>
                <w:bCs/>
                <w:color w:val="000000"/>
                <w:sz w:val="16"/>
                <w:szCs w:val="16"/>
              </w:rPr>
              <w:t>8,055</w:t>
            </w:r>
            <w:r>
              <w:rPr>
                <w:rFonts w:ascii="Arial" w:eastAsia="宋体" w:hAnsi="Arial" w:cs="Arial"/>
                <w:color w:val="000000"/>
                <w:sz w:val="16"/>
                <w:szCs w:val="16"/>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5D" w14:textId="77777777" w:rsidR="009C6E2F" w:rsidRDefault="009C6E2F">
            <w:pPr>
              <w:jc w:val="right"/>
              <w:rPr>
                <w:rFonts w:ascii="宋体"/>
              </w:rPr>
            </w:pPr>
          </w:p>
        </w:tc>
      </w:tr>
      <w:tr w:rsidR="009C6E2F" w14:paraId="2470C16C"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15F" w14:textId="77777777" w:rsidR="009C6E2F" w:rsidRDefault="007972BE">
            <w:pPr>
              <w:textAlignment w:val="bottom"/>
            </w:pPr>
            <w:r>
              <w:rPr>
                <w:rFonts w:ascii="Arial" w:eastAsia="宋体" w:hAnsi="Arial" w:cs="Arial"/>
                <w:color w:val="000000"/>
                <w:sz w:val="16"/>
                <w:szCs w:val="16"/>
              </w:rPr>
              <w:t>Stock options exercised</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60"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61"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62"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163" w14:textId="77777777" w:rsidR="009C6E2F" w:rsidRDefault="007972BE">
            <w:pPr>
              <w:jc w:val="right"/>
              <w:textAlignment w:val="bottom"/>
            </w:pPr>
            <w:r>
              <w:rPr>
                <w:rFonts w:ascii="Arial" w:eastAsia="宋体" w:hAnsi="Arial" w:cs="Arial"/>
                <w:color w:val="000000"/>
                <w:sz w:val="16"/>
                <w:szCs w:val="16"/>
              </w:rPr>
              <w:t>15 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64"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65"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166" w14:textId="77777777" w:rsidR="009C6E2F" w:rsidRDefault="007972BE">
            <w:pPr>
              <w:jc w:val="right"/>
              <w:textAlignment w:val="bottom"/>
            </w:pPr>
            <w:r>
              <w:rPr>
                <w:rFonts w:ascii="Arial" w:eastAsia="宋体" w:hAnsi="Arial" w:cs="Arial"/>
                <w:color w:val="000000"/>
                <w:sz w:val="16"/>
                <w:szCs w:val="16"/>
              </w:rPr>
              <w:t>657 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67"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6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169"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16A" w14:textId="77777777" w:rsidR="009C6E2F" w:rsidRDefault="007972BE">
            <w:pPr>
              <w:jc w:val="right"/>
              <w:textAlignment w:val="bottom"/>
            </w:pPr>
            <w:r>
              <w:rPr>
                <w:rFonts w:ascii="Arial" w:eastAsia="宋体" w:hAnsi="Arial" w:cs="Arial"/>
                <w:color w:val="000000"/>
                <w:sz w:val="16"/>
                <w:szCs w:val="16"/>
              </w:rPr>
              <w:t>657 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16B" w14:textId="77777777" w:rsidR="009C6E2F" w:rsidRDefault="009C6E2F">
            <w:pPr>
              <w:jc w:val="right"/>
              <w:rPr>
                <w:rFonts w:ascii="宋体"/>
              </w:rPr>
            </w:pPr>
          </w:p>
        </w:tc>
      </w:tr>
      <w:tr w:rsidR="009C6E2F" w14:paraId="2470C17A"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6D" w14:textId="77777777" w:rsidR="009C6E2F" w:rsidRDefault="007972BE">
            <w:pPr>
              <w:textAlignment w:val="bottom"/>
            </w:pPr>
            <w:r>
              <w:rPr>
                <w:rFonts w:ascii="Arial" w:eastAsia="宋体" w:hAnsi="Arial" w:cs="Arial"/>
                <w:color w:val="000000"/>
                <w:sz w:val="16"/>
                <w:szCs w:val="16"/>
              </w:rPr>
              <w:t>Conversion to Class B Common Stock</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6E" w14:textId="77777777" w:rsidR="009C6E2F" w:rsidRDefault="007972BE">
            <w:pPr>
              <w:jc w:val="right"/>
              <w:textAlignment w:val="bottom"/>
            </w:pPr>
            <w:r>
              <w:rPr>
                <w:rFonts w:ascii="Arial" w:eastAsia="宋体" w:hAnsi="Arial" w:cs="Arial"/>
                <w:color w:val="000000"/>
                <w:sz w:val="16"/>
                <w:szCs w:val="16"/>
              </w:rPr>
              <w:t>(10)</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6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0"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72" w14:textId="77777777" w:rsidR="009C6E2F" w:rsidRDefault="007972BE">
            <w:pPr>
              <w:jc w:val="right"/>
              <w:textAlignment w:val="bottom"/>
            </w:pPr>
            <w:r>
              <w:rPr>
                <w:rFonts w:ascii="Arial" w:eastAsia="宋体" w:hAnsi="Arial" w:cs="Arial"/>
                <w:color w:val="000000"/>
                <w:sz w:val="16"/>
                <w:szCs w:val="16"/>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7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4"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5"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6"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7"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78" w14:textId="77777777" w:rsidR="009C6E2F" w:rsidRDefault="007972BE">
            <w:pPr>
              <w:jc w:val="right"/>
              <w:textAlignment w:val="bottom"/>
            </w:pPr>
            <w:r>
              <w:rPr>
                <w:rFonts w:ascii="Arial" w:eastAsia="宋体" w:hAnsi="Arial" w:cs="Arial"/>
                <w:color w:val="000000"/>
                <w:sz w:val="16"/>
                <w:szCs w:val="16"/>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79" w14:textId="77777777" w:rsidR="009C6E2F" w:rsidRDefault="009C6E2F">
            <w:pPr>
              <w:jc w:val="right"/>
              <w:rPr>
                <w:rFonts w:ascii="宋体"/>
              </w:rPr>
            </w:pPr>
          </w:p>
        </w:tc>
      </w:tr>
      <w:tr w:rsidR="009C6E2F" w14:paraId="2470C18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7B"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6"/>
                <w:szCs w:val="16"/>
              </w:rPr>
              <w:t>Dividends on common stock ($0.520 per share) and preferred stock ($0.10 per share)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C"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E"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7F"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80"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81"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82"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83" w14:textId="77777777" w:rsidR="009C6E2F" w:rsidRDefault="007972BE">
            <w:pPr>
              <w:jc w:val="right"/>
              <w:textAlignment w:val="bottom"/>
            </w:pPr>
            <w:r>
              <w:rPr>
                <w:rFonts w:ascii="Arial" w:eastAsia="宋体" w:hAnsi="Arial" w:cs="Arial"/>
                <w:color w:val="000000"/>
                <w:sz w:val="16"/>
                <w:szCs w:val="16"/>
              </w:rPr>
              <w:t>(820)</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8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85" w14:textId="77777777" w:rsidR="009C6E2F" w:rsidRDefault="007972BE">
            <w:pPr>
              <w:jc w:val="right"/>
              <w:textAlignment w:val="bottom"/>
            </w:pPr>
            <w:r>
              <w:rPr>
                <w:rFonts w:ascii="Arial" w:eastAsia="宋体" w:hAnsi="Arial" w:cs="Arial"/>
                <w:color w:val="000000"/>
                <w:sz w:val="16"/>
                <w:szCs w:val="16"/>
              </w:rPr>
              <w:t>(820)</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86" w14:textId="77777777" w:rsidR="009C6E2F" w:rsidRDefault="009C6E2F">
            <w:pPr>
              <w:jc w:val="right"/>
              <w:rPr>
                <w:rFonts w:ascii="宋体"/>
              </w:rPr>
            </w:pPr>
          </w:p>
        </w:tc>
      </w:tr>
      <w:tr w:rsidR="009C6E2F" w14:paraId="2470C196"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88" w14:textId="77777777" w:rsidR="009C6E2F" w:rsidRDefault="007972BE">
            <w:pPr>
              <w:textAlignment w:val="bottom"/>
            </w:pPr>
            <w:r>
              <w:rPr>
                <w:rFonts w:ascii="Arial" w:eastAsia="宋体" w:hAnsi="Arial" w:cs="Arial"/>
                <w:color w:val="000000"/>
                <w:sz w:val="16"/>
                <w:szCs w:val="16"/>
              </w:rPr>
              <w:t>Issuance of shares to employees, net of shares withheld for employee taxes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8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8A"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8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8C" w14:textId="77777777" w:rsidR="009C6E2F" w:rsidRDefault="007972BE">
            <w:pPr>
              <w:jc w:val="right"/>
              <w:textAlignment w:val="bottom"/>
            </w:pPr>
            <w:r>
              <w:rPr>
                <w:rFonts w:ascii="Arial" w:eastAsia="宋体" w:hAnsi="Arial" w:cs="Arial"/>
                <w:color w:val="000000"/>
                <w:sz w:val="16"/>
                <w:szCs w:val="16"/>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8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8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8F" w14:textId="77777777" w:rsidR="009C6E2F" w:rsidRDefault="007972BE">
            <w:pPr>
              <w:jc w:val="right"/>
              <w:textAlignment w:val="bottom"/>
            </w:pPr>
            <w:r>
              <w:rPr>
                <w:rFonts w:ascii="Arial" w:eastAsia="宋体" w:hAnsi="Arial" w:cs="Arial"/>
                <w:color w:val="000000"/>
                <w:sz w:val="16"/>
                <w:szCs w:val="16"/>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9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9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92" w14:textId="77777777" w:rsidR="009C6E2F" w:rsidRDefault="007972BE">
            <w:pPr>
              <w:jc w:val="right"/>
              <w:textAlignment w:val="bottom"/>
            </w:pPr>
            <w:r>
              <w:rPr>
                <w:rFonts w:ascii="Arial" w:eastAsia="宋体" w:hAnsi="Arial" w:cs="Arial"/>
                <w:color w:val="000000"/>
                <w:sz w:val="16"/>
                <w:szCs w:val="16"/>
              </w:rPr>
              <w:t>(28)</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9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94" w14:textId="77777777" w:rsidR="009C6E2F" w:rsidRDefault="007972BE">
            <w:pPr>
              <w:jc w:val="right"/>
              <w:textAlignment w:val="bottom"/>
            </w:pPr>
            <w:r>
              <w:rPr>
                <w:rFonts w:ascii="Arial" w:eastAsia="宋体" w:hAnsi="Arial" w:cs="Arial"/>
                <w:color w:val="000000"/>
                <w:sz w:val="16"/>
                <w:szCs w:val="16"/>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95" w14:textId="77777777" w:rsidR="009C6E2F" w:rsidRDefault="009C6E2F">
            <w:pPr>
              <w:jc w:val="right"/>
              <w:rPr>
                <w:rFonts w:ascii="宋体"/>
              </w:rPr>
            </w:pPr>
          </w:p>
        </w:tc>
      </w:tr>
      <w:tr w:rsidR="009C6E2F" w14:paraId="2470C1A3"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97" w14:textId="77777777" w:rsidR="009C6E2F" w:rsidRDefault="007972BE">
            <w:pPr>
              <w:textAlignment w:val="bottom"/>
            </w:pPr>
            <w:r>
              <w:rPr>
                <w:rFonts w:ascii="Arial" w:eastAsia="宋体" w:hAnsi="Arial" w:cs="Arial"/>
                <w:color w:val="000000"/>
                <w:sz w:val="16"/>
                <w:szCs w:val="16"/>
              </w:rPr>
              <w:t>Stock-based compensation</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9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9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9A"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9B"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9C"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9D" w14:textId="77777777" w:rsidR="009C6E2F" w:rsidRDefault="007972BE">
            <w:pPr>
              <w:jc w:val="right"/>
              <w:textAlignment w:val="bottom"/>
            </w:pPr>
            <w:r>
              <w:rPr>
                <w:rFonts w:ascii="Arial" w:eastAsia="宋体" w:hAnsi="Arial" w:cs="Arial"/>
                <w:color w:val="000000"/>
                <w:sz w:val="16"/>
                <w:szCs w:val="16"/>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9E"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9F"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0"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A1" w14:textId="77777777" w:rsidR="009C6E2F" w:rsidRDefault="007972BE">
            <w:pPr>
              <w:jc w:val="right"/>
              <w:textAlignment w:val="bottom"/>
            </w:pPr>
            <w:r>
              <w:rPr>
                <w:rFonts w:ascii="Arial" w:eastAsia="宋体" w:hAnsi="Arial" w:cs="Arial"/>
                <w:color w:val="000000"/>
                <w:sz w:val="16"/>
                <w:szCs w:val="16"/>
              </w:rPr>
              <w:t>325 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A2" w14:textId="77777777" w:rsidR="009C6E2F" w:rsidRDefault="009C6E2F">
            <w:pPr>
              <w:jc w:val="right"/>
              <w:rPr>
                <w:rFonts w:ascii="宋体"/>
              </w:rPr>
            </w:pPr>
          </w:p>
        </w:tc>
      </w:tr>
      <w:tr w:rsidR="009C6E2F" w14:paraId="2470C1B0"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A4" w14:textId="77777777" w:rsidR="009C6E2F" w:rsidRDefault="007972BE">
            <w:pPr>
              <w:textAlignment w:val="bottom"/>
            </w:pPr>
            <w:r>
              <w:rPr>
                <w:rFonts w:ascii="Arial" w:eastAsia="宋体" w:hAnsi="Arial" w:cs="Arial"/>
                <w:color w:val="000000"/>
                <w:sz w:val="16"/>
                <w:szCs w:val="16"/>
              </w:rPr>
              <w:t>Net income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5"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6"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7"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A"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A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AC" w14:textId="77777777" w:rsidR="009C6E2F" w:rsidRDefault="007972BE">
            <w:pPr>
              <w:jc w:val="right"/>
              <w:textAlignment w:val="bottom"/>
            </w:pPr>
            <w:r>
              <w:rPr>
                <w:rFonts w:ascii="Arial" w:eastAsia="宋体" w:hAnsi="Arial" w:cs="Arial"/>
                <w:color w:val="000000"/>
                <w:sz w:val="16"/>
                <w:szCs w:val="16"/>
              </w:rPr>
              <w:t>2,769 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A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AE" w14:textId="77777777" w:rsidR="009C6E2F" w:rsidRDefault="007972BE">
            <w:pPr>
              <w:jc w:val="right"/>
              <w:textAlignment w:val="bottom"/>
            </w:pPr>
            <w:r>
              <w:rPr>
                <w:rFonts w:ascii="Arial" w:eastAsia="宋体" w:hAnsi="Arial" w:cs="Arial"/>
                <w:color w:val="000000"/>
                <w:sz w:val="16"/>
                <w:szCs w:val="16"/>
              </w:rPr>
              <w:t>2,769 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AF" w14:textId="77777777" w:rsidR="009C6E2F" w:rsidRDefault="009C6E2F">
            <w:pPr>
              <w:jc w:val="right"/>
              <w:rPr>
                <w:rFonts w:ascii="宋体"/>
              </w:rPr>
            </w:pPr>
          </w:p>
        </w:tc>
      </w:tr>
      <w:tr w:rsidR="009C6E2F" w14:paraId="2470C1BD"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B1" w14:textId="77777777" w:rsidR="009C6E2F" w:rsidRDefault="007972BE">
            <w:pPr>
              <w:textAlignment w:val="bottom"/>
            </w:pPr>
            <w:r>
              <w:rPr>
                <w:rFonts w:ascii="Arial" w:eastAsia="宋体" w:hAnsi="Arial" w:cs="Arial"/>
                <w:color w:val="000000"/>
                <w:sz w:val="16"/>
                <w:szCs w:val="16"/>
              </w:rPr>
              <w:t>Other comprehensive income (loss)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B2"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B3"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B4"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B5"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B6"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B7"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B8" w14:textId="77777777" w:rsidR="009C6E2F" w:rsidRDefault="007972BE">
            <w:pPr>
              <w:jc w:val="right"/>
              <w:textAlignment w:val="bottom"/>
            </w:pPr>
            <w:r>
              <w:rPr>
                <w:rFonts w:ascii="Arial" w:eastAsia="宋体" w:hAnsi="Arial" w:cs="Arial"/>
                <w:color w:val="000000"/>
                <w:sz w:val="16"/>
                <w:szCs w:val="16"/>
              </w:rPr>
              <w:t>(373)</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B9"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1BA"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1BB" w14:textId="77777777" w:rsidR="009C6E2F" w:rsidRDefault="007972BE">
            <w:pPr>
              <w:jc w:val="right"/>
              <w:textAlignment w:val="bottom"/>
            </w:pPr>
            <w:r>
              <w:rPr>
                <w:rFonts w:ascii="Arial" w:eastAsia="宋体" w:hAnsi="Arial" w:cs="Arial"/>
                <w:color w:val="000000"/>
                <w:sz w:val="16"/>
                <w:szCs w:val="16"/>
              </w:rPr>
              <w:t>(373)</w:t>
            </w:r>
          </w:p>
        </w:tc>
        <w:tc>
          <w:tcPr>
            <w:tcW w:w="0" w:type="auto"/>
            <w:tcBorders>
              <w:top w:val="single" w:sz="4" w:space="0" w:color="808080"/>
            </w:tcBorders>
            <w:shd w:val="clear" w:color="auto" w:fill="auto"/>
            <w:tcMar>
              <w:top w:w="40" w:type="dxa"/>
              <w:left w:w="0" w:type="dxa"/>
              <w:bottom w:w="40" w:type="dxa"/>
              <w:right w:w="20" w:type="dxa"/>
            </w:tcMar>
            <w:vAlign w:val="bottom"/>
          </w:tcPr>
          <w:p w14:paraId="2470C1BC" w14:textId="77777777" w:rsidR="009C6E2F" w:rsidRDefault="009C6E2F">
            <w:pPr>
              <w:jc w:val="right"/>
              <w:rPr>
                <w:rFonts w:ascii="宋体"/>
              </w:rPr>
            </w:pPr>
          </w:p>
        </w:tc>
      </w:tr>
      <w:tr w:rsidR="009C6E2F" w14:paraId="2470C1D6"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1BE" w14:textId="77777777" w:rsidR="009C6E2F" w:rsidRDefault="007972BE">
            <w:pPr>
              <w:textAlignment w:val="bottom"/>
            </w:pPr>
            <w:r>
              <w:rPr>
                <w:rFonts w:ascii="Arial" w:eastAsia="宋体" w:hAnsi="Arial" w:cs="Arial"/>
                <w:b/>
                <w:bCs/>
                <w:color w:val="000000"/>
                <w:sz w:val="16"/>
                <w:szCs w:val="16"/>
              </w:rPr>
              <w:t>Balance at November 30, 2020</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BF" w14:textId="77777777" w:rsidR="009C6E2F" w:rsidRDefault="007972BE">
            <w:pPr>
              <w:jc w:val="right"/>
              <w:textAlignment w:val="bottom"/>
            </w:pPr>
            <w:r>
              <w:rPr>
                <w:rFonts w:ascii="Arial" w:eastAsia="宋体" w:hAnsi="Arial" w:cs="Arial"/>
                <w:b/>
                <w:bCs/>
                <w:color w:val="000000"/>
                <w:sz w:val="16"/>
                <w:szCs w:val="16"/>
              </w:rPr>
              <w:t>305</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C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C1"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1C2" w14:textId="77777777" w:rsidR="009C6E2F" w:rsidRDefault="007972BE">
            <w:pPr>
              <w:jc w:val="right"/>
              <w:textAlignment w:val="bottom"/>
            </w:pPr>
            <w:r>
              <w:rPr>
                <w:rFonts w:ascii="Arial" w:eastAsia="宋体" w:hAnsi="Arial" w:cs="Arial"/>
                <w:b/>
                <w:bCs/>
                <w:color w:val="000000"/>
                <w:sz w:val="16"/>
                <w:szCs w:val="16"/>
              </w:rPr>
              <w:t>—</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C3"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1C4" w14:textId="77777777" w:rsidR="009C6E2F" w:rsidRDefault="009C6E2F">
            <w:pPr>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C5" w14:textId="77777777" w:rsidR="009C6E2F" w:rsidRDefault="007972BE">
            <w:pPr>
              <w:jc w:val="right"/>
              <w:textAlignment w:val="bottom"/>
            </w:pPr>
            <w:r>
              <w:rPr>
                <w:rFonts w:ascii="Arial" w:eastAsia="宋体" w:hAnsi="Arial" w:cs="Arial"/>
                <w:b/>
                <w:bCs/>
                <w:color w:val="000000"/>
                <w:sz w:val="16"/>
                <w:szCs w:val="16"/>
              </w:rPr>
              <w:t>1,270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C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C7"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1C8" w14:textId="77777777" w:rsidR="009C6E2F" w:rsidRDefault="007972BE">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C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CA"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1CB" w14:textId="77777777" w:rsidR="009C6E2F" w:rsidRDefault="007972BE">
            <w:pPr>
              <w:jc w:val="right"/>
              <w:textAlignment w:val="bottom"/>
            </w:pPr>
            <w:r>
              <w:rPr>
                <w:rFonts w:ascii="Arial" w:eastAsia="宋体" w:hAnsi="Arial" w:cs="Arial"/>
                <w:b/>
                <w:bCs/>
                <w:color w:val="000000"/>
                <w:sz w:val="16"/>
                <w:szCs w:val="16"/>
              </w:rPr>
              <w:t>9,336</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C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CD"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1CE" w14:textId="77777777" w:rsidR="009C6E2F" w:rsidRDefault="007972BE">
            <w:pPr>
              <w:jc w:val="right"/>
              <w:textAlignment w:val="bottom"/>
            </w:pPr>
            <w:r>
              <w:rPr>
                <w:rFonts w:ascii="Arial" w:eastAsia="宋体" w:hAnsi="Arial" w:cs="Arial"/>
                <w:b/>
                <w:bCs/>
                <w:color w:val="000000"/>
                <w:sz w:val="16"/>
                <w:szCs w:val="16"/>
              </w:rPr>
              <w:t>(429)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C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D0"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1D1" w14:textId="77777777" w:rsidR="009C6E2F" w:rsidRDefault="007972BE">
            <w:pPr>
              <w:jc w:val="right"/>
              <w:textAlignment w:val="bottom"/>
            </w:pPr>
            <w:r>
              <w:rPr>
                <w:rFonts w:ascii="Arial" w:eastAsia="宋体" w:hAnsi="Arial" w:cs="Arial"/>
                <w:b/>
                <w:bCs/>
                <w:color w:val="000000"/>
                <w:sz w:val="16"/>
                <w:szCs w:val="16"/>
              </w:rPr>
              <w:t>1,730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D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1D3" w14:textId="77777777" w:rsidR="009C6E2F" w:rsidRDefault="007972BE">
            <w:pPr>
              <w:textAlignment w:val="bottom"/>
            </w:pPr>
            <w:r>
              <w:rPr>
                <w:rFonts w:ascii="Arial" w:eastAsia="宋体" w:hAnsi="Arial" w:cs="Arial"/>
                <w:b/>
                <w:bCs/>
                <w:color w:val="000000"/>
                <w:sz w:val="16"/>
                <w:szCs w:val="16"/>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1D4" w14:textId="77777777" w:rsidR="009C6E2F" w:rsidRDefault="007972BE">
            <w:pPr>
              <w:jc w:val="right"/>
              <w:textAlignment w:val="bottom"/>
            </w:pPr>
            <w:r>
              <w:rPr>
                <w:rFonts w:ascii="Arial" w:eastAsia="宋体" w:hAnsi="Arial" w:cs="Arial"/>
                <w:b/>
                <w:bCs/>
                <w:color w:val="000000"/>
                <w:sz w:val="16"/>
                <w:szCs w:val="16"/>
              </w:rPr>
              <w:t>10,640</w:t>
            </w:r>
            <w:r>
              <w:rPr>
                <w:rFonts w:ascii="Arial" w:eastAsia="宋体" w:hAnsi="Arial" w:cs="Arial"/>
                <w:color w:val="000000"/>
                <w:sz w:val="16"/>
                <w:szCs w:val="16"/>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1D5" w14:textId="77777777" w:rsidR="009C6E2F" w:rsidRDefault="009C6E2F">
            <w:pPr>
              <w:jc w:val="right"/>
              <w:rPr>
                <w:rFonts w:ascii="宋体"/>
              </w:rPr>
            </w:pPr>
          </w:p>
        </w:tc>
      </w:tr>
    </w:tbl>
    <w:p w14:paraId="2470C1D7" w14:textId="77777777" w:rsidR="009C6E2F" w:rsidRDefault="007972BE">
      <w:pPr>
        <w:spacing w:before="10" w:after="120"/>
      </w:pPr>
      <w:r>
        <w:rPr>
          <w:rFonts w:ascii="Arial" w:eastAsia="宋体" w:hAnsi="Arial" w:cs="Arial"/>
          <w:i/>
          <w:iCs/>
          <w:color w:val="000000"/>
          <w:sz w:val="17"/>
          <w:szCs w:val="17"/>
        </w:rPr>
        <w:t>The accompanying Notes to the Unaudited Condensed Consolidated Financial Statements are an integral part of this statement.</w:t>
      </w:r>
    </w:p>
    <w:p w14:paraId="2470C1D8" w14:textId="77777777" w:rsidR="009C6E2F" w:rsidRDefault="007972BE">
      <w:pPr>
        <w:spacing w:before="120" w:after="120"/>
      </w:pPr>
      <w:r>
        <w:rPr>
          <w:rFonts w:ascii="Arial" w:eastAsia="宋体" w:hAnsi="Arial" w:cs="Arial"/>
          <w:color w:val="E87722"/>
          <w:sz w:val="17"/>
          <w:szCs w:val="17"/>
        </w:rPr>
        <w:t>6</w:t>
      </w:r>
      <w:r>
        <w:rPr>
          <w:rFonts w:ascii="sans-serif" w:eastAsia="sans-serif" w:hAnsi="sans-serif" w:cs="sans-serif"/>
          <w:color w:val="000000"/>
          <w:sz w:val="17"/>
          <w:szCs w:val="17"/>
        </w:rPr>
        <w:t xml:space="preserve"> </w:t>
      </w:r>
    </w:p>
    <w:p w14:paraId="2470C1D9" w14:textId="77777777" w:rsidR="009C6E2F" w:rsidRDefault="007972BE">
      <w:r>
        <w:pict w14:anchorId="2470E1EB">
          <v:rect id="_x0000_i1032" style="width:415.3pt;height:1.5pt" o:hralign="center" o:hrstd="t" o:hr="t" fillcolor="#a0a0a0" stroked="f"/>
        </w:pict>
      </w:r>
    </w:p>
    <w:p w14:paraId="2470C1DA" w14:textId="77777777" w:rsidR="009C6E2F" w:rsidRDefault="009C6E2F"/>
    <w:p w14:paraId="2470C1DB" w14:textId="77777777" w:rsidR="009C6E2F" w:rsidRDefault="007972BE">
      <w:hyperlink r:id="rId49" w:anchor="i9e023a7388204bdbacd6aa338988f838_7" w:history="1">
        <w:r>
          <w:rPr>
            <w:rStyle w:val="a5"/>
            <w:rFonts w:ascii="sans-serif" w:eastAsia="sans-serif" w:hAnsi="sans-serif" w:cs="sans-serif"/>
            <w:sz w:val="17"/>
            <w:szCs w:val="17"/>
          </w:rPr>
          <w:t>Table of Contents</w:t>
        </w:r>
      </w:hyperlink>
    </w:p>
    <w:p w14:paraId="2470C1DC" w14:textId="77777777" w:rsidR="009C6E2F" w:rsidRDefault="009C6E2F"/>
    <w:p w14:paraId="2470C1DD" w14:textId="77777777" w:rsidR="009C6E2F" w:rsidRDefault="007972BE">
      <w:pPr>
        <w:spacing w:before="360" w:after="180"/>
      </w:pPr>
      <w:r>
        <w:rPr>
          <w:rFonts w:ascii="sans-serif" w:eastAsia="sans-serif" w:hAnsi="sans-serif" w:cs="sans-serif"/>
          <w:color w:val="000000"/>
          <w:sz w:val="44"/>
          <w:szCs w:val="44"/>
        </w:rPr>
        <w:t>NOTES TO THE UNAUDITED CONDENSED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6895"/>
        <w:gridCol w:w="38"/>
        <w:gridCol w:w="69"/>
        <w:gridCol w:w="356"/>
        <w:gridCol w:w="36"/>
      </w:tblGrid>
      <w:tr w:rsidR="009C6E2F" w14:paraId="2470C1E7" w14:textId="77777777">
        <w:tc>
          <w:tcPr>
            <w:tcW w:w="50" w:type="pct"/>
            <w:shd w:val="clear" w:color="auto" w:fill="auto"/>
            <w:vAlign w:val="bottom"/>
          </w:tcPr>
          <w:p w14:paraId="2470C1DE" w14:textId="77777777" w:rsidR="009C6E2F" w:rsidRDefault="009C6E2F">
            <w:pPr>
              <w:rPr>
                <w:rFonts w:ascii="宋体"/>
              </w:rPr>
            </w:pPr>
          </w:p>
        </w:tc>
        <w:tc>
          <w:tcPr>
            <w:tcW w:w="469" w:type="pct"/>
            <w:shd w:val="clear" w:color="auto" w:fill="auto"/>
            <w:vAlign w:val="bottom"/>
          </w:tcPr>
          <w:p w14:paraId="2470C1DF" w14:textId="77777777" w:rsidR="009C6E2F" w:rsidRDefault="009C6E2F">
            <w:pPr>
              <w:rPr>
                <w:rFonts w:ascii="宋体"/>
              </w:rPr>
            </w:pPr>
          </w:p>
        </w:tc>
        <w:tc>
          <w:tcPr>
            <w:tcW w:w="5" w:type="pct"/>
            <w:shd w:val="clear" w:color="auto" w:fill="auto"/>
            <w:vAlign w:val="bottom"/>
          </w:tcPr>
          <w:p w14:paraId="2470C1E0" w14:textId="77777777" w:rsidR="009C6E2F" w:rsidRDefault="009C6E2F">
            <w:pPr>
              <w:rPr>
                <w:rFonts w:ascii="宋体"/>
              </w:rPr>
            </w:pPr>
          </w:p>
        </w:tc>
        <w:tc>
          <w:tcPr>
            <w:tcW w:w="50" w:type="pct"/>
            <w:shd w:val="clear" w:color="auto" w:fill="auto"/>
            <w:vAlign w:val="bottom"/>
          </w:tcPr>
          <w:p w14:paraId="2470C1E1" w14:textId="77777777" w:rsidR="009C6E2F" w:rsidRDefault="009C6E2F">
            <w:pPr>
              <w:rPr>
                <w:rFonts w:ascii="宋体"/>
              </w:rPr>
            </w:pPr>
          </w:p>
        </w:tc>
        <w:tc>
          <w:tcPr>
            <w:tcW w:w="4142" w:type="pct"/>
            <w:shd w:val="clear" w:color="auto" w:fill="auto"/>
            <w:vAlign w:val="bottom"/>
          </w:tcPr>
          <w:p w14:paraId="2470C1E2" w14:textId="77777777" w:rsidR="009C6E2F" w:rsidRDefault="009C6E2F">
            <w:pPr>
              <w:rPr>
                <w:rFonts w:ascii="宋体"/>
              </w:rPr>
            </w:pPr>
          </w:p>
        </w:tc>
        <w:tc>
          <w:tcPr>
            <w:tcW w:w="5" w:type="pct"/>
            <w:shd w:val="clear" w:color="auto" w:fill="auto"/>
            <w:vAlign w:val="bottom"/>
          </w:tcPr>
          <w:p w14:paraId="2470C1E3" w14:textId="77777777" w:rsidR="009C6E2F" w:rsidRDefault="009C6E2F">
            <w:pPr>
              <w:rPr>
                <w:rFonts w:ascii="宋体"/>
              </w:rPr>
            </w:pPr>
          </w:p>
        </w:tc>
        <w:tc>
          <w:tcPr>
            <w:tcW w:w="50" w:type="pct"/>
            <w:shd w:val="clear" w:color="auto" w:fill="auto"/>
            <w:vAlign w:val="bottom"/>
          </w:tcPr>
          <w:p w14:paraId="2470C1E4" w14:textId="77777777" w:rsidR="009C6E2F" w:rsidRDefault="009C6E2F">
            <w:pPr>
              <w:rPr>
                <w:rFonts w:ascii="宋体"/>
              </w:rPr>
            </w:pPr>
          </w:p>
        </w:tc>
        <w:tc>
          <w:tcPr>
            <w:tcW w:w="222" w:type="pct"/>
            <w:shd w:val="clear" w:color="auto" w:fill="auto"/>
            <w:vAlign w:val="bottom"/>
          </w:tcPr>
          <w:p w14:paraId="2470C1E5" w14:textId="77777777" w:rsidR="009C6E2F" w:rsidRDefault="009C6E2F">
            <w:pPr>
              <w:rPr>
                <w:rFonts w:ascii="宋体"/>
              </w:rPr>
            </w:pPr>
          </w:p>
        </w:tc>
        <w:tc>
          <w:tcPr>
            <w:tcW w:w="5" w:type="pct"/>
            <w:shd w:val="clear" w:color="auto" w:fill="auto"/>
            <w:vAlign w:val="bottom"/>
          </w:tcPr>
          <w:p w14:paraId="2470C1E6" w14:textId="77777777" w:rsidR="009C6E2F" w:rsidRDefault="009C6E2F">
            <w:pPr>
              <w:rPr>
                <w:rFonts w:ascii="宋体"/>
              </w:rPr>
            </w:pPr>
          </w:p>
        </w:tc>
      </w:tr>
      <w:tr w:rsidR="009C6E2F" w14:paraId="2470C1E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1E8" w14:textId="77777777" w:rsidR="009C6E2F" w:rsidRDefault="007972BE">
            <w:pPr>
              <w:textAlignment w:val="bottom"/>
            </w:pPr>
            <w:r>
              <w:rPr>
                <w:rFonts w:ascii="Arial" w:eastAsia="宋体" w:hAnsi="Arial" w:cs="Arial"/>
                <w:b/>
                <w:bCs/>
                <w:color w:val="000000"/>
                <w:sz w:val="17"/>
                <w:szCs w:val="17"/>
              </w:rPr>
              <w:t>Note 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1E9"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0" w:anchor="i9e023a7388204bdbacd6aa338988f838_34" w:history="1">
              <w:r>
                <w:rPr>
                  <w:rStyle w:val="a5"/>
                  <w:rFonts w:ascii="Arial" w:eastAsia="宋体" w:hAnsi="Arial" w:cs="Arial"/>
                  <w:color w:val="000000"/>
                  <w:sz w:val="17"/>
                  <w:szCs w:val="17"/>
                  <w:u w:val="none"/>
                </w:rPr>
                <w:t>Summary of Significant Accounting Policies</w:t>
              </w:r>
            </w:hyperlink>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1EA"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1" w:anchor="i9e023a7388204bdbacd6aa338988f838_34" w:history="1">
              <w:r>
                <w:rPr>
                  <w:rStyle w:val="a5"/>
                  <w:rFonts w:ascii="Arial" w:eastAsia="宋体" w:hAnsi="Arial" w:cs="Arial"/>
                  <w:color w:val="000000"/>
                  <w:sz w:val="17"/>
                  <w:szCs w:val="17"/>
                  <w:u w:val="none"/>
                </w:rPr>
                <w:t>8</w:t>
              </w:r>
            </w:hyperlink>
          </w:p>
        </w:tc>
      </w:tr>
      <w:tr w:rsidR="009C6E2F" w14:paraId="2470C1E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EC" w14:textId="77777777" w:rsidR="009C6E2F" w:rsidRDefault="007972BE">
            <w:pPr>
              <w:textAlignment w:val="bottom"/>
            </w:pPr>
            <w:r>
              <w:rPr>
                <w:rFonts w:ascii="Arial" w:eastAsia="宋体" w:hAnsi="Arial" w:cs="Arial"/>
                <w:b/>
                <w:bCs/>
                <w:color w:val="000000"/>
                <w:sz w:val="17"/>
                <w:szCs w:val="17"/>
              </w:rPr>
              <w:t>Note 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ED"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2" w:anchor="i9e023a7388204bdbacd6aa338988f838_37" w:history="1">
              <w:r>
                <w:rPr>
                  <w:rStyle w:val="a5"/>
                  <w:rFonts w:ascii="Arial" w:eastAsia="宋体" w:hAnsi="Arial" w:cs="Arial"/>
                  <w:color w:val="000000"/>
                  <w:sz w:val="17"/>
                  <w:szCs w:val="17"/>
                  <w:u w:val="none"/>
                </w:rPr>
                <w:t>Inventories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EE"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3" w:anchor="i9e023a7388204bdbacd6aa338988f838_37" w:history="1">
              <w:r>
                <w:rPr>
                  <w:rStyle w:val="a5"/>
                  <w:rFonts w:ascii="Arial" w:eastAsia="宋体" w:hAnsi="Arial" w:cs="Arial"/>
                  <w:color w:val="000000"/>
                  <w:sz w:val="17"/>
                  <w:szCs w:val="17"/>
                  <w:u w:val="none"/>
                </w:rPr>
                <w:t>8</w:t>
              </w:r>
            </w:hyperlink>
          </w:p>
        </w:tc>
      </w:tr>
      <w:tr w:rsidR="009C6E2F" w14:paraId="2470C1F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0" w14:textId="77777777" w:rsidR="009C6E2F" w:rsidRDefault="007972BE">
            <w:pPr>
              <w:textAlignment w:val="bottom"/>
            </w:pPr>
            <w:r>
              <w:rPr>
                <w:rFonts w:ascii="Arial" w:eastAsia="宋体" w:hAnsi="Arial" w:cs="Arial"/>
                <w:b/>
                <w:bCs/>
                <w:color w:val="000000"/>
                <w:sz w:val="17"/>
                <w:szCs w:val="17"/>
              </w:rPr>
              <w:t>Note 3</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1"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4" w:anchor="i9e023a7388204bdbacd6aa338988f838_40" w:history="1">
              <w:r>
                <w:rPr>
                  <w:rStyle w:val="a5"/>
                  <w:rFonts w:ascii="Arial" w:eastAsia="宋体" w:hAnsi="Arial" w:cs="Arial"/>
                  <w:color w:val="000000"/>
                  <w:sz w:val="17"/>
                  <w:szCs w:val="17"/>
                  <w:u w:val="none"/>
                </w:rPr>
                <w:t>Accrued Liabilities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2"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5" w:anchor="i9e023a7388204bdbacd6aa338988f838_40" w:history="1">
              <w:r>
                <w:rPr>
                  <w:rStyle w:val="a5"/>
                  <w:rFonts w:ascii="Arial" w:eastAsia="宋体" w:hAnsi="Arial" w:cs="Arial"/>
                  <w:color w:val="000000"/>
                  <w:sz w:val="17"/>
                  <w:szCs w:val="17"/>
                  <w:u w:val="none"/>
                </w:rPr>
                <w:t>8</w:t>
              </w:r>
            </w:hyperlink>
          </w:p>
        </w:tc>
      </w:tr>
      <w:tr w:rsidR="009C6E2F" w14:paraId="2470C1F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4" w14:textId="77777777" w:rsidR="009C6E2F" w:rsidRDefault="007972BE">
            <w:pPr>
              <w:textAlignment w:val="bottom"/>
            </w:pPr>
            <w:r>
              <w:rPr>
                <w:rFonts w:ascii="Arial" w:eastAsia="宋体" w:hAnsi="Arial" w:cs="Arial"/>
                <w:b/>
                <w:bCs/>
                <w:color w:val="000000"/>
                <w:sz w:val="17"/>
                <w:szCs w:val="17"/>
              </w:rPr>
              <w:t>Note 4</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5"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6" w:anchor="i9e023a7388204bdbacd6aa338988f838_43" w:history="1">
              <w:r>
                <w:rPr>
                  <w:rStyle w:val="a5"/>
                  <w:rFonts w:ascii="Arial" w:eastAsia="宋体" w:hAnsi="Arial" w:cs="Arial"/>
                  <w:color w:val="000000"/>
                  <w:sz w:val="17"/>
                  <w:szCs w:val="17"/>
                  <w:u w:val="none"/>
                </w:rPr>
                <w:t>Fair Value Measurements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6"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7" w:anchor="i9e023a7388204bdbacd6aa338988f838_43" w:history="1">
              <w:r>
                <w:rPr>
                  <w:rStyle w:val="a5"/>
                  <w:rFonts w:ascii="Arial" w:eastAsia="宋体" w:hAnsi="Arial" w:cs="Arial"/>
                  <w:color w:val="000000"/>
                  <w:sz w:val="17"/>
                  <w:szCs w:val="17"/>
                  <w:u w:val="none"/>
                </w:rPr>
                <w:t>8</w:t>
              </w:r>
            </w:hyperlink>
          </w:p>
        </w:tc>
      </w:tr>
      <w:tr w:rsidR="009C6E2F" w14:paraId="2470C1F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8" w14:textId="77777777" w:rsidR="009C6E2F" w:rsidRDefault="007972BE">
            <w:pPr>
              <w:textAlignment w:val="bottom"/>
            </w:pPr>
            <w:r>
              <w:rPr>
                <w:rFonts w:ascii="Arial" w:eastAsia="宋体" w:hAnsi="Arial" w:cs="Arial"/>
                <w:b/>
                <w:bCs/>
                <w:color w:val="000000"/>
                <w:sz w:val="17"/>
                <w:szCs w:val="17"/>
              </w:rPr>
              <w:t>Note 5</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9"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8" w:anchor="i9e023a7388204bdbacd6aa338988f838_46" w:history="1">
              <w:r>
                <w:rPr>
                  <w:rStyle w:val="a5"/>
                  <w:rFonts w:ascii="Arial" w:eastAsia="宋体" w:hAnsi="Arial" w:cs="Arial"/>
                  <w:color w:val="000000"/>
                  <w:sz w:val="17"/>
                  <w:szCs w:val="17"/>
                  <w:u w:val="none"/>
                </w:rPr>
                <w:t>Income Taxes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A" w14:textId="77777777" w:rsidR="009C6E2F" w:rsidRDefault="007972BE">
            <w:pPr>
              <w:pBdr>
                <w:top w:val="none" w:sz="0" w:space="0" w:color="auto"/>
                <w:left w:val="none" w:sz="0" w:space="0" w:color="auto"/>
                <w:bottom w:val="none" w:sz="0" w:space="0" w:color="auto"/>
                <w:right w:val="none" w:sz="0" w:space="0" w:color="auto"/>
              </w:pBdr>
              <w:textAlignment w:val="bottom"/>
            </w:pPr>
            <w:hyperlink r:id="rId59" w:anchor="i9e023a7388204bdbacd6aa338988f838_46" w:history="1">
              <w:r>
                <w:rPr>
                  <w:rStyle w:val="a5"/>
                  <w:rFonts w:ascii="Arial" w:eastAsia="宋体" w:hAnsi="Arial" w:cs="Arial"/>
                  <w:color w:val="000000"/>
                  <w:sz w:val="17"/>
                  <w:szCs w:val="17"/>
                  <w:u w:val="none"/>
                </w:rPr>
                <w:t>10</w:t>
              </w:r>
            </w:hyperlink>
          </w:p>
        </w:tc>
      </w:tr>
      <w:tr w:rsidR="009C6E2F" w14:paraId="2470C1F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C" w14:textId="77777777" w:rsidR="009C6E2F" w:rsidRDefault="007972BE">
            <w:pPr>
              <w:textAlignment w:val="bottom"/>
            </w:pPr>
            <w:r>
              <w:rPr>
                <w:rFonts w:ascii="Arial" w:eastAsia="宋体" w:hAnsi="Arial" w:cs="Arial"/>
                <w:b/>
                <w:bCs/>
                <w:color w:val="000000"/>
                <w:sz w:val="17"/>
                <w:szCs w:val="17"/>
              </w:rPr>
              <w:t>Note 6</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D"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0" w:anchor="i9e023a7388204bdbacd6aa338988f838_49" w:history="1">
              <w:r>
                <w:rPr>
                  <w:rStyle w:val="a5"/>
                  <w:rFonts w:ascii="Arial" w:eastAsia="宋体" w:hAnsi="Arial" w:cs="Arial"/>
                  <w:color w:val="000000"/>
                  <w:sz w:val="17"/>
                  <w:szCs w:val="17"/>
                  <w:u w:val="none"/>
                </w:rPr>
                <w:t>Stock-Based Compensation</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1FE"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1" w:anchor="i9e023a7388204bdbacd6aa338988f838_49" w:history="1">
              <w:r>
                <w:rPr>
                  <w:rStyle w:val="a5"/>
                  <w:rFonts w:ascii="Arial" w:eastAsia="宋体" w:hAnsi="Arial" w:cs="Arial"/>
                  <w:color w:val="000000"/>
                  <w:sz w:val="17"/>
                  <w:szCs w:val="17"/>
                  <w:u w:val="none"/>
                </w:rPr>
                <w:t>11</w:t>
              </w:r>
            </w:hyperlink>
          </w:p>
        </w:tc>
      </w:tr>
      <w:tr w:rsidR="009C6E2F" w14:paraId="2470C20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0" w14:textId="77777777" w:rsidR="009C6E2F" w:rsidRDefault="007972BE">
            <w:pPr>
              <w:textAlignment w:val="bottom"/>
            </w:pPr>
            <w:r>
              <w:rPr>
                <w:rFonts w:ascii="Arial" w:eastAsia="宋体" w:hAnsi="Arial" w:cs="Arial"/>
                <w:b/>
                <w:bCs/>
                <w:color w:val="000000"/>
                <w:sz w:val="17"/>
                <w:szCs w:val="17"/>
              </w:rPr>
              <w:t>Note 7</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1"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2" w:anchor="i9e023a7388204bdbacd6aa338988f838_52" w:history="1">
              <w:r>
                <w:rPr>
                  <w:rStyle w:val="a5"/>
                  <w:rFonts w:ascii="Arial" w:eastAsia="宋体" w:hAnsi="Arial" w:cs="Arial"/>
                  <w:color w:val="000000"/>
                  <w:sz w:val="17"/>
                  <w:szCs w:val="17"/>
                  <w:u w:val="none"/>
                </w:rPr>
                <w:t>Earnings Per Share</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2"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3" w:anchor="i9e023a7388204bdbacd6aa338988f838_52" w:history="1">
              <w:r>
                <w:rPr>
                  <w:rStyle w:val="a5"/>
                  <w:rFonts w:ascii="Arial" w:eastAsia="宋体" w:hAnsi="Arial" w:cs="Arial"/>
                  <w:color w:val="000000"/>
                  <w:sz w:val="17"/>
                  <w:szCs w:val="17"/>
                  <w:u w:val="none"/>
                </w:rPr>
                <w:t>12</w:t>
              </w:r>
            </w:hyperlink>
          </w:p>
        </w:tc>
      </w:tr>
      <w:tr w:rsidR="009C6E2F" w14:paraId="2470C20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4" w14:textId="77777777" w:rsidR="009C6E2F" w:rsidRDefault="007972BE">
            <w:pPr>
              <w:textAlignment w:val="bottom"/>
            </w:pPr>
            <w:r>
              <w:rPr>
                <w:rFonts w:ascii="Arial" w:eastAsia="宋体" w:hAnsi="Arial" w:cs="Arial"/>
                <w:b/>
                <w:bCs/>
                <w:color w:val="000000"/>
                <w:sz w:val="17"/>
                <w:szCs w:val="17"/>
              </w:rPr>
              <w:t>Note 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5"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4" w:anchor="i9e023a7388204bdbacd6aa338988f838_55" w:history="1">
              <w:r>
                <w:rPr>
                  <w:rStyle w:val="a5"/>
                  <w:rFonts w:ascii="Arial" w:eastAsia="宋体" w:hAnsi="Arial" w:cs="Arial"/>
                  <w:color w:val="000000"/>
                  <w:sz w:val="17"/>
                  <w:szCs w:val="17"/>
                  <w:u w:val="none"/>
                </w:rPr>
                <w:t>Risk Management and Derivatives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6"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5" w:anchor="i9e023a7388204bdbacd6aa338988f838_55" w:history="1">
              <w:r>
                <w:rPr>
                  <w:rStyle w:val="a5"/>
                  <w:rFonts w:ascii="Arial" w:eastAsia="宋体" w:hAnsi="Arial" w:cs="Arial"/>
                  <w:color w:val="000000"/>
                  <w:sz w:val="17"/>
                  <w:szCs w:val="17"/>
                  <w:u w:val="none"/>
                </w:rPr>
                <w:t>12</w:t>
              </w:r>
            </w:hyperlink>
          </w:p>
        </w:tc>
      </w:tr>
      <w:tr w:rsidR="009C6E2F" w14:paraId="2470C20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8" w14:textId="77777777" w:rsidR="009C6E2F" w:rsidRDefault="007972BE">
            <w:pPr>
              <w:textAlignment w:val="bottom"/>
            </w:pPr>
            <w:r>
              <w:rPr>
                <w:rFonts w:ascii="Arial" w:eastAsia="宋体" w:hAnsi="Arial" w:cs="Arial"/>
                <w:b/>
                <w:bCs/>
                <w:color w:val="000000"/>
                <w:sz w:val="17"/>
                <w:szCs w:val="17"/>
              </w:rPr>
              <w:t>Note 9</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9"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6" w:anchor="i9e023a7388204bdbacd6aa338988f838_58" w:history="1">
              <w:r>
                <w:rPr>
                  <w:rStyle w:val="a5"/>
                  <w:rFonts w:ascii="Arial" w:eastAsia="宋体" w:hAnsi="Arial" w:cs="Arial"/>
                  <w:color w:val="000000"/>
                  <w:sz w:val="17"/>
                  <w:szCs w:val="17"/>
                  <w:u w:val="none"/>
                </w:rPr>
                <w:t>Accumulated Other Comprehensive Income (Loss)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A"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7" w:anchor="i9e023a7388204bdbacd6aa338988f838_58" w:history="1">
              <w:r>
                <w:rPr>
                  <w:rStyle w:val="a5"/>
                  <w:rFonts w:ascii="Arial" w:eastAsia="宋体" w:hAnsi="Arial" w:cs="Arial"/>
                  <w:color w:val="000000"/>
                  <w:sz w:val="17"/>
                  <w:szCs w:val="17"/>
                  <w:u w:val="none"/>
                </w:rPr>
                <w:t>17</w:t>
              </w:r>
            </w:hyperlink>
          </w:p>
        </w:tc>
      </w:tr>
      <w:tr w:rsidR="009C6E2F" w14:paraId="2470C20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C" w14:textId="77777777" w:rsidR="009C6E2F" w:rsidRDefault="007972BE">
            <w:pPr>
              <w:textAlignment w:val="bottom"/>
            </w:pPr>
            <w:r>
              <w:rPr>
                <w:rFonts w:ascii="Arial" w:eastAsia="宋体" w:hAnsi="Arial" w:cs="Arial"/>
                <w:b/>
                <w:bCs/>
                <w:color w:val="000000"/>
                <w:sz w:val="17"/>
                <w:szCs w:val="17"/>
              </w:rPr>
              <w:t>Note 10</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D"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8" w:anchor="i9e023a7388204bdbacd6aa338988f838_61" w:history="1">
              <w:r>
                <w:rPr>
                  <w:rStyle w:val="a5"/>
                  <w:rFonts w:ascii="Arial" w:eastAsia="宋体" w:hAnsi="Arial" w:cs="Arial"/>
                  <w:color w:val="000000"/>
                  <w:sz w:val="17"/>
                  <w:szCs w:val="17"/>
                  <w:u w:val="none"/>
                </w:rPr>
                <w:t>Revenues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0E" w14:textId="77777777" w:rsidR="009C6E2F" w:rsidRDefault="007972BE">
            <w:pPr>
              <w:pBdr>
                <w:top w:val="none" w:sz="0" w:space="0" w:color="auto"/>
                <w:left w:val="none" w:sz="0" w:space="0" w:color="auto"/>
                <w:bottom w:val="none" w:sz="0" w:space="0" w:color="auto"/>
                <w:right w:val="none" w:sz="0" w:space="0" w:color="auto"/>
              </w:pBdr>
              <w:textAlignment w:val="bottom"/>
            </w:pPr>
            <w:hyperlink r:id="rId69" w:anchor="i9e023a7388204bdbacd6aa338988f838_61" w:history="1">
              <w:r>
                <w:rPr>
                  <w:rStyle w:val="a5"/>
                  <w:rFonts w:ascii="Arial" w:eastAsia="宋体" w:hAnsi="Arial" w:cs="Arial"/>
                  <w:color w:val="000000"/>
                  <w:sz w:val="17"/>
                  <w:szCs w:val="17"/>
                  <w:u w:val="none"/>
                </w:rPr>
                <w:t>19</w:t>
              </w:r>
            </w:hyperlink>
          </w:p>
        </w:tc>
      </w:tr>
      <w:tr w:rsidR="009C6E2F" w14:paraId="2470C21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10" w14:textId="77777777" w:rsidR="009C6E2F" w:rsidRDefault="007972BE">
            <w:pPr>
              <w:textAlignment w:val="bottom"/>
            </w:pPr>
            <w:r>
              <w:rPr>
                <w:rFonts w:ascii="Arial" w:eastAsia="宋体" w:hAnsi="Arial" w:cs="Arial"/>
                <w:b/>
                <w:bCs/>
                <w:color w:val="000000"/>
                <w:sz w:val="17"/>
                <w:szCs w:val="17"/>
              </w:rPr>
              <w:t>Note 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11" w14:textId="77777777" w:rsidR="009C6E2F" w:rsidRDefault="007972BE">
            <w:pPr>
              <w:pBdr>
                <w:top w:val="none" w:sz="0" w:space="0" w:color="auto"/>
                <w:left w:val="none" w:sz="0" w:space="0" w:color="auto"/>
                <w:bottom w:val="none" w:sz="0" w:space="0" w:color="auto"/>
                <w:right w:val="none" w:sz="0" w:space="0" w:color="auto"/>
              </w:pBdr>
              <w:textAlignment w:val="bottom"/>
            </w:pPr>
            <w:hyperlink r:id="rId70" w:anchor="i9e023a7388204bdbacd6aa338988f838_64" w:history="1">
              <w:r>
                <w:rPr>
                  <w:rStyle w:val="a5"/>
                  <w:rFonts w:ascii="Arial" w:eastAsia="宋体" w:hAnsi="Arial" w:cs="Arial"/>
                  <w:color w:val="000000"/>
                  <w:sz w:val="17"/>
                  <w:szCs w:val="17"/>
                  <w:u w:val="none"/>
                </w:rPr>
                <w:t>Operating Segments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12" w14:textId="77777777" w:rsidR="009C6E2F" w:rsidRDefault="007972BE">
            <w:pPr>
              <w:pBdr>
                <w:top w:val="none" w:sz="0" w:space="0" w:color="auto"/>
                <w:left w:val="none" w:sz="0" w:space="0" w:color="auto"/>
                <w:bottom w:val="none" w:sz="0" w:space="0" w:color="auto"/>
                <w:right w:val="none" w:sz="0" w:space="0" w:color="auto"/>
              </w:pBdr>
              <w:textAlignment w:val="bottom"/>
            </w:pPr>
            <w:hyperlink r:id="rId71" w:anchor="i9e023a7388204bdbacd6aa338988f838_64" w:history="1">
              <w:r>
                <w:rPr>
                  <w:rStyle w:val="a5"/>
                  <w:rFonts w:ascii="Arial" w:eastAsia="宋体" w:hAnsi="Arial" w:cs="Arial"/>
                  <w:color w:val="000000"/>
                  <w:sz w:val="17"/>
                  <w:szCs w:val="17"/>
                  <w:u w:val="none"/>
                </w:rPr>
                <w:t>21</w:t>
              </w:r>
            </w:hyperlink>
          </w:p>
        </w:tc>
      </w:tr>
      <w:tr w:rsidR="009C6E2F" w14:paraId="2470C21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14" w14:textId="77777777" w:rsidR="009C6E2F" w:rsidRDefault="007972BE">
            <w:pPr>
              <w:textAlignment w:val="bottom"/>
            </w:pPr>
            <w:r>
              <w:rPr>
                <w:rFonts w:ascii="Arial" w:eastAsia="宋体" w:hAnsi="Arial" w:cs="Arial"/>
                <w:b/>
                <w:bCs/>
                <w:color w:val="000000"/>
                <w:sz w:val="17"/>
                <w:szCs w:val="17"/>
              </w:rPr>
              <w:t>Note</w:t>
            </w:r>
            <w:r>
              <w:rPr>
                <w:rFonts w:ascii="Arial" w:eastAsia="宋体" w:hAnsi="Arial" w:cs="Arial"/>
                <w:b/>
                <w:bCs/>
                <w:color w:val="000000"/>
                <w:sz w:val="17"/>
                <w:szCs w:val="17"/>
              </w:rPr>
              <w:t xml:space="preserve"> 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15" w14:textId="77777777" w:rsidR="009C6E2F" w:rsidRDefault="007972BE">
            <w:pPr>
              <w:pBdr>
                <w:top w:val="none" w:sz="0" w:space="0" w:color="auto"/>
                <w:left w:val="none" w:sz="0" w:space="0" w:color="auto"/>
                <w:bottom w:val="none" w:sz="0" w:space="0" w:color="auto"/>
                <w:right w:val="none" w:sz="0" w:space="0" w:color="auto"/>
              </w:pBdr>
              <w:textAlignment w:val="bottom"/>
            </w:pPr>
            <w:hyperlink r:id="rId72" w:anchor="i9e023a7388204bdbacd6aa338988f838_67" w:history="1">
              <w:r>
                <w:rPr>
                  <w:rStyle w:val="a5"/>
                  <w:rFonts w:ascii="Arial" w:eastAsia="宋体" w:hAnsi="Arial" w:cs="Arial"/>
                  <w:color w:val="000000"/>
                  <w:sz w:val="17"/>
                  <w:szCs w:val="17"/>
                  <w:u w:val="none"/>
                </w:rPr>
                <w:t>Acquisitions and Divestitures</w:t>
              </w:r>
            </w:hyperlink>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16" w14:textId="77777777" w:rsidR="009C6E2F" w:rsidRDefault="007972BE">
            <w:pPr>
              <w:pBdr>
                <w:top w:val="none" w:sz="0" w:space="0" w:color="auto"/>
                <w:left w:val="none" w:sz="0" w:space="0" w:color="auto"/>
                <w:bottom w:val="none" w:sz="0" w:space="0" w:color="auto"/>
                <w:right w:val="none" w:sz="0" w:space="0" w:color="auto"/>
              </w:pBdr>
              <w:textAlignment w:val="bottom"/>
            </w:pPr>
            <w:hyperlink r:id="rId73" w:anchor="i9e023a7388204bdbacd6aa338988f838_67" w:history="1">
              <w:r>
                <w:rPr>
                  <w:rStyle w:val="a5"/>
                  <w:rFonts w:ascii="Arial" w:eastAsia="宋体" w:hAnsi="Arial" w:cs="Arial"/>
                  <w:color w:val="000000"/>
                  <w:sz w:val="17"/>
                  <w:szCs w:val="17"/>
                  <w:u w:val="none"/>
                </w:rPr>
                <w:t>23</w:t>
              </w:r>
            </w:hyperlink>
          </w:p>
        </w:tc>
      </w:tr>
      <w:tr w:rsidR="009C6E2F" w14:paraId="2470C21B"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C218" w14:textId="77777777" w:rsidR="009C6E2F" w:rsidRDefault="007972BE">
            <w:pPr>
              <w:textAlignment w:val="bottom"/>
            </w:pPr>
            <w:r>
              <w:rPr>
                <w:rFonts w:ascii="Arial" w:eastAsia="宋体" w:hAnsi="Arial" w:cs="Arial"/>
                <w:b/>
                <w:bCs/>
                <w:color w:val="000000"/>
                <w:sz w:val="17"/>
                <w:szCs w:val="17"/>
              </w:rPr>
              <w:t>Note 13</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C219" w14:textId="77777777" w:rsidR="009C6E2F" w:rsidRDefault="007972BE">
            <w:pPr>
              <w:pBdr>
                <w:top w:val="none" w:sz="0" w:space="0" w:color="auto"/>
                <w:left w:val="none" w:sz="0" w:space="0" w:color="auto"/>
                <w:bottom w:val="none" w:sz="0" w:space="0" w:color="auto"/>
                <w:right w:val="none" w:sz="0" w:space="0" w:color="auto"/>
              </w:pBdr>
              <w:textAlignment w:val="bottom"/>
            </w:pPr>
            <w:hyperlink r:id="rId74" w:anchor="i9e023a7388204bdbacd6aa338988f838_73" w:history="1">
              <w:r>
                <w:rPr>
                  <w:rStyle w:val="a5"/>
                  <w:rFonts w:ascii="Arial" w:eastAsia="宋体" w:hAnsi="Arial" w:cs="Arial"/>
                  <w:color w:val="000000"/>
                  <w:sz w:val="17"/>
                  <w:szCs w:val="17"/>
                  <w:u w:val="none"/>
                </w:rPr>
                <w:t>Restructuring</w:t>
              </w:r>
            </w:hyperlink>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C21A" w14:textId="77777777" w:rsidR="009C6E2F" w:rsidRDefault="007972BE">
            <w:pPr>
              <w:pBdr>
                <w:top w:val="none" w:sz="0" w:space="0" w:color="auto"/>
                <w:left w:val="none" w:sz="0" w:space="0" w:color="auto"/>
                <w:bottom w:val="none" w:sz="0" w:space="0" w:color="auto"/>
                <w:right w:val="none" w:sz="0" w:space="0" w:color="auto"/>
              </w:pBdr>
              <w:textAlignment w:val="bottom"/>
            </w:pPr>
            <w:hyperlink r:id="rId75" w:anchor="i9e023a7388204bdbacd6aa338988f838_73" w:history="1">
              <w:r>
                <w:rPr>
                  <w:rStyle w:val="a5"/>
                  <w:rFonts w:ascii="Arial" w:eastAsia="宋体" w:hAnsi="Arial" w:cs="Arial"/>
                  <w:color w:val="000000"/>
                  <w:sz w:val="17"/>
                  <w:szCs w:val="17"/>
                  <w:u w:val="none"/>
                </w:rPr>
                <w:t>23</w:t>
              </w:r>
            </w:hyperlink>
          </w:p>
        </w:tc>
      </w:tr>
    </w:tbl>
    <w:p w14:paraId="2470C21C" w14:textId="77777777" w:rsidR="009C6E2F" w:rsidRDefault="007972BE">
      <w:pPr>
        <w:spacing w:before="120" w:after="120"/>
        <w:jc w:val="right"/>
      </w:pPr>
      <w:r>
        <w:rPr>
          <w:rFonts w:ascii="Arial" w:eastAsia="宋体" w:hAnsi="Arial" w:cs="Arial"/>
          <w:color w:val="E87722"/>
          <w:sz w:val="17"/>
          <w:szCs w:val="17"/>
        </w:rPr>
        <w:t>7</w:t>
      </w:r>
    </w:p>
    <w:p w14:paraId="2470C21D" w14:textId="77777777" w:rsidR="009C6E2F" w:rsidRDefault="007972BE">
      <w:r>
        <w:pict w14:anchorId="2470E1EC">
          <v:rect id="_x0000_i1033" style="width:415.3pt;height:1.5pt" o:hralign="center" o:hrstd="t" o:hr="t" fillcolor="#a0a0a0" stroked="f"/>
        </w:pict>
      </w:r>
    </w:p>
    <w:p w14:paraId="2470C21E" w14:textId="77777777" w:rsidR="009C6E2F" w:rsidRDefault="009C6E2F"/>
    <w:p w14:paraId="2470C21F" w14:textId="77777777" w:rsidR="009C6E2F" w:rsidRDefault="007972BE">
      <w:hyperlink r:id="rId76" w:anchor="i9e023a7388204bdbacd6aa338988f838_7" w:history="1">
        <w:r>
          <w:rPr>
            <w:rStyle w:val="a5"/>
            <w:rFonts w:ascii="sans-serif" w:eastAsia="sans-serif" w:hAnsi="sans-serif" w:cs="sans-serif"/>
            <w:sz w:val="17"/>
            <w:szCs w:val="17"/>
          </w:rPr>
          <w:t>Table of Contents</w:t>
        </w:r>
      </w:hyperlink>
    </w:p>
    <w:p w14:paraId="2470C220" w14:textId="77777777" w:rsidR="009C6E2F" w:rsidRDefault="009C6E2F"/>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224" w14:textId="77777777">
        <w:tc>
          <w:tcPr>
            <w:tcW w:w="50" w:type="pct"/>
            <w:shd w:val="clear" w:color="auto" w:fill="auto"/>
            <w:vAlign w:val="bottom"/>
          </w:tcPr>
          <w:p w14:paraId="2470C221" w14:textId="77777777" w:rsidR="009C6E2F" w:rsidRDefault="009C6E2F">
            <w:pPr>
              <w:rPr>
                <w:rFonts w:ascii="宋体"/>
              </w:rPr>
            </w:pPr>
          </w:p>
        </w:tc>
        <w:tc>
          <w:tcPr>
            <w:tcW w:w="4945" w:type="pct"/>
            <w:shd w:val="clear" w:color="auto" w:fill="auto"/>
            <w:vAlign w:val="bottom"/>
          </w:tcPr>
          <w:p w14:paraId="2470C222" w14:textId="77777777" w:rsidR="009C6E2F" w:rsidRDefault="009C6E2F">
            <w:pPr>
              <w:rPr>
                <w:rFonts w:ascii="宋体"/>
              </w:rPr>
            </w:pPr>
          </w:p>
        </w:tc>
        <w:tc>
          <w:tcPr>
            <w:tcW w:w="5" w:type="pct"/>
            <w:shd w:val="clear" w:color="auto" w:fill="auto"/>
            <w:vAlign w:val="bottom"/>
          </w:tcPr>
          <w:p w14:paraId="2470C223" w14:textId="77777777" w:rsidR="009C6E2F" w:rsidRDefault="009C6E2F">
            <w:pPr>
              <w:rPr>
                <w:rFonts w:ascii="宋体"/>
              </w:rPr>
            </w:pPr>
          </w:p>
        </w:tc>
      </w:tr>
      <w:tr w:rsidR="009C6E2F" w14:paraId="2470C226" w14:textId="77777777">
        <w:tc>
          <w:tcPr>
            <w:tcW w:w="0" w:type="auto"/>
            <w:gridSpan w:val="3"/>
            <w:shd w:val="clear" w:color="auto" w:fill="auto"/>
            <w:tcMar>
              <w:top w:w="40" w:type="dxa"/>
              <w:left w:w="20" w:type="dxa"/>
              <w:bottom w:w="40" w:type="dxa"/>
              <w:right w:w="20" w:type="dxa"/>
            </w:tcMar>
            <w:vAlign w:val="bottom"/>
          </w:tcPr>
          <w:p w14:paraId="2470C225" w14:textId="77777777" w:rsidR="009C6E2F" w:rsidRDefault="007972BE">
            <w:pPr>
              <w:textAlignment w:val="bottom"/>
            </w:pPr>
            <w:r>
              <w:rPr>
                <w:rFonts w:ascii="sans-serif" w:eastAsia="sans-serif" w:hAnsi="sans-serif" w:cs="sans-serif"/>
                <w:b/>
                <w:bCs/>
                <w:color w:val="E87722"/>
                <w:sz w:val="36"/>
                <w:szCs w:val="36"/>
              </w:rPr>
              <w:t>NOTE 1 — SUMMARY OF SIGNIFICANT ACCOUNTING POLICIES</w:t>
            </w:r>
          </w:p>
        </w:tc>
      </w:tr>
    </w:tbl>
    <w:p w14:paraId="2470C227" w14:textId="77777777" w:rsidR="009C6E2F" w:rsidRDefault="007972BE">
      <w:pPr>
        <w:spacing w:before="240" w:after="120"/>
      </w:pPr>
      <w:r>
        <w:rPr>
          <w:rFonts w:ascii="sans-serif" w:eastAsia="sans-serif" w:hAnsi="sans-serif" w:cs="sans-serif"/>
          <w:b/>
          <w:bCs/>
          <w:color w:val="000000"/>
          <w:sz w:val="28"/>
          <w:szCs w:val="28"/>
        </w:rPr>
        <w:t xml:space="preserve">BASIS OF </w:t>
      </w:r>
      <w:r>
        <w:rPr>
          <w:rFonts w:ascii="sans-serif" w:eastAsia="sans-serif" w:hAnsi="sans-serif" w:cs="sans-serif"/>
          <w:b/>
          <w:bCs/>
          <w:color w:val="000000"/>
          <w:sz w:val="28"/>
          <w:szCs w:val="28"/>
        </w:rPr>
        <w:t>PRESENTATION</w:t>
      </w:r>
    </w:p>
    <w:p w14:paraId="2470C228" w14:textId="77777777" w:rsidR="009C6E2F" w:rsidRDefault="007972BE">
      <w:pPr>
        <w:spacing w:before="120" w:after="120"/>
      </w:pPr>
      <w:r>
        <w:rPr>
          <w:rFonts w:ascii="Arial" w:eastAsia="宋体" w:hAnsi="Arial" w:cs="Arial"/>
          <w:color w:val="000000"/>
          <w:sz w:val="17"/>
          <w:szCs w:val="17"/>
        </w:rPr>
        <w:t>The Unaudited Condensed Consolidated Financial Statements include the accounts of NIKE, Inc. and its subsidiaries (the “Company” or “NIKE”) and reflect all normal recurring adjustments which are, in the opinion of management, necessary for a f</w:t>
      </w:r>
      <w:r>
        <w:rPr>
          <w:rFonts w:ascii="Arial" w:eastAsia="宋体" w:hAnsi="Arial" w:cs="Arial"/>
          <w:color w:val="000000"/>
          <w:sz w:val="17"/>
          <w:szCs w:val="17"/>
        </w:rPr>
        <w:t>air statement of the results of operations for the interim period. The year-end Condensed Consolidated Balance Sheet data as of May 31, 2021, was derived from audited financial statements, but does not include all disclosures required by accounting princip</w:t>
      </w:r>
      <w:r>
        <w:rPr>
          <w:rFonts w:ascii="Arial" w:eastAsia="宋体" w:hAnsi="Arial" w:cs="Arial"/>
          <w:color w:val="000000"/>
          <w:sz w:val="17"/>
          <w:szCs w:val="17"/>
        </w:rPr>
        <w:t>les generally accepted in the United States of America (“U.S. GAAP”). The interim financial information and notes thereto should be read in conjunction with the Company's latest Annual Report on Form 10-K for the fiscal year ended May 31, 2021. The results</w:t>
      </w:r>
      <w:r>
        <w:rPr>
          <w:rFonts w:ascii="Arial" w:eastAsia="宋体" w:hAnsi="Arial" w:cs="Arial"/>
          <w:color w:val="000000"/>
          <w:sz w:val="17"/>
          <w:szCs w:val="17"/>
        </w:rPr>
        <w:t xml:space="preserve"> of operations for the three and six months ended November 30, 2021, are not necessarily indicative of results to be expected for the entire fiscal year.</w:t>
      </w:r>
    </w:p>
    <w:p w14:paraId="2470C229" w14:textId="77777777" w:rsidR="009C6E2F" w:rsidRDefault="007972BE">
      <w:r>
        <w:rPr>
          <w:rFonts w:ascii="Arial" w:eastAsia="宋体" w:hAnsi="Arial" w:cs="Arial"/>
          <w:color w:val="000000"/>
          <w:sz w:val="17"/>
          <w:szCs w:val="17"/>
        </w:rPr>
        <w:t xml:space="preserve">The extent to which the evolving COVID-19 pandemic impacts the Company's financial statements depends </w:t>
      </w:r>
      <w:r>
        <w:rPr>
          <w:rFonts w:ascii="Arial" w:eastAsia="宋体" w:hAnsi="Arial" w:cs="Arial"/>
          <w:color w:val="000000"/>
          <w:sz w:val="17"/>
          <w:szCs w:val="17"/>
        </w:rPr>
        <w:t>on a number of factors, including the magnitude and duration of the pandemic. There have been and may continue to be developments outside of the Company's control, including new COVID-19 variants, that require the Company to make adjustments to its operati</w:t>
      </w:r>
      <w:r>
        <w:rPr>
          <w:rFonts w:ascii="Arial" w:eastAsia="宋体" w:hAnsi="Arial" w:cs="Arial"/>
          <w:color w:val="000000"/>
          <w:sz w:val="17"/>
          <w:szCs w:val="17"/>
        </w:rPr>
        <w:t xml:space="preserve">ng plan, such as store operating hours and the timeline to return to normal production volumes in factories impacted by COVID-19. Such developments and other potential impacts of COVID-19, such as new or prolonged factory closures, higher inventory levels </w:t>
      </w:r>
      <w:r>
        <w:rPr>
          <w:rFonts w:ascii="Arial" w:eastAsia="宋体" w:hAnsi="Arial" w:cs="Arial"/>
          <w:color w:val="000000"/>
          <w:sz w:val="17"/>
          <w:szCs w:val="17"/>
        </w:rPr>
        <w:t>or inventory shortages in various markets, other adverse impacts on the global supply chain, revised payment terms with certain of its wholesale customers, higher sales-related reserves, factory cancellation costs and a volatile effective tax rate driven b</w:t>
      </w:r>
      <w:r>
        <w:rPr>
          <w:rFonts w:ascii="Arial" w:eastAsia="宋体" w:hAnsi="Arial" w:cs="Arial"/>
          <w:color w:val="000000"/>
          <w:sz w:val="17"/>
          <w:szCs w:val="17"/>
        </w:rPr>
        <w:t>y changes in the mix of earnings across its jurisdictions, among other factors, could have material adverse impacts on the Company's revenue growth as well as its overall profitability in future periods. As a result of these circumstances, COVID-19 related</w:t>
      </w:r>
      <w:r>
        <w:rPr>
          <w:rFonts w:ascii="Arial" w:eastAsia="宋体" w:hAnsi="Arial" w:cs="Arial"/>
          <w:color w:val="000000"/>
          <w:sz w:val="17"/>
          <w:szCs w:val="17"/>
        </w:rPr>
        <w:t xml:space="preserve"> disruptions are making it more challenging to compare the Company's performance, including its revenue growth and overall profitability, across quarters and fiscal years, and the Company expects the operating environment will remain volatile as COVID-19 v</w:t>
      </w:r>
      <w:r>
        <w:rPr>
          <w:rFonts w:ascii="Arial" w:eastAsia="宋体" w:hAnsi="Arial" w:cs="Arial"/>
          <w:color w:val="000000"/>
          <w:sz w:val="17"/>
          <w:szCs w:val="17"/>
        </w:rPr>
        <w:t xml:space="preserve">ariants continue to cause disruption to operations.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22D" w14:textId="77777777">
        <w:tc>
          <w:tcPr>
            <w:tcW w:w="50" w:type="pct"/>
            <w:shd w:val="clear" w:color="auto" w:fill="auto"/>
            <w:vAlign w:val="bottom"/>
          </w:tcPr>
          <w:p w14:paraId="2470C22A" w14:textId="77777777" w:rsidR="009C6E2F" w:rsidRDefault="009C6E2F">
            <w:pPr>
              <w:rPr>
                <w:rFonts w:ascii="宋体"/>
              </w:rPr>
            </w:pPr>
          </w:p>
        </w:tc>
        <w:tc>
          <w:tcPr>
            <w:tcW w:w="4945" w:type="pct"/>
            <w:shd w:val="clear" w:color="auto" w:fill="auto"/>
            <w:vAlign w:val="bottom"/>
          </w:tcPr>
          <w:p w14:paraId="2470C22B" w14:textId="77777777" w:rsidR="009C6E2F" w:rsidRDefault="009C6E2F">
            <w:pPr>
              <w:rPr>
                <w:rFonts w:ascii="宋体"/>
              </w:rPr>
            </w:pPr>
          </w:p>
        </w:tc>
        <w:tc>
          <w:tcPr>
            <w:tcW w:w="5" w:type="pct"/>
            <w:shd w:val="clear" w:color="auto" w:fill="auto"/>
            <w:vAlign w:val="bottom"/>
          </w:tcPr>
          <w:p w14:paraId="2470C22C" w14:textId="77777777" w:rsidR="009C6E2F" w:rsidRDefault="009C6E2F">
            <w:pPr>
              <w:rPr>
                <w:rFonts w:ascii="宋体"/>
              </w:rPr>
            </w:pPr>
          </w:p>
        </w:tc>
      </w:tr>
      <w:tr w:rsidR="009C6E2F" w14:paraId="2470C22F" w14:textId="77777777">
        <w:tc>
          <w:tcPr>
            <w:tcW w:w="0" w:type="auto"/>
            <w:gridSpan w:val="3"/>
            <w:shd w:val="clear" w:color="auto" w:fill="auto"/>
            <w:tcMar>
              <w:top w:w="40" w:type="dxa"/>
              <w:left w:w="20" w:type="dxa"/>
              <w:bottom w:w="40" w:type="dxa"/>
              <w:right w:w="20" w:type="dxa"/>
            </w:tcMar>
            <w:vAlign w:val="bottom"/>
          </w:tcPr>
          <w:p w14:paraId="2470C22E" w14:textId="77777777" w:rsidR="009C6E2F" w:rsidRDefault="007972BE">
            <w:pPr>
              <w:textAlignment w:val="bottom"/>
            </w:pPr>
            <w:r>
              <w:rPr>
                <w:rFonts w:ascii="sans-serif" w:eastAsia="sans-serif" w:hAnsi="sans-serif" w:cs="sans-serif"/>
                <w:b/>
                <w:bCs/>
                <w:color w:val="E87722"/>
                <w:sz w:val="36"/>
                <w:szCs w:val="36"/>
              </w:rPr>
              <w:t>NOTE 2 — INVENTORIES</w:t>
            </w:r>
          </w:p>
        </w:tc>
      </w:tr>
    </w:tbl>
    <w:p w14:paraId="2470C230" w14:textId="77777777" w:rsidR="009C6E2F" w:rsidRDefault="007972BE">
      <w:pPr>
        <w:spacing w:before="120" w:after="120"/>
      </w:pPr>
      <w:r>
        <w:rPr>
          <w:rFonts w:ascii="Arial" w:eastAsia="宋体" w:hAnsi="Arial" w:cs="Arial"/>
          <w:color w:val="000000"/>
          <w:sz w:val="17"/>
          <w:szCs w:val="17"/>
        </w:rPr>
        <w:t>Inventory balances of $6,506 million and $6,854 million at November 30, 2021 and May 31, 2021, respectively, were substantially all finished goods.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234" w14:textId="77777777">
        <w:tc>
          <w:tcPr>
            <w:tcW w:w="50" w:type="pct"/>
            <w:shd w:val="clear" w:color="auto" w:fill="auto"/>
            <w:vAlign w:val="bottom"/>
          </w:tcPr>
          <w:p w14:paraId="2470C231" w14:textId="77777777" w:rsidR="009C6E2F" w:rsidRDefault="009C6E2F">
            <w:pPr>
              <w:rPr>
                <w:rFonts w:ascii="宋体"/>
              </w:rPr>
            </w:pPr>
          </w:p>
        </w:tc>
        <w:tc>
          <w:tcPr>
            <w:tcW w:w="4945" w:type="pct"/>
            <w:shd w:val="clear" w:color="auto" w:fill="auto"/>
            <w:vAlign w:val="bottom"/>
          </w:tcPr>
          <w:p w14:paraId="2470C232" w14:textId="77777777" w:rsidR="009C6E2F" w:rsidRDefault="009C6E2F">
            <w:pPr>
              <w:rPr>
                <w:rFonts w:ascii="宋体"/>
              </w:rPr>
            </w:pPr>
          </w:p>
        </w:tc>
        <w:tc>
          <w:tcPr>
            <w:tcW w:w="5" w:type="pct"/>
            <w:shd w:val="clear" w:color="auto" w:fill="auto"/>
            <w:vAlign w:val="bottom"/>
          </w:tcPr>
          <w:p w14:paraId="2470C233" w14:textId="77777777" w:rsidR="009C6E2F" w:rsidRDefault="009C6E2F">
            <w:pPr>
              <w:rPr>
                <w:rFonts w:ascii="宋体"/>
              </w:rPr>
            </w:pPr>
          </w:p>
        </w:tc>
      </w:tr>
      <w:tr w:rsidR="009C6E2F" w14:paraId="2470C236" w14:textId="77777777">
        <w:tc>
          <w:tcPr>
            <w:tcW w:w="0" w:type="auto"/>
            <w:gridSpan w:val="3"/>
            <w:shd w:val="clear" w:color="auto" w:fill="auto"/>
            <w:tcMar>
              <w:top w:w="40" w:type="dxa"/>
              <w:left w:w="20" w:type="dxa"/>
              <w:bottom w:w="40" w:type="dxa"/>
              <w:right w:w="20" w:type="dxa"/>
            </w:tcMar>
            <w:vAlign w:val="bottom"/>
          </w:tcPr>
          <w:p w14:paraId="2470C235" w14:textId="77777777" w:rsidR="009C6E2F" w:rsidRDefault="007972BE">
            <w:pPr>
              <w:textAlignment w:val="bottom"/>
            </w:pPr>
            <w:r>
              <w:rPr>
                <w:rFonts w:ascii="sans-serif" w:eastAsia="sans-serif" w:hAnsi="sans-serif" w:cs="sans-serif"/>
                <w:b/>
                <w:bCs/>
                <w:color w:val="E87722"/>
                <w:sz w:val="36"/>
                <w:szCs w:val="36"/>
              </w:rPr>
              <w:t xml:space="preserve">NOTE 3 — ACCRUED </w:t>
            </w:r>
            <w:r>
              <w:rPr>
                <w:rFonts w:ascii="sans-serif" w:eastAsia="sans-serif" w:hAnsi="sans-serif" w:cs="sans-serif"/>
                <w:b/>
                <w:bCs/>
                <w:color w:val="E87722"/>
                <w:sz w:val="36"/>
                <w:szCs w:val="36"/>
              </w:rPr>
              <w:t>LIABILITIES</w:t>
            </w:r>
          </w:p>
        </w:tc>
      </w:tr>
    </w:tbl>
    <w:p w14:paraId="2470C237" w14:textId="77777777" w:rsidR="009C6E2F" w:rsidRDefault="007972BE">
      <w:pPr>
        <w:spacing w:before="120" w:after="120"/>
      </w:pPr>
      <w:r>
        <w:rPr>
          <w:rFonts w:ascii="Arial" w:eastAsia="宋体" w:hAnsi="Arial" w:cs="Arial"/>
          <w:color w:val="000000"/>
          <w:sz w:val="17"/>
          <w:szCs w:val="17"/>
        </w:rPr>
        <w:t>Accrued liabilities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2"/>
        <w:gridCol w:w="6056"/>
        <w:gridCol w:w="37"/>
        <w:gridCol w:w="116"/>
        <w:gridCol w:w="909"/>
        <w:gridCol w:w="36"/>
        <w:gridCol w:w="36"/>
        <w:gridCol w:w="36"/>
        <w:gridCol w:w="36"/>
        <w:gridCol w:w="115"/>
        <w:gridCol w:w="881"/>
        <w:gridCol w:w="36"/>
      </w:tblGrid>
      <w:tr w:rsidR="009C6E2F" w14:paraId="2470C244" w14:textId="77777777">
        <w:tc>
          <w:tcPr>
            <w:tcW w:w="50" w:type="pct"/>
            <w:shd w:val="clear" w:color="auto" w:fill="auto"/>
            <w:vAlign w:val="bottom"/>
          </w:tcPr>
          <w:p w14:paraId="2470C238" w14:textId="77777777" w:rsidR="009C6E2F" w:rsidRDefault="009C6E2F">
            <w:pPr>
              <w:rPr>
                <w:rFonts w:ascii="宋体"/>
              </w:rPr>
            </w:pPr>
          </w:p>
        </w:tc>
        <w:tc>
          <w:tcPr>
            <w:tcW w:w="3656" w:type="pct"/>
            <w:shd w:val="clear" w:color="auto" w:fill="auto"/>
            <w:vAlign w:val="bottom"/>
          </w:tcPr>
          <w:p w14:paraId="2470C239" w14:textId="77777777" w:rsidR="009C6E2F" w:rsidRDefault="009C6E2F">
            <w:pPr>
              <w:rPr>
                <w:rFonts w:ascii="宋体"/>
              </w:rPr>
            </w:pPr>
          </w:p>
        </w:tc>
        <w:tc>
          <w:tcPr>
            <w:tcW w:w="5" w:type="pct"/>
            <w:shd w:val="clear" w:color="auto" w:fill="auto"/>
            <w:vAlign w:val="bottom"/>
          </w:tcPr>
          <w:p w14:paraId="2470C23A" w14:textId="77777777" w:rsidR="009C6E2F" w:rsidRDefault="009C6E2F">
            <w:pPr>
              <w:rPr>
                <w:rFonts w:ascii="宋体"/>
              </w:rPr>
            </w:pPr>
          </w:p>
        </w:tc>
        <w:tc>
          <w:tcPr>
            <w:tcW w:w="50" w:type="pct"/>
            <w:shd w:val="clear" w:color="auto" w:fill="auto"/>
            <w:vAlign w:val="bottom"/>
          </w:tcPr>
          <w:p w14:paraId="2470C23B" w14:textId="77777777" w:rsidR="009C6E2F" w:rsidRDefault="009C6E2F">
            <w:pPr>
              <w:rPr>
                <w:rFonts w:ascii="宋体"/>
              </w:rPr>
            </w:pPr>
          </w:p>
        </w:tc>
        <w:tc>
          <w:tcPr>
            <w:tcW w:w="570" w:type="pct"/>
            <w:shd w:val="clear" w:color="auto" w:fill="auto"/>
            <w:vAlign w:val="bottom"/>
          </w:tcPr>
          <w:p w14:paraId="2470C23C" w14:textId="77777777" w:rsidR="009C6E2F" w:rsidRDefault="009C6E2F">
            <w:pPr>
              <w:rPr>
                <w:rFonts w:ascii="宋体"/>
              </w:rPr>
            </w:pPr>
          </w:p>
        </w:tc>
        <w:tc>
          <w:tcPr>
            <w:tcW w:w="5" w:type="pct"/>
            <w:shd w:val="clear" w:color="auto" w:fill="auto"/>
            <w:vAlign w:val="bottom"/>
          </w:tcPr>
          <w:p w14:paraId="2470C23D" w14:textId="77777777" w:rsidR="009C6E2F" w:rsidRDefault="009C6E2F">
            <w:pPr>
              <w:rPr>
                <w:rFonts w:ascii="宋体"/>
              </w:rPr>
            </w:pPr>
          </w:p>
        </w:tc>
        <w:tc>
          <w:tcPr>
            <w:tcW w:w="5" w:type="pct"/>
            <w:shd w:val="clear" w:color="auto" w:fill="auto"/>
            <w:vAlign w:val="bottom"/>
          </w:tcPr>
          <w:p w14:paraId="2470C23E" w14:textId="77777777" w:rsidR="009C6E2F" w:rsidRDefault="009C6E2F">
            <w:pPr>
              <w:rPr>
                <w:rFonts w:ascii="宋体"/>
              </w:rPr>
            </w:pPr>
          </w:p>
        </w:tc>
        <w:tc>
          <w:tcPr>
            <w:tcW w:w="28" w:type="pct"/>
            <w:shd w:val="clear" w:color="auto" w:fill="auto"/>
            <w:vAlign w:val="bottom"/>
          </w:tcPr>
          <w:p w14:paraId="2470C23F" w14:textId="77777777" w:rsidR="009C6E2F" w:rsidRDefault="009C6E2F">
            <w:pPr>
              <w:rPr>
                <w:rFonts w:ascii="宋体"/>
              </w:rPr>
            </w:pPr>
          </w:p>
        </w:tc>
        <w:tc>
          <w:tcPr>
            <w:tcW w:w="5" w:type="pct"/>
            <w:shd w:val="clear" w:color="auto" w:fill="auto"/>
            <w:vAlign w:val="bottom"/>
          </w:tcPr>
          <w:p w14:paraId="2470C240" w14:textId="77777777" w:rsidR="009C6E2F" w:rsidRDefault="009C6E2F">
            <w:pPr>
              <w:rPr>
                <w:rFonts w:ascii="宋体"/>
              </w:rPr>
            </w:pPr>
          </w:p>
        </w:tc>
        <w:tc>
          <w:tcPr>
            <w:tcW w:w="50" w:type="pct"/>
            <w:shd w:val="clear" w:color="auto" w:fill="auto"/>
            <w:vAlign w:val="bottom"/>
          </w:tcPr>
          <w:p w14:paraId="2470C241" w14:textId="77777777" w:rsidR="009C6E2F" w:rsidRDefault="009C6E2F">
            <w:pPr>
              <w:rPr>
                <w:rFonts w:ascii="宋体"/>
              </w:rPr>
            </w:pPr>
          </w:p>
        </w:tc>
        <w:tc>
          <w:tcPr>
            <w:tcW w:w="570" w:type="pct"/>
            <w:shd w:val="clear" w:color="auto" w:fill="auto"/>
            <w:vAlign w:val="bottom"/>
          </w:tcPr>
          <w:p w14:paraId="2470C242" w14:textId="77777777" w:rsidR="009C6E2F" w:rsidRDefault="009C6E2F">
            <w:pPr>
              <w:rPr>
                <w:rFonts w:ascii="宋体"/>
              </w:rPr>
            </w:pPr>
          </w:p>
        </w:tc>
        <w:tc>
          <w:tcPr>
            <w:tcW w:w="5" w:type="pct"/>
            <w:shd w:val="clear" w:color="auto" w:fill="auto"/>
            <w:vAlign w:val="bottom"/>
          </w:tcPr>
          <w:p w14:paraId="2470C243" w14:textId="77777777" w:rsidR="009C6E2F" w:rsidRDefault="009C6E2F">
            <w:pPr>
              <w:rPr>
                <w:rFonts w:ascii="宋体"/>
              </w:rPr>
            </w:pPr>
          </w:p>
        </w:tc>
      </w:tr>
      <w:tr w:rsidR="009C6E2F" w14:paraId="2470C249" w14:textId="77777777">
        <w:tc>
          <w:tcPr>
            <w:tcW w:w="0" w:type="auto"/>
            <w:gridSpan w:val="3"/>
            <w:shd w:val="clear" w:color="auto" w:fill="auto"/>
            <w:tcMar>
              <w:top w:w="0" w:type="dxa"/>
              <w:left w:w="20" w:type="dxa"/>
              <w:bottom w:w="0" w:type="dxa"/>
              <w:right w:w="20" w:type="dxa"/>
            </w:tcMar>
            <w:vAlign w:val="bottom"/>
          </w:tcPr>
          <w:p w14:paraId="2470C245"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C246" w14:textId="77777777" w:rsidR="009C6E2F" w:rsidRDefault="007972BE">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470C247"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C248" w14:textId="77777777" w:rsidR="009C6E2F" w:rsidRDefault="007972BE">
            <w:pPr>
              <w:jc w:val="center"/>
              <w:textAlignment w:val="bottom"/>
            </w:pPr>
            <w:r>
              <w:rPr>
                <w:rFonts w:ascii="sans-serif" w:eastAsia="sans-serif" w:hAnsi="sans-serif" w:cs="sans-serif"/>
                <w:b/>
                <w:bCs/>
                <w:color w:val="000000"/>
                <w:sz w:val="17"/>
                <w:szCs w:val="17"/>
              </w:rPr>
              <w:t>MAY 31,</w:t>
            </w:r>
          </w:p>
        </w:tc>
      </w:tr>
      <w:tr w:rsidR="009C6E2F" w14:paraId="2470C24E" w14:textId="77777777">
        <w:tc>
          <w:tcPr>
            <w:tcW w:w="0" w:type="auto"/>
            <w:gridSpan w:val="3"/>
            <w:shd w:val="clear" w:color="auto" w:fill="auto"/>
            <w:tcMar>
              <w:top w:w="40" w:type="dxa"/>
              <w:left w:w="20" w:type="dxa"/>
              <w:bottom w:w="40" w:type="dxa"/>
              <w:right w:w="20" w:type="dxa"/>
            </w:tcMar>
            <w:vAlign w:val="bottom"/>
          </w:tcPr>
          <w:p w14:paraId="2470C24A" w14:textId="77777777" w:rsidR="009C6E2F" w:rsidRDefault="007972BE">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4B"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470C24C"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4D" w14:textId="77777777" w:rsidR="009C6E2F" w:rsidRDefault="007972BE">
            <w:pPr>
              <w:jc w:val="center"/>
              <w:textAlignment w:val="bottom"/>
            </w:pPr>
            <w:r>
              <w:rPr>
                <w:rFonts w:ascii="sans-serif" w:eastAsia="sans-serif" w:hAnsi="sans-serif" w:cs="sans-serif"/>
                <w:b/>
                <w:bCs/>
                <w:color w:val="000000"/>
                <w:sz w:val="17"/>
                <w:szCs w:val="17"/>
              </w:rPr>
              <w:t>2021</w:t>
            </w:r>
          </w:p>
        </w:tc>
      </w:tr>
      <w:tr w:rsidR="009C6E2F" w14:paraId="2470C25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4F" w14:textId="77777777" w:rsidR="009C6E2F" w:rsidRDefault="007972BE">
            <w:pPr>
              <w:textAlignment w:val="bottom"/>
            </w:pPr>
            <w:r>
              <w:rPr>
                <w:rFonts w:ascii="Arial" w:eastAsia="宋体" w:hAnsi="Arial" w:cs="Arial"/>
                <w:color w:val="000000"/>
                <w:sz w:val="17"/>
                <w:szCs w:val="17"/>
              </w:rPr>
              <w:t>Compensation and benefits, excluding taxes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250"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251" w14:textId="77777777" w:rsidR="009C6E2F" w:rsidRDefault="007972BE">
            <w:pPr>
              <w:jc w:val="right"/>
              <w:textAlignment w:val="bottom"/>
            </w:pPr>
            <w:r>
              <w:rPr>
                <w:rFonts w:ascii="Arial" w:eastAsia="宋体" w:hAnsi="Arial" w:cs="Arial"/>
                <w:color w:val="000000"/>
                <w:sz w:val="17"/>
                <w:szCs w:val="17"/>
              </w:rPr>
              <w:t>1,178 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252"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253"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254"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255" w14:textId="77777777" w:rsidR="009C6E2F" w:rsidRDefault="007972BE">
            <w:pPr>
              <w:jc w:val="right"/>
              <w:textAlignment w:val="bottom"/>
            </w:pPr>
            <w:r>
              <w:rPr>
                <w:rFonts w:ascii="Arial" w:eastAsia="宋体" w:hAnsi="Arial" w:cs="Arial"/>
                <w:color w:val="000000"/>
                <w:sz w:val="17"/>
                <w:szCs w:val="17"/>
              </w:rPr>
              <w:t>1,472 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256" w14:textId="77777777" w:rsidR="009C6E2F" w:rsidRDefault="009C6E2F">
            <w:pPr>
              <w:jc w:val="right"/>
              <w:rPr>
                <w:rFonts w:ascii="宋体"/>
              </w:rPr>
            </w:pPr>
          </w:p>
        </w:tc>
      </w:tr>
      <w:tr w:rsidR="009C6E2F" w14:paraId="2470C25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58" w14:textId="77777777" w:rsidR="009C6E2F" w:rsidRDefault="007972BE">
            <w:pPr>
              <w:textAlignment w:val="bottom"/>
            </w:pPr>
            <w:r>
              <w:rPr>
                <w:rFonts w:ascii="Arial" w:eastAsia="宋体" w:hAnsi="Arial" w:cs="Arial"/>
                <w:color w:val="000000"/>
                <w:sz w:val="17"/>
                <w:szCs w:val="17"/>
              </w:rPr>
              <w:t>Sales-related reserves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59" w14:textId="77777777" w:rsidR="009C6E2F" w:rsidRDefault="007972BE">
            <w:pPr>
              <w:jc w:val="right"/>
              <w:textAlignment w:val="bottom"/>
            </w:pPr>
            <w:r>
              <w:rPr>
                <w:rFonts w:ascii="Arial" w:eastAsia="宋体" w:hAnsi="Arial" w:cs="Arial"/>
                <w:color w:val="000000"/>
                <w:sz w:val="17"/>
                <w:szCs w:val="17"/>
              </w:rPr>
              <w:t>903 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5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25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25C" w14:textId="77777777" w:rsidR="009C6E2F" w:rsidRDefault="007972BE">
            <w:pPr>
              <w:jc w:val="right"/>
              <w:textAlignment w:val="bottom"/>
            </w:pPr>
            <w:r>
              <w:rPr>
                <w:rFonts w:ascii="Arial" w:eastAsia="宋体" w:hAnsi="Arial" w:cs="Arial"/>
                <w:color w:val="000000"/>
                <w:sz w:val="17"/>
                <w:szCs w:val="17"/>
              </w:rPr>
              <w:t>1,077 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25D" w14:textId="77777777" w:rsidR="009C6E2F" w:rsidRDefault="009C6E2F">
            <w:pPr>
              <w:jc w:val="right"/>
              <w:rPr>
                <w:rFonts w:ascii="宋体"/>
              </w:rPr>
            </w:pPr>
          </w:p>
        </w:tc>
      </w:tr>
      <w:tr w:rsidR="009C6E2F" w14:paraId="2470C26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5F" w14:textId="77777777" w:rsidR="009C6E2F" w:rsidRDefault="007972BE">
            <w:pPr>
              <w:textAlignment w:val="bottom"/>
            </w:pPr>
            <w:r>
              <w:rPr>
                <w:rFonts w:ascii="Arial" w:eastAsia="宋体" w:hAnsi="Arial" w:cs="Arial"/>
                <w:color w:val="000000"/>
                <w:sz w:val="17"/>
                <w:szCs w:val="17"/>
              </w:rPr>
              <w:t>Dividends payable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60" w14:textId="77777777" w:rsidR="009C6E2F" w:rsidRDefault="007972BE">
            <w:pPr>
              <w:jc w:val="right"/>
              <w:textAlignment w:val="bottom"/>
            </w:pPr>
            <w:r>
              <w:rPr>
                <w:rFonts w:ascii="Arial" w:eastAsia="宋体" w:hAnsi="Arial" w:cs="Arial"/>
                <w:color w:val="000000"/>
                <w:sz w:val="17"/>
                <w:szCs w:val="17"/>
              </w:rPr>
              <w:t>482 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6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262"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263" w14:textId="77777777" w:rsidR="009C6E2F" w:rsidRDefault="007972BE">
            <w:pPr>
              <w:jc w:val="right"/>
              <w:textAlignment w:val="bottom"/>
            </w:pPr>
            <w:r>
              <w:rPr>
                <w:rFonts w:ascii="Arial" w:eastAsia="宋体" w:hAnsi="Arial" w:cs="Arial"/>
                <w:color w:val="000000"/>
                <w:sz w:val="17"/>
                <w:szCs w:val="17"/>
              </w:rPr>
              <w:t>436 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264" w14:textId="77777777" w:rsidR="009C6E2F" w:rsidRDefault="009C6E2F">
            <w:pPr>
              <w:jc w:val="right"/>
              <w:rPr>
                <w:rFonts w:ascii="宋体"/>
              </w:rPr>
            </w:pPr>
          </w:p>
        </w:tc>
      </w:tr>
      <w:tr w:rsidR="009C6E2F" w14:paraId="2470C26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66"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Allowance for expected loss on sale</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67" w14:textId="77777777" w:rsidR="009C6E2F" w:rsidRDefault="007972BE">
            <w:pPr>
              <w:jc w:val="right"/>
              <w:textAlignment w:val="bottom"/>
            </w:pPr>
            <w:r>
              <w:rPr>
                <w:rFonts w:ascii="Arial" w:eastAsia="宋体" w:hAnsi="Arial" w:cs="Arial"/>
                <w:color w:val="000000"/>
                <w:sz w:val="17"/>
                <w:szCs w:val="17"/>
              </w:rPr>
              <w:t>344 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68"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269"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26A" w14:textId="77777777" w:rsidR="009C6E2F" w:rsidRDefault="007972BE">
            <w:pPr>
              <w:jc w:val="right"/>
              <w:textAlignment w:val="bottom"/>
            </w:pPr>
            <w:r>
              <w:rPr>
                <w:rFonts w:ascii="Arial" w:eastAsia="宋体" w:hAnsi="Arial" w:cs="Arial"/>
                <w:color w:val="000000"/>
                <w:sz w:val="17"/>
                <w:szCs w:val="17"/>
              </w:rPr>
              <w:t>358 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26B" w14:textId="77777777" w:rsidR="009C6E2F" w:rsidRDefault="009C6E2F">
            <w:pPr>
              <w:jc w:val="right"/>
              <w:rPr>
                <w:rFonts w:ascii="宋体"/>
              </w:rPr>
            </w:pPr>
          </w:p>
        </w:tc>
      </w:tr>
      <w:tr w:rsidR="009C6E2F" w14:paraId="2470C27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6D"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6E" w14:textId="77777777" w:rsidR="009C6E2F" w:rsidRDefault="007972BE">
            <w:pPr>
              <w:jc w:val="right"/>
              <w:textAlignment w:val="bottom"/>
            </w:pPr>
            <w:r>
              <w:rPr>
                <w:rFonts w:ascii="Arial" w:eastAsia="宋体" w:hAnsi="Arial" w:cs="Arial"/>
                <w:color w:val="000000"/>
                <w:sz w:val="17"/>
                <w:szCs w:val="17"/>
              </w:rPr>
              <w:t>2,524 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6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270"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271" w14:textId="77777777" w:rsidR="009C6E2F" w:rsidRDefault="007972BE">
            <w:pPr>
              <w:jc w:val="right"/>
              <w:textAlignment w:val="bottom"/>
            </w:pPr>
            <w:r>
              <w:rPr>
                <w:rFonts w:ascii="Arial" w:eastAsia="宋体" w:hAnsi="Arial" w:cs="Arial"/>
                <w:color w:val="000000"/>
                <w:sz w:val="17"/>
                <w:szCs w:val="17"/>
              </w:rPr>
              <w:t>2,720 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272" w14:textId="77777777" w:rsidR="009C6E2F" w:rsidRDefault="009C6E2F">
            <w:pPr>
              <w:jc w:val="right"/>
              <w:rPr>
                <w:rFonts w:ascii="宋体"/>
              </w:rPr>
            </w:pPr>
          </w:p>
        </w:tc>
      </w:tr>
      <w:tr w:rsidR="009C6E2F" w14:paraId="2470C27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274" w14:textId="77777777" w:rsidR="009C6E2F" w:rsidRDefault="007972BE">
            <w:pPr>
              <w:textAlignment w:val="bottom"/>
            </w:pPr>
            <w:r>
              <w:rPr>
                <w:rFonts w:ascii="Arial" w:eastAsia="宋体" w:hAnsi="Arial" w:cs="Arial"/>
                <w:b/>
                <w:bCs/>
                <w:color w:val="000000"/>
                <w:sz w:val="17"/>
                <w:szCs w:val="17"/>
              </w:rPr>
              <w:t>TOTAL ACCRUED LIABILITIES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27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276" w14:textId="77777777" w:rsidR="009C6E2F" w:rsidRDefault="007972BE">
            <w:pPr>
              <w:jc w:val="right"/>
              <w:textAlignment w:val="bottom"/>
            </w:pPr>
            <w:r>
              <w:rPr>
                <w:rFonts w:ascii="Arial" w:eastAsia="宋体" w:hAnsi="Arial" w:cs="Arial"/>
                <w:b/>
                <w:bCs/>
                <w:color w:val="000000"/>
                <w:sz w:val="17"/>
                <w:szCs w:val="17"/>
              </w:rPr>
              <w:t>5,431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277"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278"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27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27A" w14:textId="77777777" w:rsidR="009C6E2F" w:rsidRDefault="007972BE">
            <w:pPr>
              <w:jc w:val="right"/>
              <w:textAlignment w:val="bottom"/>
            </w:pPr>
            <w:r>
              <w:rPr>
                <w:rFonts w:ascii="Arial" w:eastAsia="宋体" w:hAnsi="Arial" w:cs="Arial"/>
                <w:b/>
                <w:bCs/>
                <w:color w:val="000000"/>
                <w:sz w:val="17"/>
                <w:szCs w:val="17"/>
              </w:rPr>
              <w:t>6,063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27B" w14:textId="77777777" w:rsidR="009C6E2F" w:rsidRDefault="009C6E2F">
            <w:pPr>
              <w:jc w:val="right"/>
              <w:rPr>
                <w:rFonts w:ascii="宋体"/>
              </w:rPr>
            </w:pPr>
          </w:p>
        </w:tc>
      </w:tr>
    </w:tbl>
    <w:p w14:paraId="2470C27D"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(1)Refer to Note 12 — Acquisitions and Divestitures for 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281" w14:textId="77777777">
        <w:tc>
          <w:tcPr>
            <w:tcW w:w="50" w:type="pct"/>
            <w:shd w:val="clear" w:color="auto" w:fill="auto"/>
            <w:vAlign w:val="bottom"/>
          </w:tcPr>
          <w:p w14:paraId="2470C27E" w14:textId="77777777" w:rsidR="009C6E2F" w:rsidRDefault="009C6E2F">
            <w:pPr>
              <w:rPr>
                <w:rFonts w:ascii="宋体"/>
              </w:rPr>
            </w:pPr>
          </w:p>
        </w:tc>
        <w:tc>
          <w:tcPr>
            <w:tcW w:w="4945" w:type="pct"/>
            <w:shd w:val="clear" w:color="auto" w:fill="auto"/>
            <w:vAlign w:val="bottom"/>
          </w:tcPr>
          <w:p w14:paraId="2470C27F" w14:textId="77777777" w:rsidR="009C6E2F" w:rsidRDefault="009C6E2F">
            <w:pPr>
              <w:rPr>
                <w:rFonts w:ascii="宋体"/>
              </w:rPr>
            </w:pPr>
          </w:p>
        </w:tc>
        <w:tc>
          <w:tcPr>
            <w:tcW w:w="5" w:type="pct"/>
            <w:shd w:val="clear" w:color="auto" w:fill="auto"/>
            <w:vAlign w:val="bottom"/>
          </w:tcPr>
          <w:p w14:paraId="2470C280" w14:textId="77777777" w:rsidR="009C6E2F" w:rsidRDefault="009C6E2F">
            <w:pPr>
              <w:rPr>
                <w:rFonts w:ascii="宋体"/>
              </w:rPr>
            </w:pPr>
          </w:p>
        </w:tc>
      </w:tr>
      <w:tr w:rsidR="009C6E2F" w14:paraId="2470C283" w14:textId="77777777">
        <w:tc>
          <w:tcPr>
            <w:tcW w:w="0" w:type="auto"/>
            <w:gridSpan w:val="3"/>
            <w:shd w:val="clear" w:color="auto" w:fill="auto"/>
            <w:tcMar>
              <w:top w:w="40" w:type="dxa"/>
              <w:left w:w="20" w:type="dxa"/>
              <w:bottom w:w="40" w:type="dxa"/>
              <w:right w:w="20" w:type="dxa"/>
            </w:tcMar>
            <w:vAlign w:val="bottom"/>
          </w:tcPr>
          <w:p w14:paraId="2470C282" w14:textId="77777777" w:rsidR="009C6E2F" w:rsidRDefault="007972BE">
            <w:pPr>
              <w:textAlignment w:val="bottom"/>
            </w:pPr>
            <w:r>
              <w:rPr>
                <w:rFonts w:ascii="sans-serif" w:eastAsia="sans-serif" w:hAnsi="sans-serif" w:cs="sans-serif"/>
                <w:b/>
                <w:bCs/>
                <w:color w:val="E87722"/>
                <w:sz w:val="36"/>
                <w:szCs w:val="36"/>
              </w:rPr>
              <w:t xml:space="preserve">NOTE 4 — FAIR VALUE </w:t>
            </w:r>
            <w:r>
              <w:rPr>
                <w:rFonts w:ascii="sans-serif" w:eastAsia="sans-serif" w:hAnsi="sans-serif" w:cs="sans-serif"/>
                <w:b/>
                <w:bCs/>
                <w:color w:val="E87722"/>
                <w:sz w:val="36"/>
                <w:szCs w:val="36"/>
              </w:rPr>
              <w:t>MEASUREMENTS</w:t>
            </w:r>
          </w:p>
        </w:tc>
      </w:tr>
    </w:tbl>
    <w:p w14:paraId="2470C284" w14:textId="77777777" w:rsidR="009C6E2F" w:rsidRDefault="007972BE">
      <w:pPr>
        <w:spacing w:before="120" w:after="120"/>
      </w:pPr>
      <w:r>
        <w:rPr>
          <w:rFonts w:ascii="Arial" w:eastAsia="宋体" w:hAnsi="Arial" w:cs="Arial"/>
          <w:color w:val="000000"/>
          <w:sz w:val="17"/>
          <w:szCs w:val="17"/>
        </w:rPr>
        <w:t>The Company measures certain financial assets and liabilities at fair value on a recurring basis, including derivatives, equity securities and available-for-sale debt securities. For additional information about the Company's fair value polic</w:t>
      </w:r>
      <w:r>
        <w:rPr>
          <w:rFonts w:ascii="Arial" w:eastAsia="宋体" w:hAnsi="Arial" w:cs="Arial"/>
          <w:color w:val="000000"/>
          <w:sz w:val="17"/>
          <w:szCs w:val="17"/>
        </w:rPr>
        <w:t>ies, refer to Note 1 — Summary of Significant Accounting Policies of the Annual Report on Form 10-K for the fiscal year ended May 31, 2021.</w:t>
      </w:r>
    </w:p>
    <w:p w14:paraId="2470C285" w14:textId="77777777" w:rsidR="009C6E2F" w:rsidRDefault="009C6E2F">
      <w:pPr>
        <w:spacing w:before="120" w:after="120"/>
      </w:pPr>
    </w:p>
    <w:p w14:paraId="2470C286" w14:textId="77777777" w:rsidR="009C6E2F" w:rsidRDefault="007972BE">
      <w:pPr>
        <w:spacing w:before="120" w:after="120"/>
      </w:pPr>
      <w:r>
        <w:rPr>
          <w:rFonts w:ascii="Arial" w:eastAsia="宋体" w:hAnsi="Arial" w:cs="Arial"/>
          <w:color w:val="E87722"/>
          <w:sz w:val="17"/>
          <w:szCs w:val="17"/>
        </w:rPr>
        <w:t>8</w:t>
      </w:r>
      <w:r>
        <w:rPr>
          <w:rFonts w:ascii="sans-serif" w:eastAsia="sans-serif" w:hAnsi="sans-serif" w:cs="sans-serif"/>
          <w:color w:val="000000"/>
          <w:sz w:val="17"/>
          <w:szCs w:val="17"/>
        </w:rPr>
        <w:t xml:space="preserve"> </w:t>
      </w:r>
    </w:p>
    <w:p w14:paraId="2470C287" w14:textId="77777777" w:rsidR="009C6E2F" w:rsidRDefault="007972BE">
      <w:r>
        <w:pict w14:anchorId="2470E1ED">
          <v:rect id="_x0000_i1034" style="width:415.3pt;height:1.5pt" o:hralign="center" o:hrstd="t" o:hr="t" fillcolor="#a0a0a0" stroked="f"/>
        </w:pict>
      </w:r>
    </w:p>
    <w:p w14:paraId="2470C288" w14:textId="77777777" w:rsidR="009C6E2F" w:rsidRDefault="009C6E2F"/>
    <w:p w14:paraId="2470C289" w14:textId="77777777" w:rsidR="009C6E2F" w:rsidRDefault="007972BE">
      <w:hyperlink r:id="rId77" w:anchor="i9e023a7388204bdbacd6aa338988f838_7" w:history="1">
        <w:r>
          <w:rPr>
            <w:rStyle w:val="a5"/>
            <w:rFonts w:ascii="sans-serif" w:eastAsia="sans-serif" w:hAnsi="sans-serif" w:cs="sans-serif"/>
            <w:sz w:val="17"/>
            <w:szCs w:val="17"/>
          </w:rPr>
          <w:t>Table of Contents</w:t>
        </w:r>
      </w:hyperlink>
    </w:p>
    <w:p w14:paraId="2470C28A" w14:textId="77777777" w:rsidR="009C6E2F" w:rsidRDefault="009C6E2F"/>
    <w:p w14:paraId="2470C28B" w14:textId="77777777" w:rsidR="009C6E2F" w:rsidRDefault="007972BE">
      <w:pPr>
        <w:spacing w:before="120" w:after="120"/>
      </w:pPr>
      <w:r>
        <w:rPr>
          <w:rFonts w:ascii="Arial" w:eastAsia="宋体" w:hAnsi="Arial" w:cs="Arial"/>
          <w:color w:val="000000"/>
          <w:sz w:val="17"/>
          <w:szCs w:val="17"/>
        </w:rPr>
        <w:t xml:space="preserve">The following tables present information about the Company's financial assets measured at fair value on a recurring basis as of November 30, 2021 and May 31, 2021, and indicate the level in </w:t>
      </w:r>
      <w:r>
        <w:rPr>
          <w:rFonts w:ascii="Arial" w:eastAsia="宋体" w:hAnsi="Arial" w:cs="Arial"/>
          <w:color w:val="000000"/>
          <w:sz w:val="17"/>
          <w:szCs w:val="17"/>
        </w:rPr>
        <w:t>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9C6E2F" w14:paraId="2470C298" w14:textId="77777777">
        <w:tc>
          <w:tcPr>
            <w:tcW w:w="50" w:type="pct"/>
            <w:shd w:val="clear" w:color="auto" w:fill="auto"/>
            <w:vAlign w:val="bottom"/>
          </w:tcPr>
          <w:p w14:paraId="2470C28C" w14:textId="77777777" w:rsidR="009C6E2F" w:rsidRDefault="009C6E2F">
            <w:pPr>
              <w:rPr>
                <w:rFonts w:ascii="宋体"/>
              </w:rPr>
            </w:pPr>
          </w:p>
        </w:tc>
        <w:tc>
          <w:tcPr>
            <w:tcW w:w="1962" w:type="pct"/>
            <w:shd w:val="clear" w:color="auto" w:fill="auto"/>
            <w:vAlign w:val="bottom"/>
          </w:tcPr>
          <w:p w14:paraId="2470C28D" w14:textId="77777777" w:rsidR="009C6E2F" w:rsidRDefault="009C6E2F">
            <w:pPr>
              <w:rPr>
                <w:rFonts w:ascii="宋体"/>
              </w:rPr>
            </w:pPr>
          </w:p>
        </w:tc>
        <w:tc>
          <w:tcPr>
            <w:tcW w:w="5" w:type="pct"/>
            <w:shd w:val="clear" w:color="auto" w:fill="auto"/>
            <w:vAlign w:val="bottom"/>
          </w:tcPr>
          <w:p w14:paraId="2470C28E" w14:textId="77777777" w:rsidR="009C6E2F" w:rsidRDefault="009C6E2F">
            <w:pPr>
              <w:rPr>
                <w:rFonts w:ascii="宋体"/>
              </w:rPr>
            </w:pPr>
          </w:p>
        </w:tc>
        <w:tc>
          <w:tcPr>
            <w:tcW w:w="50" w:type="pct"/>
            <w:shd w:val="clear" w:color="auto" w:fill="auto"/>
            <w:vAlign w:val="bottom"/>
          </w:tcPr>
          <w:p w14:paraId="2470C28F" w14:textId="77777777" w:rsidR="009C6E2F" w:rsidRDefault="009C6E2F">
            <w:pPr>
              <w:rPr>
                <w:rFonts w:ascii="宋体"/>
              </w:rPr>
            </w:pPr>
          </w:p>
        </w:tc>
        <w:tc>
          <w:tcPr>
            <w:tcW w:w="910" w:type="pct"/>
            <w:shd w:val="clear" w:color="auto" w:fill="auto"/>
            <w:vAlign w:val="bottom"/>
          </w:tcPr>
          <w:p w14:paraId="2470C290" w14:textId="77777777" w:rsidR="009C6E2F" w:rsidRDefault="009C6E2F">
            <w:pPr>
              <w:rPr>
                <w:rFonts w:ascii="宋体"/>
              </w:rPr>
            </w:pPr>
          </w:p>
        </w:tc>
        <w:tc>
          <w:tcPr>
            <w:tcW w:w="5" w:type="pct"/>
            <w:shd w:val="clear" w:color="auto" w:fill="auto"/>
            <w:vAlign w:val="bottom"/>
          </w:tcPr>
          <w:p w14:paraId="2470C291" w14:textId="77777777" w:rsidR="009C6E2F" w:rsidRDefault="009C6E2F">
            <w:pPr>
              <w:rPr>
                <w:rFonts w:ascii="宋体"/>
              </w:rPr>
            </w:pPr>
          </w:p>
        </w:tc>
        <w:tc>
          <w:tcPr>
            <w:tcW w:w="50" w:type="pct"/>
            <w:shd w:val="clear" w:color="auto" w:fill="auto"/>
            <w:vAlign w:val="bottom"/>
          </w:tcPr>
          <w:p w14:paraId="2470C292" w14:textId="77777777" w:rsidR="009C6E2F" w:rsidRDefault="009C6E2F">
            <w:pPr>
              <w:rPr>
                <w:rFonts w:ascii="宋体"/>
              </w:rPr>
            </w:pPr>
          </w:p>
        </w:tc>
        <w:tc>
          <w:tcPr>
            <w:tcW w:w="910" w:type="pct"/>
            <w:shd w:val="clear" w:color="auto" w:fill="auto"/>
            <w:vAlign w:val="bottom"/>
          </w:tcPr>
          <w:p w14:paraId="2470C293" w14:textId="77777777" w:rsidR="009C6E2F" w:rsidRDefault="009C6E2F">
            <w:pPr>
              <w:rPr>
                <w:rFonts w:ascii="宋体"/>
              </w:rPr>
            </w:pPr>
          </w:p>
        </w:tc>
        <w:tc>
          <w:tcPr>
            <w:tcW w:w="5" w:type="pct"/>
            <w:shd w:val="clear" w:color="auto" w:fill="auto"/>
            <w:vAlign w:val="bottom"/>
          </w:tcPr>
          <w:p w14:paraId="2470C294" w14:textId="77777777" w:rsidR="009C6E2F" w:rsidRDefault="009C6E2F">
            <w:pPr>
              <w:rPr>
                <w:rFonts w:ascii="宋体"/>
              </w:rPr>
            </w:pPr>
          </w:p>
        </w:tc>
        <w:tc>
          <w:tcPr>
            <w:tcW w:w="50" w:type="pct"/>
            <w:shd w:val="clear" w:color="auto" w:fill="auto"/>
            <w:vAlign w:val="bottom"/>
          </w:tcPr>
          <w:p w14:paraId="2470C295" w14:textId="77777777" w:rsidR="009C6E2F" w:rsidRDefault="009C6E2F">
            <w:pPr>
              <w:rPr>
                <w:rFonts w:ascii="宋体"/>
              </w:rPr>
            </w:pPr>
          </w:p>
        </w:tc>
        <w:tc>
          <w:tcPr>
            <w:tcW w:w="996" w:type="pct"/>
            <w:shd w:val="clear" w:color="auto" w:fill="auto"/>
            <w:vAlign w:val="bottom"/>
          </w:tcPr>
          <w:p w14:paraId="2470C296" w14:textId="77777777" w:rsidR="009C6E2F" w:rsidRDefault="009C6E2F">
            <w:pPr>
              <w:rPr>
                <w:rFonts w:ascii="宋体"/>
              </w:rPr>
            </w:pPr>
          </w:p>
        </w:tc>
        <w:tc>
          <w:tcPr>
            <w:tcW w:w="5" w:type="pct"/>
            <w:shd w:val="clear" w:color="auto" w:fill="auto"/>
            <w:vAlign w:val="bottom"/>
          </w:tcPr>
          <w:p w14:paraId="2470C297" w14:textId="77777777" w:rsidR="009C6E2F" w:rsidRDefault="009C6E2F">
            <w:pPr>
              <w:rPr>
                <w:rFonts w:ascii="宋体"/>
              </w:rPr>
            </w:pPr>
          </w:p>
        </w:tc>
      </w:tr>
      <w:tr w:rsidR="009C6E2F" w14:paraId="2470C29B" w14:textId="77777777">
        <w:tc>
          <w:tcPr>
            <w:tcW w:w="0" w:type="auto"/>
            <w:gridSpan w:val="3"/>
            <w:shd w:val="clear" w:color="auto" w:fill="auto"/>
            <w:tcMar>
              <w:top w:w="0" w:type="dxa"/>
              <w:left w:w="20" w:type="dxa"/>
              <w:bottom w:w="0" w:type="dxa"/>
              <w:right w:w="20" w:type="dxa"/>
            </w:tcMar>
            <w:vAlign w:val="bottom"/>
          </w:tcPr>
          <w:p w14:paraId="2470C299"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C29A" w14:textId="77777777" w:rsidR="009C6E2F" w:rsidRDefault="007972BE">
            <w:pPr>
              <w:jc w:val="center"/>
              <w:textAlignment w:val="bottom"/>
            </w:pPr>
            <w:r>
              <w:rPr>
                <w:rFonts w:ascii="sans-serif" w:eastAsia="sans-serif" w:hAnsi="sans-serif" w:cs="sans-serif"/>
                <w:b/>
                <w:bCs/>
                <w:color w:val="000000"/>
                <w:sz w:val="17"/>
                <w:szCs w:val="17"/>
              </w:rPr>
              <w:t>NOVEMBER 30, 2021</w:t>
            </w:r>
          </w:p>
        </w:tc>
      </w:tr>
      <w:tr w:rsidR="009C6E2F" w14:paraId="2470C2A0" w14:textId="77777777">
        <w:tc>
          <w:tcPr>
            <w:tcW w:w="0" w:type="auto"/>
            <w:gridSpan w:val="3"/>
            <w:shd w:val="clear" w:color="auto" w:fill="auto"/>
            <w:tcMar>
              <w:top w:w="40" w:type="dxa"/>
              <w:left w:w="20" w:type="dxa"/>
              <w:bottom w:w="40" w:type="dxa"/>
              <w:right w:w="20" w:type="dxa"/>
            </w:tcMar>
            <w:vAlign w:val="bottom"/>
          </w:tcPr>
          <w:p w14:paraId="2470C29C"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9D" w14:textId="77777777" w:rsidR="009C6E2F" w:rsidRDefault="007972BE">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9E" w14:textId="77777777" w:rsidR="009C6E2F" w:rsidRDefault="007972BE">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9F" w14:textId="77777777" w:rsidR="009C6E2F" w:rsidRDefault="007972BE">
            <w:pPr>
              <w:jc w:val="center"/>
              <w:textAlignment w:val="bottom"/>
            </w:pPr>
            <w:r>
              <w:rPr>
                <w:rFonts w:ascii="sans-serif" w:eastAsia="sans-serif" w:hAnsi="sans-serif" w:cs="sans-serif"/>
                <w:b/>
                <w:bCs/>
                <w:color w:val="000000"/>
                <w:sz w:val="17"/>
                <w:szCs w:val="17"/>
              </w:rPr>
              <w:t>SHORT-TERM INVESTMENTS</w:t>
            </w:r>
          </w:p>
        </w:tc>
      </w:tr>
      <w:tr w:rsidR="009C6E2F" w14:paraId="2470C2A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A1" w14:textId="77777777" w:rsidR="009C6E2F" w:rsidRDefault="007972BE">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2A2"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2A3" w14:textId="77777777" w:rsidR="009C6E2F" w:rsidRDefault="007972BE">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2A4"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2A5"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2A6" w14:textId="77777777" w:rsidR="009C6E2F" w:rsidRDefault="007972BE">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2A7"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2A8"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2A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2AA" w14:textId="77777777" w:rsidR="009C6E2F" w:rsidRDefault="009C6E2F">
            <w:pPr>
              <w:jc w:val="right"/>
              <w:rPr>
                <w:rFonts w:ascii="宋体"/>
              </w:rPr>
            </w:pPr>
          </w:p>
        </w:tc>
      </w:tr>
      <w:tr w:rsidR="009C6E2F" w14:paraId="2470C2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AC" w14:textId="77777777" w:rsidR="009C6E2F" w:rsidRDefault="007972BE">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2AD"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2AE"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2AF" w14:textId="77777777" w:rsidR="009C6E2F" w:rsidRDefault="009C6E2F">
            <w:pPr>
              <w:rPr>
                <w:rFonts w:ascii="宋体"/>
              </w:rPr>
            </w:pPr>
          </w:p>
        </w:tc>
      </w:tr>
      <w:tr w:rsidR="009C6E2F" w14:paraId="2470C2B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2B1" w14:textId="77777777" w:rsidR="009C6E2F" w:rsidRDefault="007972BE">
            <w:pPr>
              <w:textAlignment w:val="bottom"/>
            </w:pPr>
            <w:r>
              <w:rPr>
                <w:rFonts w:ascii="Arial" w:eastAsia="宋体" w:hAnsi="Arial" w:cs="Arial"/>
                <w:color w:val="000000"/>
                <w:sz w:val="17"/>
                <w:szCs w:val="17"/>
              </w:rPr>
              <w:t xml:space="preserve">U.S. </w:t>
            </w:r>
            <w:r>
              <w:rPr>
                <w:rFonts w:ascii="Arial" w:eastAsia="宋体" w:hAnsi="Arial" w:cs="Arial"/>
                <w:color w:val="000000"/>
                <w:sz w:val="17"/>
                <w:szCs w:val="17"/>
              </w:rPr>
              <w:t>Treasury securities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B2" w14:textId="77777777" w:rsidR="009C6E2F" w:rsidRDefault="007972BE">
            <w:pPr>
              <w:jc w:val="right"/>
              <w:textAlignment w:val="bottom"/>
            </w:pPr>
            <w:r>
              <w:rPr>
                <w:rFonts w:ascii="Arial" w:eastAsia="宋体" w:hAnsi="Arial" w:cs="Arial"/>
                <w:color w:val="000000"/>
                <w:sz w:val="17"/>
                <w:szCs w:val="17"/>
              </w:rPr>
              <w:t>3,878 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B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B4" w14:textId="77777777" w:rsidR="009C6E2F" w:rsidRDefault="007972BE">
            <w:pPr>
              <w:jc w:val="right"/>
              <w:textAlignment w:val="bottom"/>
            </w:pPr>
            <w:r>
              <w:rPr>
                <w:rFonts w:ascii="Arial" w:eastAsia="宋体" w:hAnsi="Arial" w:cs="Arial"/>
                <w:color w:val="000000"/>
                <w:sz w:val="17"/>
                <w:szCs w:val="17"/>
              </w:rPr>
              <w:t>224 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B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B6" w14:textId="77777777" w:rsidR="009C6E2F" w:rsidRDefault="007972BE">
            <w:pPr>
              <w:jc w:val="right"/>
              <w:textAlignment w:val="bottom"/>
            </w:pPr>
            <w:r>
              <w:rPr>
                <w:rFonts w:ascii="Arial" w:eastAsia="宋体" w:hAnsi="Arial" w:cs="Arial"/>
                <w:color w:val="000000"/>
                <w:sz w:val="17"/>
                <w:szCs w:val="17"/>
              </w:rPr>
              <w:t>3,654 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B7" w14:textId="77777777" w:rsidR="009C6E2F" w:rsidRDefault="009C6E2F">
            <w:pPr>
              <w:jc w:val="right"/>
              <w:rPr>
                <w:rFonts w:ascii="宋体"/>
              </w:rPr>
            </w:pPr>
          </w:p>
        </w:tc>
      </w:tr>
      <w:tr w:rsidR="009C6E2F" w14:paraId="2470C2B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2B9" w14:textId="77777777" w:rsidR="009C6E2F" w:rsidRDefault="007972BE">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2BA"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2BB"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2BC" w14:textId="77777777" w:rsidR="009C6E2F" w:rsidRDefault="009C6E2F">
            <w:pPr>
              <w:rPr>
                <w:rFonts w:ascii="宋体"/>
              </w:rPr>
            </w:pPr>
          </w:p>
        </w:tc>
      </w:tr>
      <w:tr w:rsidR="009C6E2F" w14:paraId="2470C2C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2BE" w14:textId="77777777" w:rsidR="009C6E2F" w:rsidRDefault="007972BE">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BF" w14:textId="77777777" w:rsidR="009C6E2F" w:rsidRDefault="007972BE">
            <w:pPr>
              <w:jc w:val="right"/>
              <w:textAlignment w:val="bottom"/>
            </w:pPr>
            <w:r>
              <w:rPr>
                <w:rFonts w:ascii="Arial" w:eastAsia="宋体" w:hAnsi="Arial" w:cs="Arial"/>
                <w:color w:val="000000"/>
                <w:sz w:val="17"/>
                <w:szCs w:val="17"/>
              </w:rPr>
              <w:t>738 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C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C1" w14:textId="77777777" w:rsidR="009C6E2F" w:rsidRDefault="007972BE">
            <w:pPr>
              <w:jc w:val="right"/>
              <w:textAlignment w:val="bottom"/>
            </w:pPr>
            <w:r>
              <w:rPr>
                <w:rFonts w:ascii="Arial" w:eastAsia="宋体" w:hAnsi="Arial" w:cs="Arial"/>
                <w:color w:val="000000"/>
                <w:sz w:val="17"/>
                <w:szCs w:val="17"/>
              </w:rPr>
              <w:t>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C2"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C3" w14:textId="77777777" w:rsidR="009C6E2F" w:rsidRDefault="007972BE">
            <w:pPr>
              <w:jc w:val="right"/>
              <w:textAlignment w:val="bottom"/>
            </w:pPr>
            <w:r>
              <w:rPr>
                <w:rFonts w:ascii="Arial" w:eastAsia="宋体" w:hAnsi="Arial" w:cs="Arial"/>
                <w:color w:val="000000"/>
                <w:sz w:val="17"/>
                <w:szCs w:val="17"/>
              </w:rPr>
              <w:t>694 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C4" w14:textId="77777777" w:rsidR="009C6E2F" w:rsidRDefault="009C6E2F">
            <w:pPr>
              <w:jc w:val="right"/>
              <w:rPr>
                <w:rFonts w:ascii="宋体"/>
              </w:rPr>
            </w:pPr>
          </w:p>
        </w:tc>
      </w:tr>
      <w:tr w:rsidR="009C6E2F" w14:paraId="2470C2C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2C6" w14:textId="77777777" w:rsidR="009C6E2F" w:rsidRDefault="007972BE">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C7" w14:textId="77777777" w:rsidR="009C6E2F" w:rsidRDefault="007972BE">
            <w:pPr>
              <w:jc w:val="right"/>
              <w:textAlignment w:val="bottom"/>
            </w:pPr>
            <w:r>
              <w:rPr>
                <w:rFonts w:ascii="Arial" w:eastAsia="宋体" w:hAnsi="Arial" w:cs="Arial"/>
                <w:color w:val="000000"/>
                <w:sz w:val="17"/>
                <w:szCs w:val="17"/>
              </w:rPr>
              <w:t>8,732 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C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C9" w14:textId="77777777" w:rsidR="009C6E2F" w:rsidRDefault="007972BE">
            <w:pPr>
              <w:jc w:val="right"/>
              <w:textAlignment w:val="bottom"/>
            </w:pPr>
            <w:r>
              <w:rPr>
                <w:rFonts w:ascii="Arial" w:eastAsia="宋体" w:hAnsi="Arial" w:cs="Arial"/>
                <w:color w:val="000000"/>
                <w:sz w:val="17"/>
                <w:szCs w:val="17"/>
              </w:rPr>
              <w:t>8,732 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C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C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CC" w14:textId="77777777" w:rsidR="009C6E2F" w:rsidRDefault="009C6E2F">
            <w:pPr>
              <w:jc w:val="right"/>
              <w:rPr>
                <w:rFonts w:ascii="宋体"/>
              </w:rPr>
            </w:pPr>
          </w:p>
        </w:tc>
      </w:tr>
      <w:tr w:rsidR="009C6E2F" w14:paraId="2470C2D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2CE" w14:textId="77777777" w:rsidR="009C6E2F" w:rsidRDefault="007972BE">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CF" w14:textId="77777777" w:rsidR="009C6E2F" w:rsidRDefault="007972BE">
            <w:pPr>
              <w:jc w:val="right"/>
              <w:textAlignment w:val="bottom"/>
            </w:pPr>
            <w:r>
              <w:rPr>
                <w:rFonts w:ascii="Arial" w:eastAsia="宋体" w:hAnsi="Arial" w:cs="Arial"/>
                <w:color w:val="000000"/>
                <w:sz w:val="17"/>
                <w:szCs w:val="17"/>
              </w:rPr>
              <w:t>915 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D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D1" w14:textId="77777777" w:rsidR="009C6E2F" w:rsidRDefault="007972BE">
            <w:pPr>
              <w:jc w:val="right"/>
              <w:textAlignment w:val="bottom"/>
            </w:pPr>
            <w:r>
              <w:rPr>
                <w:rFonts w:ascii="Arial" w:eastAsia="宋体" w:hAnsi="Arial" w:cs="Arial"/>
                <w:color w:val="000000"/>
                <w:sz w:val="17"/>
                <w:szCs w:val="17"/>
              </w:rPr>
              <w:t>911 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D2"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2D3"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2D4" w14:textId="77777777" w:rsidR="009C6E2F" w:rsidRDefault="009C6E2F">
            <w:pPr>
              <w:jc w:val="right"/>
              <w:rPr>
                <w:rFonts w:ascii="宋体"/>
              </w:rPr>
            </w:pPr>
          </w:p>
        </w:tc>
      </w:tr>
      <w:tr w:rsidR="009C6E2F" w14:paraId="2470C2DA" w14:textId="77777777">
        <w:trPr>
          <w:hidden/>
        </w:trPr>
        <w:tc>
          <w:tcPr>
            <w:tcW w:w="0" w:type="auto"/>
            <w:gridSpan w:val="3"/>
            <w:shd w:val="clear" w:color="auto" w:fill="auto"/>
            <w:vAlign w:val="bottom"/>
          </w:tcPr>
          <w:p w14:paraId="2470C2D6" w14:textId="77777777" w:rsidR="009C6E2F" w:rsidRDefault="009C6E2F">
            <w:pPr>
              <w:rPr>
                <w:rFonts w:ascii="宋体"/>
                <w:vanish/>
              </w:rPr>
            </w:pPr>
          </w:p>
        </w:tc>
        <w:tc>
          <w:tcPr>
            <w:tcW w:w="0" w:type="auto"/>
            <w:gridSpan w:val="3"/>
            <w:shd w:val="clear" w:color="auto" w:fill="auto"/>
            <w:vAlign w:val="bottom"/>
          </w:tcPr>
          <w:p w14:paraId="2470C2D7" w14:textId="77777777" w:rsidR="009C6E2F" w:rsidRDefault="009C6E2F">
            <w:pPr>
              <w:rPr>
                <w:rFonts w:ascii="宋体"/>
                <w:vanish/>
              </w:rPr>
            </w:pPr>
          </w:p>
        </w:tc>
        <w:tc>
          <w:tcPr>
            <w:tcW w:w="0" w:type="auto"/>
            <w:gridSpan w:val="3"/>
            <w:shd w:val="clear" w:color="auto" w:fill="auto"/>
            <w:vAlign w:val="bottom"/>
          </w:tcPr>
          <w:p w14:paraId="2470C2D8" w14:textId="77777777" w:rsidR="009C6E2F" w:rsidRDefault="009C6E2F">
            <w:pPr>
              <w:rPr>
                <w:rFonts w:ascii="宋体"/>
                <w:vanish/>
              </w:rPr>
            </w:pPr>
          </w:p>
        </w:tc>
        <w:tc>
          <w:tcPr>
            <w:tcW w:w="0" w:type="auto"/>
            <w:gridSpan w:val="3"/>
            <w:shd w:val="clear" w:color="auto" w:fill="auto"/>
            <w:vAlign w:val="bottom"/>
          </w:tcPr>
          <w:p w14:paraId="2470C2D9" w14:textId="77777777" w:rsidR="009C6E2F" w:rsidRDefault="009C6E2F">
            <w:pPr>
              <w:rPr>
                <w:rFonts w:ascii="宋体"/>
                <w:vanish/>
              </w:rPr>
            </w:pPr>
          </w:p>
        </w:tc>
      </w:tr>
      <w:tr w:rsidR="009C6E2F" w14:paraId="2470C2E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2DB" w14:textId="77777777" w:rsidR="009C6E2F" w:rsidRDefault="007972BE">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2DC" w14:textId="77777777" w:rsidR="009C6E2F" w:rsidRDefault="007972BE">
            <w:pPr>
              <w:jc w:val="right"/>
              <w:textAlignment w:val="bottom"/>
            </w:pPr>
            <w:r>
              <w:rPr>
                <w:rFonts w:ascii="Arial" w:eastAsia="宋体" w:hAnsi="Arial" w:cs="Arial"/>
                <w:color w:val="000000"/>
                <w:sz w:val="17"/>
                <w:szCs w:val="17"/>
              </w:rPr>
              <w:t>10,385 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2DD"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2DE" w14:textId="77777777" w:rsidR="009C6E2F" w:rsidRDefault="007972BE">
            <w:pPr>
              <w:jc w:val="right"/>
              <w:textAlignment w:val="bottom"/>
            </w:pPr>
            <w:r>
              <w:rPr>
                <w:rFonts w:ascii="Arial" w:eastAsia="宋体" w:hAnsi="Arial" w:cs="Arial"/>
                <w:color w:val="000000"/>
                <w:sz w:val="17"/>
                <w:szCs w:val="17"/>
              </w:rPr>
              <w:t>9,687 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2DF"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2E0" w14:textId="77777777" w:rsidR="009C6E2F" w:rsidRDefault="007972BE">
            <w:pPr>
              <w:jc w:val="right"/>
              <w:textAlignment w:val="bottom"/>
            </w:pPr>
            <w:r>
              <w:rPr>
                <w:rFonts w:ascii="Arial" w:eastAsia="宋体" w:hAnsi="Arial" w:cs="Arial"/>
                <w:color w:val="000000"/>
                <w:sz w:val="17"/>
                <w:szCs w:val="17"/>
              </w:rPr>
              <w:t>698 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2E1" w14:textId="77777777" w:rsidR="009C6E2F" w:rsidRDefault="009C6E2F">
            <w:pPr>
              <w:jc w:val="right"/>
              <w:rPr>
                <w:rFonts w:ascii="宋体"/>
              </w:rPr>
            </w:pPr>
          </w:p>
        </w:tc>
      </w:tr>
      <w:tr w:rsidR="009C6E2F" w14:paraId="2470C2E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2E3" w14:textId="77777777" w:rsidR="009C6E2F" w:rsidRDefault="007972BE">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2E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2E5" w14:textId="77777777" w:rsidR="009C6E2F" w:rsidRDefault="007972BE">
            <w:pPr>
              <w:jc w:val="right"/>
              <w:textAlignment w:val="bottom"/>
            </w:pPr>
            <w:r>
              <w:rPr>
                <w:rFonts w:ascii="Arial" w:eastAsia="宋体" w:hAnsi="Arial" w:cs="Arial"/>
                <w:b/>
                <w:bCs/>
                <w:color w:val="000000"/>
                <w:sz w:val="17"/>
                <w:szCs w:val="17"/>
              </w:rPr>
              <w:t>15,103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2E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2E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2E8" w14:textId="77777777" w:rsidR="009C6E2F" w:rsidRDefault="007972BE">
            <w:pPr>
              <w:jc w:val="right"/>
              <w:textAlignment w:val="bottom"/>
            </w:pPr>
            <w:r>
              <w:rPr>
                <w:rFonts w:ascii="Arial" w:eastAsia="宋体" w:hAnsi="Arial" w:cs="Arial"/>
                <w:b/>
                <w:bCs/>
                <w:color w:val="000000"/>
                <w:sz w:val="17"/>
                <w:szCs w:val="17"/>
              </w:rPr>
              <w:t>10,751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2E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2E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2EB" w14:textId="77777777" w:rsidR="009C6E2F" w:rsidRDefault="007972BE">
            <w:pPr>
              <w:jc w:val="right"/>
              <w:textAlignment w:val="bottom"/>
            </w:pPr>
            <w:r>
              <w:rPr>
                <w:rFonts w:ascii="Arial" w:eastAsia="宋体" w:hAnsi="Arial" w:cs="Arial"/>
                <w:b/>
                <w:bCs/>
                <w:color w:val="000000"/>
                <w:sz w:val="17"/>
                <w:szCs w:val="17"/>
              </w:rPr>
              <w:t>4,352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2EC" w14:textId="77777777" w:rsidR="009C6E2F" w:rsidRDefault="009C6E2F">
            <w:pPr>
              <w:jc w:val="right"/>
              <w:rPr>
                <w:rFonts w:ascii="宋体"/>
              </w:rPr>
            </w:pPr>
          </w:p>
        </w:tc>
      </w:tr>
    </w:tbl>
    <w:p w14:paraId="2470C2EE" w14:textId="77777777" w:rsidR="009C6E2F" w:rsidRDefault="009C6E2F">
      <w:pPr>
        <w:rPr>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226"/>
        <w:gridCol w:w="38"/>
        <w:gridCol w:w="115"/>
        <w:gridCol w:w="1473"/>
        <w:gridCol w:w="36"/>
        <w:gridCol w:w="116"/>
        <w:gridCol w:w="1473"/>
        <w:gridCol w:w="36"/>
        <w:gridCol w:w="116"/>
        <w:gridCol w:w="1617"/>
        <w:gridCol w:w="36"/>
      </w:tblGrid>
      <w:tr w:rsidR="009C6E2F" w14:paraId="2470C2FB" w14:textId="77777777">
        <w:tc>
          <w:tcPr>
            <w:tcW w:w="50" w:type="pct"/>
            <w:shd w:val="clear" w:color="auto" w:fill="auto"/>
            <w:vAlign w:val="bottom"/>
          </w:tcPr>
          <w:p w14:paraId="2470C2EF" w14:textId="77777777" w:rsidR="009C6E2F" w:rsidRDefault="009C6E2F">
            <w:pPr>
              <w:rPr>
                <w:rFonts w:ascii="宋体"/>
              </w:rPr>
            </w:pPr>
          </w:p>
        </w:tc>
        <w:tc>
          <w:tcPr>
            <w:tcW w:w="1962" w:type="pct"/>
            <w:shd w:val="clear" w:color="auto" w:fill="auto"/>
            <w:vAlign w:val="bottom"/>
          </w:tcPr>
          <w:p w14:paraId="2470C2F0" w14:textId="77777777" w:rsidR="009C6E2F" w:rsidRDefault="009C6E2F">
            <w:pPr>
              <w:rPr>
                <w:rFonts w:ascii="宋体"/>
              </w:rPr>
            </w:pPr>
          </w:p>
        </w:tc>
        <w:tc>
          <w:tcPr>
            <w:tcW w:w="5" w:type="pct"/>
            <w:shd w:val="clear" w:color="auto" w:fill="auto"/>
            <w:vAlign w:val="bottom"/>
          </w:tcPr>
          <w:p w14:paraId="2470C2F1" w14:textId="77777777" w:rsidR="009C6E2F" w:rsidRDefault="009C6E2F">
            <w:pPr>
              <w:rPr>
                <w:rFonts w:ascii="宋体"/>
              </w:rPr>
            </w:pPr>
          </w:p>
        </w:tc>
        <w:tc>
          <w:tcPr>
            <w:tcW w:w="50" w:type="pct"/>
            <w:shd w:val="clear" w:color="auto" w:fill="auto"/>
            <w:vAlign w:val="bottom"/>
          </w:tcPr>
          <w:p w14:paraId="2470C2F2" w14:textId="77777777" w:rsidR="009C6E2F" w:rsidRDefault="009C6E2F">
            <w:pPr>
              <w:rPr>
                <w:rFonts w:ascii="宋体"/>
              </w:rPr>
            </w:pPr>
          </w:p>
        </w:tc>
        <w:tc>
          <w:tcPr>
            <w:tcW w:w="910" w:type="pct"/>
            <w:shd w:val="clear" w:color="auto" w:fill="auto"/>
            <w:vAlign w:val="bottom"/>
          </w:tcPr>
          <w:p w14:paraId="2470C2F3" w14:textId="77777777" w:rsidR="009C6E2F" w:rsidRDefault="009C6E2F">
            <w:pPr>
              <w:rPr>
                <w:rFonts w:ascii="宋体"/>
              </w:rPr>
            </w:pPr>
          </w:p>
        </w:tc>
        <w:tc>
          <w:tcPr>
            <w:tcW w:w="5" w:type="pct"/>
            <w:shd w:val="clear" w:color="auto" w:fill="auto"/>
            <w:vAlign w:val="bottom"/>
          </w:tcPr>
          <w:p w14:paraId="2470C2F4" w14:textId="77777777" w:rsidR="009C6E2F" w:rsidRDefault="009C6E2F">
            <w:pPr>
              <w:rPr>
                <w:rFonts w:ascii="宋体"/>
              </w:rPr>
            </w:pPr>
          </w:p>
        </w:tc>
        <w:tc>
          <w:tcPr>
            <w:tcW w:w="50" w:type="pct"/>
            <w:shd w:val="clear" w:color="auto" w:fill="auto"/>
            <w:vAlign w:val="bottom"/>
          </w:tcPr>
          <w:p w14:paraId="2470C2F5" w14:textId="77777777" w:rsidR="009C6E2F" w:rsidRDefault="009C6E2F">
            <w:pPr>
              <w:rPr>
                <w:rFonts w:ascii="宋体"/>
              </w:rPr>
            </w:pPr>
          </w:p>
        </w:tc>
        <w:tc>
          <w:tcPr>
            <w:tcW w:w="910" w:type="pct"/>
            <w:shd w:val="clear" w:color="auto" w:fill="auto"/>
            <w:vAlign w:val="bottom"/>
          </w:tcPr>
          <w:p w14:paraId="2470C2F6" w14:textId="77777777" w:rsidR="009C6E2F" w:rsidRDefault="009C6E2F">
            <w:pPr>
              <w:rPr>
                <w:rFonts w:ascii="宋体"/>
              </w:rPr>
            </w:pPr>
          </w:p>
        </w:tc>
        <w:tc>
          <w:tcPr>
            <w:tcW w:w="5" w:type="pct"/>
            <w:shd w:val="clear" w:color="auto" w:fill="auto"/>
            <w:vAlign w:val="bottom"/>
          </w:tcPr>
          <w:p w14:paraId="2470C2F7" w14:textId="77777777" w:rsidR="009C6E2F" w:rsidRDefault="009C6E2F">
            <w:pPr>
              <w:rPr>
                <w:rFonts w:ascii="宋体"/>
              </w:rPr>
            </w:pPr>
          </w:p>
        </w:tc>
        <w:tc>
          <w:tcPr>
            <w:tcW w:w="50" w:type="pct"/>
            <w:shd w:val="clear" w:color="auto" w:fill="auto"/>
            <w:vAlign w:val="bottom"/>
          </w:tcPr>
          <w:p w14:paraId="2470C2F8" w14:textId="77777777" w:rsidR="009C6E2F" w:rsidRDefault="009C6E2F">
            <w:pPr>
              <w:rPr>
                <w:rFonts w:ascii="宋体"/>
              </w:rPr>
            </w:pPr>
          </w:p>
        </w:tc>
        <w:tc>
          <w:tcPr>
            <w:tcW w:w="996" w:type="pct"/>
            <w:shd w:val="clear" w:color="auto" w:fill="auto"/>
            <w:vAlign w:val="bottom"/>
          </w:tcPr>
          <w:p w14:paraId="2470C2F9" w14:textId="77777777" w:rsidR="009C6E2F" w:rsidRDefault="009C6E2F">
            <w:pPr>
              <w:rPr>
                <w:rFonts w:ascii="宋体"/>
              </w:rPr>
            </w:pPr>
          </w:p>
        </w:tc>
        <w:tc>
          <w:tcPr>
            <w:tcW w:w="5" w:type="pct"/>
            <w:shd w:val="clear" w:color="auto" w:fill="auto"/>
            <w:vAlign w:val="bottom"/>
          </w:tcPr>
          <w:p w14:paraId="2470C2FA" w14:textId="77777777" w:rsidR="009C6E2F" w:rsidRDefault="009C6E2F">
            <w:pPr>
              <w:rPr>
                <w:rFonts w:ascii="宋体"/>
              </w:rPr>
            </w:pPr>
          </w:p>
        </w:tc>
      </w:tr>
      <w:tr w:rsidR="009C6E2F" w14:paraId="2470C2FE" w14:textId="77777777">
        <w:tc>
          <w:tcPr>
            <w:tcW w:w="0" w:type="auto"/>
            <w:gridSpan w:val="3"/>
            <w:shd w:val="clear" w:color="auto" w:fill="auto"/>
            <w:tcMar>
              <w:top w:w="0" w:type="dxa"/>
              <w:left w:w="20" w:type="dxa"/>
              <w:bottom w:w="0" w:type="dxa"/>
              <w:right w:w="20" w:type="dxa"/>
            </w:tcMar>
            <w:vAlign w:val="bottom"/>
          </w:tcPr>
          <w:p w14:paraId="2470C2FC"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C2FD" w14:textId="77777777" w:rsidR="009C6E2F" w:rsidRDefault="007972BE">
            <w:pPr>
              <w:jc w:val="center"/>
              <w:textAlignment w:val="bottom"/>
            </w:pPr>
            <w:r>
              <w:rPr>
                <w:rFonts w:ascii="sans-serif" w:eastAsia="sans-serif" w:hAnsi="sans-serif" w:cs="sans-serif"/>
                <w:b/>
                <w:bCs/>
                <w:color w:val="000000"/>
                <w:sz w:val="17"/>
                <w:szCs w:val="17"/>
              </w:rPr>
              <w:t>MAY 31, 2021</w:t>
            </w:r>
          </w:p>
        </w:tc>
      </w:tr>
      <w:tr w:rsidR="009C6E2F" w14:paraId="2470C303" w14:textId="77777777">
        <w:tc>
          <w:tcPr>
            <w:tcW w:w="0" w:type="auto"/>
            <w:gridSpan w:val="3"/>
            <w:shd w:val="clear" w:color="auto" w:fill="auto"/>
            <w:tcMar>
              <w:top w:w="40" w:type="dxa"/>
              <w:left w:w="20" w:type="dxa"/>
              <w:bottom w:w="40" w:type="dxa"/>
              <w:right w:w="20" w:type="dxa"/>
            </w:tcMar>
            <w:vAlign w:val="bottom"/>
          </w:tcPr>
          <w:p w14:paraId="2470C2FF"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00" w14:textId="77777777" w:rsidR="009C6E2F" w:rsidRDefault="007972BE">
            <w:pPr>
              <w:jc w:val="center"/>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01" w14:textId="77777777" w:rsidR="009C6E2F" w:rsidRDefault="007972BE">
            <w:pPr>
              <w:jc w:val="center"/>
              <w:textAlignment w:val="bottom"/>
            </w:pPr>
            <w:r>
              <w:rPr>
                <w:rFonts w:ascii="sans-serif" w:eastAsia="sans-serif" w:hAnsi="sans-serif" w:cs="sans-serif"/>
                <w:b/>
                <w:bCs/>
                <w:color w:val="000000"/>
                <w:sz w:val="17"/>
                <w:szCs w:val="17"/>
              </w:rPr>
              <w:t>CASH AND EQUIVALENTS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02" w14:textId="77777777" w:rsidR="009C6E2F" w:rsidRDefault="007972BE">
            <w:pPr>
              <w:jc w:val="center"/>
              <w:textAlignment w:val="bottom"/>
            </w:pPr>
            <w:r>
              <w:rPr>
                <w:rFonts w:ascii="sans-serif" w:eastAsia="sans-serif" w:hAnsi="sans-serif" w:cs="sans-serif"/>
                <w:b/>
                <w:bCs/>
                <w:color w:val="000000"/>
                <w:sz w:val="17"/>
                <w:szCs w:val="17"/>
              </w:rPr>
              <w:t>SHORT-TERM INVESTMENTS</w:t>
            </w:r>
          </w:p>
        </w:tc>
      </w:tr>
      <w:tr w:rsidR="009C6E2F" w14:paraId="2470C30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04" w14:textId="77777777" w:rsidR="009C6E2F" w:rsidRDefault="007972BE">
            <w:pPr>
              <w:textAlignment w:val="bottom"/>
            </w:pPr>
            <w:r>
              <w:rPr>
                <w:rFonts w:ascii="Arial" w:eastAsia="宋体" w:hAnsi="Arial" w:cs="Arial"/>
                <w:color w:val="000000"/>
                <w:sz w:val="17"/>
                <w:szCs w:val="17"/>
              </w:rPr>
              <w:t>Cash</w:t>
            </w:r>
          </w:p>
        </w:tc>
        <w:tc>
          <w:tcPr>
            <w:tcW w:w="0" w:type="auto"/>
            <w:tcBorders>
              <w:top w:val="single" w:sz="8" w:space="0" w:color="E87722"/>
            </w:tcBorders>
            <w:shd w:val="clear" w:color="auto" w:fill="auto"/>
            <w:tcMar>
              <w:top w:w="40" w:type="dxa"/>
              <w:left w:w="20" w:type="dxa"/>
              <w:bottom w:w="40" w:type="dxa"/>
              <w:right w:w="0" w:type="dxa"/>
            </w:tcMar>
            <w:vAlign w:val="bottom"/>
          </w:tcPr>
          <w:p w14:paraId="2470C305"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306" w14:textId="77777777" w:rsidR="009C6E2F" w:rsidRDefault="007972BE">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30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308"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309" w14:textId="77777777" w:rsidR="009C6E2F" w:rsidRDefault="007972BE">
            <w:pPr>
              <w:jc w:val="right"/>
              <w:textAlignment w:val="bottom"/>
            </w:pPr>
            <w:r>
              <w:rPr>
                <w:rFonts w:ascii="Arial" w:eastAsia="宋体" w:hAnsi="Arial" w:cs="Arial"/>
                <w:color w:val="000000"/>
                <w:sz w:val="17"/>
                <w:szCs w:val="17"/>
              </w:rPr>
              <w:t>840 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30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30B"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30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30D" w14:textId="77777777" w:rsidR="009C6E2F" w:rsidRDefault="009C6E2F">
            <w:pPr>
              <w:jc w:val="right"/>
              <w:rPr>
                <w:rFonts w:ascii="宋体"/>
              </w:rPr>
            </w:pPr>
          </w:p>
        </w:tc>
      </w:tr>
      <w:tr w:rsidR="009C6E2F" w14:paraId="2470C31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30F" w14:textId="77777777" w:rsidR="009C6E2F" w:rsidRDefault="007972BE">
            <w:pPr>
              <w:textAlignment w:val="bottom"/>
            </w:pPr>
            <w:r>
              <w:rPr>
                <w:rFonts w:ascii="Arial" w:eastAsia="宋体" w:hAnsi="Arial" w:cs="Arial"/>
                <w:color w:val="000000"/>
                <w:sz w:val="17"/>
                <w:szCs w:val="17"/>
                <w:u w:val="single"/>
              </w:rPr>
              <w:t>Level 1:</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310"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311"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312" w14:textId="77777777" w:rsidR="009C6E2F" w:rsidRDefault="009C6E2F">
            <w:pPr>
              <w:rPr>
                <w:rFonts w:ascii="宋体"/>
              </w:rPr>
            </w:pPr>
          </w:p>
        </w:tc>
      </w:tr>
      <w:tr w:rsidR="009C6E2F" w14:paraId="2470C31B"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314" w14:textId="77777777" w:rsidR="009C6E2F" w:rsidRDefault="007972BE">
            <w:pPr>
              <w:textAlignment w:val="bottom"/>
            </w:pPr>
            <w:r>
              <w:rPr>
                <w:rFonts w:ascii="Arial" w:eastAsia="宋体" w:hAnsi="Arial" w:cs="Arial"/>
                <w:color w:val="000000"/>
                <w:sz w:val="17"/>
                <w:szCs w:val="17"/>
              </w:rPr>
              <w:t>U.S. Treasury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15" w14:textId="77777777" w:rsidR="009C6E2F" w:rsidRDefault="007972BE">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1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1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1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19" w14:textId="77777777" w:rsidR="009C6E2F" w:rsidRDefault="007972BE">
            <w:pPr>
              <w:jc w:val="right"/>
              <w:textAlignment w:val="bottom"/>
            </w:pPr>
            <w:r>
              <w:rPr>
                <w:rFonts w:ascii="Arial" w:eastAsia="宋体" w:hAnsi="Arial" w:cs="Arial"/>
                <w:color w:val="000000"/>
                <w:sz w:val="17"/>
                <w:szCs w:val="17"/>
              </w:rPr>
              <w:t>2,892 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1A" w14:textId="77777777" w:rsidR="009C6E2F" w:rsidRDefault="009C6E2F">
            <w:pPr>
              <w:jc w:val="right"/>
              <w:rPr>
                <w:rFonts w:ascii="宋体"/>
              </w:rPr>
            </w:pPr>
          </w:p>
        </w:tc>
      </w:tr>
      <w:tr w:rsidR="009C6E2F" w14:paraId="2470C32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31C" w14:textId="77777777" w:rsidR="009C6E2F" w:rsidRDefault="007972BE">
            <w:pPr>
              <w:textAlignment w:val="bottom"/>
            </w:pPr>
            <w:r>
              <w:rPr>
                <w:rFonts w:ascii="Arial" w:eastAsia="宋体" w:hAnsi="Arial" w:cs="Arial"/>
                <w:color w:val="000000"/>
                <w:sz w:val="17"/>
                <w:szCs w:val="17"/>
                <w:u w:val="single"/>
              </w:rPr>
              <w:t>Level 2:</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31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31E"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31F" w14:textId="77777777" w:rsidR="009C6E2F" w:rsidRDefault="009C6E2F">
            <w:pPr>
              <w:rPr>
                <w:rFonts w:ascii="宋体"/>
              </w:rPr>
            </w:pPr>
          </w:p>
        </w:tc>
      </w:tr>
      <w:tr w:rsidR="009C6E2F" w14:paraId="2470C32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321" w14:textId="77777777" w:rsidR="009C6E2F" w:rsidRDefault="007972BE">
            <w:pPr>
              <w:textAlignment w:val="bottom"/>
            </w:pPr>
            <w:r>
              <w:rPr>
                <w:rFonts w:ascii="Arial" w:eastAsia="宋体" w:hAnsi="Arial" w:cs="Arial"/>
                <w:color w:val="000000"/>
                <w:sz w:val="17"/>
                <w:szCs w:val="17"/>
              </w:rPr>
              <w:t>Commercial paper and bonds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22" w14:textId="77777777" w:rsidR="009C6E2F" w:rsidRDefault="007972BE">
            <w:pPr>
              <w:jc w:val="right"/>
              <w:textAlignment w:val="bottom"/>
            </w:pPr>
            <w:r>
              <w:rPr>
                <w:rFonts w:ascii="Arial" w:eastAsia="宋体" w:hAnsi="Arial" w:cs="Arial"/>
                <w:color w:val="000000"/>
                <w:sz w:val="17"/>
                <w:szCs w:val="17"/>
              </w:rPr>
              <w:t>748 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2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24" w14:textId="77777777" w:rsidR="009C6E2F" w:rsidRDefault="007972BE">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2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26" w14:textId="77777777" w:rsidR="009C6E2F" w:rsidRDefault="007972BE">
            <w:pPr>
              <w:jc w:val="right"/>
              <w:textAlignment w:val="bottom"/>
            </w:pPr>
            <w:r>
              <w:rPr>
                <w:rFonts w:ascii="Arial" w:eastAsia="宋体" w:hAnsi="Arial" w:cs="Arial"/>
                <w:color w:val="000000"/>
                <w:sz w:val="17"/>
                <w:szCs w:val="17"/>
              </w:rPr>
              <w:t>691 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27" w14:textId="77777777" w:rsidR="009C6E2F" w:rsidRDefault="009C6E2F">
            <w:pPr>
              <w:jc w:val="right"/>
              <w:rPr>
                <w:rFonts w:ascii="宋体"/>
              </w:rPr>
            </w:pPr>
          </w:p>
        </w:tc>
      </w:tr>
      <w:tr w:rsidR="009C6E2F" w14:paraId="2470C33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329" w14:textId="77777777" w:rsidR="009C6E2F" w:rsidRDefault="007972BE">
            <w:pPr>
              <w:textAlignment w:val="bottom"/>
            </w:pPr>
            <w:r>
              <w:rPr>
                <w:rFonts w:ascii="Arial" w:eastAsia="宋体" w:hAnsi="Arial" w:cs="Arial"/>
                <w:color w:val="000000"/>
                <w:sz w:val="17"/>
                <w:szCs w:val="17"/>
              </w:rPr>
              <w:t>Money market funds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2A" w14:textId="77777777" w:rsidR="009C6E2F" w:rsidRDefault="007972BE">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2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2C" w14:textId="77777777" w:rsidR="009C6E2F" w:rsidRDefault="007972BE">
            <w:pPr>
              <w:jc w:val="right"/>
              <w:textAlignment w:val="bottom"/>
            </w:pPr>
            <w:r>
              <w:rPr>
                <w:rFonts w:ascii="Arial" w:eastAsia="宋体" w:hAnsi="Arial" w:cs="Arial"/>
                <w:color w:val="000000"/>
                <w:sz w:val="17"/>
                <w:szCs w:val="17"/>
              </w:rPr>
              <w:t>7,701 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2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2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2F" w14:textId="77777777" w:rsidR="009C6E2F" w:rsidRDefault="009C6E2F">
            <w:pPr>
              <w:jc w:val="right"/>
              <w:rPr>
                <w:rFonts w:ascii="宋体"/>
              </w:rPr>
            </w:pPr>
          </w:p>
        </w:tc>
      </w:tr>
      <w:tr w:rsidR="009C6E2F" w14:paraId="2470C33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331" w14:textId="77777777" w:rsidR="009C6E2F" w:rsidRDefault="007972BE">
            <w:pPr>
              <w:textAlignment w:val="bottom"/>
            </w:pPr>
            <w:r>
              <w:rPr>
                <w:rFonts w:ascii="Arial" w:eastAsia="宋体" w:hAnsi="Arial" w:cs="Arial"/>
                <w:color w:val="000000"/>
                <w:sz w:val="17"/>
                <w:szCs w:val="17"/>
              </w:rPr>
              <w:t>Time deposits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32" w14:textId="77777777" w:rsidR="009C6E2F" w:rsidRDefault="007972BE">
            <w:pPr>
              <w:jc w:val="right"/>
              <w:textAlignment w:val="bottom"/>
            </w:pPr>
            <w:r>
              <w:rPr>
                <w:rFonts w:ascii="Arial" w:eastAsia="宋体" w:hAnsi="Arial" w:cs="Arial"/>
                <w:color w:val="000000"/>
                <w:sz w:val="17"/>
                <w:szCs w:val="17"/>
              </w:rPr>
              <w:t>1,293 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3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34" w14:textId="77777777" w:rsidR="009C6E2F" w:rsidRDefault="007972BE">
            <w:pPr>
              <w:jc w:val="right"/>
              <w:textAlignment w:val="bottom"/>
            </w:pPr>
            <w:r>
              <w:rPr>
                <w:rFonts w:ascii="Arial" w:eastAsia="宋体" w:hAnsi="Arial" w:cs="Arial"/>
                <w:color w:val="000000"/>
                <w:sz w:val="17"/>
                <w:szCs w:val="17"/>
              </w:rPr>
              <w:t>1,291 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3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36"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37" w14:textId="77777777" w:rsidR="009C6E2F" w:rsidRDefault="009C6E2F">
            <w:pPr>
              <w:jc w:val="right"/>
              <w:rPr>
                <w:rFonts w:ascii="宋体"/>
              </w:rPr>
            </w:pPr>
          </w:p>
        </w:tc>
      </w:tr>
      <w:tr w:rsidR="009C6E2F" w14:paraId="2470C34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339" w14:textId="77777777" w:rsidR="009C6E2F" w:rsidRDefault="007972BE">
            <w:pPr>
              <w:textAlignment w:val="bottom"/>
            </w:pPr>
            <w:r>
              <w:rPr>
                <w:rFonts w:ascii="Arial" w:eastAsia="宋体" w:hAnsi="Arial" w:cs="Arial"/>
                <w:color w:val="000000"/>
                <w:sz w:val="17"/>
                <w:szCs w:val="17"/>
              </w:rPr>
              <w:t>U.S. Agency securities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3A"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3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3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3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33E"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3F" w14:textId="77777777" w:rsidR="009C6E2F" w:rsidRDefault="009C6E2F">
            <w:pPr>
              <w:jc w:val="right"/>
              <w:rPr>
                <w:rFonts w:ascii="宋体"/>
              </w:rPr>
            </w:pPr>
          </w:p>
        </w:tc>
      </w:tr>
      <w:tr w:rsidR="009C6E2F" w14:paraId="2470C34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41" w14:textId="77777777" w:rsidR="009C6E2F" w:rsidRDefault="007972BE">
            <w:pPr>
              <w:textAlignment w:val="bottom"/>
            </w:pPr>
            <w:r>
              <w:rPr>
                <w:rFonts w:ascii="Arial" w:eastAsia="宋体" w:hAnsi="Arial" w:cs="Arial"/>
                <w:color w:val="000000"/>
                <w:sz w:val="17"/>
                <w:szCs w:val="17"/>
              </w:rPr>
              <w:t>Total Level 2</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342" w14:textId="77777777" w:rsidR="009C6E2F" w:rsidRDefault="007972BE">
            <w:pPr>
              <w:jc w:val="right"/>
              <w:textAlignment w:val="bottom"/>
            </w:pPr>
            <w:r>
              <w:rPr>
                <w:rFonts w:ascii="Arial" w:eastAsia="宋体" w:hAnsi="Arial" w:cs="Arial"/>
                <w:color w:val="000000"/>
                <w:sz w:val="17"/>
                <w:szCs w:val="17"/>
              </w:rPr>
              <w:t>9,744 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34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344" w14:textId="77777777" w:rsidR="009C6E2F" w:rsidRDefault="007972BE">
            <w:pPr>
              <w:jc w:val="right"/>
              <w:textAlignment w:val="bottom"/>
            </w:pPr>
            <w:r>
              <w:rPr>
                <w:rFonts w:ascii="Arial" w:eastAsia="宋体" w:hAnsi="Arial" w:cs="Arial"/>
                <w:color w:val="000000"/>
                <w:sz w:val="17"/>
                <w:szCs w:val="17"/>
              </w:rPr>
              <w:t>9,049 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34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346" w14:textId="77777777" w:rsidR="009C6E2F" w:rsidRDefault="007972BE">
            <w:pPr>
              <w:jc w:val="right"/>
              <w:textAlignment w:val="bottom"/>
            </w:pPr>
            <w:r>
              <w:rPr>
                <w:rFonts w:ascii="Arial" w:eastAsia="宋体" w:hAnsi="Arial" w:cs="Arial"/>
                <w:color w:val="000000"/>
                <w:sz w:val="17"/>
                <w:szCs w:val="17"/>
              </w:rPr>
              <w:t>695 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347" w14:textId="77777777" w:rsidR="009C6E2F" w:rsidRDefault="009C6E2F">
            <w:pPr>
              <w:jc w:val="right"/>
              <w:rPr>
                <w:rFonts w:ascii="宋体"/>
              </w:rPr>
            </w:pPr>
          </w:p>
        </w:tc>
      </w:tr>
      <w:tr w:rsidR="009C6E2F" w14:paraId="2470C35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349" w14:textId="77777777" w:rsidR="009C6E2F" w:rsidRDefault="007972BE">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34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34B" w14:textId="77777777" w:rsidR="009C6E2F" w:rsidRDefault="007972BE">
            <w:pPr>
              <w:jc w:val="right"/>
              <w:textAlignment w:val="bottom"/>
            </w:pPr>
            <w:r>
              <w:rPr>
                <w:rFonts w:ascii="Arial" w:eastAsia="宋体" w:hAnsi="Arial" w:cs="Arial"/>
                <w:b/>
                <w:bCs/>
                <w:color w:val="000000"/>
                <w:sz w:val="17"/>
                <w:szCs w:val="17"/>
              </w:rPr>
              <w:t>13,476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34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34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34E" w14:textId="77777777" w:rsidR="009C6E2F" w:rsidRDefault="007972BE">
            <w:pPr>
              <w:jc w:val="right"/>
              <w:textAlignment w:val="bottom"/>
            </w:pPr>
            <w:r>
              <w:rPr>
                <w:rFonts w:ascii="Arial" w:eastAsia="宋体" w:hAnsi="Arial" w:cs="Arial"/>
                <w:b/>
                <w:bCs/>
                <w:color w:val="000000"/>
                <w:sz w:val="17"/>
                <w:szCs w:val="17"/>
              </w:rPr>
              <w:t>9,889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34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35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351" w14:textId="77777777" w:rsidR="009C6E2F" w:rsidRDefault="007972BE">
            <w:pPr>
              <w:jc w:val="right"/>
              <w:textAlignment w:val="bottom"/>
            </w:pPr>
            <w:r>
              <w:rPr>
                <w:rFonts w:ascii="Arial" w:eastAsia="宋体" w:hAnsi="Arial" w:cs="Arial"/>
                <w:b/>
                <w:bCs/>
                <w:color w:val="000000"/>
                <w:sz w:val="17"/>
                <w:szCs w:val="17"/>
              </w:rPr>
              <w:t>3,587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352" w14:textId="77777777" w:rsidR="009C6E2F" w:rsidRDefault="009C6E2F">
            <w:pPr>
              <w:jc w:val="right"/>
              <w:rPr>
                <w:rFonts w:ascii="宋体"/>
              </w:rPr>
            </w:pPr>
          </w:p>
        </w:tc>
      </w:tr>
    </w:tbl>
    <w:p w14:paraId="2470C354" w14:textId="77777777" w:rsidR="009C6E2F" w:rsidRDefault="007972BE">
      <w:pPr>
        <w:spacing w:before="120" w:after="120"/>
      </w:pPr>
      <w:r>
        <w:rPr>
          <w:rFonts w:ascii="Arial" w:eastAsia="宋体" w:hAnsi="Arial" w:cs="Arial"/>
          <w:color w:val="000000"/>
          <w:sz w:val="17"/>
          <w:szCs w:val="17"/>
        </w:rPr>
        <w:t xml:space="preserve">As of November 30, 2021, the Company held $3,622 million of </w:t>
      </w:r>
      <w:r>
        <w:rPr>
          <w:rFonts w:ascii="Arial" w:eastAsia="宋体" w:hAnsi="Arial" w:cs="Arial"/>
          <w:color w:val="000000"/>
          <w:sz w:val="17"/>
          <w:szCs w:val="17"/>
        </w:rPr>
        <w:t>available-for-sale debt securities with maturity dates within one year and $730 million with maturity dates over one year and less than five years in Short-term investments on the Unaudited Condensed Consolidated Balance Sheets. The fair value of the Compa</w:t>
      </w:r>
      <w:r>
        <w:rPr>
          <w:rFonts w:ascii="Arial" w:eastAsia="宋体" w:hAnsi="Arial" w:cs="Arial"/>
          <w:color w:val="000000"/>
          <w:sz w:val="17"/>
          <w:szCs w:val="17"/>
        </w:rPr>
        <w:t>ny's available-for-sale debt securities approximates their amortized cost.</w:t>
      </w:r>
    </w:p>
    <w:p w14:paraId="2470C355" w14:textId="77777777" w:rsidR="009C6E2F" w:rsidRDefault="007972BE">
      <w:pPr>
        <w:spacing w:before="120" w:after="120"/>
      </w:pPr>
      <w:r>
        <w:rPr>
          <w:rFonts w:ascii="Arial" w:eastAsia="宋体" w:hAnsi="Arial" w:cs="Arial"/>
          <w:color w:val="000000"/>
          <w:sz w:val="17"/>
          <w:szCs w:val="17"/>
        </w:rPr>
        <w:t>Included in</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Interest expense (income), net was interest income related to the Company's investment portfolio of $18 million and $6 million for the three months ended </w:t>
      </w:r>
      <w:r>
        <w:rPr>
          <w:rFonts w:ascii="Arial" w:eastAsia="宋体" w:hAnsi="Arial" w:cs="Arial"/>
          <w:color w:val="000000"/>
          <w:sz w:val="17"/>
          <w:szCs w:val="17"/>
        </w:rPr>
        <w:t>November 30, 2021 and 2020, respectively, and $35 million and $13 million for the six months ended November 30, 2021 and 2020, respectively.</w:t>
      </w:r>
    </w:p>
    <w:p w14:paraId="2470C356" w14:textId="77777777" w:rsidR="009C6E2F" w:rsidRDefault="007972BE">
      <w:pPr>
        <w:spacing w:before="120" w:after="120"/>
      </w:pPr>
      <w:r>
        <w:rPr>
          <w:rFonts w:ascii="Arial" w:eastAsia="宋体" w:hAnsi="Arial" w:cs="Arial"/>
          <w:color w:val="000000"/>
          <w:sz w:val="17"/>
          <w:szCs w:val="17"/>
        </w:rPr>
        <w:t>The following tables present information about the Company's derivative assets and liabilities measured at fair val</w:t>
      </w:r>
      <w:r>
        <w:rPr>
          <w:rFonts w:ascii="Arial" w:eastAsia="宋体" w:hAnsi="Arial" w:cs="Arial"/>
          <w:color w:val="000000"/>
          <w:sz w:val="17"/>
          <w:szCs w:val="17"/>
        </w:rPr>
        <w:t>ue on a recurring basis and indicate the level in the fair value hierarchy in which the Company classifies the fair value measurement: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9C6E2F" w14:paraId="2470C36F" w14:textId="77777777">
        <w:tc>
          <w:tcPr>
            <w:tcW w:w="50" w:type="pct"/>
            <w:shd w:val="clear" w:color="auto" w:fill="auto"/>
            <w:vAlign w:val="bottom"/>
          </w:tcPr>
          <w:p w14:paraId="2470C357" w14:textId="77777777" w:rsidR="009C6E2F" w:rsidRDefault="009C6E2F">
            <w:pPr>
              <w:rPr>
                <w:rFonts w:ascii="宋体"/>
              </w:rPr>
            </w:pPr>
          </w:p>
        </w:tc>
        <w:tc>
          <w:tcPr>
            <w:tcW w:w="2047" w:type="pct"/>
            <w:shd w:val="clear" w:color="auto" w:fill="auto"/>
            <w:vAlign w:val="bottom"/>
          </w:tcPr>
          <w:p w14:paraId="2470C358" w14:textId="77777777" w:rsidR="009C6E2F" w:rsidRDefault="009C6E2F">
            <w:pPr>
              <w:rPr>
                <w:rFonts w:ascii="宋体"/>
              </w:rPr>
            </w:pPr>
          </w:p>
        </w:tc>
        <w:tc>
          <w:tcPr>
            <w:tcW w:w="5" w:type="pct"/>
            <w:shd w:val="clear" w:color="auto" w:fill="auto"/>
            <w:vAlign w:val="bottom"/>
          </w:tcPr>
          <w:p w14:paraId="2470C359" w14:textId="77777777" w:rsidR="009C6E2F" w:rsidRDefault="009C6E2F">
            <w:pPr>
              <w:rPr>
                <w:rFonts w:ascii="宋体"/>
              </w:rPr>
            </w:pPr>
          </w:p>
        </w:tc>
        <w:tc>
          <w:tcPr>
            <w:tcW w:w="50" w:type="pct"/>
            <w:shd w:val="clear" w:color="auto" w:fill="auto"/>
            <w:vAlign w:val="bottom"/>
          </w:tcPr>
          <w:p w14:paraId="2470C35A" w14:textId="77777777" w:rsidR="009C6E2F" w:rsidRDefault="009C6E2F">
            <w:pPr>
              <w:rPr>
                <w:rFonts w:ascii="宋体"/>
              </w:rPr>
            </w:pPr>
          </w:p>
        </w:tc>
        <w:tc>
          <w:tcPr>
            <w:tcW w:w="408" w:type="pct"/>
            <w:shd w:val="clear" w:color="auto" w:fill="auto"/>
            <w:vAlign w:val="bottom"/>
          </w:tcPr>
          <w:p w14:paraId="2470C35B" w14:textId="77777777" w:rsidR="009C6E2F" w:rsidRDefault="009C6E2F">
            <w:pPr>
              <w:rPr>
                <w:rFonts w:ascii="宋体"/>
              </w:rPr>
            </w:pPr>
          </w:p>
        </w:tc>
        <w:tc>
          <w:tcPr>
            <w:tcW w:w="5" w:type="pct"/>
            <w:shd w:val="clear" w:color="auto" w:fill="auto"/>
            <w:vAlign w:val="bottom"/>
          </w:tcPr>
          <w:p w14:paraId="2470C35C" w14:textId="77777777" w:rsidR="009C6E2F" w:rsidRDefault="009C6E2F">
            <w:pPr>
              <w:rPr>
                <w:rFonts w:ascii="宋体"/>
              </w:rPr>
            </w:pPr>
          </w:p>
        </w:tc>
        <w:tc>
          <w:tcPr>
            <w:tcW w:w="50" w:type="pct"/>
            <w:shd w:val="clear" w:color="auto" w:fill="auto"/>
            <w:vAlign w:val="bottom"/>
          </w:tcPr>
          <w:p w14:paraId="2470C35D" w14:textId="77777777" w:rsidR="009C6E2F" w:rsidRDefault="009C6E2F">
            <w:pPr>
              <w:rPr>
                <w:rFonts w:ascii="宋体"/>
              </w:rPr>
            </w:pPr>
          </w:p>
        </w:tc>
        <w:tc>
          <w:tcPr>
            <w:tcW w:w="408" w:type="pct"/>
            <w:shd w:val="clear" w:color="auto" w:fill="auto"/>
            <w:vAlign w:val="bottom"/>
          </w:tcPr>
          <w:p w14:paraId="2470C35E" w14:textId="77777777" w:rsidR="009C6E2F" w:rsidRDefault="009C6E2F">
            <w:pPr>
              <w:rPr>
                <w:rFonts w:ascii="宋体"/>
              </w:rPr>
            </w:pPr>
          </w:p>
        </w:tc>
        <w:tc>
          <w:tcPr>
            <w:tcW w:w="5" w:type="pct"/>
            <w:shd w:val="clear" w:color="auto" w:fill="auto"/>
            <w:vAlign w:val="bottom"/>
          </w:tcPr>
          <w:p w14:paraId="2470C35F" w14:textId="77777777" w:rsidR="009C6E2F" w:rsidRDefault="009C6E2F">
            <w:pPr>
              <w:rPr>
                <w:rFonts w:ascii="宋体"/>
              </w:rPr>
            </w:pPr>
          </w:p>
        </w:tc>
        <w:tc>
          <w:tcPr>
            <w:tcW w:w="50" w:type="pct"/>
            <w:shd w:val="clear" w:color="auto" w:fill="auto"/>
            <w:vAlign w:val="bottom"/>
          </w:tcPr>
          <w:p w14:paraId="2470C360" w14:textId="77777777" w:rsidR="009C6E2F" w:rsidRDefault="009C6E2F">
            <w:pPr>
              <w:rPr>
                <w:rFonts w:ascii="宋体"/>
              </w:rPr>
            </w:pPr>
          </w:p>
        </w:tc>
        <w:tc>
          <w:tcPr>
            <w:tcW w:w="447" w:type="pct"/>
            <w:shd w:val="clear" w:color="auto" w:fill="auto"/>
            <w:vAlign w:val="bottom"/>
          </w:tcPr>
          <w:p w14:paraId="2470C361" w14:textId="77777777" w:rsidR="009C6E2F" w:rsidRDefault="009C6E2F">
            <w:pPr>
              <w:rPr>
                <w:rFonts w:ascii="宋体"/>
              </w:rPr>
            </w:pPr>
          </w:p>
        </w:tc>
        <w:tc>
          <w:tcPr>
            <w:tcW w:w="5" w:type="pct"/>
            <w:shd w:val="clear" w:color="auto" w:fill="auto"/>
            <w:vAlign w:val="bottom"/>
          </w:tcPr>
          <w:p w14:paraId="2470C362" w14:textId="77777777" w:rsidR="009C6E2F" w:rsidRDefault="009C6E2F">
            <w:pPr>
              <w:rPr>
                <w:rFonts w:ascii="宋体"/>
              </w:rPr>
            </w:pPr>
          </w:p>
        </w:tc>
        <w:tc>
          <w:tcPr>
            <w:tcW w:w="5" w:type="pct"/>
            <w:shd w:val="clear" w:color="auto" w:fill="auto"/>
            <w:vAlign w:val="bottom"/>
          </w:tcPr>
          <w:p w14:paraId="2470C363" w14:textId="77777777" w:rsidR="009C6E2F" w:rsidRDefault="009C6E2F">
            <w:pPr>
              <w:rPr>
                <w:rFonts w:ascii="宋体"/>
              </w:rPr>
            </w:pPr>
          </w:p>
        </w:tc>
        <w:tc>
          <w:tcPr>
            <w:tcW w:w="28" w:type="pct"/>
            <w:shd w:val="clear" w:color="auto" w:fill="auto"/>
            <w:vAlign w:val="bottom"/>
          </w:tcPr>
          <w:p w14:paraId="2470C364" w14:textId="77777777" w:rsidR="009C6E2F" w:rsidRDefault="009C6E2F">
            <w:pPr>
              <w:rPr>
                <w:rFonts w:ascii="宋体"/>
              </w:rPr>
            </w:pPr>
          </w:p>
        </w:tc>
        <w:tc>
          <w:tcPr>
            <w:tcW w:w="5" w:type="pct"/>
            <w:shd w:val="clear" w:color="auto" w:fill="auto"/>
            <w:vAlign w:val="bottom"/>
          </w:tcPr>
          <w:p w14:paraId="2470C365" w14:textId="77777777" w:rsidR="009C6E2F" w:rsidRDefault="009C6E2F">
            <w:pPr>
              <w:rPr>
                <w:rFonts w:ascii="宋体"/>
              </w:rPr>
            </w:pPr>
          </w:p>
        </w:tc>
        <w:tc>
          <w:tcPr>
            <w:tcW w:w="50" w:type="pct"/>
            <w:shd w:val="clear" w:color="auto" w:fill="auto"/>
            <w:vAlign w:val="bottom"/>
          </w:tcPr>
          <w:p w14:paraId="2470C366" w14:textId="77777777" w:rsidR="009C6E2F" w:rsidRDefault="009C6E2F">
            <w:pPr>
              <w:rPr>
                <w:rFonts w:ascii="宋体"/>
              </w:rPr>
            </w:pPr>
          </w:p>
        </w:tc>
        <w:tc>
          <w:tcPr>
            <w:tcW w:w="408" w:type="pct"/>
            <w:shd w:val="clear" w:color="auto" w:fill="auto"/>
            <w:vAlign w:val="bottom"/>
          </w:tcPr>
          <w:p w14:paraId="2470C367" w14:textId="77777777" w:rsidR="009C6E2F" w:rsidRDefault="009C6E2F">
            <w:pPr>
              <w:rPr>
                <w:rFonts w:ascii="宋体"/>
              </w:rPr>
            </w:pPr>
          </w:p>
        </w:tc>
        <w:tc>
          <w:tcPr>
            <w:tcW w:w="5" w:type="pct"/>
            <w:shd w:val="clear" w:color="auto" w:fill="auto"/>
            <w:vAlign w:val="bottom"/>
          </w:tcPr>
          <w:p w14:paraId="2470C368" w14:textId="77777777" w:rsidR="009C6E2F" w:rsidRDefault="009C6E2F">
            <w:pPr>
              <w:rPr>
                <w:rFonts w:ascii="宋体"/>
              </w:rPr>
            </w:pPr>
          </w:p>
        </w:tc>
        <w:tc>
          <w:tcPr>
            <w:tcW w:w="50" w:type="pct"/>
            <w:shd w:val="clear" w:color="auto" w:fill="auto"/>
            <w:vAlign w:val="bottom"/>
          </w:tcPr>
          <w:p w14:paraId="2470C369" w14:textId="77777777" w:rsidR="009C6E2F" w:rsidRDefault="009C6E2F">
            <w:pPr>
              <w:rPr>
                <w:rFonts w:ascii="宋体"/>
              </w:rPr>
            </w:pPr>
          </w:p>
        </w:tc>
        <w:tc>
          <w:tcPr>
            <w:tcW w:w="408" w:type="pct"/>
            <w:shd w:val="clear" w:color="auto" w:fill="auto"/>
            <w:vAlign w:val="bottom"/>
          </w:tcPr>
          <w:p w14:paraId="2470C36A" w14:textId="77777777" w:rsidR="009C6E2F" w:rsidRDefault="009C6E2F">
            <w:pPr>
              <w:rPr>
                <w:rFonts w:ascii="宋体"/>
              </w:rPr>
            </w:pPr>
          </w:p>
        </w:tc>
        <w:tc>
          <w:tcPr>
            <w:tcW w:w="5" w:type="pct"/>
            <w:shd w:val="clear" w:color="auto" w:fill="auto"/>
            <w:vAlign w:val="bottom"/>
          </w:tcPr>
          <w:p w14:paraId="2470C36B" w14:textId="77777777" w:rsidR="009C6E2F" w:rsidRDefault="009C6E2F">
            <w:pPr>
              <w:rPr>
                <w:rFonts w:ascii="宋体"/>
              </w:rPr>
            </w:pPr>
          </w:p>
        </w:tc>
        <w:tc>
          <w:tcPr>
            <w:tcW w:w="50" w:type="pct"/>
            <w:shd w:val="clear" w:color="auto" w:fill="auto"/>
            <w:vAlign w:val="bottom"/>
          </w:tcPr>
          <w:p w14:paraId="2470C36C" w14:textId="77777777" w:rsidR="009C6E2F" w:rsidRDefault="009C6E2F">
            <w:pPr>
              <w:rPr>
                <w:rFonts w:ascii="宋体"/>
              </w:rPr>
            </w:pPr>
          </w:p>
        </w:tc>
        <w:tc>
          <w:tcPr>
            <w:tcW w:w="447" w:type="pct"/>
            <w:shd w:val="clear" w:color="auto" w:fill="auto"/>
            <w:vAlign w:val="bottom"/>
          </w:tcPr>
          <w:p w14:paraId="2470C36D" w14:textId="77777777" w:rsidR="009C6E2F" w:rsidRDefault="009C6E2F">
            <w:pPr>
              <w:rPr>
                <w:rFonts w:ascii="宋体"/>
              </w:rPr>
            </w:pPr>
          </w:p>
        </w:tc>
        <w:tc>
          <w:tcPr>
            <w:tcW w:w="5" w:type="pct"/>
            <w:shd w:val="clear" w:color="auto" w:fill="auto"/>
            <w:vAlign w:val="bottom"/>
          </w:tcPr>
          <w:p w14:paraId="2470C36E" w14:textId="77777777" w:rsidR="009C6E2F" w:rsidRDefault="009C6E2F">
            <w:pPr>
              <w:rPr>
                <w:rFonts w:ascii="宋体"/>
              </w:rPr>
            </w:pPr>
          </w:p>
        </w:tc>
      </w:tr>
      <w:tr w:rsidR="009C6E2F" w14:paraId="2470C372" w14:textId="77777777">
        <w:tc>
          <w:tcPr>
            <w:tcW w:w="0" w:type="auto"/>
            <w:gridSpan w:val="3"/>
            <w:shd w:val="clear" w:color="auto" w:fill="auto"/>
            <w:tcMar>
              <w:top w:w="0" w:type="dxa"/>
              <w:left w:w="20" w:type="dxa"/>
              <w:bottom w:w="0" w:type="dxa"/>
              <w:right w:w="20" w:type="dxa"/>
            </w:tcMar>
            <w:vAlign w:val="bottom"/>
          </w:tcPr>
          <w:p w14:paraId="2470C370" w14:textId="77777777" w:rsidR="009C6E2F" w:rsidRDefault="009C6E2F">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2470C371" w14:textId="77777777" w:rsidR="009C6E2F" w:rsidRDefault="007972BE">
            <w:pPr>
              <w:jc w:val="center"/>
              <w:textAlignment w:val="bottom"/>
            </w:pPr>
            <w:r>
              <w:rPr>
                <w:rFonts w:ascii="sans-serif" w:eastAsia="sans-serif" w:hAnsi="sans-serif" w:cs="sans-serif"/>
                <w:b/>
                <w:bCs/>
                <w:color w:val="000000"/>
                <w:sz w:val="17"/>
                <w:szCs w:val="17"/>
              </w:rPr>
              <w:t>NOVEMBER 30, 2021</w:t>
            </w:r>
          </w:p>
        </w:tc>
      </w:tr>
      <w:tr w:rsidR="009C6E2F" w14:paraId="2470C377" w14:textId="77777777">
        <w:tc>
          <w:tcPr>
            <w:tcW w:w="0" w:type="auto"/>
            <w:gridSpan w:val="3"/>
            <w:shd w:val="clear" w:color="auto" w:fill="auto"/>
            <w:tcMar>
              <w:top w:w="0" w:type="dxa"/>
              <w:left w:w="20" w:type="dxa"/>
              <w:bottom w:w="0" w:type="dxa"/>
              <w:right w:w="20" w:type="dxa"/>
            </w:tcMar>
            <w:vAlign w:val="bottom"/>
          </w:tcPr>
          <w:p w14:paraId="2470C373" w14:textId="77777777" w:rsidR="009C6E2F" w:rsidRDefault="009C6E2F">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470C374" w14:textId="77777777" w:rsidR="009C6E2F" w:rsidRDefault="007972BE">
            <w:pPr>
              <w:jc w:val="center"/>
              <w:textAlignment w:val="bottom"/>
            </w:pPr>
            <w:r>
              <w:rPr>
                <w:rFonts w:ascii="sans-serif" w:eastAsia="sans-serif" w:hAnsi="sans-serif" w:cs="sans-serif"/>
                <w:b/>
                <w:bCs/>
                <w:color w:val="000000"/>
                <w:sz w:val="17"/>
                <w:szCs w:val="17"/>
              </w:rPr>
              <w:t xml:space="preserve">DERIVATIVE </w:t>
            </w:r>
            <w:r>
              <w:rPr>
                <w:rFonts w:ascii="sans-serif" w:eastAsia="sans-serif" w:hAnsi="sans-serif" w:cs="sans-serif"/>
                <w:b/>
                <w:bCs/>
                <w:color w:val="000000"/>
                <w:sz w:val="17"/>
                <w:szCs w:val="17"/>
              </w:rPr>
              <w:t>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75" w14:textId="77777777" w:rsidR="009C6E2F" w:rsidRDefault="009C6E2F">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470C376" w14:textId="77777777" w:rsidR="009C6E2F" w:rsidRDefault="007972BE">
            <w:pPr>
              <w:jc w:val="center"/>
              <w:textAlignment w:val="bottom"/>
            </w:pPr>
            <w:r>
              <w:rPr>
                <w:rFonts w:ascii="sans-serif" w:eastAsia="sans-serif" w:hAnsi="sans-serif" w:cs="sans-serif"/>
                <w:b/>
                <w:bCs/>
                <w:color w:val="000000"/>
                <w:sz w:val="17"/>
                <w:szCs w:val="17"/>
              </w:rPr>
              <w:t>DERIVATIVE LIABILITIES</w:t>
            </w:r>
          </w:p>
        </w:tc>
      </w:tr>
      <w:tr w:rsidR="009C6E2F" w14:paraId="2470C380" w14:textId="77777777">
        <w:tc>
          <w:tcPr>
            <w:tcW w:w="0" w:type="auto"/>
            <w:gridSpan w:val="3"/>
            <w:shd w:val="clear" w:color="auto" w:fill="auto"/>
            <w:tcMar>
              <w:top w:w="40" w:type="dxa"/>
              <w:left w:w="20" w:type="dxa"/>
              <w:bottom w:w="40" w:type="dxa"/>
              <w:right w:w="20" w:type="dxa"/>
            </w:tcMar>
            <w:vAlign w:val="bottom"/>
          </w:tcPr>
          <w:p w14:paraId="2470C37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79" w14:textId="77777777" w:rsidR="009C6E2F" w:rsidRDefault="007972BE">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7A" w14:textId="77777777" w:rsidR="009C6E2F" w:rsidRDefault="007972BE">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7B" w14:textId="77777777" w:rsidR="009C6E2F" w:rsidRDefault="007972BE">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2470C37C"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7D" w14:textId="77777777" w:rsidR="009C6E2F" w:rsidRDefault="007972BE">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7E" w14:textId="77777777" w:rsidR="009C6E2F" w:rsidRDefault="007972BE">
            <w:pPr>
              <w:jc w:val="right"/>
              <w:textAlignment w:val="bottom"/>
            </w:pPr>
            <w:r>
              <w:rPr>
                <w:rFonts w:ascii="sans-serif" w:eastAsia="sans-serif" w:hAnsi="sans-serif" w:cs="sans-serif"/>
                <w:b/>
                <w:bCs/>
                <w:color w:val="000000"/>
                <w:sz w:val="17"/>
                <w:szCs w:val="17"/>
              </w:rPr>
              <w:t>ACCRUED 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7F" w14:textId="77777777" w:rsidR="009C6E2F" w:rsidRDefault="007972BE">
            <w:pPr>
              <w:jc w:val="right"/>
              <w:textAlignment w:val="bottom"/>
            </w:pPr>
            <w:r>
              <w:rPr>
                <w:rFonts w:ascii="sans-serif" w:eastAsia="sans-serif" w:hAnsi="sans-serif" w:cs="sans-serif"/>
                <w:b/>
                <w:bCs/>
                <w:color w:val="000000"/>
                <w:sz w:val="17"/>
                <w:szCs w:val="17"/>
              </w:rPr>
              <w:t>OTHER LONG-TERM LIABILITIES</w:t>
            </w:r>
          </w:p>
        </w:tc>
      </w:tr>
      <w:tr w:rsidR="009C6E2F" w14:paraId="2470C38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81" w14:textId="77777777" w:rsidR="009C6E2F" w:rsidRDefault="007972BE">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382"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383"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384"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385"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386"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387"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388" w14:textId="77777777" w:rsidR="009C6E2F" w:rsidRDefault="009C6E2F">
            <w:pPr>
              <w:rPr>
                <w:rFonts w:ascii="宋体"/>
              </w:rPr>
            </w:pPr>
          </w:p>
        </w:tc>
      </w:tr>
      <w:tr w:rsidR="009C6E2F" w14:paraId="2470C39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38A"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38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38C" w14:textId="77777777" w:rsidR="009C6E2F" w:rsidRDefault="007972BE">
            <w:pPr>
              <w:jc w:val="right"/>
              <w:textAlignment w:val="bottom"/>
            </w:pPr>
            <w:r>
              <w:rPr>
                <w:rFonts w:ascii="Arial" w:eastAsia="宋体" w:hAnsi="Arial" w:cs="Arial"/>
                <w:color w:val="000000"/>
                <w:sz w:val="17"/>
                <w:szCs w:val="17"/>
              </w:rPr>
              <w:t>546 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8D"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38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38F" w14:textId="77777777" w:rsidR="009C6E2F" w:rsidRDefault="007972BE">
            <w:pPr>
              <w:jc w:val="right"/>
              <w:textAlignment w:val="bottom"/>
            </w:pPr>
            <w:r>
              <w:rPr>
                <w:rFonts w:ascii="Arial" w:eastAsia="宋体" w:hAnsi="Arial" w:cs="Arial"/>
                <w:color w:val="000000"/>
                <w:sz w:val="17"/>
                <w:szCs w:val="17"/>
              </w:rPr>
              <w:t>444 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90"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39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392" w14:textId="77777777" w:rsidR="009C6E2F" w:rsidRDefault="007972BE">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93"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394"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39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396" w14:textId="77777777" w:rsidR="009C6E2F" w:rsidRDefault="007972BE">
            <w:pPr>
              <w:jc w:val="right"/>
              <w:textAlignment w:val="bottom"/>
            </w:pPr>
            <w:r>
              <w:rPr>
                <w:rFonts w:ascii="Arial" w:eastAsia="宋体" w:hAnsi="Arial" w:cs="Arial"/>
                <w:color w:val="000000"/>
                <w:sz w:val="17"/>
                <w:szCs w:val="17"/>
              </w:rPr>
              <w:t>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97"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39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399" w14:textId="77777777" w:rsidR="009C6E2F" w:rsidRDefault="007972BE">
            <w:pPr>
              <w:jc w:val="right"/>
              <w:textAlignment w:val="bottom"/>
            </w:pPr>
            <w:r>
              <w:rPr>
                <w:rFonts w:ascii="Arial" w:eastAsia="宋体" w:hAnsi="Arial" w:cs="Arial"/>
                <w:color w:val="000000"/>
                <w:sz w:val="17"/>
                <w:szCs w:val="17"/>
              </w:rPr>
              <w:t>71 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9A"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39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39C"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9D" w14:textId="77777777" w:rsidR="009C6E2F" w:rsidRDefault="009C6E2F">
            <w:pPr>
              <w:jc w:val="right"/>
              <w:rPr>
                <w:rFonts w:ascii="宋体"/>
              </w:rPr>
            </w:pPr>
          </w:p>
        </w:tc>
      </w:tr>
      <w:tr w:rsidR="009C6E2F" w14:paraId="2470C3A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39F" w14:textId="77777777" w:rsidR="009C6E2F" w:rsidRDefault="007972BE">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3A0"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A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3A2"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A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3A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A5" w14:textId="77777777" w:rsidR="009C6E2F" w:rsidRDefault="009C6E2F">
            <w:pPr>
              <w:jc w:val="right"/>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3A6"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3A7"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A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3A9"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A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3A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3AC" w14:textId="77777777" w:rsidR="009C6E2F" w:rsidRDefault="009C6E2F">
            <w:pPr>
              <w:jc w:val="right"/>
              <w:rPr>
                <w:rFonts w:ascii="宋体"/>
              </w:rPr>
            </w:pPr>
          </w:p>
        </w:tc>
      </w:tr>
      <w:tr w:rsidR="009C6E2F" w14:paraId="2470C3C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3AE" w14:textId="77777777" w:rsidR="009C6E2F" w:rsidRDefault="007972BE">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3A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3B0" w14:textId="77777777" w:rsidR="009C6E2F" w:rsidRDefault="007972BE">
            <w:pPr>
              <w:jc w:val="right"/>
              <w:textAlignment w:val="bottom"/>
            </w:pPr>
            <w:r>
              <w:rPr>
                <w:rFonts w:ascii="Arial" w:eastAsia="宋体" w:hAnsi="Arial" w:cs="Arial"/>
                <w:b/>
                <w:bCs/>
                <w:color w:val="000000"/>
                <w:sz w:val="17"/>
                <w:szCs w:val="17"/>
              </w:rPr>
              <w:t>547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3B1"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3B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3B3" w14:textId="77777777" w:rsidR="009C6E2F" w:rsidRDefault="007972BE">
            <w:pPr>
              <w:jc w:val="right"/>
              <w:textAlignment w:val="bottom"/>
            </w:pPr>
            <w:r>
              <w:rPr>
                <w:rFonts w:ascii="Arial" w:eastAsia="宋体" w:hAnsi="Arial" w:cs="Arial"/>
                <w:b/>
                <w:bCs/>
                <w:color w:val="000000"/>
                <w:sz w:val="17"/>
                <w:szCs w:val="17"/>
              </w:rPr>
              <w:t>445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3B4"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3B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3B6" w14:textId="77777777" w:rsidR="009C6E2F" w:rsidRDefault="007972BE">
            <w:pPr>
              <w:jc w:val="right"/>
              <w:textAlignment w:val="bottom"/>
            </w:pPr>
            <w:r>
              <w:rPr>
                <w:rFonts w:ascii="Arial" w:eastAsia="宋体" w:hAnsi="Arial" w:cs="Arial"/>
                <w:b/>
                <w:bCs/>
                <w:color w:val="000000"/>
                <w:sz w:val="17"/>
                <w:szCs w:val="17"/>
              </w:rPr>
              <w:t>102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3B7"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470C3B8"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3B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3BA" w14:textId="77777777" w:rsidR="009C6E2F" w:rsidRDefault="007972BE">
            <w:pPr>
              <w:jc w:val="right"/>
              <w:textAlignment w:val="bottom"/>
            </w:pPr>
            <w:r>
              <w:rPr>
                <w:rFonts w:ascii="Arial" w:eastAsia="宋体" w:hAnsi="Arial" w:cs="Arial"/>
                <w:b/>
                <w:bCs/>
                <w:color w:val="000000"/>
                <w:sz w:val="17"/>
                <w:szCs w:val="17"/>
              </w:rPr>
              <w:t>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3BB"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3B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3BD" w14:textId="77777777" w:rsidR="009C6E2F" w:rsidRDefault="007972BE">
            <w:pPr>
              <w:jc w:val="right"/>
              <w:textAlignment w:val="bottom"/>
            </w:pPr>
            <w:r>
              <w:rPr>
                <w:rFonts w:ascii="Arial" w:eastAsia="宋体" w:hAnsi="Arial" w:cs="Arial"/>
                <w:b/>
                <w:bCs/>
                <w:color w:val="000000"/>
                <w:sz w:val="17"/>
                <w:szCs w:val="17"/>
              </w:rPr>
              <w:t>75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3BE"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3B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3C0" w14:textId="77777777" w:rsidR="009C6E2F" w:rsidRDefault="007972BE">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3C1" w14:textId="77777777" w:rsidR="009C6E2F" w:rsidRDefault="009C6E2F">
            <w:pPr>
              <w:jc w:val="right"/>
              <w:rPr>
                <w:rFonts w:ascii="宋体"/>
              </w:rPr>
            </w:pPr>
          </w:p>
        </w:tc>
      </w:tr>
    </w:tbl>
    <w:p w14:paraId="2470C3C3"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(1)If the foreign exchange derivative instruments had been netted on the U</w:t>
      </w:r>
      <w:r>
        <w:rPr>
          <w:rFonts w:ascii="Arial" w:eastAsia="宋体" w:hAnsi="Arial" w:cs="Arial"/>
          <w:i/>
          <w:iCs/>
          <w:color w:val="000000"/>
          <w:sz w:val="14"/>
          <w:szCs w:val="14"/>
        </w:rPr>
        <w:t>naudited Condensed Consolidated Balance Sheets, the asset and liability positions each would have been reduced by $75 million as of November 30, 2021. As of that date, the Company received $141 million of cash collateral from various counterparties related</w:t>
      </w:r>
      <w:r>
        <w:rPr>
          <w:rFonts w:ascii="Arial" w:eastAsia="宋体" w:hAnsi="Arial" w:cs="Arial"/>
          <w:i/>
          <w:iCs/>
          <w:color w:val="000000"/>
          <w:sz w:val="14"/>
          <w:szCs w:val="14"/>
        </w:rPr>
        <w:t xml:space="preserve"> to the foreign exchange derivative instruments. No amount of collateral was posted on the derivative liability balance as of November 30, 2021.</w:t>
      </w:r>
    </w:p>
    <w:p w14:paraId="2470C3C4" w14:textId="77777777" w:rsidR="009C6E2F" w:rsidRDefault="007972BE">
      <w:pPr>
        <w:spacing w:before="120" w:after="120"/>
        <w:jc w:val="right"/>
      </w:pPr>
      <w:r>
        <w:rPr>
          <w:rFonts w:ascii="Arial" w:eastAsia="宋体" w:hAnsi="Arial" w:cs="Arial"/>
          <w:color w:val="E87722"/>
          <w:sz w:val="17"/>
          <w:szCs w:val="17"/>
        </w:rPr>
        <w:t>9</w:t>
      </w:r>
    </w:p>
    <w:p w14:paraId="2470C3C5" w14:textId="77777777" w:rsidR="009C6E2F" w:rsidRDefault="007972BE">
      <w:r>
        <w:pict w14:anchorId="2470E1EE">
          <v:rect id="_x0000_i1035" style="width:415.3pt;height:1.5pt" o:hralign="center" o:hrstd="t" o:hr="t" fillcolor="#a0a0a0" stroked="f"/>
        </w:pict>
      </w:r>
    </w:p>
    <w:p w14:paraId="2470C3C6" w14:textId="77777777" w:rsidR="009C6E2F" w:rsidRDefault="009C6E2F"/>
    <w:p w14:paraId="2470C3C7" w14:textId="77777777" w:rsidR="009C6E2F" w:rsidRDefault="007972BE">
      <w:hyperlink r:id="rId78" w:anchor="i9e023a7388204bdbacd6aa338988f838_7" w:history="1">
        <w:r>
          <w:rPr>
            <w:rStyle w:val="a5"/>
            <w:rFonts w:ascii="sans-serif" w:eastAsia="sans-serif" w:hAnsi="sans-serif" w:cs="sans-serif"/>
            <w:sz w:val="17"/>
            <w:szCs w:val="17"/>
          </w:rPr>
          <w:t>Table of Contents</w:t>
        </w:r>
      </w:hyperlink>
    </w:p>
    <w:p w14:paraId="2470C3C8" w14:textId="77777777" w:rsidR="009C6E2F" w:rsidRDefault="009C6E2F"/>
    <w:tbl>
      <w:tblPr>
        <w:tblW w:w="4992" w:type="pct"/>
        <w:tblCellMar>
          <w:top w:w="15" w:type="dxa"/>
          <w:left w:w="15" w:type="dxa"/>
          <w:bottom w:w="15" w:type="dxa"/>
          <w:right w:w="15" w:type="dxa"/>
        </w:tblCellMar>
        <w:tblLook w:val="04A0" w:firstRow="1" w:lastRow="0" w:firstColumn="1" w:lastColumn="0" w:noHBand="0" w:noVBand="1"/>
      </w:tblPr>
      <w:tblGrid>
        <w:gridCol w:w="39"/>
        <w:gridCol w:w="3059"/>
        <w:gridCol w:w="38"/>
        <w:gridCol w:w="116"/>
        <w:gridCol w:w="487"/>
        <w:gridCol w:w="36"/>
        <w:gridCol w:w="116"/>
        <w:gridCol w:w="628"/>
        <w:gridCol w:w="36"/>
        <w:gridCol w:w="116"/>
        <w:gridCol w:w="811"/>
        <w:gridCol w:w="36"/>
        <w:gridCol w:w="36"/>
        <w:gridCol w:w="36"/>
        <w:gridCol w:w="36"/>
        <w:gridCol w:w="116"/>
        <w:gridCol w:w="715"/>
        <w:gridCol w:w="36"/>
        <w:gridCol w:w="116"/>
        <w:gridCol w:w="715"/>
        <w:gridCol w:w="36"/>
        <w:gridCol w:w="116"/>
        <w:gridCol w:w="811"/>
        <w:gridCol w:w="36"/>
      </w:tblGrid>
      <w:tr w:rsidR="009C6E2F" w14:paraId="2470C3E1" w14:textId="77777777">
        <w:tc>
          <w:tcPr>
            <w:tcW w:w="50" w:type="pct"/>
            <w:shd w:val="clear" w:color="auto" w:fill="auto"/>
            <w:vAlign w:val="bottom"/>
          </w:tcPr>
          <w:p w14:paraId="2470C3C9" w14:textId="77777777" w:rsidR="009C6E2F" w:rsidRDefault="009C6E2F">
            <w:pPr>
              <w:rPr>
                <w:rFonts w:ascii="宋体"/>
              </w:rPr>
            </w:pPr>
          </w:p>
        </w:tc>
        <w:tc>
          <w:tcPr>
            <w:tcW w:w="2047" w:type="pct"/>
            <w:shd w:val="clear" w:color="auto" w:fill="auto"/>
            <w:vAlign w:val="bottom"/>
          </w:tcPr>
          <w:p w14:paraId="2470C3CA" w14:textId="77777777" w:rsidR="009C6E2F" w:rsidRDefault="009C6E2F">
            <w:pPr>
              <w:rPr>
                <w:rFonts w:ascii="宋体"/>
              </w:rPr>
            </w:pPr>
          </w:p>
        </w:tc>
        <w:tc>
          <w:tcPr>
            <w:tcW w:w="5" w:type="pct"/>
            <w:shd w:val="clear" w:color="auto" w:fill="auto"/>
            <w:vAlign w:val="bottom"/>
          </w:tcPr>
          <w:p w14:paraId="2470C3CB" w14:textId="77777777" w:rsidR="009C6E2F" w:rsidRDefault="009C6E2F">
            <w:pPr>
              <w:rPr>
                <w:rFonts w:ascii="宋体"/>
              </w:rPr>
            </w:pPr>
          </w:p>
        </w:tc>
        <w:tc>
          <w:tcPr>
            <w:tcW w:w="50" w:type="pct"/>
            <w:shd w:val="clear" w:color="auto" w:fill="auto"/>
            <w:vAlign w:val="bottom"/>
          </w:tcPr>
          <w:p w14:paraId="2470C3CC" w14:textId="77777777" w:rsidR="009C6E2F" w:rsidRDefault="009C6E2F">
            <w:pPr>
              <w:rPr>
                <w:rFonts w:ascii="宋体"/>
              </w:rPr>
            </w:pPr>
          </w:p>
        </w:tc>
        <w:tc>
          <w:tcPr>
            <w:tcW w:w="408" w:type="pct"/>
            <w:shd w:val="clear" w:color="auto" w:fill="auto"/>
            <w:vAlign w:val="bottom"/>
          </w:tcPr>
          <w:p w14:paraId="2470C3CD" w14:textId="77777777" w:rsidR="009C6E2F" w:rsidRDefault="009C6E2F">
            <w:pPr>
              <w:rPr>
                <w:rFonts w:ascii="宋体"/>
              </w:rPr>
            </w:pPr>
          </w:p>
        </w:tc>
        <w:tc>
          <w:tcPr>
            <w:tcW w:w="5" w:type="pct"/>
            <w:shd w:val="clear" w:color="auto" w:fill="auto"/>
            <w:vAlign w:val="bottom"/>
          </w:tcPr>
          <w:p w14:paraId="2470C3CE" w14:textId="77777777" w:rsidR="009C6E2F" w:rsidRDefault="009C6E2F">
            <w:pPr>
              <w:rPr>
                <w:rFonts w:ascii="宋体"/>
              </w:rPr>
            </w:pPr>
          </w:p>
        </w:tc>
        <w:tc>
          <w:tcPr>
            <w:tcW w:w="50" w:type="pct"/>
            <w:shd w:val="clear" w:color="auto" w:fill="auto"/>
            <w:vAlign w:val="bottom"/>
          </w:tcPr>
          <w:p w14:paraId="2470C3CF" w14:textId="77777777" w:rsidR="009C6E2F" w:rsidRDefault="009C6E2F">
            <w:pPr>
              <w:rPr>
                <w:rFonts w:ascii="宋体"/>
              </w:rPr>
            </w:pPr>
          </w:p>
        </w:tc>
        <w:tc>
          <w:tcPr>
            <w:tcW w:w="408" w:type="pct"/>
            <w:shd w:val="clear" w:color="auto" w:fill="auto"/>
            <w:vAlign w:val="bottom"/>
          </w:tcPr>
          <w:p w14:paraId="2470C3D0" w14:textId="77777777" w:rsidR="009C6E2F" w:rsidRDefault="009C6E2F">
            <w:pPr>
              <w:rPr>
                <w:rFonts w:ascii="宋体"/>
              </w:rPr>
            </w:pPr>
          </w:p>
        </w:tc>
        <w:tc>
          <w:tcPr>
            <w:tcW w:w="5" w:type="pct"/>
            <w:shd w:val="clear" w:color="auto" w:fill="auto"/>
            <w:vAlign w:val="bottom"/>
          </w:tcPr>
          <w:p w14:paraId="2470C3D1" w14:textId="77777777" w:rsidR="009C6E2F" w:rsidRDefault="009C6E2F">
            <w:pPr>
              <w:rPr>
                <w:rFonts w:ascii="宋体"/>
              </w:rPr>
            </w:pPr>
          </w:p>
        </w:tc>
        <w:tc>
          <w:tcPr>
            <w:tcW w:w="50" w:type="pct"/>
            <w:shd w:val="clear" w:color="auto" w:fill="auto"/>
            <w:vAlign w:val="bottom"/>
          </w:tcPr>
          <w:p w14:paraId="2470C3D2" w14:textId="77777777" w:rsidR="009C6E2F" w:rsidRDefault="009C6E2F">
            <w:pPr>
              <w:rPr>
                <w:rFonts w:ascii="宋体"/>
              </w:rPr>
            </w:pPr>
          </w:p>
        </w:tc>
        <w:tc>
          <w:tcPr>
            <w:tcW w:w="447" w:type="pct"/>
            <w:shd w:val="clear" w:color="auto" w:fill="auto"/>
            <w:vAlign w:val="bottom"/>
          </w:tcPr>
          <w:p w14:paraId="2470C3D3" w14:textId="77777777" w:rsidR="009C6E2F" w:rsidRDefault="009C6E2F">
            <w:pPr>
              <w:rPr>
                <w:rFonts w:ascii="宋体"/>
              </w:rPr>
            </w:pPr>
          </w:p>
        </w:tc>
        <w:tc>
          <w:tcPr>
            <w:tcW w:w="5" w:type="pct"/>
            <w:shd w:val="clear" w:color="auto" w:fill="auto"/>
            <w:vAlign w:val="bottom"/>
          </w:tcPr>
          <w:p w14:paraId="2470C3D4" w14:textId="77777777" w:rsidR="009C6E2F" w:rsidRDefault="009C6E2F">
            <w:pPr>
              <w:rPr>
                <w:rFonts w:ascii="宋体"/>
              </w:rPr>
            </w:pPr>
          </w:p>
        </w:tc>
        <w:tc>
          <w:tcPr>
            <w:tcW w:w="5" w:type="pct"/>
            <w:shd w:val="clear" w:color="auto" w:fill="auto"/>
            <w:vAlign w:val="bottom"/>
          </w:tcPr>
          <w:p w14:paraId="2470C3D5" w14:textId="77777777" w:rsidR="009C6E2F" w:rsidRDefault="009C6E2F">
            <w:pPr>
              <w:rPr>
                <w:rFonts w:ascii="宋体"/>
              </w:rPr>
            </w:pPr>
          </w:p>
        </w:tc>
        <w:tc>
          <w:tcPr>
            <w:tcW w:w="28" w:type="pct"/>
            <w:shd w:val="clear" w:color="auto" w:fill="auto"/>
            <w:vAlign w:val="bottom"/>
          </w:tcPr>
          <w:p w14:paraId="2470C3D6" w14:textId="77777777" w:rsidR="009C6E2F" w:rsidRDefault="009C6E2F">
            <w:pPr>
              <w:rPr>
                <w:rFonts w:ascii="宋体"/>
              </w:rPr>
            </w:pPr>
          </w:p>
        </w:tc>
        <w:tc>
          <w:tcPr>
            <w:tcW w:w="5" w:type="pct"/>
            <w:shd w:val="clear" w:color="auto" w:fill="auto"/>
            <w:vAlign w:val="bottom"/>
          </w:tcPr>
          <w:p w14:paraId="2470C3D7" w14:textId="77777777" w:rsidR="009C6E2F" w:rsidRDefault="009C6E2F">
            <w:pPr>
              <w:rPr>
                <w:rFonts w:ascii="宋体"/>
              </w:rPr>
            </w:pPr>
          </w:p>
        </w:tc>
        <w:tc>
          <w:tcPr>
            <w:tcW w:w="50" w:type="pct"/>
            <w:shd w:val="clear" w:color="auto" w:fill="auto"/>
            <w:vAlign w:val="bottom"/>
          </w:tcPr>
          <w:p w14:paraId="2470C3D8" w14:textId="77777777" w:rsidR="009C6E2F" w:rsidRDefault="009C6E2F">
            <w:pPr>
              <w:rPr>
                <w:rFonts w:ascii="宋体"/>
              </w:rPr>
            </w:pPr>
          </w:p>
        </w:tc>
        <w:tc>
          <w:tcPr>
            <w:tcW w:w="408" w:type="pct"/>
            <w:shd w:val="clear" w:color="auto" w:fill="auto"/>
            <w:vAlign w:val="bottom"/>
          </w:tcPr>
          <w:p w14:paraId="2470C3D9" w14:textId="77777777" w:rsidR="009C6E2F" w:rsidRDefault="009C6E2F">
            <w:pPr>
              <w:rPr>
                <w:rFonts w:ascii="宋体"/>
              </w:rPr>
            </w:pPr>
          </w:p>
        </w:tc>
        <w:tc>
          <w:tcPr>
            <w:tcW w:w="5" w:type="pct"/>
            <w:shd w:val="clear" w:color="auto" w:fill="auto"/>
            <w:vAlign w:val="bottom"/>
          </w:tcPr>
          <w:p w14:paraId="2470C3DA" w14:textId="77777777" w:rsidR="009C6E2F" w:rsidRDefault="009C6E2F">
            <w:pPr>
              <w:rPr>
                <w:rFonts w:ascii="宋体"/>
              </w:rPr>
            </w:pPr>
          </w:p>
        </w:tc>
        <w:tc>
          <w:tcPr>
            <w:tcW w:w="50" w:type="pct"/>
            <w:shd w:val="clear" w:color="auto" w:fill="auto"/>
            <w:vAlign w:val="bottom"/>
          </w:tcPr>
          <w:p w14:paraId="2470C3DB" w14:textId="77777777" w:rsidR="009C6E2F" w:rsidRDefault="009C6E2F">
            <w:pPr>
              <w:rPr>
                <w:rFonts w:ascii="宋体"/>
              </w:rPr>
            </w:pPr>
          </w:p>
        </w:tc>
        <w:tc>
          <w:tcPr>
            <w:tcW w:w="408" w:type="pct"/>
            <w:shd w:val="clear" w:color="auto" w:fill="auto"/>
            <w:vAlign w:val="bottom"/>
          </w:tcPr>
          <w:p w14:paraId="2470C3DC" w14:textId="77777777" w:rsidR="009C6E2F" w:rsidRDefault="009C6E2F">
            <w:pPr>
              <w:rPr>
                <w:rFonts w:ascii="宋体"/>
              </w:rPr>
            </w:pPr>
          </w:p>
        </w:tc>
        <w:tc>
          <w:tcPr>
            <w:tcW w:w="5" w:type="pct"/>
            <w:shd w:val="clear" w:color="auto" w:fill="auto"/>
            <w:vAlign w:val="bottom"/>
          </w:tcPr>
          <w:p w14:paraId="2470C3DD" w14:textId="77777777" w:rsidR="009C6E2F" w:rsidRDefault="009C6E2F">
            <w:pPr>
              <w:rPr>
                <w:rFonts w:ascii="宋体"/>
              </w:rPr>
            </w:pPr>
          </w:p>
        </w:tc>
        <w:tc>
          <w:tcPr>
            <w:tcW w:w="50" w:type="pct"/>
            <w:shd w:val="clear" w:color="auto" w:fill="auto"/>
            <w:vAlign w:val="bottom"/>
          </w:tcPr>
          <w:p w14:paraId="2470C3DE" w14:textId="77777777" w:rsidR="009C6E2F" w:rsidRDefault="009C6E2F">
            <w:pPr>
              <w:rPr>
                <w:rFonts w:ascii="宋体"/>
              </w:rPr>
            </w:pPr>
          </w:p>
        </w:tc>
        <w:tc>
          <w:tcPr>
            <w:tcW w:w="447" w:type="pct"/>
            <w:shd w:val="clear" w:color="auto" w:fill="auto"/>
            <w:vAlign w:val="bottom"/>
          </w:tcPr>
          <w:p w14:paraId="2470C3DF" w14:textId="77777777" w:rsidR="009C6E2F" w:rsidRDefault="009C6E2F">
            <w:pPr>
              <w:rPr>
                <w:rFonts w:ascii="宋体"/>
              </w:rPr>
            </w:pPr>
          </w:p>
        </w:tc>
        <w:tc>
          <w:tcPr>
            <w:tcW w:w="5" w:type="pct"/>
            <w:shd w:val="clear" w:color="auto" w:fill="auto"/>
            <w:vAlign w:val="bottom"/>
          </w:tcPr>
          <w:p w14:paraId="2470C3E0" w14:textId="77777777" w:rsidR="009C6E2F" w:rsidRDefault="009C6E2F">
            <w:pPr>
              <w:rPr>
                <w:rFonts w:ascii="宋体"/>
              </w:rPr>
            </w:pPr>
          </w:p>
        </w:tc>
      </w:tr>
      <w:tr w:rsidR="009C6E2F" w14:paraId="2470C3E4" w14:textId="77777777">
        <w:tc>
          <w:tcPr>
            <w:tcW w:w="0" w:type="auto"/>
            <w:gridSpan w:val="3"/>
            <w:shd w:val="clear" w:color="auto" w:fill="auto"/>
            <w:tcMar>
              <w:top w:w="0" w:type="dxa"/>
              <w:left w:w="20" w:type="dxa"/>
              <w:bottom w:w="0" w:type="dxa"/>
              <w:right w:w="20" w:type="dxa"/>
            </w:tcMar>
            <w:vAlign w:val="bottom"/>
          </w:tcPr>
          <w:p w14:paraId="2470C3E2" w14:textId="77777777" w:rsidR="009C6E2F" w:rsidRDefault="009C6E2F">
            <w:pPr>
              <w:rPr>
                <w:rFonts w:ascii="宋体"/>
              </w:rPr>
            </w:pPr>
          </w:p>
        </w:tc>
        <w:tc>
          <w:tcPr>
            <w:tcW w:w="0" w:type="auto"/>
            <w:gridSpan w:val="21"/>
            <w:tcBorders>
              <w:bottom w:val="single" w:sz="8" w:space="0" w:color="E87722"/>
            </w:tcBorders>
            <w:shd w:val="clear" w:color="auto" w:fill="auto"/>
            <w:tcMar>
              <w:top w:w="40" w:type="dxa"/>
              <w:left w:w="20" w:type="dxa"/>
              <w:bottom w:w="40" w:type="dxa"/>
              <w:right w:w="20" w:type="dxa"/>
            </w:tcMar>
            <w:vAlign w:val="bottom"/>
          </w:tcPr>
          <w:p w14:paraId="2470C3E3" w14:textId="77777777" w:rsidR="009C6E2F" w:rsidRDefault="007972BE">
            <w:pPr>
              <w:jc w:val="center"/>
              <w:textAlignment w:val="bottom"/>
            </w:pPr>
            <w:r>
              <w:rPr>
                <w:rFonts w:ascii="sans-serif" w:eastAsia="sans-serif" w:hAnsi="sans-serif" w:cs="sans-serif"/>
                <w:b/>
                <w:bCs/>
                <w:color w:val="000000"/>
                <w:sz w:val="17"/>
                <w:szCs w:val="17"/>
              </w:rPr>
              <w:t>MAY 31, 2021</w:t>
            </w:r>
          </w:p>
        </w:tc>
      </w:tr>
      <w:tr w:rsidR="009C6E2F" w14:paraId="2470C3E9" w14:textId="77777777">
        <w:tc>
          <w:tcPr>
            <w:tcW w:w="0" w:type="auto"/>
            <w:gridSpan w:val="3"/>
            <w:shd w:val="clear" w:color="auto" w:fill="auto"/>
            <w:tcMar>
              <w:top w:w="0" w:type="dxa"/>
              <w:left w:w="20" w:type="dxa"/>
              <w:bottom w:w="0" w:type="dxa"/>
              <w:right w:w="20" w:type="dxa"/>
            </w:tcMar>
            <w:vAlign w:val="bottom"/>
          </w:tcPr>
          <w:p w14:paraId="2470C3E5" w14:textId="77777777" w:rsidR="009C6E2F" w:rsidRDefault="009C6E2F">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470C3E6" w14:textId="77777777" w:rsidR="009C6E2F" w:rsidRDefault="007972BE">
            <w:pPr>
              <w:jc w:val="center"/>
              <w:textAlignment w:val="bottom"/>
            </w:pPr>
            <w:r>
              <w:rPr>
                <w:rFonts w:ascii="sans-serif" w:eastAsia="sans-serif" w:hAnsi="sans-serif" w:cs="sans-serif"/>
                <w:b/>
                <w:bCs/>
                <w:color w:val="000000"/>
                <w:sz w:val="17"/>
                <w:szCs w:val="17"/>
              </w:rPr>
              <w:t>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E7" w14:textId="77777777" w:rsidR="009C6E2F" w:rsidRDefault="009C6E2F">
            <w:pPr>
              <w:rPr>
                <w:rFonts w:ascii="宋体"/>
              </w:rPr>
            </w:pPr>
          </w:p>
        </w:tc>
        <w:tc>
          <w:tcPr>
            <w:tcW w:w="0" w:type="auto"/>
            <w:gridSpan w:val="9"/>
            <w:tcBorders>
              <w:top w:val="single" w:sz="8" w:space="0" w:color="E87722"/>
            </w:tcBorders>
            <w:shd w:val="clear" w:color="auto" w:fill="auto"/>
            <w:tcMar>
              <w:top w:w="40" w:type="dxa"/>
              <w:left w:w="20" w:type="dxa"/>
              <w:bottom w:w="40" w:type="dxa"/>
              <w:right w:w="20" w:type="dxa"/>
            </w:tcMar>
            <w:vAlign w:val="bottom"/>
          </w:tcPr>
          <w:p w14:paraId="2470C3E8" w14:textId="77777777" w:rsidR="009C6E2F" w:rsidRDefault="007972BE">
            <w:pPr>
              <w:jc w:val="center"/>
              <w:textAlignment w:val="bottom"/>
            </w:pPr>
            <w:r>
              <w:rPr>
                <w:rFonts w:ascii="sans-serif" w:eastAsia="sans-serif" w:hAnsi="sans-serif" w:cs="sans-serif"/>
                <w:b/>
                <w:bCs/>
                <w:color w:val="000000"/>
                <w:sz w:val="17"/>
                <w:szCs w:val="17"/>
              </w:rPr>
              <w:t>DERIVATIVE LIABILITIES</w:t>
            </w:r>
          </w:p>
        </w:tc>
      </w:tr>
      <w:tr w:rsidR="009C6E2F" w14:paraId="2470C3F2" w14:textId="77777777">
        <w:tc>
          <w:tcPr>
            <w:tcW w:w="0" w:type="auto"/>
            <w:gridSpan w:val="3"/>
            <w:shd w:val="clear" w:color="auto" w:fill="auto"/>
            <w:tcMar>
              <w:top w:w="40" w:type="dxa"/>
              <w:left w:w="20" w:type="dxa"/>
              <w:bottom w:w="40" w:type="dxa"/>
              <w:right w:w="20" w:type="dxa"/>
            </w:tcMar>
            <w:vAlign w:val="bottom"/>
          </w:tcPr>
          <w:p w14:paraId="2470C3EA"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EB" w14:textId="77777777" w:rsidR="009C6E2F" w:rsidRDefault="007972BE">
            <w:pPr>
              <w:jc w:val="right"/>
              <w:textAlignment w:val="bottom"/>
            </w:pPr>
            <w:r>
              <w:rPr>
                <w:rFonts w:ascii="sans-serif" w:eastAsia="sans-serif" w:hAnsi="sans-serif" w:cs="sans-serif"/>
                <w:b/>
                <w:bCs/>
                <w:color w:val="000000"/>
                <w:sz w:val="17"/>
                <w:szCs w:val="17"/>
              </w:rPr>
              <w:t>ASSETS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EC" w14:textId="77777777" w:rsidR="009C6E2F" w:rsidRDefault="007972BE">
            <w:pPr>
              <w:jc w:val="right"/>
              <w:textAlignment w:val="bottom"/>
            </w:pPr>
            <w:r>
              <w:rPr>
                <w:rFonts w:ascii="sans-serif" w:eastAsia="sans-serif" w:hAnsi="sans-serif" w:cs="sans-serif"/>
                <w:b/>
                <w:bCs/>
                <w:color w:val="000000"/>
                <w:sz w:val="17"/>
                <w:szCs w:val="17"/>
              </w:rPr>
              <w:t>OTHER CURRENT ASSETS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ED" w14:textId="77777777" w:rsidR="009C6E2F" w:rsidRDefault="007972BE">
            <w:pPr>
              <w:jc w:val="right"/>
              <w:textAlignment w:val="bottom"/>
            </w:pPr>
            <w:r>
              <w:rPr>
                <w:rFonts w:ascii="sans-serif" w:eastAsia="sans-serif" w:hAnsi="sans-serif" w:cs="sans-serif"/>
                <w:b/>
                <w:bCs/>
                <w:color w:val="000000"/>
                <w:sz w:val="17"/>
                <w:szCs w:val="17"/>
              </w:rPr>
              <w:t>OTHER LONG-TERM ASSETS</w:t>
            </w:r>
          </w:p>
        </w:tc>
        <w:tc>
          <w:tcPr>
            <w:tcW w:w="0" w:type="auto"/>
            <w:gridSpan w:val="3"/>
            <w:shd w:val="clear" w:color="auto" w:fill="auto"/>
            <w:tcMar>
              <w:top w:w="0" w:type="dxa"/>
              <w:left w:w="20" w:type="dxa"/>
              <w:bottom w:w="0" w:type="dxa"/>
              <w:right w:w="20" w:type="dxa"/>
            </w:tcMar>
            <w:vAlign w:val="bottom"/>
          </w:tcPr>
          <w:p w14:paraId="2470C3EE"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EF" w14:textId="77777777" w:rsidR="009C6E2F" w:rsidRDefault="007972BE">
            <w:pPr>
              <w:jc w:val="right"/>
              <w:textAlignment w:val="bottom"/>
            </w:pPr>
            <w:r>
              <w:rPr>
                <w:rFonts w:ascii="sans-serif" w:eastAsia="sans-serif" w:hAnsi="sans-serif" w:cs="sans-serif"/>
                <w:b/>
                <w:bCs/>
                <w:color w:val="000000"/>
                <w:sz w:val="17"/>
                <w:szCs w:val="17"/>
              </w:rPr>
              <w:t>LIABILITIES AT FAIR VALUE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F0" w14:textId="77777777" w:rsidR="009C6E2F" w:rsidRDefault="007972BE">
            <w:pPr>
              <w:jc w:val="right"/>
              <w:textAlignment w:val="bottom"/>
            </w:pPr>
            <w:r>
              <w:rPr>
                <w:rFonts w:ascii="sans-serif" w:eastAsia="sans-serif" w:hAnsi="sans-serif" w:cs="sans-serif"/>
                <w:b/>
                <w:bCs/>
                <w:color w:val="000000"/>
                <w:sz w:val="17"/>
                <w:szCs w:val="17"/>
              </w:rPr>
              <w:t xml:space="preserve">ACCRUED </w:t>
            </w:r>
            <w:r>
              <w:rPr>
                <w:rFonts w:ascii="sans-serif" w:eastAsia="sans-serif" w:hAnsi="sans-serif" w:cs="sans-serif"/>
                <w:b/>
                <w:bCs/>
                <w:color w:val="000000"/>
                <w:sz w:val="17"/>
                <w:szCs w:val="17"/>
              </w:rPr>
              <w:t>LIABILITIES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F1" w14:textId="77777777" w:rsidR="009C6E2F" w:rsidRDefault="007972BE">
            <w:pPr>
              <w:jc w:val="right"/>
              <w:textAlignment w:val="bottom"/>
            </w:pPr>
            <w:r>
              <w:rPr>
                <w:rFonts w:ascii="sans-serif" w:eastAsia="sans-serif" w:hAnsi="sans-serif" w:cs="sans-serif"/>
                <w:b/>
                <w:bCs/>
                <w:color w:val="000000"/>
                <w:sz w:val="17"/>
                <w:szCs w:val="17"/>
              </w:rPr>
              <w:t>OTHER LONG-TERM LIABILITIES</w:t>
            </w:r>
          </w:p>
        </w:tc>
      </w:tr>
      <w:tr w:rsidR="009C6E2F" w14:paraId="2470C3F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3F3" w14:textId="77777777" w:rsidR="009C6E2F" w:rsidRDefault="007972BE">
            <w:pPr>
              <w:textAlignment w:val="bottom"/>
            </w:pPr>
            <w:r>
              <w:rPr>
                <w:rFonts w:ascii="Arial" w:eastAsia="宋体" w:hAnsi="Arial" w:cs="Arial"/>
                <w:color w:val="000000"/>
                <w:sz w:val="17"/>
                <w:szCs w:val="17"/>
                <w:u w:val="single"/>
              </w:rPr>
              <w:t>Level 2:</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F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F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F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F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F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F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3FA" w14:textId="77777777" w:rsidR="009C6E2F" w:rsidRDefault="009C6E2F">
            <w:pPr>
              <w:rPr>
                <w:rFonts w:ascii="宋体"/>
              </w:rPr>
            </w:pPr>
          </w:p>
        </w:tc>
      </w:tr>
      <w:tr w:rsidR="009C6E2F" w14:paraId="2470C41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3FC"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Foreign exchange forwards and options</w:t>
            </w:r>
            <w:r>
              <w:rPr>
                <w:rFonts w:ascii="Arial" w:eastAsia="宋体" w:hAnsi="Arial" w:cs="Arial"/>
                <w:color w:val="000000"/>
                <w:sz w:val="11"/>
                <w:szCs w:val="11"/>
              </w:rPr>
              <w:t>(1)</w:t>
            </w:r>
          </w:p>
        </w:tc>
        <w:tc>
          <w:tcPr>
            <w:tcW w:w="0" w:type="auto"/>
            <w:tcBorders>
              <w:top w:val="single" w:sz="4" w:space="0" w:color="808080"/>
            </w:tcBorders>
            <w:shd w:val="clear" w:color="auto" w:fill="auto"/>
            <w:tcMar>
              <w:top w:w="40" w:type="dxa"/>
              <w:left w:w="20" w:type="dxa"/>
              <w:bottom w:w="40" w:type="dxa"/>
              <w:right w:w="0" w:type="dxa"/>
            </w:tcMar>
            <w:vAlign w:val="bottom"/>
          </w:tcPr>
          <w:p w14:paraId="2470C3F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3FE" w14:textId="77777777" w:rsidR="009C6E2F" w:rsidRDefault="007972BE">
            <w:pPr>
              <w:jc w:val="right"/>
              <w:textAlignment w:val="bottom"/>
            </w:pPr>
            <w:r>
              <w:rPr>
                <w:rFonts w:ascii="Arial" w:eastAsia="宋体" w:hAnsi="Arial" w:cs="Arial"/>
                <w:color w:val="000000"/>
                <w:sz w:val="17"/>
                <w:szCs w:val="17"/>
              </w:rPr>
              <w:t>92 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3FF"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40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401" w14:textId="77777777" w:rsidR="009C6E2F" w:rsidRDefault="007972BE">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02"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40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404"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0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406"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40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408" w14:textId="77777777" w:rsidR="009C6E2F" w:rsidRDefault="007972BE">
            <w:pPr>
              <w:jc w:val="right"/>
              <w:textAlignment w:val="bottom"/>
            </w:pPr>
            <w:r>
              <w:rPr>
                <w:rFonts w:ascii="Arial" w:eastAsia="宋体" w:hAnsi="Arial" w:cs="Arial"/>
                <w:color w:val="000000"/>
                <w:sz w:val="17"/>
                <w:szCs w:val="17"/>
              </w:rPr>
              <w:t>456 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09"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40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40B" w14:textId="77777777" w:rsidR="009C6E2F" w:rsidRDefault="007972BE">
            <w:pPr>
              <w:jc w:val="right"/>
              <w:textAlignment w:val="bottom"/>
            </w:pPr>
            <w:r>
              <w:rPr>
                <w:rFonts w:ascii="Arial" w:eastAsia="宋体" w:hAnsi="Arial" w:cs="Arial"/>
                <w:color w:val="000000"/>
                <w:sz w:val="17"/>
                <w:szCs w:val="17"/>
              </w:rPr>
              <w:t>415 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0C"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40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40E" w14:textId="77777777" w:rsidR="009C6E2F" w:rsidRDefault="007972BE">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0F" w14:textId="77777777" w:rsidR="009C6E2F" w:rsidRDefault="009C6E2F">
            <w:pPr>
              <w:jc w:val="right"/>
              <w:rPr>
                <w:rFonts w:ascii="宋体"/>
              </w:rPr>
            </w:pPr>
          </w:p>
        </w:tc>
      </w:tr>
      <w:tr w:rsidR="009C6E2F" w14:paraId="2470C41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411" w14:textId="77777777" w:rsidR="009C6E2F" w:rsidRDefault="007972BE">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12"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1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1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1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16"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1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418"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19"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1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1B"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1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1D"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1E" w14:textId="77777777" w:rsidR="009C6E2F" w:rsidRDefault="009C6E2F">
            <w:pPr>
              <w:jc w:val="right"/>
              <w:rPr>
                <w:rFonts w:ascii="宋体"/>
              </w:rPr>
            </w:pPr>
          </w:p>
        </w:tc>
      </w:tr>
      <w:tr w:rsidR="009C6E2F" w14:paraId="2470C43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420" w14:textId="77777777" w:rsidR="009C6E2F" w:rsidRDefault="007972BE">
            <w:pPr>
              <w:textAlignment w:val="bottom"/>
            </w:pPr>
            <w:r>
              <w:rPr>
                <w:rFonts w:ascii="Arial" w:eastAsia="宋体" w:hAnsi="Arial" w:cs="Arial"/>
                <w:b/>
                <w:bCs/>
                <w:color w:val="000000"/>
                <w:sz w:val="17"/>
                <w:szCs w:val="17"/>
              </w:rPr>
              <w:t>TOTAL</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2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22" w14:textId="77777777" w:rsidR="009C6E2F" w:rsidRDefault="007972BE">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23"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2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25" w14:textId="77777777" w:rsidR="009C6E2F" w:rsidRDefault="007972BE">
            <w:pPr>
              <w:jc w:val="right"/>
              <w:textAlignment w:val="bottom"/>
            </w:pPr>
            <w:r>
              <w:rPr>
                <w:rFonts w:ascii="Arial" w:eastAsia="宋体" w:hAnsi="Arial" w:cs="Arial"/>
                <w:b/>
                <w:bCs/>
                <w:color w:val="000000"/>
                <w:sz w:val="17"/>
                <w:szCs w:val="17"/>
              </w:rPr>
              <w:t>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2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2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28" w14:textId="77777777" w:rsidR="009C6E2F" w:rsidRDefault="007972BE">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29"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42A"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2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2C" w14:textId="77777777" w:rsidR="009C6E2F" w:rsidRDefault="007972BE">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2D"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2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2F" w14:textId="77777777" w:rsidR="009C6E2F" w:rsidRDefault="007972BE">
            <w:pPr>
              <w:jc w:val="right"/>
              <w:textAlignment w:val="bottom"/>
            </w:pPr>
            <w:r>
              <w:rPr>
                <w:rFonts w:ascii="Arial" w:eastAsia="宋体" w:hAnsi="Arial" w:cs="Arial"/>
                <w:b/>
                <w:bCs/>
                <w:color w:val="000000"/>
                <w:sz w:val="17"/>
                <w:szCs w:val="17"/>
              </w:rPr>
              <w:t>416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3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3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32" w14:textId="77777777" w:rsidR="009C6E2F" w:rsidRDefault="007972BE">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33" w14:textId="77777777" w:rsidR="009C6E2F" w:rsidRDefault="009C6E2F">
            <w:pPr>
              <w:jc w:val="right"/>
              <w:rPr>
                <w:rFonts w:ascii="宋体"/>
              </w:rPr>
            </w:pPr>
          </w:p>
        </w:tc>
      </w:tr>
    </w:tbl>
    <w:p w14:paraId="2470C435"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(1)If the foreign exchange derivative instruments had been netted on the C</w:t>
      </w:r>
      <w:r>
        <w:rPr>
          <w:rFonts w:ascii="Arial" w:eastAsia="宋体" w:hAnsi="Arial" w:cs="Arial"/>
          <w:i/>
          <w:iCs/>
          <w:color w:val="000000"/>
          <w:sz w:val="14"/>
          <w:szCs w:val="14"/>
        </w:rPr>
        <w:t>onsolidated Balance Sheets, the asset and liability positions each would have been reduced by $93 million as of May 31, 2021. As of that date, the Company had posted $39 million of cash collateral to various counterparties related to foreign exchange deriv</w:t>
      </w:r>
      <w:r>
        <w:rPr>
          <w:rFonts w:ascii="Arial" w:eastAsia="宋体" w:hAnsi="Arial" w:cs="Arial"/>
          <w:i/>
          <w:iCs/>
          <w:color w:val="000000"/>
          <w:sz w:val="14"/>
          <w:szCs w:val="14"/>
        </w:rPr>
        <w:t xml:space="preserve">ative instruments. No amount of collateral was received on the Company's derivative asset balance as of May 31, 2021. </w:t>
      </w:r>
    </w:p>
    <w:p w14:paraId="2470C436" w14:textId="77777777" w:rsidR="009C6E2F" w:rsidRDefault="007972BE">
      <w:pPr>
        <w:spacing w:before="120" w:after="120"/>
      </w:pPr>
      <w:r>
        <w:rPr>
          <w:rFonts w:ascii="Arial" w:eastAsia="宋体" w:hAnsi="Arial" w:cs="Arial"/>
          <w:color w:val="000000"/>
          <w:sz w:val="17"/>
          <w:szCs w:val="17"/>
        </w:rPr>
        <w:t>For additional information related to the Company's derivative financial instruments and credit risk, refer to Note 8 — Risk Management a</w:t>
      </w:r>
      <w:r>
        <w:rPr>
          <w:rFonts w:ascii="Arial" w:eastAsia="宋体" w:hAnsi="Arial" w:cs="Arial"/>
          <w:color w:val="000000"/>
          <w:sz w:val="17"/>
          <w:szCs w:val="17"/>
        </w:rPr>
        <w:t xml:space="preserve">nd Derivatives. </w:t>
      </w:r>
    </w:p>
    <w:p w14:paraId="2470C437" w14:textId="77777777" w:rsidR="009C6E2F" w:rsidRDefault="007972BE">
      <w:pPr>
        <w:spacing w:before="120" w:after="120"/>
      </w:pPr>
      <w:r>
        <w:rPr>
          <w:rFonts w:ascii="Arial" w:eastAsia="宋体" w:hAnsi="Arial" w:cs="Arial"/>
          <w:color w:val="000000"/>
          <w:sz w:val="17"/>
          <w:szCs w:val="17"/>
        </w:rPr>
        <w:t xml:space="preserve">The carrying amounts of other current financial assets and other current financial liabilities approximate fair value. </w:t>
      </w:r>
    </w:p>
    <w:p w14:paraId="2470C438" w14:textId="77777777" w:rsidR="009C6E2F" w:rsidRDefault="007972BE">
      <w:pPr>
        <w:spacing w:before="240" w:after="120"/>
      </w:pPr>
      <w:r>
        <w:rPr>
          <w:rFonts w:ascii="sans-serif" w:eastAsia="sans-serif" w:hAnsi="sans-serif" w:cs="sans-serif"/>
          <w:b/>
          <w:bCs/>
          <w:color w:val="000000"/>
          <w:sz w:val="28"/>
          <w:szCs w:val="28"/>
        </w:rPr>
        <w:t>FINANCIAL ASSETS AND LIABILITIES NOT RECORDED AT FAIR VALUE</w:t>
      </w:r>
    </w:p>
    <w:p w14:paraId="2470C439" w14:textId="77777777" w:rsidR="009C6E2F" w:rsidRDefault="007972BE">
      <w:pPr>
        <w:spacing w:before="120" w:after="120"/>
      </w:pPr>
      <w:r>
        <w:rPr>
          <w:rFonts w:ascii="Arial" w:eastAsia="宋体" w:hAnsi="Arial" w:cs="Arial"/>
          <w:color w:val="000000"/>
          <w:sz w:val="17"/>
          <w:szCs w:val="17"/>
        </w:rPr>
        <w:t>The Company's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 xml:space="preserve">is recorded at adjusted cost, </w:t>
      </w:r>
      <w:r>
        <w:rPr>
          <w:rFonts w:ascii="Arial" w:eastAsia="宋体" w:hAnsi="Arial" w:cs="Arial"/>
          <w:color w:val="000000"/>
          <w:sz w:val="17"/>
          <w:szCs w:val="17"/>
        </w:rPr>
        <w:t>net of unamortized premiums, discounts and debt issuance costs. The fair value of long-term debt</w:t>
      </w:r>
      <w:r>
        <w:rPr>
          <w:rFonts w:ascii="Arial" w:eastAsia="宋体" w:hAnsi="Arial" w:cs="Arial"/>
          <w:i/>
          <w:iCs/>
          <w:color w:val="000000"/>
          <w:sz w:val="17"/>
          <w:szCs w:val="17"/>
        </w:rPr>
        <w:t xml:space="preserve"> </w:t>
      </w:r>
      <w:r>
        <w:rPr>
          <w:rFonts w:ascii="Arial" w:eastAsia="宋体" w:hAnsi="Arial" w:cs="Arial"/>
          <w:color w:val="000000"/>
          <w:sz w:val="17"/>
          <w:szCs w:val="17"/>
        </w:rPr>
        <w:t>is estimated based upon quoted prices for similar instruments or quoted prices for identical instruments in inactive markets (Level 2). The fair value of the C</w:t>
      </w:r>
      <w:r>
        <w:rPr>
          <w:rFonts w:ascii="Arial" w:eastAsia="宋体" w:hAnsi="Arial" w:cs="Arial"/>
          <w:color w:val="000000"/>
          <w:sz w:val="17"/>
          <w:szCs w:val="17"/>
        </w:rPr>
        <w:t>ompany's Long-term debt, including the current portion, was approximately $10,438 million at November 30, 2021 and $10,275 million at May 31, 2021.</w:t>
      </w:r>
    </w:p>
    <w:p w14:paraId="2470C43A" w14:textId="77777777" w:rsidR="009C6E2F" w:rsidRDefault="007972BE">
      <w:pPr>
        <w:spacing w:before="120" w:after="120"/>
      </w:pPr>
      <w:r>
        <w:rPr>
          <w:rFonts w:ascii="Arial" w:eastAsia="宋体" w:hAnsi="Arial" w:cs="Arial"/>
          <w:color w:val="000000"/>
          <w:sz w:val="17"/>
          <w:szCs w:val="17"/>
        </w:rPr>
        <w:t>The carrying amounts reflected on the Unaudited Condensed Consolidated Balance Sheets for Notes payable appr</w:t>
      </w:r>
      <w:r>
        <w:rPr>
          <w:rFonts w:ascii="Arial" w:eastAsia="宋体" w:hAnsi="Arial" w:cs="Arial"/>
          <w:color w:val="000000"/>
          <w:sz w:val="17"/>
          <w:szCs w:val="17"/>
        </w:rPr>
        <w:t>oximate fair value.</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43E" w14:textId="77777777">
        <w:tc>
          <w:tcPr>
            <w:tcW w:w="50" w:type="pct"/>
            <w:shd w:val="clear" w:color="auto" w:fill="auto"/>
            <w:vAlign w:val="bottom"/>
          </w:tcPr>
          <w:p w14:paraId="2470C43B" w14:textId="77777777" w:rsidR="009C6E2F" w:rsidRDefault="009C6E2F">
            <w:pPr>
              <w:rPr>
                <w:rFonts w:ascii="宋体"/>
              </w:rPr>
            </w:pPr>
          </w:p>
        </w:tc>
        <w:tc>
          <w:tcPr>
            <w:tcW w:w="4945" w:type="pct"/>
            <w:shd w:val="clear" w:color="auto" w:fill="auto"/>
            <w:vAlign w:val="bottom"/>
          </w:tcPr>
          <w:p w14:paraId="2470C43C" w14:textId="77777777" w:rsidR="009C6E2F" w:rsidRDefault="009C6E2F">
            <w:pPr>
              <w:rPr>
                <w:rFonts w:ascii="宋体"/>
              </w:rPr>
            </w:pPr>
          </w:p>
        </w:tc>
        <w:tc>
          <w:tcPr>
            <w:tcW w:w="5" w:type="pct"/>
            <w:shd w:val="clear" w:color="auto" w:fill="auto"/>
            <w:vAlign w:val="bottom"/>
          </w:tcPr>
          <w:p w14:paraId="2470C43D" w14:textId="77777777" w:rsidR="009C6E2F" w:rsidRDefault="009C6E2F">
            <w:pPr>
              <w:rPr>
                <w:rFonts w:ascii="宋体"/>
              </w:rPr>
            </w:pPr>
          </w:p>
        </w:tc>
      </w:tr>
      <w:tr w:rsidR="009C6E2F" w14:paraId="2470C440" w14:textId="77777777">
        <w:tc>
          <w:tcPr>
            <w:tcW w:w="0" w:type="auto"/>
            <w:gridSpan w:val="3"/>
            <w:shd w:val="clear" w:color="auto" w:fill="auto"/>
            <w:tcMar>
              <w:top w:w="40" w:type="dxa"/>
              <w:left w:w="20" w:type="dxa"/>
              <w:bottom w:w="40" w:type="dxa"/>
              <w:right w:w="20" w:type="dxa"/>
            </w:tcMar>
            <w:vAlign w:val="bottom"/>
          </w:tcPr>
          <w:p w14:paraId="2470C43F" w14:textId="77777777" w:rsidR="009C6E2F" w:rsidRDefault="007972BE">
            <w:pPr>
              <w:textAlignment w:val="bottom"/>
            </w:pPr>
            <w:r>
              <w:rPr>
                <w:rFonts w:ascii="sans-serif" w:eastAsia="sans-serif" w:hAnsi="sans-serif" w:cs="sans-serif"/>
                <w:b/>
                <w:bCs/>
                <w:color w:val="E87722"/>
                <w:sz w:val="36"/>
                <w:szCs w:val="36"/>
              </w:rPr>
              <w:t>NOTE 5 — INCOME TAXES</w:t>
            </w:r>
          </w:p>
        </w:tc>
      </w:tr>
    </w:tbl>
    <w:p w14:paraId="2470C441" w14:textId="77777777" w:rsidR="009C6E2F" w:rsidRDefault="007972BE">
      <w:pPr>
        <w:spacing w:before="120" w:after="120"/>
      </w:pPr>
      <w:r>
        <w:rPr>
          <w:rFonts w:ascii="Arial" w:eastAsia="宋体" w:hAnsi="Arial" w:cs="Arial"/>
          <w:color w:val="000000"/>
          <w:sz w:val="17"/>
          <w:szCs w:val="17"/>
        </w:rPr>
        <w:t>The effective tax rate was 11.0% and 12.7% for the six months ended November 30, 2021 and 2020, respectively. The decrease in the Company's effective tax rate was primarily due to a more favorable impact from stock-based compensation and discrete items suc</w:t>
      </w:r>
      <w:r>
        <w:rPr>
          <w:rFonts w:ascii="Arial" w:eastAsia="宋体" w:hAnsi="Arial" w:cs="Arial"/>
          <w:color w:val="000000"/>
          <w:sz w:val="17"/>
          <w:szCs w:val="17"/>
        </w:rPr>
        <w:t xml:space="preserve">h as the recognition of a reserve in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The decrease in the Company's effective tax rate was partially offset by a change in the Company's earnings mix.</w:t>
      </w:r>
    </w:p>
    <w:p w14:paraId="2470C442" w14:textId="77777777" w:rsidR="009C6E2F" w:rsidRDefault="007972BE">
      <w:pPr>
        <w:spacing w:before="120" w:after="120"/>
      </w:pPr>
      <w:r>
        <w:rPr>
          <w:rFonts w:ascii="Arial" w:eastAsia="宋体" w:hAnsi="Arial" w:cs="Arial"/>
          <w:color w:val="000000"/>
          <w:sz w:val="17"/>
          <w:szCs w:val="17"/>
        </w:rPr>
        <w:t>As of November 30, 2021, total g</w:t>
      </w:r>
      <w:r>
        <w:rPr>
          <w:rFonts w:ascii="Arial" w:eastAsia="宋体" w:hAnsi="Arial" w:cs="Arial"/>
          <w:color w:val="000000"/>
          <w:sz w:val="17"/>
          <w:szCs w:val="17"/>
        </w:rPr>
        <w:t xml:space="preserve">ross unrecognized tax benefits, excluding related interest and penalties, were $926 million, $651 million of which would affect the Company's effective tax rate if recognized in future periods. The majority of the total gross unrecognized tax benefits are </w:t>
      </w:r>
      <w:r>
        <w:rPr>
          <w:rFonts w:ascii="Arial" w:eastAsia="宋体" w:hAnsi="Arial" w:cs="Arial"/>
          <w:color w:val="000000"/>
          <w:sz w:val="17"/>
          <w:szCs w:val="17"/>
        </w:rPr>
        <w:t>long-term in nature and included within Deferred income taxes and other liabilities on the Unaudited Condensed Consolidated Balance Sheets. As of May 31, 2021, total gross unrecognized tax benefits, excluding related interest and penalties, were $896 milli</w:t>
      </w:r>
      <w:r>
        <w:rPr>
          <w:rFonts w:ascii="Arial" w:eastAsia="宋体" w:hAnsi="Arial" w:cs="Arial"/>
          <w:color w:val="000000"/>
          <w:sz w:val="17"/>
          <w:szCs w:val="17"/>
        </w:rPr>
        <w:t>on. The liability for payment of interest and penalties increased by $23 million during the six months ended November 30, 2021. As of November 30, 2021 and May 31, 2021, accrued interest and penalties related to uncertain tax positions were $226 million an</w:t>
      </w:r>
      <w:r>
        <w:rPr>
          <w:rFonts w:ascii="Arial" w:eastAsia="宋体" w:hAnsi="Arial" w:cs="Arial"/>
          <w:color w:val="000000"/>
          <w:sz w:val="17"/>
          <w:szCs w:val="17"/>
        </w:rPr>
        <w:t>d $203 million, respectively (excluding federal benefit).</w:t>
      </w:r>
    </w:p>
    <w:p w14:paraId="2470C443" w14:textId="77777777" w:rsidR="009C6E2F" w:rsidRDefault="007972BE">
      <w:pPr>
        <w:spacing w:before="120" w:after="120"/>
      </w:pPr>
      <w:r>
        <w:rPr>
          <w:rFonts w:ascii="Arial" w:eastAsia="宋体" w:hAnsi="Arial" w:cs="Arial"/>
          <w:color w:val="000000"/>
          <w:sz w:val="17"/>
          <w:szCs w:val="17"/>
        </w:rPr>
        <w:t>The Company is subject to taxation in the United States, as well as various state and foreign jurisdictions. The Company is currently under audit by the U.S. Internal Revenue Service ("IRS") for fis</w:t>
      </w:r>
      <w:r>
        <w:rPr>
          <w:rFonts w:ascii="Arial" w:eastAsia="宋体" w:hAnsi="Arial" w:cs="Arial"/>
          <w:color w:val="000000"/>
          <w:sz w:val="17"/>
          <w:szCs w:val="17"/>
        </w:rPr>
        <w:t xml:space="preserve">cal years 2017 through 2019. The Company has closed all U.S. federal income tax matters through fiscal 2016, with the exception of certain transfer pricing adjustments. </w:t>
      </w:r>
    </w:p>
    <w:p w14:paraId="2470C444" w14:textId="77777777" w:rsidR="009C6E2F" w:rsidRDefault="007972BE">
      <w:pPr>
        <w:spacing w:before="120" w:after="120"/>
      </w:pPr>
      <w:r>
        <w:rPr>
          <w:rFonts w:ascii="Arial" w:eastAsia="宋体" w:hAnsi="Arial" w:cs="Arial"/>
          <w:color w:val="000000"/>
          <w:sz w:val="17"/>
          <w:szCs w:val="17"/>
        </w:rPr>
        <w:t xml:space="preserve">Tax years after 2010 remain open in certain major foreign jurisdictions. Although the </w:t>
      </w:r>
      <w:r>
        <w:rPr>
          <w:rFonts w:ascii="Arial" w:eastAsia="宋体" w:hAnsi="Arial" w:cs="Arial"/>
          <w:color w:val="000000"/>
          <w:sz w:val="17"/>
          <w:szCs w:val="17"/>
        </w:rPr>
        <w:t>timing of resolution of audits is not certain, the Company evaluates all domestic and foreign audit issues in the aggregate, along with the expiration of applicable statutes of limitations, and estimates that it is reasonably possible the total gross unrec</w:t>
      </w:r>
      <w:r>
        <w:rPr>
          <w:rFonts w:ascii="Arial" w:eastAsia="宋体" w:hAnsi="Arial" w:cs="Arial"/>
          <w:color w:val="000000"/>
          <w:sz w:val="17"/>
          <w:szCs w:val="17"/>
        </w:rPr>
        <w:t xml:space="preserve">ognized tax benefits could decrease by up to $20 million within the next 12 months. In January 2019, the European Commission opened a formal investigation to examine whether the Netherlands has breached State Aid rules when granting certain tax rulings to </w:t>
      </w:r>
      <w:r>
        <w:rPr>
          <w:rFonts w:ascii="Arial" w:eastAsia="宋体" w:hAnsi="Arial" w:cs="Arial"/>
          <w:color w:val="000000"/>
          <w:sz w:val="17"/>
          <w:szCs w:val="17"/>
        </w:rPr>
        <w:t xml:space="preserve">the Company. The Company believes the investigation is without merit. If this matter is adversely resolved, the Netherlands may be required to assess additional amounts with respect to prior periods, and the Company's income taxes related to prior periods </w:t>
      </w:r>
      <w:r>
        <w:rPr>
          <w:rFonts w:ascii="Arial" w:eastAsia="宋体" w:hAnsi="Arial" w:cs="Arial"/>
          <w:color w:val="000000"/>
          <w:sz w:val="17"/>
          <w:szCs w:val="17"/>
        </w:rPr>
        <w:t>in the Netherlands could increase.</w:t>
      </w:r>
    </w:p>
    <w:p w14:paraId="2470C445" w14:textId="77777777" w:rsidR="009C6E2F" w:rsidRDefault="007972BE">
      <w:pPr>
        <w:spacing w:before="120" w:after="120"/>
      </w:pPr>
      <w:r>
        <w:rPr>
          <w:rFonts w:ascii="Arial" w:eastAsia="宋体" w:hAnsi="Arial" w:cs="Arial"/>
          <w:color w:val="E87722"/>
          <w:sz w:val="17"/>
          <w:szCs w:val="17"/>
        </w:rPr>
        <w:t>10</w:t>
      </w:r>
      <w:r>
        <w:rPr>
          <w:rFonts w:ascii="sans-serif" w:eastAsia="sans-serif" w:hAnsi="sans-serif" w:cs="sans-serif"/>
          <w:color w:val="000000"/>
          <w:sz w:val="17"/>
          <w:szCs w:val="17"/>
        </w:rPr>
        <w:t xml:space="preserve"> </w:t>
      </w:r>
    </w:p>
    <w:p w14:paraId="2470C446" w14:textId="77777777" w:rsidR="009C6E2F" w:rsidRDefault="007972BE">
      <w:r>
        <w:pict w14:anchorId="2470E1EF">
          <v:rect id="_x0000_i1036" style="width:415.3pt;height:1.5pt" o:hralign="center" o:hrstd="t" o:hr="t" fillcolor="#a0a0a0" stroked="f"/>
        </w:pict>
      </w:r>
    </w:p>
    <w:p w14:paraId="2470C447" w14:textId="77777777" w:rsidR="009C6E2F" w:rsidRDefault="009C6E2F"/>
    <w:p w14:paraId="2470C448" w14:textId="77777777" w:rsidR="009C6E2F" w:rsidRDefault="007972BE">
      <w:hyperlink r:id="rId79" w:anchor="i9e023a7388204bdbacd6aa338988f838_7" w:history="1">
        <w:r>
          <w:rPr>
            <w:rStyle w:val="a5"/>
            <w:rFonts w:ascii="sans-serif" w:eastAsia="sans-serif" w:hAnsi="sans-serif" w:cs="sans-serif"/>
            <w:sz w:val="17"/>
            <w:szCs w:val="17"/>
          </w:rPr>
          <w:t>Table of Contents</w:t>
        </w:r>
      </w:hyperlink>
    </w:p>
    <w:p w14:paraId="2470C449" w14:textId="77777777" w:rsidR="009C6E2F" w:rsidRDefault="009C6E2F"/>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44D" w14:textId="77777777">
        <w:tc>
          <w:tcPr>
            <w:tcW w:w="50" w:type="pct"/>
            <w:shd w:val="clear" w:color="auto" w:fill="auto"/>
            <w:vAlign w:val="bottom"/>
          </w:tcPr>
          <w:p w14:paraId="2470C44A" w14:textId="77777777" w:rsidR="009C6E2F" w:rsidRDefault="009C6E2F">
            <w:pPr>
              <w:rPr>
                <w:rFonts w:ascii="宋体"/>
              </w:rPr>
            </w:pPr>
          </w:p>
        </w:tc>
        <w:tc>
          <w:tcPr>
            <w:tcW w:w="4945" w:type="pct"/>
            <w:shd w:val="clear" w:color="auto" w:fill="auto"/>
            <w:vAlign w:val="bottom"/>
          </w:tcPr>
          <w:p w14:paraId="2470C44B" w14:textId="77777777" w:rsidR="009C6E2F" w:rsidRDefault="009C6E2F">
            <w:pPr>
              <w:rPr>
                <w:rFonts w:ascii="宋体"/>
              </w:rPr>
            </w:pPr>
          </w:p>
        </w:tc>
        <w:tc>
          <w:tcPr>
            <w:tcW w:w="5" w:type="pct"/>
            <w:shd w:val="clear" w:color="auto" w:fill="auto"/>
            <w:vAlign w:val="bottom"/>
          </w:tcPr>
          <w:p w14:paraId="2470C44C" w14:textId="77777777" w:rsidR="009C6E2F" w:rsidRDefault="009C6E2F">
            <w:pPr>
              <w:rPr>
                <w:rFonts w:ascii="宋体"/>
              </w:rPr>
            </w:pPr>
          </w:p>
        </w:tc>
      </w:tr>
      <w:tr w:rsidR="009C6E2F" w14:paraId="2470C44F" w14:textId="77777777">
        <w:tc>
          <w:tcPr>
            <w:tcW w:w="0" w:type="auto"/>
            <w:gridSpan w:val="3"/>
            <w:shd w:val="clear" w:color="auto" w:fill="auto"/>
            <w:tcMar>
              <w:top w:w="40" w:type="dxa"/>
              <w:left w:w="20" w:type="dxa"/>
              <w:bottom w:w="40" w:type="dxa"/>
              <w:right w:w="20" w:type="dxa"/>
            </w:tcMar>
            <w:vAlign w:val="bottom"/>
          </w:tcPr>
          <w:p w14:paraId="2470C44E" w14:textId="77777777" w:rsidR="009C6E2F" w:rsidRDefault="007972BE">
            <w:pPr>
              <w:textAlignment w:val="bottom"/>
            </w:pPr>
            <w:r>
              <w:rPr>
                <w:rFonts w:ascii="sans-serif" w:eastAsia="sans-serif" w:hAnsi="sans-serif" w:cs="sans-serif"/>
                <w:b/>
                <w:bCs/>
                <w:color w:val="E87722"/>
                <w:sz w:val="36"/>
                <w:szCs w:val="36"/>
              </w:rPr>
              <w:t>NOTE 6 — STOCK-BASED COMPENSATION</w:t>
            </w:r>
          </w:p>
        </w:tc>
      </w:tr>
    </w:tbl>
    <w:p w14:paraId="2470C450" w14:textId="77777777" w:rsidR="009C6E2F" w:rsidRDefault="007972BE">
      <w:pPr>
        <w:spacing w:before="240" w:after="120"/>
      </w:pPr>
      <w:r>
        <w:rPr>
          <w:rFonts w:ascii="sans-serif" w:eastAsia="sans-serif" w:hAnsi="sans-serif" w:cs="sans-serif"/>
          <w:b/>
          <w:bCs/>
          <w:color w:val="000000"/>
          <w:sz w:val="28"/>
          <w:szCs w:val="28"/>
        </w:rPr>
        <w:t>STOCK-BASED COMPENSATION</w:t>
      </w:r>
    </w:p>
    <w:p w14:paraId="2470C451" w14:textId="77777777" w:rsidR="009C6E2F" w:rsidRDefault="007972BE">
      <w:pPr>
        <w:spacing w:before="120" w:after="120"/>
      </w:pPr>
      <w:r>
        <w:rPr>
          <w:rFonts w:ascii="Arial" w:eastAsia="宋体" w:hAnsi="Arial" w:cs="Arial"/>
          <w:color w:val="000000"/>
          <w:sz w:val="17"/>
          <w:szCs w:val="17"/>
        </w:rPr>
        <w:t xml:space="preserve">The NIKE, Inc. Stock Incentive Plan (the “Stock Incentive Plan”) provides for the issuance of up to 798 million previously unissued shares of Class B Common Stock in connection with equity awards granted under the Stock Incentive Plan. The Stock Incentive </w:t>
      </w:r>
      <w:r>
        <w:rPr>
          <w:rFonts w:ascii="Arial" w:eastAsia="宋体" w:hAnsi="Arial" w:cs="Arial"/>
          <w:color w:val="000000"/>
          <w:sz w:val="17"/>
          <w:szCs w:val="17"/>
        </w:rPr>
        <w:t>Plan authorizes the grant of non-statutory stock options, incentive stock options, stock appreciation rights, restricted stock, restricted stock units and performance-based awards. In addition to the Stock Incentive Plan, the Company gives employees the ri</w:t>
      </w:r>
      <w:r>
        <w:rPr>
          <w:rFonts w:ascii="Arial" w:eastAsia="宋体" w:hAnsi="Arial" w:cs="Arial"/>
          <w:color w:val="000000"/>
          <w:sz w:val="17"/>
          <w:szCs w:val="17"/>
        </w:rPr>
        <w:t>ght to purchase shares at a discount from the market price under employee stock purchase plans (ESPPs). Refer to Note 11 — Common Stock and Stock-Based Compensation of the Annual Report on Form 10-K for the fiscal year ended May 31, 2021 for further inform</w:t>
      </w:r>
      <w:r>
        <w:rPr>
          <w:rFonts w:ascii="Arial" w:eastAsia="宋体" w:hAnsi="Arial" w:cs="Arial"/>
          <w:color w:val="000000"/>
          <w:sz w:val="17"/>
          <w:szCs w:val="17"/>
        </w:rPr>
        <w:t xml:space="preserve">ation. </w:t>
      </w:r>
    </w:p>
    <w:p w14:paraId="2470C452" w14:textId="77777777" w:rsidR="009C6E2F" w:rsidRDefault="007972BE">
      <w:pPr>
        <w:spacing w:before="120" w:after="120"/>
      </w:pPr>
      <w:r>
        <w:rPr>
          <w:rFonts w:ascii="Arial" w:eastAsia="宋体" w:hAnsi="Arial" w:cs="Arial"/>
          <w:color w:val="000000"/>
          <w:sz w:val="17"/>
          <w:szCs w:val="17"/>
        </w:rPr>
        <w:t>The following table summarizes the Company's total stock-based compensation expense recognized in Cost of sales or Operating overhead expense, as applicable: </w:t>
      </w:r>
    </w:p>
    <w:tbl>
      <w:tblPr>
        <w:tblW w:w="5000" w:type="pct"/>
        <w:tblCellMar>
          <w:top w:w="15" w:type="dxa"/>
          <w:left w:w="15" w:type="dxa"/>
          <w:bottom w:w="15" w:type="dxa"/>
          <w:right w:w="15" w:type="dxa"/>
        </w:tblCellMar>
        <w:tblLook w:val="04A0" w:firstRow="1" w:lastRow="0" w:firstColumn="1" w:lastColumn="0" w:noHBand="0" w:noVBand="1"/>
      </w:tblPr>
      <w:tblGrid>
        <w:gridCol w:w="40"/>
        <w:gridCol w:w="3471"/>
        <w:gridCol w:w="39"/>
        <w:gridCol w:w="115"/>
        <w:gridCol w:w="983"/>
        <w:gridCol w:w="36"/>
        <w:gridCol w:w="115"/>
        <w:gridCol w:w="983"/>
        <w:gridCol w:w="36"/>
        <w:gridCol w:w="36"/>
        <w:gridCol w:w="36"/>
        <w:gridCol w:w="36"/>
        <w:gridCol w:w="115"/>
        <w:gridCol w:w="945"/>
        <w:gridCol w:w="36"/>
        <w:gridCol w:w="115"/>
        <w:gridCol w:w="983"/>
        <w:gridCol w:w="36"/>
        <w:gridCol w:w="36"/>
        <w:gridCol w:w="36"/>
        <w:gridCol w:w="36"/>
        <w:gridCol w:w="36"/>
        <w:gridCol w:w="36"/>
      </w:tblGrid>
      <w:tr w:rsidR="009C6E2F" w14:paraId="2470C468" w14:textId="77777777">
        <w:tc>
          <w:tcPr>
            <w:tcW w:w="50" w:type="pct"/>
            <w:shd w:val="clear" w:color="auto" w:fill="auto"/>
            <w:vAlign w:val="bottom"/>
          </w:tcPr>
          <w:p w14:paraId="2470C453" w14:textId="77777777" w:rsidR="009C6E2F" w:rsidRDefault="009C6E2F">
            <w:pPr>
              <w:rPr>
                <w:rFonts w:ascii="宋体"/>
              </w:rPr>
            </w:pPr>
          </w:p>
        </w:tc>
        <w:tc>
          <w:tcPr>
            <w:tcW w:w="2159" w:type="pct"/>
            <w:shd w:val="clear" w:color="auto" w:fill="auto"/>
            <w:vAlign w:val="bottom"/>
          </w:tcPr>
          <w:p w14:paraId="2470C454" w14:textId="77777777" w:rsidR="009C6E2F" w:rsidRDefault="009C6E2F">
            <w:pPr>
              <w:rPr>
                <w:rFonts w:ascii="宋体"/>
              </w:rPr>
            </w:pPr>
          </w:p>
        </w:tc>
        <w:tc>
          <w:tcPr>
            <w:tcW w:w="5" w:type="pct"/>
            <w:shd w:val="clear" w:color="auto" w:fill="auto"/>
            <w:vAlign w:val="bottom"/>
          </w:tcPr>
          <w:p w14:paraId="2470C455" w14:textId="77777777" w:rsidR="009C6E2F" w:rsidRDefault="009C6E2F">
            <w:pPr>
              <w:rPr>
                <w:rFonts w:ascii="宋体"/>
              </w:rPr>
            </w:pPr>
          </w:p>
        </w:tc>
        <w:tc>
          <w:tcPr>
            <w:tcW w:w="50" w:type="pct"/>
            <w:shd w:val="clear" w:color="auto" w:fill="auto"/>
            <w:vAlign w:val="bottom"/>
          </w:tcPr>
          <w:p w14:paraId="2470C456" w14:textId="77777777" w:rsidR="009C6E2F" w:rsidRDefault="009C6E2F">
            <w:pPr>
              <w:rPr>
                <w:rFonts w:ascii="宋体"/>
              </w:rPr>
            </w:pPr>
          </w:p>
        </w:tc>
        <w:tc>
          <w:tcPr>
            <w:tcW w:w="631" w:type="pct"/>
            <w:shd w:val="clear" w:color="auto" w:fill="auto"/>
            <w:vAlign w:val="bottom"/>
          </w:tcPr>
          <w:p w14:paraId="2470C457" w14:textId="77777777" w:rsidR="009C6E2F" w:rsidRDefault="009C6E2F">
            <w:pPr>
              <w:rPr>
                <w:rFonts w:ascii="宋体"/>
              </w:rPr>
            </w:pPr>
          </w:p>
        </w:tc>
        <w:tc>
          <w:tcPr>
            <w:tcW w:w="5" w:type="pct"/>
            <w:shd w:val="clear" w:color="auto" w:fill="auto"/>
            <w:vAlign w:val="bottom"/>
          </w:tcPr>
          <w:p w14:paraId="2470C458" w14:textId="77777777" w:rsidR="009C6E2F" w:rsidRDefault="009C6E2F">
            <w:pPr>
              <w:rPr>
                <w:rFonts w:ascii="宋体"/>
              </w:rPr>
            </w:pPr>
          </w:p>
        </w:tc>
        <w:tc>
          <w:tcPr>
            <w:tcW w:w="50" w:type="pct"/>
            <w:shd w:val="clear" w:color="auto" w:fill="auto"/>
            <w:vAlign w:val="bottom"/>
          </w:tcPr>
          <w:p w14:paraId="2470C459" w14:textId="77777777" w:rsidR="009C6E2F" w:rsidRDefault="009C6E2F">
            <w:pPr>
              <w:rPr>
                <w:rFonts w:ascii="宋体"/>
              </w:rPr>
            </w:pPr>
          </w:p>
        </w:tc>
        <w:tc>
          <w:tcPr>
            <w:tcW w:w="631" w:type="pct"/>
            <w:shd w:val="clear" w:color="auto" w:fill="auto"/>
            <w:vAlign w:val="bottom"/>
          </w:tcPr>
          <w:p w14:paraId="2470C45A" w14:textId="77777777" w:rsidR="009C6E2F" w:rsidRDefault="009C6E2F">
            <w:pPr>
              <w:rPr>
                <w:rFonts w:ascii="宋体"/>
              </w:rPr>
            </w:pPr>
          </w:p>
        </w:tc>
        <w:tc>
          <w:tcPr>
            <w:tcW w:w="5" w:type="pct"/>
            <w:shd w:val="clear" w:color="auto" w:fill="auto"/>
            <w:vAlign w:val="bottom"/>
          </w:tcPr>
          <w:p w14:paraId="2470C45B" w14:textId="77777777" w:rsidR="009C6E2F" w:rsidRDefault="009C6E2F">
            <w:pPr>
              <w:rPr>
                <w:rFonts w:ascii="宋体"/>
              </w:rPr>
            </w:pPr>
          </w:p>
        </w:tc>
        <w:tc>
          <w:tcPr>
            <w:tcW w:w="5" w:type="pct"/>
            <w:shd w:val="clear" w:color="auto" w:fill="auto"/>
            <w:vAlign w:val="bottom"/>
          </w:tcPr>
          <w:p w14:paraId="2470C45C" w14:textId="77777777" w:rsidR="009C6E2F" w:rsidRDefault="009C6E2F">
            <w:pPr>
              <w:rPr>
                <w:rFonts w:ascii="宋体"/>
              </w:rPr>
            </w:pPr>
          </w:p>
        </w:tc>
        <w:tc>
          <w:tcPr>
            <w:tcW w:w="28" w:type="pct"/>
            <w:shd w:val="clear" w:color="auto" w:fill="auto"/>
            <w:vAlign w:val="bottom"/>
          </w:tcPr>
          <w:p w14:paraId="2470C45D" w14:textId="77777777" w:rsidR="009C6E2F" w:rsidRDefault="009C6E2F">
            <w:pPr>
              <w:rPr>
                <w:rFonts w:ascii="宋体"/>
              </w:rPr>
            </w:pPr>
          </w:p>
        </w:tc>
        <w:tc>
          <w:tcPr>
            <w:tcW w:w="5" w:type="pct"/>
            <w:shd w:val="clear" w:color="auto" w:fill="auto"/>
            <w:vAlign w:val="bottom"/>
          </w:tcPr>
          <w:p w14:paraId="2470C45E" w14:textId="77777777" w:rsidR="009C6E2F" w:rsidRDefault="009C6E2F">
            <w:pPr>
              <w:rPr>
                <w:rFonts w:ascii="宋体"/>
              </w:rPr>
            </w:pPr>
          </w:p>
        </w:tc>
        <w:tc>
          <w:tcPr>
            <w:tcW w:w="50" w:type="pct"/>
            <w:shd w:val="clear" w:color="auto" w:fill="auto"/>
            <w:vAlign w:val="bottom"/>
          </w:tcPr>
          <w:p w14:paraId="2470C45F" w14:textId="77777777" w:rsidR="009C6E2F" w:rsidRDefault="009C6E2F">
            <w:pPr>
              <w:rPr>
                <w:rFonts w:ascii="宋体"/>
              </w:rPr>
            </w:pPr>
          </w:p>
        </w:tc>
        <w:tc>
          <w:tcPr>
            <w:tcW w:w="631" w:type="pct"/>
            <w:shd w:val="clear" w:color="auto" w:fill="auto"/>
            <w:vAlign w:val="bottom"/>
          </w:tcPr>
          <w:p w14:paraId="2470C460" w14:textId="77777777" w:rsidR="009C6E2F" w:rsidRDefault="009C6E2F">
            <w:pPr>
              <w:rPr>
                <w:rFonts w:ascii="宋体"/>
              </w:rPr>
            </w:pPr>
          </w:p>
        </w:tc>
        <w:tc>
          <w:tcPr>
            <w:tcW w:w="5" w:type="pct"/>
            <w:shd w:val="clear" w:color="auto" w:fill="auto"/>
            <w:vAlign w:val="bottom"/>
          </w:tcPr>
          <w:p w14:paraId="2470C461" w14:textId="77777777" w:rsidR="009C6E2F" w:rsidRDefault="009C6E2F">
            <w:pPr>
              <w:rPr>
                <w:rFonts w:ascii="宋体"/>
              </w:rPr>
            </w:pPr>
          </w:p>
        </w:tc>
        <w:tc>
          <w:tcPr>
            <w:tcW w:w="50" w:type="pct"/>
            <w:shd w:val="clear" w:color="auto" w:fill="auto"/>
            <w:vAlign w:val="bottom"/>
          </w:tcPr>
          <w:p w14:paraId="2470C462" w14:textId="77777777" w:rsidR="009C6E2F" w:rsidRDefault="009C6E2F">
            <w:pPr>
              <w:rPr>
                <w:rFonts w:ascii="宋体"/>
              </w:rPr>
            </w:pPr>
          </w:p>
        </w:tc>
        <w:tc>
          <w:tcPr>
            <w:tcW w:w="631" w:type="pct"/>
            <w:shd w:val="clear" w:color="auto" w:fill="auto"/>
            <w:vAlign w:val="bottom"/>
          </w:tcPr>
          <w:p w14:paraId="2470C463" w14:textId="77777777" w:rsidR="009C6E2F" w:rsidRDefault="009C6E2F">
            <w:pPr>
              <w:rPr>
                <w:rFonts w:ascii="宋体"/>
              </w:rPr>
            </w:pPr>
          </w:p>
        </w:tc>
        <w:tc>
          <w:tcPr>
            <w:tcW w:w="5" w:type="pct"/>
            <w:shd w:val="clear" w:color="auto" w:fill="auto"/>
            <w:vAlign w:val="bottom"/>
          </w:tcPr>
          <w:p w14:paraId="2470C464" w14:textId="77777777" w:rsidR="009C6E2F" w:rsidRDefault="009C6E2F">
            <w:pPr>
              <w:rPr>
                <w:rFonts w:ascii="宋体"/>
              </w:rPr>
            </w:pPr>
          </w:p>
        </w:tc>
        <w:tc>
          <w:tcPr>
            <w:tcW w:w="0" w:type="auto"/>
            <w:shd w:val="clear" w:color="auto" w:fill="auto"/>
            <w:vAlign w:val="bottom"/>
          </w:tcPr>
          <w:p w14:paraId="2470C465" w14:textId="77777777" w:rsidR="009C6E2F" w:rsidRDefault="009C6E2F">
            <w:pPr>
              <w:rPr>
                <w:rFonts w:ascii="宋体"/>
                <w:vanish/>
              </w:rPr>
            </w:pPr>
          </w:p>
        </w:tc>
        <w:tc>
          <w:tcPr>
            <w:tcW w:w="0" w:type="auto"/>
            <w:shd w:val="clear" w:color="auto" w:fill="auto"/>
            <w:vAlign w:val="bottom"/>
          </w:tcPr>
          <w:p w14:paraId="2470C466" w14:textId="77777777" w:rsidR="009C6E2F" w:rsidRDefault="009C6E2F">
            <w:pPr>
              <w:rPr>
                <w:rFonts w:ascii="宋体"/>
                <w:vanish/>
              </w:rPr>
            </w:pPr>
          </w:p>
        </w:tc>
        <w:tc>
          <w:tcPr>
            <w:tcW w:w="0" w:type="auto"/>
            <w:gridSpan w:val="3"/>
            <w:shd w:val="clear" w:color="auto" w:fill="auto"/>
            <w:vAlign w:val="bottom"/>
          </w:tcPr>
          <w:p w14:paraId="2470C467" w14:textId="77777777" w:rsidR="009C6E2F" w:rsidRDefault="009C6E2F">
            <w:pPr>
              <w:rPr>
                <w:rFonts w:ascii="宋体"/>
                <w:vanish/>
              </w:rPr>
            </w:pPr>
          </w:p>
        </w:tc>
      </w:tr>
      <w:tr w:rsidR="009C6E2F" w14:paraId="2470C472" w14:textId="77777777">
        <w:tc>
          <w:tcPr>
            <w:tcW w:w="0" w:type="auto"/>
            <w:gridSpan w:val="3"/>
            <w:shd w:val="clear" w:color="auto" w:fill="auto"/>
            <w:tcMar>
              <w:top w:w="40" w:type="dxa"/>
              <w:left w:w="20" w:type="dxa"/>
              <w:bottom w:w="40" w:type="dxa"/>
              <w:right w:w="20" w:type="dxa"/>
            </w:tcMar>
            <w:vAlign w:val="bottom"/>
          </w:tcPr>
          <w:p w14:paraId="2470C469" w14:textId="77777777" w:rsidR="009C6E2F" w:rsidRDefault="007972BE">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470C46A"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C46B"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C46C"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C46D" w14:textId="77777777" w:rsidR="009C6E2F" w:rsidRDefault="009C6E2F">
            <w:pPr>
              <w:rPr>
                <w:rFonts w:ascii="宋体"/>
                <w:vanish/>
              </w:rPr>
            </w:pPr>
          </w:p>
        </w:tc>
        <w:tc>
          <w:tcPr>
            <w:tcW w:w="0" w:type="auto"/>
            <w:shd w:val="clear" w:color="auto" w:fill="auto"/>
            <w:vAlign w:val="bottom"/>
          </w:tcPr>
          <w:p w14:paraId="2470C46E" w14:textId="77777777" w:rsidR="009C6E2F" w:rsidRDefault="009C6E2F">
            <w:pPr>
              <w:rPr>
                <w:rFonts w:ascii="宋体"/>
                <w:vanish/>
              </w:rPr>
            </w:pPr>
          </w:p>
        </w:tc>
        <w:tc>
          <w:tcPr>
            <w:tcW w:w="0" w:type="auto"/>
            <w:shd w:val="clear" w:color="auto" w:fill="auto"/>
            <w:vAlign w:val="bottom"/>
          </w:tcPr>
          <w:p w14:paraId="2470C46F" w14:textId="77777777" w:rsidR="009C6E2F" w:rsidRDefault="009C6E2F">
            <w:pPr>
              <w:rPr>
                <w:rFonts w:ascii="宋体"/>
              </w:rPr>
            </w:pPr>
          </w:p>
        </w:tc>
        <w:tc>
          <w:tcPr>
            <w:tcW w:w="0" w:type="auto"/>
            <w:shd w:val="clear" w:color="auto" w:fill="auto"/>
            <w:vAlign w:val="bottom"/>
          </w:tcPr>
          <w:p w14:paraId="2470C470" w14:textId="77777777" w:rsidR="009C6E2F" w:rsidRDefault="009C6E2F">
            <w:pPr>
              <w:rPr>
                <w:rFonts w:ascii="宋体"/>
              </w:rPr>
            </w:pPr>
          </w:p>
        </w:tc>
        <w:tc>
          <w:tcPr>
            <w:tcW w:w="0" w:type="auto"/>
            <w:shd w:val="clear" w:color="auto" w:fill="auto"/>
            <w:vAlign w:val="bottom"/>
          </w:tcPr>
          <w:p w14:paraId="2470C471" w14:textId="77777777" w:rsidR="009C6E2F" w:rsidRDefault="009C6E2F">
            <w:pPr>
              <w:rPr>
                <w:rFonts w:ascii="宋体"/>
              </w:rPr>
            </w:pPr>
          </w:p>
        </w:tc>
      </w:tr>
      <w:tr w:rsidR="009C6E2F" w14:paraId="2470C47C" w14:textId="77777777">
        <w:tc>
          <w:tcPr>
            <w:tcW w:w="0" w:type="auto"/>
            <w:gridSpan w:val="3"/>
            <w:shd w:val="clear" w:color="auto" w:fill="auto"/>
            <w:tcMar>
              <w:top w:w="40" w:type="dxa"/>
              <w:left w:w="20" w:type="dxa"/>
              <w:bottom w:w="40" w:type="dxa"/>
              <w:right w:w="20" w:type="dxa"/>
            </w:tcMar>
            <w:vAlign w:val="bottom"/>
          </w:tcPr>
          <w:p w14:paraId="2470C473"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74"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75"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C476"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77"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78"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2470C479" w14:textId="77777777" w:rsidR="009C6E2F" w:rsidRDefault="009C6E2F">
            <w:pPr>
              <w:rPr>
                <w:rFonts w:ascii="宋体"/>
                <w:vanish/>
              </w:rPr>
            </w:pPr>
          </w:p>
        </w:tc>
        <w:tc>
          <w:tcPr>
            <w:tcW w:w="0" w:type="auto"/>
            <w:shd w:val="clear" w:color="auto" w:fill="auto"/>
            <w:vAlign w:val="bottom"/>
          </w:tcPr>
          <w:p w14:paraId="2470C47A" w14:textId="77777777" w:rsidR="009C6E2F" w:rsidRDefault="009C6E2F">
            <w:pPr>
              <w:rPr>
                <w:rFonts w:ascii="宋体"/>
                <w:vanish/>
              </w:rPr>
            </w:pPr>
          </w:p>
        </w:tc>
        <w:tc>
          <w:tcPr>
            <w:tcW w:w="0" w:type="auto"/>
            <w:gridSpan w:val="3"/>
            <w:shd w:val="clear" w:color="auto" w:fill="auto"/>
            <w:vAlign w:val="bottom"/>
          </w:tcPr>
          <w:p w14:paraId="2470C47B" w14:textId="77777777" w:rsidR="009C6E2F" w:rsidRDefault="009C6E2F">
            <w:pPr>
              <w:rPr>
                <w:rFonts w:ascii="宋体"/>
                <w:vanish/>
              </w:rPr>
            </w:pPr>
          </w:p>
        </w:tc>
      </w:tr>
      <w:tr w:rsidR="009C6E2F" w14:paraId="2470C48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7D"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Stock options</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47E"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47F" w14:textId="77777777" w:rsidR="009C6E2F" w:rsidRDefault="007972BE">
            <w:pPr>
              <w:jc w:val="right"/>
              <w:textAlignment w:val="bottom"/>
            </w:pPr>
            <w:r>
              <w:rPr>
                <w:rFonts w:ascii="Arial" w:eastAsia="宋体" w:hAnsi="Arial" w:cs="Arial"/>
                <w:color w:val="000000"/>
                <w:sz w:val="17"/>
                <w:szCs w:val="17"/>
              </w:rPr>
              <w:t>81 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480"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481"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482" w14:textId="77777777" w:rsidR="009C6E2F" w:rsidRDefault="007972BE">
            <w:pPr>
              <w:jc w:val="right"/>
              <w:textAlignment w:val="bottom"/>
            </w:pPr>
            <w:r>
              <w:rPr>
                <w:rFonts w:ascii="Arial" w:eastAsia="宋体" w:hAnsi="Arial" w:cs="Arial"/>
                <w:color w:val="000000"/>
                <w:sz w:val="17"/>
                <w:szCs w:val="17"/>
              </w:rPr>
              <w:t>107 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483"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484"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485"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486" w14:textId="77777777" w:rsidR="009C6E2F" w:rsidRDefault="007972BE">
            <w:pPr>
              <w:jc w:val="right"/>
              <w:textAlignment w:val="bottom"/>
            </w:pPr>
            <w:r>
              <w:rPr>
                <w:rFonts w:ascii="Arial" w:eastAsia="宋体" w:hAnsi="Arial" w:cs="Arial"/>
                <w:color w:val="000000"/>
                <w:sz w:val="17"/>
                <w:szCs w:val="17"/>
              </w:rPr>
              <w:t>146 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48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488"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489" w14:textId="77777777" w:rsidR="009C6E2F" w:rsidRDefault="007972BE">
            <w:pPr>
              <w:jc w:val="right"/>
              <w:textAlignment w:val="bottom"/>
            </w:pPr>
            <w:r>
              <w:rPr>
                <w:rFonts w:ascii="Arial" w:eastAsia="宋体" w:hAnsi="Arial" w:cs="Arial"/>
                <w:color w:val="000000"/>
                <w:sz w:val="17"/>
                <w:szCs w:val="17"/>
              </w:rPr>
              <w:t>177 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48A" w14:textId="77777777" w:rsidR="009C6E2F" w:rsidRDefault="009C6E2F">
            <w:pPr>
              <w:jc w:val="right"/>
              <w:rPr>
                <w:rFonts w:ascii="宋体"/>
              </w:rPr>
            </w:pPr>
          </w:p>
        </w:tc>
        <w:tc>
          <w:tcPr>
            <w:tcW w:w="0" w:type="auto"/>
            <w:shd w:val="clear" w:color="auto" w:fill="auto"/>
            <w:vAlign w:val="bottom"/>
          </w:tcPr>
          <w:p w14:paraId="2470C48B" w14:textId="77777777" w:rsidR="009C6E2F" w:rsidRDefault="009C6E2F">
            <w:pPr>
              <w:rPr>
                <w:rFonts w:ascii="宋体"/>
                <w:vanish/>
              </w:rPr>
            </w:pPr>
          </w:p>
        </w:tc>
        <w:tc>
          <w:tcPr>
            <w:tcW w:w="0" w:type="auto"/>
            <w:shd w:val="clear" w:color="auto" w:fill="auto"/>
            <w:vAlign w:val="bottom"/>
          </w:tcPr>
          <w:p w14:paraId="2470C48C" w14:textId="77777777" w:rsidR="009C6E2F" w:rsidRDefault="009C6E2F">
            <w:pPr>
              <w:rPr>
                <w:rFonts w:ascii="宋体"/>
                <w:vanish/>
              </w:rPr>
            </w:pPr>
          </w:p>
        </w:tc>
        <w:tc>
          <w:tcPr>
            <w:tcW w:w="0" w:type="auto"/>
            <w:gridSpan w:val="3"/>
            <w:shd w:val="clear" w:color="auto" w:fill="auto"/>
            <w:vAlign w:val="bottom"/>
          </w:tcPr>
          <w:p w14:paraId="2470C48D" w14:textId="77777777" w:rsidR="009C6E2F" w:rsidRDefault="009C6E2F">
            <w:pPr>
              <w:rPr>
                <w:rFonts w:ascii="宋体"/>
                <w:vanish/>
              </w:rPr>
            </w:pPr>
          </w:p>
        </w:tc>
      </w:tr>
      <w:tr w:rsidR="009C6E2F" w14:paraId="2470C49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48F" w14:textId="77777777" w:rsidR="009C6E2F" w:rsidRDefault="007972BE">
            <w:pPr>
              <w:textAlignment w:val="bottom"/>
            </w:pPr>
            <w:r>
              <w:rPr>
                <w:rFonts w:ascii="Arial" w:eastAsia="宋体" w:hAnsi="Arial" w:cs="Arial"/>
                <w:color w:val="000000"/>
                <w:sz w:val="17"/>
                <w:szCs w:val="17"/>
              </w:rPr>
              <w:t>ESPPs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490"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49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92"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9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49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495" w14:textId="77777777" w:rsidR="009C6E2F" w:rsidRDefault="007972BE">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49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97" w14:textId="77777777" w:rsidR="009C6E2F" w:rsidRDefault="007972BE">
            <w:pPr>
              <w:jc w:val="right"/>
              <w:textAlignment w:val="bottom"/>
            </w:pPr>
            <w:r>
              <w:rPr>
                <w:rFonts w:ascii="Arial" w:eastAsia="宋体" w:hAnsi="Arial" w:cs="Arial"/>
                <w:color w:val="000000"/>
                <w:sz w:val="17"/>
                <w:szCs w:val="17"/>
              </w:rPr>
              <w:t>35 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98" w14:textId="77777777" w:rsidR="009C6E2F" w:rsidRDefault="009C6E2F">
            <w:pPr>
              <w:jc w:val="right"/>
              <w:rPr>
                <w:rFonts w:ascii="宋体"/>
              </w:rPr>
            </w:pPr>
          </w:p>
        </w:tc>
        <w:tc>
          <w:tcPr>
            <w:tcW w:w="0" w:type="auto"/>
            <w:shd w:val="clear" w:color="auto" w:fill="auto"/>
            <w:vAlign w:val="bottom"/>
          </w:tcPr>
          <w:p w14:paraId="2470C499" w14:textId="77777777" w:rsidR="009C6E2F" w:rsidRDefault="009C6E2F">
            <w:pPr>
              <w:rPr>
                <w:rFonts w:ascii="宋体"/>
                <w:vanish/>
              </w:rPr>
            </w:pPr>
          </w:p>
        </w:tc>
        <w:tc>
          <w:tcPr>
            <w:tcW w:w="0" w:type="auto"/>
            <w:shd w:val="clear" w:color="auto" w:fill="auto"/>
            <w:vAlign w:val="bottom"/>
          </w:tcPr>
          <w:p w14:paraId="2470C49A" w14:textId="77777777" w:rsidR="009C6E2F" w:rsidRDefault="009C6E2F">
            <w:pPr>
              <w:rPr>
                <w:rFonts w:ascii="宋体"/>
                <w:vanish/>
              </w:rPr>
            </w:pPr>
          </w:p>
        </w:tc>
        <w:tc>
          <w:tcPr>
            <w:tcW w:w="0" w:type="auto"/>
            <w:gridSpan w:val="3"/>
            <w:shd w:val="clear" w:color="auto" w:fill="auto"/>
            <w:vAlign w:val="bottom"/>
          </w:tcPr>
          <w:p w14:paraId="2470C49B" w14:textId="77777777" w:rsidR="009C6E2F" w:rsidRDefault="009C6E2F">
            <w:pPr>
              <w:rPr>
                <w:rFonts w:ascii="宋体"/>
                <w:vanish/>
              </w:rPr>
            </w:pPr>
          </w:p>
        </w:tc>
      </w:tr>
      <w:tr w:rsidR="009C6E2F" w14:paraId="2470C4AA"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49D"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Restricted stock and restricted stock units</w:t>
            </w:r>
            <w:r>
              <w:rPr>
                <w:rFonts w:ascii="Arial" w:eastAsia="宋体" w:hAnsi="Arial" w:cs="Arial"/>
                <w:color w:val="000000"/>
                <w:sz w:val="11"/>
                <w:szCs w:val="11"/>
              </w:rPr>
              <w:t>(1)(2)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49E" w14:textId="77777777" w:rsidR="009C6E2F" w:rsidRDefault="007972BE">
            <w:pPr>
              <w:jc w:val="right"/>
              <w:textAlignment w:val="bottom"/>
            </w:pPr>
            <w:r>
              <w:rPr>
                <w:rFonts w:ascii="Arial" w:eastAsia="宋体" w:hAnsi="Arial" w:cs="Arial"/>
                <w:color w:val="000000"/>
                <w:sz w:val="17"/>
                <w:szCs w:val="17"/>
              </w:rPr>
              <w:t>75 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49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A0" w14:textId="77777777" w:rsidR="009C6E2F" w:rsidRDefault="007972BE">
            <w:pPr>
              <w:jc w:val="right"/>
              <w:textAlignment w:val="bottom"/>
            </w:pPr>
            <w:r>
              <w:rPr>
                <w:rFonts w:ascii="Arial" w:eastAsia="宋体" w:hAnsi="Arial" w:cs="Arial"/>
                <w:color w:val="000000"/>
                <w:sz w:val="17"/>
                <w:szCs w:val="17"/>
              </w:rPr>
              <w:t>65 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A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4A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4A3" w14:textId="77777777" w:rsidR="009C6E2F" w:rsidRDefault="007972BE">
            <w:pPr>
              <w:jc w:val="right"/>
              <w:textAlignment w:val="bottom"/>
            </w:pPr>
            <w:r>
              <w:rPr>
                <w:rFonts w:ascii="Arial" w:eastAsia="宋体" w:hAnsi="Arial" w:cs="Arial"/>
                <w:color w:val="000000"/>
                <w:sz w:val="17"/>
                <w:szCs w:val="17"/>
              </w:rPr>
              <w:t>131 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4A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A5" w14:textId="77777777" w:rsidR="009C6E2F" w:rsidRDefault="007972BE">
            <w:pPr>
              <w:jc w:val="right"/>
              <w:textAlignment w:val="bottom"/>
            </w:pPr>
            <w:r>
              <w:rPr>
                <w:rFonts w:ascii="Arial" w:eastAsia="宋体" w:hAnsi="Arial" w:cs="Arial"/>
                <w:color w:val="000000"/>
                <w:sz w:val="17"/>
                <w:szCs w:val="17"/>
              </w:rPr>
              <w:t>113 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A6" w14:textId="77777777" w:rsidR="009C6E2F" w:rsidRDefault="009C6E2F">
            <w:pPr>
              <w:jc w:val="right"/>
              <w:rPr>
                <w:rFonts w:ascii="宋体"/>
              </w:rPr>
            </w:pPr>
          </w:p>
        </w:tc>
        <w:tc>
          <w:tcPr>
            <w:tcW w:w="0" w:type="auto"/>
            <w:shd w:val="clear" w:color="auto" w:fill="auto"/>
            <w:vAlign w:val="bottom"/>
          </w:tcPr>
          <w:p w14:paraId="2470C4A7" w14:textId="77777777" w:rsidR="009C6E2F" w:rsidRDefault="009C6E2F">
            <w:pPr>
              <w:rPr>
                <w:rFonts w:ascii="宋体"/>
                <w:vanish/>
              </w:rPr>
            </w:pPr>
          </w:p>
        </w:tc>
        <w:tc>
          <w:tcPr>
            <w:tcW w:w="0" w:type="auto"/>
            <w:shd w:val="clear" w:color="auto" w:fill="auto"/>
            <w:vAlign w:val="bottom"/>
          </w:tcPr>
          <w:p w14:paraId="2470C4A8" w14:textId="77777777" w:rsidR="009C6E2F" w:rsidRDefault="009C6E2F">
            <w:pPr>
              <w:rPr>
                <w:rFonts w:ascii="宋体"/>
                <w:vanish/>
              </w:rPr>
            </w:pPr>
          </w:p>
        </w:tc>
        <w:tc>
          <w:tcPr>
            <w:tcW w:w="0" w:type="auto"/>
            <w:gridSpan w:val="3"/>
            <w:shd w:val="clear" w:color="auto" w:fill="auto"/>
            <w:vAlign w:val="bottom"/>
          </w:tcPr>
          <w:p w14:paraId="2470C4A9" w14:textId="77777777" w:rsidR="009C6E2F" w:rsidRDefault="009C6E2F">
            <w:pPr>
              <w:rPr>
                <w:rFonts w:ascii="宋体"/>
                <w:vanish/>
              </w:rPr>
            </w:pPr>
          </w:p>
        </w:tc>
      </w:tr>
      <w:tr w:rsidR="009C6E2F" w14:paraId="2470C4BC"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4AB" w14:textId="77777777" w:rsidR="009C6E2F" w:rsidRDefault="007972BE">
            <w:pPr>
              <w:textAlignment w:val="bottom"/>
            </w:pPr>
            <w:r>
              <w:rPr>
                <w:rFonts w:ascii="Arial" w:eastAsia="宋体" w:hAnsi="Arial" w:cs="Arial"/>
                <w:b/>
                <w:bCs/>
                <w:color w:val="000000"/>
                <w:sz w:val="17"/>
                <w:szCs w:val="17"/>
              </w:rPr>
              <w:t>TOTAL STOCK-BASED COMPENSATION EXPENSE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4A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4AD" w14:textId="77777777" w:rsidR="009C6E2F" w:rsidRDefault="007972BE">
            <w:pPr>
              <w:jc w:val="right"/>
              <w:textAlignment w:val="bottom"/>
            </w:pPr>
            <w:r>
              <w:rPr>
                <w:rFonts w:ascii="Arial" w:eastAsia="宋体" w:hAnsi="Arial" w:cs="Arial"/>
                <w:b/>
                <w:bCs/>
                <w:color w:val="000000"/>
                <w:sz w:val="17"/>
                <w:szCs w:val="17"/>
              </w:rPr>
              <w:t>170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4AE"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A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B0" w14:textId="77777777" w:rsidR="009C6E2F" w:rsidRDefault="007972BE">
            <w:pPr>
              <w:jc w:val="right"/>
              <w:textAlignment w:val="bottom"/>
            </w:pPr>
            <w:r>
              <w:rPr>
                <w:rFonts w:ascii="Arial" w:eastAsia="宋体" w:hAnsi="Arial" w:cs="Arial"/>
                <w:b/>
                <w:bCs/>
                <w:color w:val="000000"/>
                <w:sz w:val="17"/>
                <w:szCs w:val="17"/>
              </w:rPr>
              <w:t>189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B1"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4B2"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4B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4B4" w14:textId="77777777" w:rsidR="009C6E2F" w:rsidRDefault="007972BE">
            <w:pPr>
              <w:jc w:val="right"/>
              <w:textAlignment w:val="bottom"/>
            </w:pPr>
            <w:r>
              <w:rPr>
                <w:rFonts w:ascii="Arial" w:eastAsia="宋体" w:hAnsi="Arial" w:cs="Arial"/>
                <w:b/>
                <w:bCs/>
                <w:color w:val="000000"/>
                <w:sz w:val="17"/>
                <w:szCs w:val="17"/>
              </w:rPr>
              <w:t>306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4B5"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4B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4B7" w14:textId="77777777" w:rsidR="009C6E2F" w:rsidRDefault="007972BE">
            <w:pPr>
              <w:jc w:val="right"/>
              <w:textAlignment w:val="bottom"/>
            </w:pPr>
            <w:r>
              <w:rPr>
                <w:rFonts w:ascii="Arial" w:eastAsia="宋体" w:hAnsi="Arial" w:cs="Arial"/>
                <w:b/>
                <w:bCs/>
                <w:color w:val="000000"/>
                <w:sz w:val="17"/>
                <w:szCs w:val="17"/>
              </w:rPr>
              <w:t>325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4B8" w14:textId="77777777" w:rsidR="009C6E2F" w:rsidRDefault="009C6E2F">
            <w:pPr>
              <w:jc w:val="right"/>
              <w:rPr>
                <w:rFonts w:ascii="宋体"/>
              </w:rPr>
            </w:pPr>
          </w:p>
        </w:tc>
        <w:tc>
          <w:tcPr>
            <w:tcW w:w="0" w:type="auto"/>
            <w:shd w:val="clear" w:color="auto" w:fill="auto"/>
            <w:vAlign w:val="bottom"/>
          </w:tcPr>
          <w:p w14:paraId="2470C4B9" w14:textId="77777777" w:rsidR="009C6E2F" w:rsidRDefault="009C6E2F">
            <w:pPr>
              <w:rPr>
                <w:rFonts w:ascii="宋体"/>
                <w:vanish/>
              </w:rPr>
            </w:pPr>
          </w:p>
        </w:tc>
        <w:tc>
          <w:tcPr>
            <w:tcW w:w="0" w:type="auto"/>
            <w:shd w:val="clear" w:color="auto" w:fill="auto"/>
            <w:vAlign w:val="bottom"/>
          </w:tcPr>
          <w:p w14:paraId="2470C4BA" w14:textId="77777777" w:rsidR="009C6E2F" w:rsidRDefault="009C6E2F">
            <w:pPr>
              <w:rPr>
                <w:rFonts w:ascii="宋体"/>
                <w:vanish/>
              </w:rPr>
            </w:pPr>
          </w:p>
        </w:tc>
        <w:tc>
          <w:tcPr>
            <w:tcW w:w="0" w:type="auto"/>
            <w:gridSpan w:val="3"/>
            <w:shd w:val="clear" w:color="auto" w:fill="auto"/>
            <w:vAlign w:val="bottom"/>
          </w:tcPr>
          <w:p w14:paraId="2470C4BB" w14:textId="77777777" w:rsidR="009C6E2F" w:rsidRDefault="009C6E2F">
            <w:pPr>
              <w:rPr>
                <w:rFonts w:ascii="宋体"/>
                <w:vanish/>
              </w:rPr>
            </w:pPr>
          </w:p>
        </w:tc>
      </w:tr>
    </w:tbl>
    <w:p w14:paraId="2470C4BD"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(1)Expense for stock options includes the expense associated with stock appreciation rights. Accelerated stock option expense is primarily recorded for employees meeting certain retirement eligibility requirements and certain employees impacted by the Comp</w:t>
      </w:r>
      <w:r>
        <w:rPr>
          <w:rFonts w:ascii="Arial" w:eastAsia="宋体" w:hAnsi="Arial" w:cs="Arial"/>
          <w:i/>
          <w:iCs/>
          <w:color w:val="000000"/>
          <w:sz w:val="14"/>
          <w:szCs w:val="14"/>
        </w:rPr>
        <w:t xml:space="preserve">any's organizational realignment. For more information, see Note 13 </w:t>
      </w:r>
      <w:r>
        <w:rPr>
          <w:rFonts w:ascii="Arial" w:eastAsia="宋体" w:hAnsi="Arial" w:cs="Arial"/>
          <w:color w:val="000000"/>
          <w:sz w:val="14"/>
          <w:szCs w:val="14"/>
        </w:rPr>
        <w:t>—</w:t>
      </w:r>
      <w:r>
        <w:rPr>
          <w:rFonts w:ascii="Arial" w:eastAsia="宋体" w:hAnsi="Arial" w:cs="Arial"/>
          <w:i/>
          <w:iCs/>
          <w:color w:val="000000"/>
          <w:sz w:val="14"/>
          <w:szCs w:val="14"/>
        </w:rPr>
        <w:t xml:space="preserve"> Restructuring.</w:t>
      </w:r>
    </w:p>
    <w:p w14:paraId="2470C4BE"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(2)Includes expense for performance-based restricted stock units granted during the six months ended November 30, 2021.</w:t>
      </w:r>
    </w:p>
    <w:p w14:paraId="2470C4BF" w14:textId="77777777" w:rsidR="009C6E2F" w:rsidRDefault="007972BE">
      <w:pPr>
        <w:spacing w:before="120" w:after="120"/>
      </w:pPr>
      <w:r>
        <w:rPr>
          <w:rFonts w:ascii="Arial" w:eastAsia="宋体" w:hAnsi="Arial" w:cs="Arial"/>
          <w:color w:val="000000"/>
          <w:sz w:val="17"/>
          <w:szCs w:val="17"/>
        </w:rPr>
        <w:t xml:space="preserve">The income tax benefit related to </w:t>
      </w:r>
      <w:r>
        <w:rPr>
          <w:rFonts w:ascii="Arial" w:eastAsia="宋体" w:hAnsi="Arial" w:cs="Arial"/>
          <w:color w:val="000000"/>
          <w:sz w:val="17"/>
          <w:szCs w:val="17"/>
        </w:rPr>
        <w:t>stock-based compensation expense was $87 million and $108 million for the three months ended November 30, 2021 and 2020, respectively, and $273 million and $189 million for the six months ended November 30, 2021 and 2020, respectively.</w:t>
      </w:r>
    </w:p>
    <w:p w14:paraId="2470C4C0" w14:textId="77777777" w:rsidR="009C6E2F" w:rsidRDefault="007972BE">
      <w:pPr>
        <w:spacing w:before="240" w:after="120"/>
      </w:pPr>
      <w:r>
        <w:rPr>
          <w:rFonts w:ascii="sans-serif" w:eastAsia="sans-serif" w:hAnsi="sans-serif" w:cs="sans-serif"/>
          <w:b/>
          <w:bCs/>
          <w:color w:val="000000"/>
          <w:sz w:val="28"/>
          <w:szCs w:val="28"/>
        </w:rPr>
        <w:t>STOCK OPTIONS</w:t>
      </w:r>
    </w:p>
    <w:p w14:paraId="2470C4C1" w14:textId="77777777" w:rsidR="009C6E2F" w:rsidRDefault="007972BE">
      <w:pPr>
        <w:spacing w:before="120" w:after="120"/>
      </w:pPr>
      <w:r>
        <w:rPr>
          <w:rFonts w:ascii="Arial" w:eastAsia="宋体" w:hAnsi="Arial" w:cs="Arial"/>
          <w:color w:val="000000"/>
          <w:sz w:val="17"/>
          <w:szCs w:val="17"/>
        </w:rPr>
        <w:t>The we</w:t>
      </w:r>
      <w:r>
        <w:rPr>
          <w:rFonts w:ascii="Arial" w:eastAsia="宋体" w:hAnsi="Arial" w:cs="Arial"/>
          <w:color w:val="000000"/>
          <w:sz w:val="17"/>
          <w:szCs w:val="17"/>
        </w:rPr>
        <w:t>ighted average fair value per share of the options granted during the six months ended November 30, 2021 and 2020, computed as of the grant date using the Black-Scholes pricing model, was $37.53 and $26.75, respectively. The weighted average assumptions us</w:t>
      </w:r>
      <w:r>
        <w:rPr>
          <w:rFonts w:ascii="Arial" w:eastAsia="宋体" w:hAnsi="Arial" w:cs="Arial"/>
          <w:color w:val="000000"/>
          <w:sz w:val="17"/>
          <w:szCs w:val="17"/>
        </w:rPr>
        <w:t>ed to estimate these fair values were as follows:</w:t>
      </w:r>
    </w:p>
    <w:tbl>
      <w:tblPr>
        <w:tblW w:w="4992" w:type="pct"/>
        <w:tblCellMar>
          <w:top w:w="15" w:type="dxa"/>
          <w:left w:w="15" w:type="dxa"/>
          <w:bottom w:w="15" w:type="dxa"/>
          <w:right w:w="15" w:type="dxa"/>
        </w:tblCellMar>
        <w:tblLook w:val="04A0" w:firstRow="1" w:lastRow="0" w:firstColumn="1" w:lastColumn="0" w:noHBand="0" w:noVBand="1"/>
      </w:tblPr>
      <w:tblGrid>
        <w:gridCol w:w="37"/>
        <w:gridCol w:w="5947"/>
        <w:gridCol w:w="36"/>
        <w:gridCol w:w="37"/>
        <w:gridCol w:w="942"/>
        <w:gridCol w:w="173"/>
        <w:gridCol w:w="36"/>
        <w:gridCol w:w="943"/>
        <w:gridCol w:w="172"/>
      </w:tblGrid>
      <w:tr w:rsidR="009C6E2F" w14:paraId="2470C4CB" w14:textId="77777777">
        <w:tc>
          <w:tcPr>
            <w:tcW w:w="50" w:type="pct"/>
            <w:shd w:val="clear" w:color="auto" w:fill="auto"/>
            <w:vAlign w:val="bottom"/>
          </w:tcPr>
          <w:p w14:paraId="2470C4C2" w14:textId="77777777" w:rsidR="009C6E2F" w:rsidRDefault="009C6E2F">
            <w:pPr>
              <w:rPr>
                <w:rFonts w:ascii="宋体"/>
              </w:rPr>
            </w:pPr>
          </w:p>
        </w:tc>
        <w:tc>
          <w:tcPr>
            <w:tcW w:w="3615" w:type="pct"/>
            <w:shd w:val="clear" w:color="auto" w:fill="auto"/>
            <w:vAlign w:val="bottom"/>
          </w:tcPr>
          <w:p w14:paraId="2470C4C3" w14:textId="77777777" w:rsidR="009C6E2F" w:rsidRDefault="009C6E2F">
            <w:pPr>
              <w:rPr>
                <w:rFonts w:ascii="宋体"/>
              </w:rPr>
            </w:pPr>
          </w:p>
        </w:tc>
        <w:tc>
          <w:tcPr>
            <w:tcW w:w="5" w:type="pct"/>
            <w:shd w:val="clear" w:color="auto" w:fill="auto"/>
            <w:vAlign w:val="bottom"/>
          </w:tcPr>
          <w:p w14:paraId="2470C4C4" w14:textId="77777777" w:rsidR="009C6E2F" w:rsidRDefault="009C6E2F">
            <w:pPr>
              <w:rPr>
                <w:rFonts w:ascii="宋体"/>
              </w:rPr>
            </w:pPr>
          </w:p>
        </w:tc>
        <w:tc>
          <w:tcPr>
            <w:tcW w:w="50" w:type="pct"/>
            <w:shd w:val="clear" w:color="auto" w:fill="auto"/>
            <w:vAlign w:val="bottom"/>
          </w:tcPr>
          <w:p w14:paraId="2470C4C5" w14:textId="77777777" w:rsidR="009C6E2F" w:rsidRDefault="009C6E2F">
            <w:pPr>
              <w:rPr>
                <w:rFonts w:ascii="宋体"/>
              </w:rPr>
            </w:pPr>
          </w:p>
        </w:tc>
        <w:tc>
          <w:tcPr>
            <w:tcW w:w="609" w:type="pct"/>
            <w:shd w:val="clear" w:color="auto" w:fill="auto"/>
            <w:vAlign w:val="bottom"/>
          </w:tcPr>
          <w:p w14:paraId="2470C4C6" w14:textId="77777777" w:rsidR="009C6E2F" w:rsidRDefault="009C6E2F">
            <w:pPr>
              <w:rPr>
                <w:rFonts w:ascii="宋体"/>
              </w:rPr>
            </w:pPr>
          </w:p>
        </w:tc>
        <w:tc>
          <w:tcPr>
            <w:tcW w:w="5" w:type="pct"/>
            <w:shd w:val="clear" w:color="auto" w:fill="auto"/>
            <w:vAlign w:val="bottom"/>
          </w:tcPr>
          <w:p w14:paraId="2470C4C7" w14:textId="77777777" w:rsidR="009C6E2F" w:rsidRDefault="009C6E2F">
            <w:pPr>
              <w:rPr>
                <w:rFonts w:ascii="宋体"/>
              </w:rPr>
            </w:pPr>
          </w:p>
        </w:tc>
        <w:tc>
          <w:tcPr>
            <w:tcW w:w="50" w:type="pct"/>
            <w:shd w:val="clear" w:color="auto" w:fill="auto"/>
            <w:vAlign w:val="bottom"/>
          </w:tcPr>
          <w:p w14:paraId="2470C4C8" w14:textId="77777777" w:rsidR="009C6E2F" w:rsidRDefault="009C6E2F">
            <w:pPr>
              <w:rPr>
                <w:rFonts w:ascii="宋体"/>
              </w:rPr>
            </w:pPr>
          </w:p>
        </w:tc>
        <w:tc>
          <w:tcPr>
            <w:tcW w:w="609" w:type="pct"/>
            <w:shd w:val="clear" w:color="auto" w:fill="auto"/>
            <w:vAlign w:val="bottom"/>
          </w:tcPr>
          <w:p w14:paraId="2470C4C9" w14:textId="77777777" w:rsidR="009C6E2F" w:rsidRDefault="009C6E2F">
            <w:pPr>
              <w:rPr>
                <w:rFonts w:ascii="宋体"/>
              </w:rPr>
            </w:pPr>
          </w:p>
        </w:tc>
        <w:tc>
          <w:tcPr>
            <w:tcW w:w="5" w:type="pct"/>
            <w:shd w:val="clear" w:color="auto" w:fill="auto"/>
            <w:vAlign w:val="bottom"/>
          </w:tcPr>
          <w:p w14:paraId="2470C4CA" w14:textId="77777777" w:rsidR="009C6E2F" w:rsidRDefault="009C6E2F">
            <w:pPr>
              <w:rPr>
                <w:rFonts w:ascii="宋体"/>
              </w:rPr>
            </w:pPr>
          </w:p>
        </w:tc>
      </w:tr>
      <w:tr w:rsidR="009C6E2F" w14:paraId="2470C4CE" w14:textId="77777777">
        <w:tc>
          <w:tcPr>
            <w:tcW w:w="0" w:type="auto"/>
            <w:gridSpan w:val="3"/>
            <w:shd w:val="clear" w:color="auto" w:fill="auto"/>
            <w:tcMar>
              <w:top w:w="40" w:type="dxa"/>
              <w:left w:w="20" w:type="dxa"/>
              <w:bottom w:w="40" w:type="dxa"/>
              <w:right w:w="20" w:type="dxa"/>
            </w:tcMar>
            <w:vAlign w:val="bottom"/>
          </w:tcPr>
          <w:p w14:paraId="2470C4CC" w14:textId="77777777" w:rsidR="009C6E2F" w:rsidRDefault="007972BE">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470C4CD"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C4D2" w14:textId="77777777">
        <w:tc>
          <w:tcPr>
            <w:tcW w:w="0" w:type="auto"/>
            <w:gridSpan w:val="3"/>
            <w:shd w:val="clear" w:color="auto" w:fill="auto"/>
            <w:tcMar>
              <w:top w:w="0" w:type="dxa"/>
              <w:left w:w="20" w:type="dxa"/>
              <w:bottom w:w="0" w:type="dxa"/>
              <w:right w:w="20" w:type="dxa"/>
            </w:tcMar>
            <w:vAlign w:val="bottom"/>
          </w:tcPr>
          <w:p w14:paraId="2470C4CF"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D0"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D1"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C4D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4D3" w14:textId="77777777" w:rsidR="009C6E2F" w:rsidRDefault="007972BE">
            <w:pPr>
              <w:textAlignment w:val="bottom"/>
            </w:pPr>
            <w:r>
              <w:rPr>
                <w:rFonts w:ascii="Arial" w:eastAsia="宋体" w:hAnsi="Arial" w:cs="Arial"/>
                <w:color w:val="000000"/>
                <w:sz w:val="17"/>
                <w:szCs w:val="17"/>
              </w:rPr>
              <w:t>Dividend yield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4D4" w14:textId="77777777" w:rsidR="009C6E2F" w:rsidRDefault="007972BE">
            <w:pPr>
              <w:jc w:val="right"/>
              <w:textAlignment w:val="bottom"/>
            </w:pPr>
            <w:r>
              <w:rPr>
                <w:rFonts w:ascii="Arial" w:eastAsia="宋体" w:hAnsi="Arial" w:cs="Arial"/>
                <w:color w:val="000000"/>
                <w:sz w:val="17"/>
                <w:szCs w:val="17"/>
              </w:rPr>
              <w:t>0.8 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4D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4D6" w14:textId="77777777" w:rsidR="009C6E2F" w:rsidRDefault="007972BE">
            <w:pPr>
              <w:jc w:val="right"/>
              <w:textAlignment w:val="bottom"/>
            </w:pPr>
            <w:r>
              <w:rPr>
                <w:rFonts w:ascii="Arial" w:eastAsia="宋体" w:hAnsi="Arial" w:cs="Arial"/>
                <w:color w:val="000000"/>
                <w:sz w:val="17"/>
                <w:szCs w:val="17"/>
              </w:rPr>
              <w:t>0.9 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4D7" w14:textId="77777777" w:rsidR="009C6E2F" w:rsidRDefault="007972BE">
            <w:pPr>
              <w:jc w:val="right"/>
              <w:textAlignment w:val="bottom"/>
            </w:pPr>
            <w:r>
              <w:rPr>
                <w:rFonts w:ascii="Arial" w:eastAsia="宋体" w:hAnsi="Arial" w:cs="Arial"/>
                <w:color w:val="000000"/>
                <w:sz w:val="17"/>
                <w:szCs w:val="17"/>
              </w:rPr>
              <w:t>%</w:t>
            </w:r>
          </w:p>
        </w:tc>
      </w:tr>
      <w:tr w:rsidR="009C6E2F" w14:paraId="2470C4D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4D9" w14:textId="77777777" w:rsidR="009C6E2F" w:rsidRDefault="007972BE">
            <w:pPr>
              <w:textAlignment w:val="bottom"/>
            </w:pPr>
            <w:r>
              <w:rPr>
                <w:rFonts w:ascii="Arial" w:eastAsia="宋体" w:hAnsi="Arial" w:cs="Arial"/>
                <w:color w:val="000000"/>
                <w:sz w:val="17"/>
                <w:szCs w:val="17"/>
              </w:rPr>
              <w:t>Expected volatility</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4DA" w14:textId="77777777" w:rsidR="009C6E2F" w:rsidRDefault="007972BE">
            <w:pPr>
              <w:jc w:val="right"/>
              <w:textAlignment w:val="bottom"/>
            </w:pPr>
            <w:r>
              <w:rPr>
                <w:rFonts w:ascii="Arial" w:eastAsia="宋体" w:hAnsi="Arial" w:cs="Arial"/>
                <w:color w:val="000000"/>
                <w:sz w:val="17"/>
                <w:szCs w:val="17"/>
              </w:rPr>
              <w:t>24.9 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4DB"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4DC" w14:textId="77777777" w:rsidR="009C6E2F" w:rsidRDefault="007972BE">
            <w:pPr>
              <w:jc w:val="right"/>
              <w:textAlignment w:val="bottom"/>
            </w:pPr>
            <w:r>
              <w:rPr>
                <w:rFonts w:ascii="Arial" w:eastAsia="宋体" w:hAnsi="Arial" w:cs="Arial"/>
                <w:color w:val="000000"/>
                <w:sz w:val="17"/>
                <w:szCs w:val="17"/>
              </w:rPr>
              <w:t>27.3 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4DD" w14:textId="77777777" w:rsidR="009C6E2F" w:rsidRDefault="007972BE">
            <w:pPr>
              <w:jc w:val="right"/>
              <w:textAlignment w:val="bottom"/>
            </w:pPr>
            <w:r>
              <w:rPr>
                <w:rFonts w:ascii="Arial" w:eastAsia="宋体" w:hAnsi="Arial" w:cs="Arial"/>
                <w:color w:val="000000"/>
                <w:sz w:val="17"/>
                <w:szCs w:val="17"/>
              </w:rPr>
              <w:t>%</w:t>
            </w:r>
          </w:p>
        </w:tc>
      </w:tr>
      <w:tr w:rsidR="009C6E2F" w14:paraId="2470C4E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4DF" w14:textId="77777777" w:rsidR="009C6E2F" w:rsidRDefault="007972BE">
            <w:pPr>
              <w:textAlignment w:val="bottom"/>
            </w:pPr>
            <w:r>
              <w:rPr>
                <w:rFonts w:ascii="Arial" w:eastAsia="宋体" w:hAnsi="Arial" w:cs="Arial"/>
                <w:color w:val="000000"/>
                <w:sz w:val="17"/>
                <w:szCs w:val="17"/>
              </w:rPr>
              <w:t>Weighted average expected life (in years)</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470C4E0" w14:textId="77777777" w:rsidR="009C6E2F" w:rsidRDefault="007972BE">
            <w:pPr>
              <w:jc w:val="right"/>
              <w:textAlignment w:val="bottom"/>
            </w:pPr>
            <w:r>
              <w:rPr>
                <w:rFonts w:ascii="Arial" w:eastAsia="宋体" w:hAnsi="Arial" w:cs="Arial"/>
                <w:color w:val="000000"/>
                <w:sz w:val="17"/>
                <w:szCs w:val="17"/>
              </w:rPr>
              <w:t>5.8</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4E1" w14:textId="77777777" w:rsidR="009C6E2F" w:rsidRDefault="007972BE">
            <w:pPr>
              <w:jc w:val="right"/>
              <w:textAlignment w:val="bottom"/>
            </w:pPr>
            <w:r>
              <w:rPr>
                <w:rFonts w:ascii="Arial" w:eastAsia="宋体" w:hAnsi="Arial" w:cs="Arial"/>
                <w:color w:val="000000"/>
                <w:sz w:val="17"/>
                <w:szCs w:val="17"/>
              </w:rPr>
              <w:t>6.0</w:t>
            </w:r>
          </w:p>
        </w:tc>
      </w:tr>
      <w:tr w:rsidR="009C6E2F" w14:paraId="2470C4E8"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C4E3" w14:textId="77777777" w:rsidR="009C6E2F" w:rsidRDefault="007972BE">
            <w:pPr>
              <w:textAlignment w:val="bottom"/>
            </w:pPr>
            <w:r>
              <w:rPr>
                <w:rFonts w:ascii="Arial" w:eastAsia="宋体" w:hAnsi="Arial" w:cs="Arial"/>
                <w:color w:val="000000"/>
                <w:sz w:val="17"/>
                <w:szCs w:val="17"/>
              </w:rPr>
              <w:t>Risk-free interest rate</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4E4" w14:textId="77777777" w:rsidR="009C6E2F" w:rsidRDefault="007972BE">
            <w:pPr>
              <w:jc w:val="right"/>
              <w:textAlignment w:val="bottom"/>
            </w:pPr>
            <w:r>
              <w:rPr>
                <w:rFonts w:ascii="Arial" w:eastAsia="宋体" w:hAnsi="Arial" w:cs="Arial"/>
                <w:color w:val="000000"/>
                <w:sz w:val="17"/>
                <w:szCs w:val="17"/>
              </w:rPr>
              <w:t>0.9 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4E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4E6" w14:textId="77777777" w:rsidR="009C6E2F" w:rsidRDefault="007972BE">
            <w:pPr>
              <w:jc w:val="right"/>
              <w:textAlignment w:val="bottom"/>
            </w:pPr>
            <w:r>
              <w:rPr>
                <w:rFonts w:ascii="Arial" w:eastAsia="宋体" w:hAnsi="Arial" w:cs="Arial"/>
                <w:color w:val="000000"/>
                <w:sz w:val="17"/>
                <w:szCs w:val="17"/>
              </w:rPr>
              <w:t>0.4 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4E7" w14:textId="77777777" w:rsidR="009C6E2F" w:rsidRDefault="007972BE">
            <w:pPr>
              <w:jc w:val="right"/>
              <w:textAlignment w:val="bottom"/>
            </w:pPr>
            <w:r>
              <w:rPr>
                <w:rFonts w:ascii="Arial" w:eastAsia="宋体" w:hAnsi="Arial" w:cs="Arial"/>
                <w:color w:val="000000"/>
                <w:sz w:val="17"/>
                <w:szCs w:val="17"/>
              </w:rPr>
              <w:t>%</w:t>
            </w:r>
          </w:p>
        </w:tc>
      </w:tr>
    </w:tbl>
    <w:p w14:paraId="2470C4E9" w14:textId="77777777" w:rsidR="009C6E2F" w:rsidRDefault="007972BE">
      <w:pPr>
        <w:spacing w:before="120" w:after="120"/>
      </w:pPr>
      <w:r>
        <w:rPr>
          <w:rFonts w:ascii="Arial" w:eastAsia="宋体" w:hAnsi="Arial" w:cs="Arial"/>
          <w:color w:val="000000"/>
          <w:sz w:val="17"/>
          <w:szCs w:val="17"/>
        </w:rPr>
        <w:t xml:space="preserve">Expected volatilities are based on an analysis of the historical volatility of the Company's common stock, the implied volatility in market-traded options on the Company's common stock with a term greater than one year, as well as other </w:t>
      </w:r>
      <w:r>
        <w:rPr>
          <w:rFonts w:ascii="Arial" w:eastAsia="宋体" w:hAnsi="Arial" w:cs="Arial"/>
          <w:color w:val="000000"/>
          <w:sz w:val="17"/>
          <w:szCs w:val="17"/>
        </w:rPr>
        <w:t>factors. The weighted average expected life of options is based on an analysis of historical and expected future exercise patterns. The interest rate is based on the U.S. Treasury (constant maturity) risk-free rate in effect at the date of grant for period</w:t>
      </w:r>
      <w:r>
        <w:rPr>
          <w:rFonts w:ascii="Arial" w:eastAsia="宋体" w:hAnsi="Arial" w:cs="Arial"/>
          <w:color w:val="000000"/>
          <w:sz w:val="17"/>
          <w:szCs w:val="17"/>
        </w:rPr>
        <w:t>s corresponding with the expected term of the options.</w:t>
      </w:r>
    </w:p>
    <w:p w14:paraId="2470C4EA" w14:textId="77777777" w:rsidR="009C6E2F" w:rsidRDefault="007972BE">
      <w:pPr>
        <w:spacing w:before="120" w:after="120"/>
      </w:pPr>
      <w:r>
        <w:rPr>
          <w:rFonts w:ascii="Arial" w:eastAsia="宋体" w:hAnsi="Arial" w:cs="Arial"/>
          <w:color w:val="000000"/>
          <w:sz w:val="17"/>
          <w:szCs w:val="17"/>
        </w:rPr>
        <w:t>As of November 30, 2021, the Company had $570 million of unrecognized compensation costs from stock options, net of estimated forfeitures, to be recognized in Cost of sales or Operating overhead expens</w:t>
      </w:r>
      <w:r>
        <w:rPr>
          <w:rFonts w:ascii="Arial" w:eastAsia="宋体" w:hAnsi="Arial" w:cs="Arial"/>
          <w:color w:val="000000"/>
          <w:sz w:val="17"/>
          <w:szCs w:val="17"/>
        </w:rPr>
        <w:t>e, as applicable, over a weighted average remaining period of 2.7 years.</w:t>
      </w:r>
    </w:p>
    <w:p w14:paraId="2470C4EB" w14:textId="77777777" w:rsidR="009C6E2F" w:rsidRDefault="007972BE">
      <w:pPr>
        <w:spacing w:before="240" w:after="120"/>
      </w:pPr>
      <w:r>
        <w:rPr>
          <w:rFonts w:ascii="sans-serif" w:eastAsia="sans-serif" w:hAnsi="sans-serif" w:cs="sans-serif"/>
          <w:b/>
          <w:bCs/>
          <w:color w:val="000000"/>
          <w:sz w:val="28"/>
          <w:szCs w:val="28"/>
        </w:rPr>
        <w:t>RESTRICTED STOCK AND RESTRICTED STOCK UNITS</w:t>
      </w:r>
    </w:p>
    <w:p w14:paraId="2470C4EC" w14:textId="77777777" w:rsidR="009C6E2F" w:rsidRDefault="007972BE">
      <w:pPr>
        <w:spacing w:before="120" w:after="120"/>
      </w:pPr>
      <w:r>
        <w:rPr>
          <w:rFonts w:ascii="Arial" w:eastAsia="宋体" w:hAnsi="Arial" w:cs="Arial"/>
          <w:color w:val="000000"/>
          <w:sz w:val="17"/>
          <w:szCs w:val="17"/>
        </w:rPr>
        <w:t>The weighted average fair value per share of restricted stock and restricted stock units granted for the six months ended November 30, 2021</w:t>
      </w:r>
      <w:r>
        <w:rPr>
          <w:rFonts w:ascii="Arial" w:eastAsia="宋体" w:hAnsi="Arial" w:cs="Arial"/>
          <w:color w:val="000000"/>
          <w:sz w:val="17"/>
          <w:szCs w:val="17"/>
        </w:rPr>
        <w:t xml:space="preserve"> and 2020, computed as of the grant date, was $163.27 and $109.36, respectively. </w:t>
      </w:r>
    </w:p>
    <w:p w14:paraId="2470C4ED" w14:textId="77777777" w:rsidR="009C6E2F" w:rsidRDefault="007972BE">
      <w:pPr>
        <w:spacing w:before="120" w:after="120"/>
        <w:jc w:val="right"/>
      </w:pPr>
      <w:r>
        <w:rPr>
          <w:rFonts w:ascii="Arial" w:eastAsia="宋体" w:hAnsi="Arial" w:cs="Arial"/>
          <w:color w:val="E87722"/>
          <w:sz w:val="17"/>
          <w:szCs w:val="17"/>
        </w:rPr>
        <w:t>11</w:t>
      </w:r>
    </w:p>
    <w:p w14:paraId="2470C4EE" w14:textId="77777777" w:rsidR="009C6E2F" w:rsidRDefault="007972BE">
      <w:r>
        <w:pict w14:anchorId="2470E1F0">
          <v:rect id="_x0000_i1037" style="width:415.3pt;height:1.5pt" o:hralign="center" o:hrstd="t" o:hr="t" fillcolor="#a0a0a0" stroked="f"/>
        </w:pict>
      </w:r>
    </w:p>
    <w:p w14:paraId="2470C4EF" w14:textId="77777777" w:rsidR="009C6E2F" w:rsidRDefault="009C6E2F"/>
    <w:p w14:paraId="2470C4F0" w14:textId="77777777" w:rsidR="009C6E2F" w:rsidRDefault="007972BE">
      <w:hyperlink r:id="rId80" w:anchor="i9e023a7388204bdbacd6aa338988f838_7" w:history="1">
        <w:r>
          <w:rPr>
            <w:rStyle w:val="a5"/>
            <w:rFonts w:ascii="sans-serif" w:eastAsia="sans-serif" w:hAnsi="sans-serif" w:cs="sans-serif"/>
            <w:sz w:val="17"/>
            <w:szCs w:val="17"/>
          </w:rPr>
          <w:t>Table of Contents</w:t>
        </w:r>
      </w:hyperlink>
    </w:p>
    <w:p w14:paraId="2470C4F1" w14:textId="77777777" w:rsidR="009C6E2F" w:rsidRDefault="009C6E2F"/>
    <w:p w14:paraId="2470C4F2" w14:textId="77777777" w:rsidR="009C6E2F" w:rsidRDefault="007972BE">
      <w:pPr>
        <w:spacing w:before="120" w:after="120"/>
      </w:pPr>
      <w:r>
        <w:rPr>
          <w:rFonts w:ascii="Arial" w:eastAsia="宋体" w:hAnsi="Arial" w:cs="Arial"/>
          <w:color w:val="000000"/>
          <w:sz w:val="17"/>
          <w:szCs w:val="17"/>
        </w:rPr>
        <w:t>During the six months ended November 30, 2021, under the Stock Incentive Plan, the Co</w:t>
      </w:r>
      <w:r>
        <w:rPr>
          <w:rFonts w:ascii="Arial" w:eastAsia="宋体" w:hAnsi="Arial" w:cs="Arial"/>
          <w:color w:val="000000"/>
          <w:sz w:val="17"/>
          <w:szCs w:val="17"/>
        </w:rPr>
        <w:t>mpany granted performance-based restricted stock units (PSUs), which were historically in the form of cash-based long-term incentive awards under the Company's Long-Term Incentive Plan. The Company estimates the fair value of these PSUs as of the grant dat</w:t>
      </w:r>
      <w:r>
        <w:rPr>
          <w:rFonts w:ascii="Arial" w:eastAsia="宋体" w:hAnsi="Arial" w:cs="Arial"/>
          <w:color w:val="000000"/>
          <w:sz w:val="17"/>
          <w:szCs w:val="17"/>
        </w:rPr>
        <w:t>e using a Monte Carlo simulation. The weighted average fair value per share of PSUs granted for the six months ended November 30, 2021, computed as of the grant date, was $250.52. The impact of granting PSUs during the six months ended November 30, 2021, w</w:t>
      </w:r>
      <w:r>
        <w:rPr>
          <w:rFonts w:ascii="Arial" w:eastAsia="宋体" w:hAnsi="Arial" w:cs="Arial"/>
          <w:color w:val="000000"/>
          <w:sz w:val="17"/>
          <w:szCs w:val="17"/>
        </w:rPr>
        <w:t xml:space="preserve">as not material to the Company's Unaudited Condensed Consolidated Financial Statements. </w:t>
      </w:r>
    </w:p>
    <w:p w14:paraId="2470C4F3" w14:textId="77777777" w:rsidR="009C6E2F" w:rsidRDefault="007972BE">
      <w:pPr>
        <w:spacing w:before="120" w:after="120"/>
      </w:pPr>
      <w:r>
        <w:rPr>
          <w:rFonts w:ascii="Arial" w:eastAsia="宋体" w:hAnsi="Arial" w:cs="Arial"/>
          <w:color w:val="000000"/>
          <w:sz w:val="17"/>
          <w:szCs w:val="17"/>
        </w:rPr>
        <w:t>As of November 30, 2021, the Company had $624 million of unrecognized compensation costs from restricted stock, restricted stock units and PSUs, net of estimated forfe</w:t>
      </w:r>
      <w:r>
        <w:rPr>
          <w:rFonts w:ascii="Arial" w:eastAsia="宋体" w:hAnsi="Arial" w:cs="Arial"/>
          <w:color w:val="000000"/>
          <w:sz w:val="17"/>
          <w:szCs w:val="17"/>
        </w:rPr>
        <w:t>itures, to be recognized in Cost of sales or Operating overhead expense, as applicable, over a weighted average remaining period of 2.7 years.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4F7" w14:textId="77777777">
        <w:tc>
          <w:tcPr>
            <w:tcW w:w="50" w:type="pct"/>
            <w:shd w:val="clear" w:color="auto" w:fill="auto"/>
            <w:vAlign w:val="bottom"/>
          </w:tcPr>
          <w:p w14:paraId="2470C4F4" w14:textId="77777777" w:rsidR="009C6E2F" w:rsidRDefault="009C6E2F">
            <w:pPr>
              <w:rPr>
                <w:rFonts w:ascii="宋体"/>
              </w:rPr>
            </w:pPr>
          </w:p>
        </w:tc>
        <w:tc>
          <w:tcPr>
            <w:tcW w:w="4945" w:type="pct"/>
            <w:shd w:val="clear" w:color="auto" w:fill="auto"/>
            <w:vAlign w:val="bottom"/>
          </w:tcPr>
          <w:p w14:paraId="2470C4F5" w14:textId="77777777" w:rsidR="009C6E2F" w:rsidRDefault="009C6E2F">
            <w:pPr>
              <w:rPr>
                <w:rFonts w:ascii="宋体"/>
              </w:rPr>
            </w:pPr>
          </w:p>
        </w:tc>
        <w:tc>
          <w:tcPr>
            <w:tcW w:w="5" w:type="pct"/>
            <w:shd w:val="clear" w:color="auto" w:fill="auto"/>
            <w:vAlign w:val="bottom"/>
          </w:tcPr>
          <w:p w14:paraId="2470C4F6" w14:textId="77777777" w:rsidR="009C6E2F" w:rsidRDefault="009C6E2F">
            <w:pPr>
              <w:rPr>
                <w:rFonts w:ascii="宋体"/>
              </w:rPr>
            </w:pPr>
          </w:p>
        </w:tc>
      </w:tr>
      <w:tr w:rsidR="009C6E2F" w14:paraId="2470C4F9" w14:textId="77777777">
        <w:tc>
          <w:tcPr>
            <w:tcW w:w="0" w:type="auto"/>
            <w:gridSpan w:val="3"/>
            <w:shd w:val="clear" w:color="auto" w:fill="auto"/>
            <w:tcMar>
              <w:top w:w="40" w:type="dxa"/>
              <w:left w:w="20" w:type="dxa"/>
              <w:bottom w:w="40" w:type="dxa"/>
              <w:right w:w="20" w:type="dxa"/>
            </w:tcMar>
            <w:vAlign w:val="bottom"/>
          </w:tcPr>
          <w:p w14:paraId="2470C4F8" w14:textId="77777777" w:rsidR="009C6E2F" w:rsidRDefault="007972BE">
            <w:pPr>
              <w:textAlignment w:val="bottom"/>
            </w:pPr>
            <w:r>
              <w:rPr>
                <w:rFonts w:ascii="sans-serif" w:eastAsia="sans-serif" w:hAnsi="sans-serif" w:cs="sans-serif"/>
                <w:b/>
                <w:bCs/>
                <w:color w:val="E87722"/>
                <w:sz w:val="36"/>
                <w:szCs w:val="36"/>
              </w:rPr>
              <w:t>NOTE 7 — EARNINGS PER SHARE</w:t>
            </w:r>
          </w:p>
        </w:tc>
      </w:tr>
    </w:tbl>
    <w:p w14:paraId="2470C4FA" w14:textId="77777777" w:rsidR="009C6E2F" w:rsidRDefault="007972BE">
      <w:pPr>
        <w:spacing w:before="120" w:after="120"/>
      </w:pPr>
      <w:r>
        <w:rPr>
          <w:rFonts w:ascii="Arial" w:eastAsia="宋体" w:hAnsi="Arial" w:cs="Arial"/>
          <w:color w:val="000000"/>
          <w:sz w:val="17"/>
          <w:szCs w:val="17"/>
        </w:rPr>
        <w:t>The following is a reconciliation from basic earnings per common share to dilute</w:t>
      </w:r>
      <w:r>
        <w:rPr>
          <w:rFonts w:ascii="Arial" w:eastAsia="宋体" w:hAnsi="Arial" w:cs="Arial"/>
          <w:color w:val="000000"/>
          <w:sz w:val="17"/>
          <w:szCs w:val="17"/>
        </w:rPr>
        <w:t>d earnings per common share. The computations of diluted earnings per common share excluded restricted stock, restricted stock units and options, including shares under ESPPs, to purchase an additional 9.2 million and 12.6 million shares of common stock ou</w:t>
      </w:r>
      <w:r>
        <w:rPr>
          <w:rFonts w:ascii="Arial" w:eastAsia="宋体" w:hAnsi="Arial" w:cs="Arial"/>
          <w:color w:val="000000"/>
          <w:sz w:val="17"/>
          <w:szCs w:val="17"/>
        </w:rPr>
        <w:t>tstanding for the three months ended November 30, 2021 and 2020, respectively, and 9.1 million and 13.5 million shares of common stock outstanding for the six months ended November 30, 2021 and 2020, respectively, because the awards were anti-dilutive.</w:t>
      </w:r>
    </w:p>
    <w:tbl>
      <w:tblPr>
        <w:tblW w:w="5000" w:type="pct"/>
        <w:tblCellMar>
          <w:top w:w="15" w:type="dxa"/>
          <w:left w:w="15" w:type="dxa"/>
          <w:bottom w:w="15" w:type="dxa"/>
          <w:right w:w="15" w:type="dxa"/>
        </w:tblCellMar>
        <w:tblLook w:val="04A0" w:firstRow="1" w:lastRow="0" w:firstColumn="1" w:lastColumn="0" w:noHBand="0" w:noVBand="1"/>
      </w:tblPr>
      <w:tblGrid>
        <w:gridCol w:w="40"/>
        <w:gridCol w:w="4677"/>
        <w:gridCol w:w="39"/>
        <w:gridCol w:w="116"/>
        <w:gridCol w:w="680"/>
        <w:gridCol w:w="36"/>
        <w:gridCol w:w="116"/>
        <w:gridCol w:w="681"/>
        <w:gridCol w:w="36"/>
        <w:gridCol w:w="36"/>
        <w:gridCol w:w="36"/>
        <w:gridCol w:w="36"/>
        <w:gridCol w:w="116"/>
        <w:gridCol w:w="642"/>
        <w:gridCol w:w="36"/>
        <w:gridCol w:w="116"/>
        <w:gridCol w:w="681"/>
        <w:gridCol w:w="36"/>
        <w:gridCol w:w="36"/>
        <w:gridCol w:w="36"/>
        <w:gridCol w:w="36"/>
        <w:gridCol w:w="36"/>
        <w:gridCol w:w="36"/>
      </w:tblGrid>
      <w:tr w:rsidR="009C6E2F" w14:paraId="2470C510" w14:textId="77777777">
        <w:tc>
          <w:tcPr>
            <w:tcW w:w="50" w:type="pct"/>
            <w:shd w:val="clear" w:color="auto" w:fill="auto"/>
            <w:vAlign w:val="bottom"/>
          </w:tcPr>
          <w:p w14:paraId="2470C4FB" w14:textId="77777777" w:rsidR="009C6E2F" w:rsidRDefault="009C6E2F">
            <w:pPr>
              <w:rPr>
                <w:rFonts w:ascii="宋体"/>
              </w:rPr>
            </w:pPr>
          </w:p>
        </w:tc>
        <w:tc>
          <w:tcPr>
            <w:tcW w:w="2900" w:type="pct"/>
            <w:shd w:val="clear" w:color="auto" w:fill="auto"/>
            <w:vAlign w:val="bottom"/>
          </w:tcPr>
          <w:p w14:paraId="2470C4FC" w14:textId="77777777" w:rsidR="009C6E2F" w:rsidRDefault="009C6E2F">
            <w:pPr>
              <w:rPr>
                <w:rFonts w:ascii="宋体"/>
              </w:rPr>
            </w:pPr>
          </w:p>
        </w:tc>
        <w:tc>
          <w:tcPr>
            <w:tcW w:w="5" w:type="pct"/>
            <w:shd w:val="clear" w:color="auto" w:fill="auto"/>
            <w:vAlign w:val="bottom"/>
          </w:tcPr>
          <w:p w14:paraId="2470C4FD" w14:textId="77777777" w:rsidR="009C6E2F" w:rsidRDefault="009C6E2F">
            <w:pPr>
              <w:rPr>
                <w:rFonts w:ascii="宋体"/>
              </w:rPr>
            </w:pPr>
          </w:p>
        </w:tc>
        <w:tc>
          <w:tcPr>
            <w:tcW w:w="50" w:type="pct"/>
            <w:shd w:val="clear" w:color="auto" w:fill="auto"/>
            <w:vAlign w:val="bottom"/>
          </w:tcPr>
          <w:p w14:paraId="2470C4FE" w14:textId="77777777" w:rsidR="009C6E2F" w:rsidRDefault="009C6E2F">
            <w:pPr>
              <w:rPr>
                <w:rFonts w:ascii="宋体"/>
              </w:rPr>
            </w:pPr>
          </w:p>
        </w:tc>
        <w:tc>
          <w:tcPr>
            <w:tcW w:w="446" w:type="pct"/>
            <w:shd w:val="clear" w:color="auto" w:fill="auto"/>
            <w:vAlign w:val="bottom"/>
          </w:tcPr>
          <w:p w14:paraId="2470C4FF" w14:textId="77777777" w:rsidR="009C6E2F" w:rsidRDefault="009C6E2F">
            <w:pPr>
              <w:rPr>
                <w:rFonts w:ascii="宋体"/>
              </w:rPr>
            </w:pPr>
          </w:p>
        </w:tc>
        <w:tc>
          <w:tcPr>
            <w:tcW w:w="5" w:type="pct"/>
            <w:shd w:val="clear" w:color="auto" w:fill="auto"/>
            <w:vAlign w:val="bottom"/>
          </w:tcPr>
          <w:p w14:paraId="2470C500" w14:textId="77777777" w:rsidR="009C6E2F" w:rsidRDefault="009C6E2F">
            <w:pPr>
              <w:rPr>
                <w:rFonts w:ascii="宋体"/>
              </w:rPr>
            </w:pPr>
          </w:p>
        </w:tc>
        <w:tc>
          <w:tcPr>
            <w:tcW w:w="50" w:type="pct"/>
            <w:shd w:val="clear" w:color="auto" w:fill="auto"/>
            <w:vAlign w:val="bottom"/>
          </w:tcPr>
          <w:p w14:paraId="2470C501" w14:textId="77777777" w:rsidR="009C6E2F" w:rsidRDefault="009C6E2F">
            <w:pPr>
              <w:rPr>
                <w:rFonts w:ascii="宋体"/>
              </w:rPr>
            </w:pPr>
          </w:p>
        </w:tc>
        <w:tc>
          <w:tcPr>
            <w:tcW w:w="446" w:type="pct"/>
            <w:shd w:val="clear" w:color="auto" w:fill="auto"/>
            <w:vAlign w:val="bottom"/>
          </w:tcPr>
          <w:p w14:paraId="2470C502" w14:textId="77777777" w:rsidR="009C6E2F" w:rsidRDefault="009C6E2F">
            <w:pPr>
              <w:rPr>
                <w:rFonts w:ascii="宋体"/>
              </w:rPr>
            </w:pPr>
          </w:p>
        </w:tc>
        <w:tc>
          <w:tcPr>
            <w:tcW w:w="5" w:type="pct"/>
            <w:shd w:val="clear" w:color="auto" w:fill="auto"/>
            <w:vAlign w:val="bottom"/>
          </w:tcPr>
          <w:p w14:paraId="2470C503" w14:textId="77777777" w:rsidR="009C6E2F" w:rsidRDefault="009C6E2F">
            <w:pPr>
              <w:rPr>
                <w:rFonts w:ascii="宋体"/>
              </w:rPr>
            </w:pPr>
          </w:p>
        </w:tc>
        <w:tc>
          <w:tcPr>
            <w:tcW w:w="5" w:type="pct"/>
            <w:shd w:val="clear" w:color="auto" w:fill="auto"/>
            <w:vAlign w:val="bottom"/>
          </w:tcPr>
          <w:p w14:paraId="2470C504" w14:textId="77777777" w:rsidR="009C6E2F" w:rsidRDefault="009C6E2F">
            <w:pPr>
              <w:rPr>
                <w:rFonts w:ascii="宋体"/>
              </w:rPr>
            </w:pPr>
          </w:p>
        </w:tc>
        <w:tc>
          <w:tcPr>
            <w:tcW w:w="28" w:type="pct"/>
            <w:shd w:val="clear" w:color="auto" w:fill="auto"/>
            <w:vAlign w:val="bottom"/>
          </w:tcPr>
          <w:p w14:paraId="2470C505" w14:textId="77777777" w:rsidR="009C6E2F" w:rsidRDefault="009C6E2F">
            <w:pPr>
              <w:rPr>
                <w:rFonts w:ascii="宋体"/>
              </w:rPr>
            </w:pPr>
          </w:p>
        </w:tc>
        <w:tc>
          <w:tcPr>
            <w:tcW w:w="5" w:type="pct"/>
            <w:shd w:val="clear" w:color="auto" w:fill="auto"/>
            <w:vAlign w:val="bottom"/>
          </w:tcPr>
          <w:p w14:paraId="2470C506" w14:textId="77777777" w:rsidR="009C6E2F" w:rsidRDefault="009C6E2F">
            <w:pPr>
              <w:rPr>
                <w:rFonts w:ascii="宋体"/>
              </w:rPr>
            </w:pPr>
          </w:p>
        </w:tc>
        <w:tc>
          <w:tcPr>
            <w:tcW w:w="50" w:type="pct"/>
            <w:shd w:val="clear" w:color="auto" w:fill="auto"/>
            <w:vAlign w:val="bottom"/>
          </w:tcPr>
          <w:p w14:paraId="2470C507" w14:textId="77777777" w:rsidR="009C6E2F" w:rsidRDefault="009C6E2F">
            <w:pPr>
              <w:rPr>
                <w:rFonts w:ascii="宋体"/>
              </w:rPr>
            </w:pPr>
          </w:p>
        </w:tc>
        <w:tc>
          <w:tcPr>
            <w:tcW w:w="446" w:type="pct"/>
            <w:shd w:val="clear" w:color="auto" w:fill="auto"/>
            <w:vAlign w:val="bottom"/>
          </w:tcPr>
          <w:p w14:paraId="2470C508" w14:textId="77777777" w:rsidR="009C6E2F" w:rsidRDefault="009C6E2F">
            <w:pPr>
              <w:rPr>
                <w:rFonts w:ascii="宋体"/>
              </w:rPr>
            </w:pPr>
          </w:p>
        </w:tc>
        <w:tc>
          <w:tcPr>
            <w:tcW w:w="5" w:type="pct"/>
            <w:shd w:val="clear" w:color="auto" w:fill="auto"/>
            <w:vAlign w:val="bottom"/>
          </w:tcPr>
          <w:p w14:paraId="2470C509" w14:textId="77777777" w:rsidR="009C6E2F" w:rsidRDefault="009C6E2F">
            <w:pPr>
              <w:rPr>
                <w:rFonts w:ascii="宋体"/>
              </w:rPr>
            </w:pPr>
          </w:p>
        </w:tc>
        <w:tc>
          <w:tcPr>
            <w:tcW w:w="50" w:type="pct"/>
            <w:shd w:val="clear" w:color="auto" w:fill="auto"/>
            <w:vAlign w:val="bottom"/>
          </w:tcPr>
          <w:p w14:paraId="2470C50A" w14:textId="77777777" w:rsidR="009C6E2F" w:rsidRDefault="009C6E2F">
            <w:pPr>
              <w:rPr>
                <w:rFonts w:ascii="宋体"/>
              </w:rPr>
            </w:pPr>
          </w:p>
        </w:tc>
        <w:tc>
          <w:tcPr>
            <w:tcW w:w="446" w:type="pct"/>
            <w:shd w:val="clear" w:color="auto" w:fill="auto"/>
            <w:vAlign w:val="bottom"/>
          </w:tcPr>
          <w:p w14:paraId="2470C50B" w14:textId="77777777" w:rsidR="009C6E2F" w:rsidRDefault="009C6E2F">
            <w:pPr>
              <w:rPr>
                <w:rFonts w:ascii="宋体"/>
              </w:rPr>
            </w:pPr>
          </w:p>
        </w:tc>
        <w:tc>
          <w:tcPr>
            <w:tcW w:w="5" w:type="pct"/>
            <w:shd w:val="clear" w:color="auto" w:fill="auto"/>
            <w:vAlign w:val="bottom"/>
          </w:tcPr>
          <w:p w14:paraId="2470C50C" w14:textId="77777777" w:rsidR="009C6E2F" w:rsidRDefault="009C6E2F">
            <w:pPr>
              <w:rPr>
                <w:rFonts w:ascii="宋体"/>
              </w:rPr>
            </w:pPr>
          </w:p>
        </w:tc>
        <w:tc>
          <w:tcPr>
            <w:tcW w:w="0" w:type="auto"/>
            <w:shd w:val="clear" w:color="auto" w:fill="auto"/>
            <w:vAlign w:val="bottom"/>
          </w:tcPr>
          <w:p w14:paraId="2470C50D" w14:textId="77777777" w:rsidR="009C6E2F" w:rsidRDefault="009C6E2F">
            <w:pPr>
              <w:rPr>
                <w:rFonts w:ascii="宋体"/>
                <w:vanish/>
              </w:rPr>
            </w:pPr>
          </w:p>
        </w:tc>
        <w:tc>
          <w:tcPr>
            <w:tcW w:w="0" w:type="auto"/>
            <w:shd w:val="clear" w:color="auto" w:fill="auto"/>
            <w:vAlign w:val="bottom"/>
          </w:tcPr>
          <w:p w14:paraId="2470C50E" w14:textId="77777777" w:rsidR="009C6E2F" w:rsidRDefault="009C6E2F">
            <w:pPr>
              <w:rPr>
                <w:rFonts w:ascii="宋体"/>
                <w:vanish/>
              </w:rPr>
            </w:pPr>
          </w:p>
        </w:tc>
        <w:tc>
          <w:tcPr>
            <w:tcW w:w="0" w:type="auto"/>
            <w:gridSpan w:val="3"/>
            <w:shd w:val="clear" w:color="auto" w:fill="auto"/>
            <w:vAlign w:val="bottom"/>
          </w:tcPr>
          <w:p w14:paraId="2470C50F" w14:textId="77777777" w:rsidR="009C6E2F" w:rsidRDefault="009C6E2F">
            <w:pPr>
              <w:rPr>
                <w:rFonts w:ascii="宋体"/>
                <w:vanish/>
              </w:rPr>
            </w:pPr>
          </w:p>
        </w:tc>
      </w:tr>
      <w:tr w:rsidR="009C6E2F" w14:paraId="2470C51A" w14:textId="77777777">
        <w:tc>
          <w:tcPr>
            <w:tcW w:w="0" w:type="auto"/>
            <w:gridSpan w:val="3"/>
            <w:shd w:val="clear" w:color="auto" w:fill="auto"/>
            <w:tcMar>
              <w:top w:w="40" w:type="dxa"/>
              <w:left w:w="20" w:type="dxa"/>
              <w:bottom w:w="40" w:type="dxa"/>
              <w:right w:w="20" w:type="dxa"/>
            </w:tcMar>
            <w:vAlign w:val="bottom"/>
          </w:tcPr>
          <w:p w14:paraId="2470C511" w14:textId="77777777" w:rsidR="009C6E2F" w:rsidRDefault="007972BE">
            <w:pPr>
              <w:textAlignment w:val="bottom"/>
            </w:pPr>
            <w:r>
              <w:rPr>
                <w:rFonts w:ascii="Arial" w:eastAsia="宋体" w:hAnsi="Arial" w:cs="Arial"/>
                <w:color w:val="000000"/>
                <w:sz w:val="17"/>
                <w:szCs w:val="17"/>
              </w:rPr>
              <w:t> </w:t>
            </w:r>
          </w:p>
        </w:tc>
        <w:tc>
          <w:tcPr>
            <w:tcW w:w="0" w:type="auto"/>
            <w:gridSpan w:val="6"/>
            <w:shd w:val="clear" w:color="auto" w:fill="auto"/>
            <w:tcMar>
              <w:top w:w="40" w:type="dxa"/>
              <w:left w:w="20" w:type="dxa"/>
              <w:bottom w:w="40" w:type="dxa"/>
              <w:right w:w="20" w:type="dxa"/>
            </w:tcMar>
            <w:vAlign w:val="bottom"/>
          </w:tcPr>
          <w:p w14:paraId="2470C512"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C513"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C514"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C515" w14:textId="77777777" w:rsidR="009C6E2F" w:rsidRDefault="009C6E2F">
            <w:pPr>
              <w:rPr>
                <w:rFonts w:ascii="宋体"/>
                <w:vanish/>
              </w:rPr>
            </w:pPr>
          </w:p>
        </w:tc>
        <w:tc>
          <w:tcPr>
            <w:tcW w:w="0" w:type="auto"/>
            <w:shd w:val="clear" w:color="auto" w:fill="auto"/>
            <w:vAlign w:val="bottom"/>
          </w:tcPr>
          <w:p w14:paraId="2470C516" w14:textId="77777777" w:rsidR="009C6E2F" w:rsidRDefault="009C6E2F">
            <w:pPr>
              <w:rPr>
                <w:rFonts w:ascii="宋体"/>
                <w:vanish/>
              </w:rPr>
            </w:pPr>
          </w:p>
        </w:tc>
        <w:tc>
          <w:tcPr>
            <w:tcW w:w="0" w:type="auto"/>
            <w:shd w:val="clear" w:color="auto" w:fill="auto"/>
            <w:vAlign w:val="bottom"/>
          </w:tcPr>
          <w:p w14:paraId="2470C517" w14:textId="77777777" w:rsidR="009C6E2F" w:rsidRDefault="009C6E2F">
            <w:pPr>
              <w:rPr>
                <w:rFonts w:ascii="宋体"/>
              </w:rPr>
            </w:pPr>
          </w:p>
        </w:tc>
        <w:tc>
          <w:tcPr>
            <w:tcW w:w="0" w:type="auto"/>
            <w:shd w:val="clear" w:color="auto" w:fill="auto"/>
            <w:vAlign w:val="bottom"/>
          </w:tcPr>
          <w:p w14:paraId="2470C518" w14:textId="77777777" w:rsidR="009C6E2F" w:rsidRDefault="009C6E2F">
            <w:pPr>
              <w:rPr>
                <w:rFonts w:ascii="宋体"/>
              </w:rPr>
            </w:pPr>
          </w:p>
        </w:tc>
        <w:tc>
          <w:tcPr>
            <w:tcW w:w="0" w:type="auto"/>
            <w:shd w:val="clear" w:color="auto" w:fill="auto"/>
            <w:vAlign w:val="bottom"/>
          </w:tcPr>
          <w:p w14:paraId="2470C519" w14:textId="77777777" w:rsidR="009C6E2F" w:rsidRDefault="009C6E2F">
            <w:pPr>
              <w:rPr>
                <w:rFonts w:ascii="宋体"/>
              </w:rPr>
            </w:pPr>
          </w:p>
        </w:tc>
      </w:tr>
      <w:tr w:rsidR="009C6E2F" w14:paraId="2470C524" w14:textId="77777777">
        <w:tc>
          <w:tcPr>
            <w:tcW w:w="0" w:type="auto"/>
            <w:gridSpan w:val="3"/>
            <w:shd w:val="clear" w:color="auto" w:fill="auto"/>
            <w:tcMar>
              <w:top w:w="40" w:type="dxa"/>
              <w:left w:w="20" w:type="dxa"/>
              <w:bottom w:w="40" w:type="dxa"/>
              <w:right w:w="20" w:type="dxa"/>
            </w:tcMar>
            <w:vAlign w:val="bottom"/>
          </w:tcPr>
          <w:p w14:paraId="2470C51B"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1C"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1D"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C51E"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1F"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20"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2470C521" w14:textId="77777777" w:rsidR="009C6E2F" w:rsidRDefault="009C6E2F">
            <w:pPr>
              <w:rPr>
                <w:rFonts w:ascii="宋体"/>
                <w:vanish/>
              </w:rPr>
            </w:pPr>
          </w:p>
        </w:tc>
        <w:tc>
          <w:tcPr>
            <w:tcW w:w="0" w:type="auto"/>
            <w:shd w:val="clear" w:color="auto" w:fill="auto"/>
            <w:vAlign w:val="bottom"/>
          </w:tcPr>
          <w:p w14:paraId="2470C522" w14:textId="77777777" w:rsidR="009C6E2F" w:rsidRDefault="009C6E2F">
            <w:pPr>
              <w:rPr>
                <w:rFonts w:ascii="宋体"/>
                <w:vanish/>
              </w:rPr>
            </w:pPr>
          </w:p>
        </w:tc>
        <w:tc>
          <w:tcPr>
            <w:tcW w:w="0" w:type="auto"/>
            <w:gridSpan w:val="3"/>
            <w:shd w:val="clear" w:color="auto" w:fill="auto"/>
            <w:vAlign w:val="bottom"/>
          </w:tcPr>
          <w:p w14:paraId="2470C523" w14:textId="77777777" w:rsidR="009C6E2F" w:rsidRDefault="009C6E2F">
            <w:pPr>
              <w:rPr>
                <w:rFonts w:ascii="宋体"/>
                <w:vanish/>
              </w:rPr>
            </w:pPr>
          </w:p>
        </w:tc>
      </w:tr>
      <w:tr w:rsidR="009C6E2F" w14:paraId="2470C53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25" w14:textId="77777777" w:rsidR="009C6E2F" w:rsidRDefault="007972BE">
            <w:pPr>
              <w:textAlignment w:val="bottom"/>
            </w:pPr>
            <w:r>
              <w:rPr>
                <w:rFonts w:ascii="Arial" w:eastAsia="宋体" w:hAnsi="Arial" w:cs="Arial"/>
                <w:color w:val="000000"/>
                <w:sz w:val="17"/>
                <w:szCs w:val="17"/>
              </w:rPr>
              <w:t>Net income available to common stockholders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526"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527" w14:textId="77777777" w:rsidR="009C6E2F" w:rsidRDefault="007972BE">
            <w:pPr>
              <w:jc w:val="right"/>
              <w:textAlignment w:val="bottom"/>
            </w:pPr>
            <w:r>
              <w:rPr>
                <w:rFonts w:ascii="Arial" w:eastAsia="宋体" w:hAnsi="Arial" w:cs="Arial"/>
                <w:color w:val="000000"/>
                <w:sz w:val="17"/>
                <w:szCs w:val="17"/>
              </w:rPr>
              <w:t>1,337 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528"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529"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52A" w14:textId="77777777" w:rsidR="009C6E2F" w:rsidRDefault="007972BE">
            <w:pPr>
              <w:jc w:val="right"/>
              <w:textAlignment w:val="bottom"/>
            </w:pPr>
            <w:r>
              <w:rPr>
                <w:rFonts w:ascii="Arial" w:eastAsia="宋体" w:hAnsi="Arial" w:cs="Arial"/>
                <w:color w:val="000000"/>
                <w:sz w:val="17"/>
                <w:szCs w:val="17"/>
              </w:rPr>
              <w:t>1,251 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52B"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2C"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52D"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52E" w14:textId="77777777" w:rsidR="009C6E2F" w:rsidRDefault="007972BE">
            <w:pPr>
              <w:jc w:val="right"/>
              <w:textAlignment w:val="bottom"/>
            </w:pPr>
            <w:r>
              <w:rPr>
                <w:rFonts w:ascii="Arial" w:eastAsia="宋体" w:hAnsi="Arial" w:cs="Arial"/>
                <w:color w:val="000000"/>
                <w:sz w:val="17"/>
                <w:szCs w:val="17"/>
              </w:rPr>
              <w:t>3,211 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52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530"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531" w14:textId="77777777" w:rsidR="009C6E2F" w:rsidRDefault="007972BE">
            <w:pPr>
              <w:jc w:val="right"/>
              <w:textAlignment w:val="bottom"/>
            </w:pPr>
            <w:r>
              <w:rPr>
                <w:rFonts w:ascii="Arial" w:eastAsia="宋体" w:hAnsi="Arial" w:cs="Arial"/>
                <w:color w:val="000000"/>
                <w:sz w:val="17"/>
                <w:szCs w:val="17"/>
              </w:rPr>
              <w:t>2,769 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532" w14:textId="77777777" w:rsidR="009C6E2F" w:rsidRDefault="009C6E2F">
            <w:pPr>
              <w:jc w:val="right"/>
              <w:rPr>
                <w:rFonts w:ascii="宋体"/>
              </w:rPr>
            </w:pPr>
          </w:p>
        </w:tc>
        <w:tc>
          <w:tcPr>
            <w:tcW w:w="0" w:type="auto"/>
            <w:shd w:val="clear" w:color="auto" w:fill="auto"/>
            <w:vAlign w:val="bottom"/>
          </w:tcPr>
          <w:p w14:paraId="2470C533" w14:textId="77777777" w:rsidR="009C6E2F" w:rsidRDefault="009C6E2F">
            <w:pPr>
              <w:rPr>
                <w:rFonts w:ascii="宋体"/>
                <w:vanish/>
              </w:rPr>
            </w:pPr>
          </w:p>
        </w:tc>
        <w:tc>
          <w:tcPr>
            <w:tcW w:w="0" w:type="auto"/>
            <w:shd w:val="clear" w:color="auto" w:fill="auto"/>
            <w:vAlign w:val="bottom"/>
          </w:tcPr>
          <w:p w14:paraId="2470C534" w14:textId="77777777" w:rsidR="009C6E2F" w:rsidRDefault="009C6E2F">
            <w:pPr>
              <w:rPr>
                <w:rFonts w:ascii="宋体"/>
                <w:vanish/>
              </w:rPr>
            </w:pPr>
          </w:p>
        </w:tc>
        <w:tc>
          <w:tcPr>
            <w:tcW w:w="0" w:type="auto"/>
            <w:gridSpan w:val="3"/>
            <w:shd w:val="clear" w:color="auto" w:fill="auto"/>
            <w:vAlign w:val="bottom"/>
          </w:tcPr>
          <w:p w14:paraId="2470C535" w14:textId="77777777" w:rsidR="009C6E2F" w:rsidRDefault="009C6E2F">
            <w:pPr>
              <w:rPr>
                <w:rFonts w:ascii="宋体"/>
                <w:vanish/>
              </w:rPr>
            </w:pPr>
          </w:p>
        </w:tc>
      </w:tr>
      <w:tr w:rsidR="009C6E2F" w14:paraId="2470C54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537" w14:textId="77777777" w:rsidR="009C6E2F" w:rsidRDefault="007972BE">
            <w:pPr>
              <w:textAlignment w:val="bottom"/>
            </w:pPr>
            <w:r>
              <w:rPr>
                <w:rFonts w:ascii="Arial" w:eastAsia="宋体" w:hAnsi="Arial" w:cs="Arial"/>
                <w:color w:val="000000"/>
                <w:sz w:val="17"/>
                <w:szCs w:val="17"/>
              </w:rPr>
              <w:t>Determination of shares:</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53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3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3A"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C53B"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3C" w14:textId="77777777" w:rsidR="009C6E2F" w:rsidRDefault="009C6E2F">
            <w:pPr>
              <w:rPr>
                <w:rFonts w:ascii="宋体"/>
              </w:rPr>
            </w:pPr>
          </w:p>
        </w:tc>
        <w:tc>
          <w:tcPr>
            <w:tcW w:w="0" w:type="auto"/>
            <w:shd w:val="clear" w:color="auto" w:fill="auto"/>
            <w:vAlign w:val="bottom"/>
          </w:tcPr>
          <w:p w14:paraId="2470C53D" w14:textId="77777777" w:rsidR="009C6E2F" w:rsidRDefault="009C6E2F">
            <w:pPr>
              <w:rPr>
                <w:rFonts w:ascii="宋体"/>
                <w:vanish/>
              </w:rPr>
            </w:pPr>
          </w:p>
        </w:tc>
        <w:tc>
          <w:tcPr>
            <w:tcW w:w="0" w:type="auto"/>
            <w:shd w:val="clear" w:color="auto" w:fill="auto"/>
            <w:vAlign w:val="bottom"/>
          </w:tcPr>
          <w:p w14:paraId="2470C53E" w14:textId="77777777" w:rsidR="009C6E2F" w:rsidRDefault="009C6E2F">
            <w:pPr>
              <w:rPr>
                <w:rFonts w:ascii="宋体"/>
                <w:vanish/>
              </w:rPr>
            </w:pPr>
          </w:p>
        </w:tc>
        <w:tc>
          <w:tcPr>
            <w:tcW w:w="0" w:type="auto"/>
            <w:gridSpan w:val="3"/>
            <w:shd w:val="clear" w:color="auto" w:fill="auto"/>
            <w:vAlign w:val="bottom"/>
          </w:tcPr>
          <w:p w14:paraId="2470C53F" w14:textId="77777777" w:rsidR="009C6E2F" w:rsidRDefault="009C6E2F">
            <w:pPr>
              <w:rPr>
                <w:rFonts w:ascii="宋体"/>
                <w:vanish/>
              </w:rPr>
            </w:pPr>
          </w:p>
        </w:tc>
      </w:tr>
      <w:tr w:rsidR="009C6E2F" w14:paraId="2470C54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541" w14:textId="77777777" w:rsidR="009C6E2F" w:rsidRDefault="007972BE">
            <w:pPr>
              <w:textAlignment w:val="bottom"/>
            </w:pPr>
            <w:r>
              <w:rPr>
                <w:rFonts w:ascii="Arial" w:eastAsia="宋体" w:hAnsi="Arial" w:cs="Arial"/>
                <w:color w:val="000000"/>
                <w:sz w:val="17"/>
                <w:szCs w:val="17"/>
              </w:rPr>
              <w:t>Weighted average common shares outstanding</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542" w14:textId="77777777" w:rsidR="009C6E2F" w:rsidRDefault="007972BE">
            <w:pPr>
              <w:jc w:val="right"/>
              <w:textAlignment w:val="bottom"/>
            </w:pPr>
            <w:r>
              <w:rPr>
                <w:rFonts w:ascii="Arial" w:eastAsia="宋体" w:hAnsi="Arial" w:cs="Arial"/>
                <w:color w:val="000000"/>
                <w:sz w:val="17"/>
                <w:szCs w:val="17"/>
              </w:rPr>
              <w:t>1,582.4 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4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544" w14:textId="77777777" w:rsidR="009C6E2F" w:rsidRDefault="007972BE">
            <w:pPr>
              <w:jc w:val="right"/>
              <w:textAlignment w:val="bottom"/>
            </w:pPr>
            <w:r>
              <w:rPr>
                <w:rFonts w:ascii="Arial" w:eastAsia="宋体" w:hAnsi="Arial" w:cs="Arial"/>
                <w:color w:val="000000"/>
                <w:sz w:val="17"/>
                <w:szCs w:val="17"/>
              </w:rPr>
              <w:t>1,573.0 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4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46"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547" w14:textId="77777777" w:rsidR="009C6E2F" w:rsidRDefault="007972BE">
            <w:pPr>
              <w:jc w:val="right"/>
              <w:textAlignment w:val="bottom"/>
            </w:pPr>
            <w:r>
              <w:rPr>
                <w:rFonts w:ascii="Arial" w:eastAsia="宋体" w:hAnsi="Arial" w:cs="Arial"/>
                <w:color w:val="000000"/>
                <w:sz w:val="17"/>
                <w:szCs w:val="17"/>
              </w:rPr>
              <w:t>1,582.2 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4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549" w14:textId="77777777" w:rsidR="009C6E2F" w:rsidRDefault="007972BE">
            <w:pPr>
              <w:jc w:val="right"/>
              <w:textAlignment w:val="bottom"/>
            </w:pPr>
            <w:r>
              <w:rPr>
                <w:rFonts w:ascii="Arial" w:eastAsia="宋体" w:hAnsi="Arial" w:cs="Arial"/>
                <w:color w:val="000000"/>
                <w:sz w:val="17"/>
                <w:szCs w:val="17"/>
              </w:rPr>
              <w:t>1,567.4 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4A" w14:textId="77777777" w:rsidR="009C6E2F" w:rsidRDefault="009C6E2F">
            <w:pPr>
              <w:jc w:val="right"/>
              <w:rPr>
                <w:rFonts w:ascii="宋体"/>
              </w:rPr>
            </w:pPr>
          </w:p>
        </w:tc>
        <w:tc>
          <w:tcPr>
            <w:tcW w:w="0" w:type="auto"/>
            <w:shd w:val="clear" w:color="auto" w:fill="auto"/>
            <w:vAlign w:val="bottom"/>
          </w:tcPr>
          <w:p w14:paraId="2470C54B" w14:textId="77777777" w:rsidR="009C6E2F" w:rsidRDefault="009C6E2F">
            <w:pPr>
              <w:rPr>
                <w:rFonts w:ascii="宋体"/>
                <w:vanish/>
              </w:rPr>
            </w:pPr>
          </w:p>
        </w:tc>
        <w:tc>
          <w:tcPr>
            <w:tcW w:w="0" w:type="auto"/>
            <w:shd w:val="clear" w:color="auto" w:fill="auto"/>
            <w:vAlign w:val="bottom"/>
          </w:tcPr>
          <w:p w14:paraId="2470C54C" w14:textId="77777777" w:rsidR="009C6E2F" w:rsidRDefault="009C6E2F">
            <w:pPr>
              <w:rPr>
                <w:rFonts w:ascii="宋体"/>
                <w:vanish/>
              </w:rPr>
            </w:pPr>
          </w:p>
        </w:tc>
        <w:tc>
          <w:tcPr>
            <w:tcW w:w="0" w:type="auto"/>
            <w:gridSpan w:val="3"/>
            <w:shd w:val="clear" w:color="auto" w:fill="auto"/>
            <w:vAlign w:val="bottom"/>
          </w:tcPr>
          <w:p w14:paraId="2470C54D" w14:textId="77777777" w:rsidR="009C6E2F" w:rsidRDefault="009C6E2F">
            <w:pPr>
              <w:rPr>
                <w:rFonts w:ascii="宋体"/>
                <w:vanish/>
              </w:rPr>
            </w:pPr>
          </w:p>
        </w:tc>
      </w:tr>
      <w:tr w:rsidR="009C6E2F" w14:paraId="2470C55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54F" w14:textId="77777777" w:rsidR="009C6E2F" w:rsidRDefault="007972BE">
            <w:pPr>
              <w:textAlignment w:val="bottom"/>
            </w:pPr>
            <w:r>
              <w:rPr>
                <w:rFonts w:ascii="Arial" w:eastAsia="宋体" w:hAnsi="Arial" w:cs="Arial"/>
                <w:color w:val="000000"/>
                <w:sz w:val="17"/>
                <w:szCs w:val="17"/>
              </w:rPr>
              <w:t>Assumed conversion of dilutive stock options and awards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550" w14:textId="77777777" w:rsidR="009C6E2F" w:rsidRDefault="007972BE">
            <w:pPr>
              <w:jc w:val="right"/>
              <w:textAlignment w:val="bottom"/>
            </w:pPr>
            <w:r>
              <w:rPr>
                <w:rFonts w:ascii="Arial" w:eastAsia="宋体" w:hAnsi="Arial" w:cs="Arial"/>
                <w:color w:val="000000"/>
                <w:sz w:val="17"/>
                <w:szCs w:val="17"/>
              </w:rPr>
              <w:t>35.0 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5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552" w14:textId="77777777" w:rsidR="009C6E2F" w:rsidRDefault="007972BE">
            <w:pPr>
              <w:jc w:val="right"/>
              <w:textAlignment w:val="bottom"/>
            </w:pPr>
            <w:r>
              <w:rPr>
                <w:rFonts w:ascii="Arial" w:eastAsia="宋体" w:hAnsi="Arial" w:cs="Arial"/>
                <w:color w:val="000000"/>
                <w:sz w:val="17"/>
                <w:szCs w:val="17"/>
              </w:rPr>
              <w:t>36.5 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5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5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555" w14:textId="77777777" w:rsidR="009C6E2F" w:rsidRDefault="007972BE">
            <w:pPr>
              <w:jc w:val="right"/>
              <w:textAlignment w:val="bottom"/>
            </w:pPr>
            <w:r>
              <w:rPr>
                <w:rFonts w:ascii="Arial" w:eastAsia="宋体" w:hAnsi="Arial" w:cs="Arial"/>
                <w:color w:val="000000"/>
                <w:sz w:val="17"/>
                <w:szCs w:val="17"/>
              </w:rPr>
              <w:t>36.3 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5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557" w14:textId="77777777" w:rsidR="009C6E2F" w:rsidRDefault="007972BE">
            <w:pPr>
              <w:jc w:val="right"/>
              <w:textAlignment w:val="bottom"/>
            </w:pPr>
            <w:r>
              <w:rPr>
                <w:rFonts w:ascii="Arial" w:eastAsia="宋体" w:hAnsi="Arial" w:cs="Arial"/>
                <w:color w:val="000000"/>
                <w:sz w:val="17"/>
                <w:szCs w:val="17"/>
              </w:rPr>
              <w:t>34.5 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58" w14:textId="77777777" w:rsidR="009C6E2F" w:rsidRDefault="009C6E2F">
            <w:pPr>
              <w:jc w:val="right"/>
              <w:rPr>
                <w:rFonts w:ascii="宋体"/>
              </w:rPr>
            </w:pPr>
          </w:p>
        </w:tc>
        <w:tc>
          <w:tcPr>
            <w:tcW w:w="0" w:type="auto"/>
            <w:shd w:val="clear" w:color="auto" w:fill="auto"/>
            <w:vAlign w:val="bottom"/>
          </w:tcPr>
          <w:p w14:paraId="2470C559" w14:textId="77777777" w:rsidR="009C6E2F" w:rsidRDefault="009C6E2F">
            <w:pPr>
              <w:rPr>
                <w:rFonts w:ascii="宋体"/>
                <w:vanish/>
              </w:rPr>
            </w:pPr>
          </w:p>
        </w:tc>
        <w:tc>
          <w:tcPr>
            <w:tcW w:w="0" w:type="auto"/>
            <w:shd w:val="clear" w:color="auto" w:fill="auto"/>
            <w:vAlign w:val="bottom"/>
          </w:tcPr>
          <w:p w14:paraId="2470C55A" w14:textId="77777777" w:rsidR="009C6E2F" w:rsidRDefault="009C6E2F">
            <w:pPr>
              <w:rPr>
                <w:rFonts w:ascii="宋体"/>
                <w:vanish/>
              </w:rPr>
            </w:pPr>
          </w:p>
        </w:tc>
        <w:tc>
          <w:tcPr>
            <w:tcW w:w="0" w:type="auto"/>
            <w:gridSpan w:val="3"/>
            <w:shd w:val="clear" w:color="auto" w:fill="auto"/>
            <w:vAlign w:val="bottom"/>
          </w:tcPr>
          <w:p w14:paraId="2470C55B" w14:textId="77777777" w:rsidR="009C6E2F" w:rsidRDefault="009C6E2F">
            <w:pPr>
              <w:rPr>
                <w:rFonts w:ascii="宋体"/>
                <w:vanish/>
              </w:rPr>
            </w:pPr>
          </w:p>
        </w:tc>
      </w:tr>
      <w:tr w:rsidR="009C6E2F" w14:paraId="2470C56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5D" w14:textId="77777777" w:rsidR="009C6E2F" w:rsidRDefault="007972BE">
            <w:pPr>
              <w:textAlignment w:val="bottom"/>
            </w:pPr>
            <w:r>
              <w:rPr>
                <w:rFonts w:ascii="Arial" w:eastAsia="宋体" w:hAnsi="Arial" w:cs="Arial"/>
                <w:b/>
                <w:bCs/>
                <w:color w:val="000000"/>
                <w:sz w:val="17"/>
                <w:szCs w:val="17"/>
              </w:rPr>
              <w:t>DILUTED WEIGHTED AVERAGE COMMON SHARES OUTSTANDING</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55E" w14:textId="77777777" w:rsidR="009C6E2F" w:rsidRDefault="007972BE">
            <w:pPr>
              <w:jc w:val="right"/>
              <w:textAlignment w:val="bottom"/>
            </w:pPr>
            <w:r>
              <w:rPr>
                <w:rFonts w:ascii="Arial" w:eastAsia="宋体" w:hAnsi="Arial" w:cs="Arial"/>
                <w:b/>
                <w:bCs/>
                <w:color w:val="000000"/>
                <w:sz w:val="17"/>
                <w:szCs w:val="17"/>
              </w:rPr>
              <w:t>1,617.4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55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560" w14:textId="77777777" w:rsidR="009C6E2F" w:rsidRDefault="007972BE">
            <w:pPr>
              <w:jc w:val="right"/>
              <w:textAlignment w:val="bottom"/>
            </w:pPr>
            <w:r>
              <w:rPr>
                <w:rFonts w:ascii="Arial" w:eastAsia="宋体" w:hAnsi="Arial" w:cs="Arial"/>
                <w:b/>
                <w:bCs/>
                <w:color w:val="000000"/>
                <w:sz w:val="17"/>
                <w:szCs w:val="17"/>
              </w:rPr>
              <w:t>1,609.5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561"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62"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563" w14:textId="77777777" w:rsidR="009C6E2F" w:rsidRDefault="007972BE">
            <w:pPr>
              <w:jc w:val="right"/>
              <w:textAlignment w:val="bottom"/>
            </w:pPr>
            <w:r>
              <w:rPr>
                <w:rFonts w:ascii="Arial" w:eastAsia="宋体" w:hAnsi="Arial" w:cs="Arial"/>
                <w:b/>
                <w:bCs/>
                <w:color w:val="000000"/>
                <w:sz w:val="17"/>
                <w:szCs w:val="17"/>
              </w:rPr>
              <w:t>1,618.5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56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565" w14:textId="77777777" w:rsidR="009C6E2F" w:rsidRDefault="007972BE">
            <w:pPr>
              <w:jc w:val="right"/>
              <w:textAlignment w:val="bottom"/>
            </w:pPr>
            <w:r>
              <w:rPr>
                <w:rFonts w:ascii="Arial" w:eastAsia="宋体" w:hAnsi="Arial" w:cs="Arial"/>
                <w:b/>
                <w:bCs/>
                <w:color w:val="000000"/>
                <w:sz w:val="17"/>
                <w:szCs w:val="17"/>
              </w:rPr>
              <w:t>1,601.9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566" w14:textId="77777777" w:rsidR="009C6E2F" w:rsidRDefault="009C6E2F">
            <w:pPr>
              <w:jc w:val="right"/>
              <w:rPr>
                <w:rFonts w:ascii="宋体"/>
              </w:rPr>
            </w:pPr>
          </w:p>
        </w:tc>
        <w:tc>
          <w:tcPr>
            <w:tcW w:w="0" w:type="auto"/>
            <w:shd w:val="clear" w:color="auto" w:fill="auto"/>
            <w:vAlign w:val="bottom"/>
          </w:tcPr>
          <w:p w14:paraId="2470C567" w14:textId="77777777" w:rsidR="009C6E2F" w:rsidRDefault="009C6E2F">
            <w:pPr>
              <w:rPr>
                <w:rFonts w:ascii="宋体"/>
                <w:vanish/>
              </w:rPr>
            </w:pPr>
          </w:p>
        </w:tc>
        <w:tc>
          <w:tcPr>
            <w:tcW w:w="0" w:type="auto"/>
            <w:shd w:val="clear" w:color="auto" w:fill="auto"/>
            <w:vAlign w:val="bottom"/>
          </w:tcPr>
          <w:p w14:paraId="2470C568" w14:textId="77777777" w:rsidR="009C6E2F" w:rsidRDefault="009C6E2F">
            <w:pPr>
              <w:rPr>
                <w:rFonts w:ascii="宋体"/>
                <w:vanish/>
              </w:rPr>
            </w:pPr>
          </w:p>
        </w:tc>
        <w:tc>
          <w:tcPr>
            <w:tcW w:w="0" w:type="auto"/>
            <w:gridSpan w:val="3"/>
            <w:shd w:val="clear" w:color="auto" w:fill="auto"/>
            <w:vAlign w:val="bottom"/>
          </w:tcPr>
          <w:p w14:paraId="2470C569" w14:textId="77777777" w:rsidR="009C6E2F" w:rsidRDefault="009C6E2F">
            <w:pPr>
              <w:rPr>
                <w:rFonts w:ascii="宋体"/>
                <w:vanish/>
              </w:rPr>
            </w:pPr>
          </w:p>
        </w:tc>
      </w:tr>
      <w:tr w:rsidR="009C6E2F" w14:paraId="2470C57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6B" w14:textId="77777777" w:rsidR="009C6E2F" w:rsidRDefault="007972BE">
            <w:pPr>
              <w:textAlignment w:val="bottom"/>
            </w:pPr>
            <w:r>
              <w:rPr>
                <w:rFonts w:ascii="Arial" w:eastAsia="宋体" w:hAnsi="Arial" w:cs="Arial"/>
                <w:color w:val="000000"/>
                <w:sz w:val="17"/>
                <w:szCs w:val="17"/>
              </w:rPr>
              <w:t>Earnings per common share:</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56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6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6E"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56F"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70" w14:textId="77777777" w:rsidR="009C6E2F" w:rsidRDefault="009C6E2F">
            <w:pPr>
              <w:rPr>
                <w:rFonts w:ascii="宋体"/>
              </w:rPr>
            </w:pPr>
          </w:p>
        </w:tc>
        <w:tc>
          <w:tcPr>
            <w:tcW w:w="0" w:type="auto"/>
            <w:shd w:val="clear" w:color="auto" w:fill="auto"/>
            <w:vAlign w:val="bottom"/>
          </w:tcPr>
          <w:p w14:paraId="2470C571" w14:textId="77777777" w:rsidR="009C6E2F" w:rsidRDefault="009C6E2F">
            <w:pPr>
              <w:rPr>
                <w:rFonts w:ascii="宋体"/>
                <w:vanish/>
              </w:rPr>
            </w:pPr>
          </w:p>
        </w:tc>
        <w:tc>
          <w:tcPr>
            <w:tcW w:w="0" w:type="auto"/>
            <w:shd w:val="clear" w:color="auto" w:fill="auto"/>
            <w:vAlign w:val="bottom"/>
          </w:tcPr>
          <w:p w14:paraId="2470C572" w14:textId="77777777" w:rsidR="009C6E2F" w:rsidRDefault="009C6E2F">
            <w:pPr>
              <w:rPr>
                <w:rFonts w:ascii="宋体"/>
                <w:vanish/>
              </w:rPr>
            </w:pPr>
          </w:p>
        </w:tc>
        <w:tc>
          <w:tcPr>
            <w:tcW w:w="0" w:type="auto"/>
            <w:gridSpan w:val="3"/>
            <w:shd w:val="clear" w:color="auto" w:fill="auto"/>
            <w:vAlign w:val="bottom"/>
          </w:tcPr>
          <w:p w14:paraId="2470C573" w14:textId="77777777" w:rsidR="009C6E2F" w:rsidRDefault="009C6E2F">
            <w:pPr>
              <w:rPr>
                <w:rFonts w:ascii="宋体"/>
                <w:vanish/>
              </w:rPr>
            </w:pPr>
          </w:p>
        </w:tc>
      </w:tr>
      <w:tr w:rsidR="009C6E2F" w14:paraId="2470C58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575" w14:textId="77777777" w:rsidR="009C6E2F" w:rsidRDefault="007972BE">
            <w:pPr>
              <w:textAlignment w:val="bottom"/>
            </w:pPr>
            <w:r>
              <w:rPr>
                <w:rFonts w:ascii="Arial" w:eastAsia="宋体" w:hAnsi="Arial" w:cs="Arial"/>
                <w:color w:val="000000"/>
                <w:sz w:val="17"/>
                <w:szCs w:val="17"/>
              </w:rPr>
              <w:t>Basic</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57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577" w14:textId="77777777" w:rsidR="009C6E2F" w:rsidRDefault="007972BE">
            <w:pPr>
              <w:jc w:val="right"/>
              <w:textAlignment w:val="bottom"/>
            </w:pPr>
            <w:r>
              <w:rPr>
                <w:rFonts w:ascii="Arial" w:eastAsia="宋体" w:hAnsi="Arial" w:cs="Arial"/>
                <w:color w:val="000000"/>
                <w:sz w:val="17"/>
                <w:szCs w:val="17"/>
              </w:rPr>
              <w:t>0.84 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78"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57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57A" w14:textId="77777777" w:rsidR="009C6E2F" w:rsidRDefault="007972BE">
            <w:pPr>
              <w:jc w:val="right"/>
              <w:textAlignment w:val="bottom"/>
            </w:pPr>
            <w:r>
              <w:rPr>
                <w:rFonts w:ascii="Arial" w:eastAsia="宋体" w:hAnsi="Arial" w:cs="Arial"/>
                <w:color w:val="000000"/>
                <w:sz w:val="17"/>
                <w:szCs w:val="17"/>
              </w:rPr>
              <w:t>0.80 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7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7C"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57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57E" w14:textId="77777777" w:rsidR="009C6E2F" w:rsidRDefault="007972BE">
            <w:pPr>
              <w:jc w:val="right"/>
              <w:textAlignment w:val="bottom"/>
            </w:pPr>
            <w:r>
              <w:rPr>
                <w:rFonts w:ascii="Arial" w:eastAsia="宋体" w:hAnsi="Arial" w:cs="Arial"/>
                <w:color w:val="000000"/>
                <w:sz w:val="17"/>
                <w:szCs w:val="17"/>
              </w:rPr>
              <w:t>2.03 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7F"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58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581" w14:textId="77777777" w:rsidR="009C6E2F" w:rsidRDefault="007972BE">
            <w:pPr>
              <w:jc w:val="right"/>
              <w:textAlignment w:val="bottom"/>
            </w:pPr>
            <w:r>
              <w:rPr>
                <w:rFonts w:ascii="Arial" w:eastAsia="宋体" w:hAnsi="Arial" w:cs="Arial"/>
                <w:color w:val="000000"/>
                <w:sz w:val="17"/>
                <w:szCs w:val="17"/>
              </w:rPr>
              <w:t>1.77 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82" w14:textId="77777777" w:rsidR="009C6E2F" w:rsidRDefault="009C6E2F">
            <w:pPr>
              <w:jc w:val="right"/>
              <w:rPr>
                <w:rFonts w:ascii="宋体"/>
              </w:rPr>
            </w:pPr>
          </w:p>
        </w:tc>
        <w:tc>
          <w:tcPr>
            <w:tcW w:w="0" w:type="auto"/>
            <w:shd w:val="clear" w:color="auto" w:fill="auto"/>
            <w:vAlign w:val="bottom"/>
          </w:tcPr>
          <w:p w14:paraId="2470C583" w14:textId="77777777" w:rsidR="009C6E2F" w:rsidRDefault="009C6E2F">
            <w:pPr>
              <w:rPr>
                <w:rFonts w:ascii="宋体"/>
                <w:vanish/>
              </w:rPr>
            </w:pPr>
          </w:p>
        </w:tc>
        <w:tc>
          <w:tcPr>
            <w:tcW w:w="0" w:type="auto"/>
            <w:shd w:val="clear" w:color="auto" w:fill="auto"/>
            <w:vAlign w:val="bottom"/>
          </w:tcPr>
          <w:p w14:paraId="2470C584" w14:textId="77777777" w:rsidR="009C6E2F" w:rsidRDefault="009C6E2F">
            <w:pPr>
              <w:rPr>
                <w:rFonts w:ascii="宋体"/>
                <w:vanish/>
              </w:rPr>
            </w:pPr>
          </w:p>
        </w:tc>
        <w:tc>
          <w:tcPr>
            <w:tcW w:w="0" w:type="auto"/>
            <w:gridSpan w:val="3"/>
            <w:shd w:val="clear" w:color="auto" w:fill="auto"/>
            <w:vAlign w:val="bottom"/>
          </w:tcPr>
          <w:p w14:paraId="2470C585" w14:textId="77777777" w:rsidR="009C6E2F" w:rsidRDefault="009C6E2F">
            <w:pPr>
              <w:rPr>
                <w:rFonts w:ascii="宋体"/>
                <w:vanish/>
              </w:rPr>
            </w:pPr>
          </w:p>
        </w:tc>
      </w:tr>
      <w:tr w:rsidR="009C6E2F" w14:paraId="2470C598"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470C587" w14:textId="77777777" w:rsidR="009C6E2F" w:rsidRDefault="007972BE">
            <w:pPr>
              <w:textAlignment w:val="bottom"/>
            </w:pPr>
            <w:r>
              <w:rPr>
                <w:rFonts w:ascii="Arial" w:eastAsia="宋体" w:hAnsi="Arial" w:cs="Arial"/>
                <w:color w:val="000000"/>
                <w:sz w:val="17"/>
                <w:szCs w:val="17"/>
              </w:rPr>
              <w:t>Diluted</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58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470C589" w14:textId="77777777" w:rsidR="009C6E2F" w:rsidRDefault="007972BE">
            <w:pPr>
              <w:jc w:val="right"/>
              <w:textAlignment w:val="bottom"/>
            </w:pPr>
            <w:r>
              <w:rPr>
                <w:rFonts w:ascii="Arial" w:eastAsia="宋体" w:hAnsi="Arial" w:cs="Arial"/>
                <w:color w:val="000000"/>
                <w:sz w:val="17"/>
                <w:szCs w:val="17"/>
              </w:rPr>
              <w:t>0.83 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58A" w14:textId="77777777" w:rsidR="009C6E2F" w:rsidRDefault="009C6E2F">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58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470C58C" w14:textId="77777777" w:rsidR="009C6E2F" w:rsidRDefault="007972BE">
            <w:pPr>
              <w:jc w:val="right"/>
              <w:textAlignment w:val="bottom"/>
            </w:pPr>
            <w:r>
              <w:rPr>
                <w:rFonts w:ascii="Arial" w:eastAsia="宋体" w:hAnsi="Arial" w:cs="Arial"/>
                <w:color w:val="000000"/>
                <w:sz w:val="17"/>
                <w:szCs w:val="17"/>
              </w:rPr>
              <w:t>0.78 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58D" w14:textId="77777777" w:rsidR="009C6E2F" w:rsidRDefault="009C6E2F">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C58E" w14:textId="77777777" w:rsidR="009C6E2F" w:rsidRDefault="009C6E2F">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58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470C590" w14:textId="77777777" w:rsidR="009C6E2F" w:rsidRDefault="007972BE">
            <w:pPr>
              <w:jc w:val="right"/>
              <w:textAlignment w:val="bottom"/>
            </w:pPr>
            <w:r>
              <w:rPr>
                <w:rFonts w:ascii="Arial" w:eastAsia="宋体" w:hAnsi="Arial" w:cs="Arial"/>
                <w:color w:val="000000"/>
                <w:sz w:val="17"/>
                <w:szCs w:val="17"/>
              </w:rPr>
              <w:t>1.98 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591" w14:textId="77777777" w:rsidR="009C6E2F" w:rsidRDefault="009C6E2F">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59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470C593" w14:textId="77777777" w:rsidR="009C6E2F" w:rsidRDefault="007972BE">
            <w:pPr>
              <w:jc w:val="right"/>
              <w:textAlignment w:val="bottom"/>
            </w:pPr>
            <w:r>
              <w:rPr>
                <w:rFonts w:ascii="Arial" w:eastAsia="宋体" w:hAnsi="Arial" w:cs="Arial"/>
                <w:color w:val="000000"/>
                <w:sz w:val="17"/>
                <w:szCs w:val="17"/>
              </w:rPr>
              <w:t>1.73 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594" w14:textId="77777777" w:rsidR="009C6E2F" w:rsidRDefault="009C6E2F">
            <w:pPr>
              <w:jc w:val="right"/>
              <w:rPr>
                <w:rFonts w:ascii="宋体"/>
              </w:rPr>
            </w:pPr>
          </w:p>
        </w:tc>
        <w:tc>
          <w:tcPr>
            <w:tcW w:w="0" w:type="auto"/>
            <w:shd w:val="clear" w:color="auto" w:fill="auto"/>
            <w:vAlign w:val="bottom"/>
          </w:tcPr>
          <w:p w14:paraId="2470C595" w14:textId="77777777" w:rsidR="009C6E2F" w:rsidRDefault="009C6E2F">
            <w:pPr>
              <w:rPr>
                <w:rFonts w:ascii="宋体"/>
                <w:vanish/>
              </w:rPr>
            </w:pPr>
          </w:p>
        </w:tc>
        <w:tc>
          <w:tcPr>
            <w:tcW w:w="0" w:type="auto"/>
            <w:shd w:val="clear" w:color="auto" w:fill="auto"/>
            <w:vAlign w:val="bottom"/>
          </w:tcPr>
          <w:p w14:paraId="2470C596" w14:textId="77777777" w:rsidR="009C6E2F" w:rsidRDefault="009C6E2F">
            <w:pPr>
              <w:rPr>
                <w:rFonts w:ascii="宋体"/>
                <w:vanish/>
              </w:rPr>
            </w:pPr>
          </w:p>
        </w:tc>
        <w:tc>
          <w:tcPr>
            <w:tcW w:w="0" w:type="auto"/>
            <w:gridSpan w:val="3"/>
            <w:shd w:val="clear" w:color="auto" w:fill="auto"/>
            <w:vAlign w:val="bottom"/>
          </w:tcPr>
          <w:p w14:paraId="2470C597" w14:textId="77777777" w:rsidR="009C6E2F" w:rsidRDefault="009C6E2F">
            <w:pPr>
              <w:rPr>
                <w:rFonts w:ascii="宋体"/>
                <w:vanish/>
              </w:rPr>
            </w:pPr>
          </w:p>
        </w:tc>
      </w:tr>
    </w:tbl>
    <w:p w14:paraId="2470C599" w14:textId="77777777" w:rsidR="009C6E2F" w:rsidRDefault="009C6E2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59D" w14:textId="77777777">
        <w:tc>
          <w:tcPr>
            <w:tcW w:w="50" w:type="pct"/>
            <w:shd w:val="clear" w:color="auto" w:fill="auto"/>
            <w:vAlign w:val="bottom"/>
          </w:tcPr>
          <w:p w14:paraId="2470C59A" w14:textId="77777777" w:rsidR="009C6E2F" w:rsidRDefault="009C6E2F">
            <w:pPr>
              <w:rPr>
                <w:rFonts w:ascii="宋体"/>
              </w:rPr>
            </w:pPr>
          </w:p>
        </w:tc>
        <w:tc>
          <w:tcPr>
            <w:tcW w:w="4945" w:type="pct"/>
            <w:shd w:val="clear" w:color="auto" w:fill="auto"/>
            <w:vAlign w:val="bottom"/>
          </w:tcPr>
          <w:p w14:paraId="2470C59B" w14:textId="77777777" w:rsidR="009C6E2F" w:rsidRDefault="009C6E2F">
            <w:pPr>
              <w:rPr>
                <w:rFonts w:ascii="宋体"/>
              </w:rPr>
            </w:pPr>
          </w:p>
        </w:tc>
        <w:tc>
          <w:tcPr>
            <w:tcW w:w="5" w:type="pct"/>
            <w:shd w:val="clear" w:color="auto" w:fill="auto"/>
            <w:vAlign w:val="bottom"/>
          </w:tcPr>
          <w:p w14:paraId="2470C59C" w14:textId="77777777" w:rsidR="009C6E2F" w:rsidRDefault="009C6E2F">
            <w:pPr>
              <w:rPr>
                <w:rFonts w:ascii="宋体"/>
              </w:rPr>
            </w:pPr>
          </w:p>
        </w:tc>
      </w:tr>
      <w:tr w:rsidR="009C6E2F" w14:paraId="2470C59F" w14:textId="77777777">
        <w:tc>
          <w:tcPr>
            <w:tcW w:w="0" w:type="auto"/>
            <w:gridSpan w:val="3"/>
            <w:shd w:val="clear" w:color="auto" w:fill="auto"/>
            <w:tcMar>
              <w:top w:w="40" w:type="dxa"/>
              <w:left w:w="20" w:type="dxa"/>
              <w:bottom w:w="40" w:type="dxa"/>
              <w:right w:w="20" w:type="dxa"/>
            </w:tcMar>
            <w:vAlign w:val="bottom"/>
          </w:tcPr>
          <w:p w14:paraId="2470C59E" w14:textId="77777777" w:rsidR="009C6E2F" w:rsidRDefault="007972BE">
            <w:pPr>
              <w:textAlignment w:val="bottom"/>
            </w:pPr>
            <w:r>
              <w:rPr>
                <w:rFonts w:ascii="sans-serif" w:eastAsia="sans-serif" w:hAnsi="sans-serif" w:cs="sans-serif"/>
                <w:b/>
                <w:bCs/>
                <w:color w:val="E87722"/>
                <w:sz w:val="36"/>
                <w:szCs w:val="36"/>
              </w:rPr>
              <w:t>NOTE 8 — RISK MANAGEMENT AND DERIVATIVES</w:t>
            </w:r>
          </w:p>
        </w:tc>
      </w:tr>
    </w:tbl>
    <w:p w14:paraId="2470C5A0" w14:textId="77777777" w:rsidR="009C6E2F" w:rsidRDefault="007972BE">
      <w:pPr>
        <w:spacing w:before="120" w:after="120"/>
      </w:pPr>
      <w:r>
        <w:rPr>
          <w:rFonts w:ascii="Arial" w:eastAsia="宋体" w:hAnsi="Arial" w:cs="Arial"/>
          <w:color w:val="000000"/>
          <w:sz w:val="17"/>
          <w:szCs w:val="17"/>
        </w:rPr>
        <w:t xml:space="preserve">The Company is exposed to global market risks, including the effect of changes in foreign currency exchange </w:t>
      </w:r>
      <w:r>
        <w:rPr>
          <w:rFonts w:ascii="Arial" w:eastAsia="宋体" w:hAnsi="Arial" w:cs="Arial"/>
          <w:color w:val="000000"/>
          <w:sz w:val="17"/>
          <w:szCs w:val="17"/>
        </w:rPr>
        <w:t>rates and interest rates, and uses derivatives to manage financial exposures that occur in the normal course of business. As of and for the six months ended November 30, 2021, there have been no material changes to the Company's hedging program or strategy</w:t>
      </w:r>
      <w:r>
        <w:rPr>
          <w:rFonts w:ascii="Arial" w:eastAsia="宋体" w:hAnsi="Arial" w:cs="Arial"/>
          <w:color w:val="000000"/>
          <w:sz w:val="17"/>
          <w:szCs w:val="17"/>
        </w:rPr>
        <w:t xml:space="preserve"> from what was disclosed within the Annual Report on Form 10-K. For additional information about the Company's derivatives and hedging policies refer to Note 1 — Summary of Significant Accounting Policies and Note 14 — Risk Management and Derivatives of th</w:t>
      </w:r>
      <w:r>
        <w:rPr>
          <w:rFonts w:ascii="Arial" w:eastAsia="宋体" w:hAnsi="Arial" w:cs="Arial"/>
          <w:color w:val="000000"/>
          <w:sz w:val="17"/>
          <w:szCs w:val="17"/>
        </w:rPr>
        <w:t>e Annual Report on Form 10-K for the fiscal year ended May 31, 2021.</w:t>
      </w:r>
    </w:p>
    <w:p w14:paraId="2470C5A1" w14:textId="77777777" w:rsidR="009C6E2F" w:rsidRDefault="007972BE">
      <w:pPr>
        <w:spacing w:before="120" w:after="120"/>
      </w:pPr>
      <w:r>
        <w:rPr>
          <w:rFonts w:ascii="Arial" w:eastAsia="宋体" w:hAnsi="Arial" w:cs="Arial"/>
          <w:color w:val="000000"/>
          <w:sz w:val="17"/>
          <w:szCs w:val="17"/>
        </w:rPr>
        <w:t>The majority of derivatives outstanding as of November 30, 2021, are designated as foreign currency cash flow hedges, primarily for Euro/U.S. Dollar, British Pound/Euro, Chinese Yuan/U.S.</w:t>
      </w:r>
      <w:r>
        <w:rPr>
          <w:rFonts w:ascii="Arial" w:eastAsia="宋体" w:hAnsi="Arial" w:cs="Arial"/>
          <w:color w:val="000000"/>
          <w:sz w:val="17"/>
          <w:szCs w:val="17"/>
        </w:rPr>
        <w:t xml:space="preserve"> Dollar and Japanese Yen/U.S. Dollar currency pairs. All derivatives are recognized on the Unaudited Condensed Consolidated Balance Sheets at fair value and classified based on the instrument's maturity date.</w:t>
      </w:r>
    </w:p>
    <w:p w14:paraId="2470C5A2" w14:textId="77777777" w:rsidR="009C6E2F" w:rsidRDefault="007972BE">
      <w:pPr>
        <w:spacing w:before="120" w:after="120"/>
      </w:pPr>
      <w:r>
        <w:rPr>
          <w:rFonts w:ascii="Arial" w:eastAsia="宋体" w:hAnsi="Arial" w:cs="Arial"/>
          <w:color w:val="E87722"/>
          <w:sz w:val="17"/>
          <w:szCs w:val="17"/>
        </w:rPr>
        <w:t>12</w:t>
      </w:r>
      <w:r>
        <w:rPr>
          <w:rFonts w:ascii="sans-serif" w:eastAsia="sans-serif" w:hAnsi="sans-serif" w:cs="sans-serif"/>
          <w:color w:val="000000"/>
          <w:sz w:val="17"/>
          <w:szCs w:val="17"/>
        </w:rPr>
        <w:t xml:space="preserve"> </w:t>
      </w:r>
    </w:p>
    <w:p w14:paraId="2470C5A3" w14:textId="77777777" w:rsidR="009C6E2F" w:rsidRDefault="007972BE">
      <w:r>
        <w:pict w14:anchorId="2470E1F1">
          <v:rect id="_x0000_i1038" style="width:415.3pt;height:1.5pt" o:hralign="center" o:hrstd="t" o:hr="t" fillcolor="#a0a0a0" stroked="f"/>
        </w:pict>
      </w:r>
    </w:p>
    <w:p w14:paraId="2470C5A4" w14:textId="77777777" w:rsidR="009C6E2F" w:rsidRDefault="009C6E2F"/>
    <w:p w14:paraId="2470C5A5" w14:textId="77777777" w:rsidR="009C6E2F" w:rsidRDefault="007972BE">
      <w:hyperlink r:id="rId81" w:anchor="i9e023a7388204bdbacd6aa338988f838_7" w:history="1">
        <w:r>
          <w:rPr>
            <w:rStyle w:val="a5"/>
            <w:rFonts w:ascii="sans-serif" w:eastAsia="sans-serif" w:hAnsi="sans-serif" w:cs="sans-serif"/>
            <w:sz w:val="17"/>
            <w:szCs w:val="17"/>
          </w:rPr>
          <w:t>Table of Contents</w:t>
        </w:r>
      </w:hyperlink>
    </w:p>
    <w:p w14:paraId="2470C5A6" w14:textId="77777777" w:rsidR="009C6E2F" w:rsidRDefault="009C6E2F"/>
    <w:p w14:paraId="2470C5A7" w14:textId="77777777" w:rsidR="009C6E2F" w:rsidRDefault="007972BE">
      <w:pPr>
        <w:spacing w:before="120" w:after="120"/>
      </w:pPr>
      <w:r>
        <w:rPr>
          <w:rFonts w:ascii="Arial" w:eastAsia="宋体" w:hAnsi="Arial" w:cs="Arial"/>
          <w:color w:val="000000"/>
          <w:sz w:val="17"/>
          <w:szCs w:val="17"/>
        </w:rPr>
        <w:t>The following tables present the fair values of derivative instruments included within the Unaudited Condensed Consolidated B</w:t>
      </w:r>
      <w:r>
        <w:rPr>
          <w:rFonts w:ascii="Arial" w:eastAsia="宋体" w:hAnsi="Arial" w:cs="Arial"/>
          <w:color w:val="000000"/>
          <w:sz w:val="17"/>
          <w:szCs w:val="17"/>
        </w:rPr>
        <w:t>alance Sheets:</w:t>
      </w:r>
    </w:p>
    <w:tbl>
      <w:tblPr>
        <w:tblW w:w="4992" w:type="pct"/>
        <w:tblCellMar>
          <w:top w:w="15" w:type="dxa"/>
          <w:left w:w="15" w:type="dxa"/>
          <w:bottom w:w="15" w:type="dxa"/>
          <w:right w:w="15" w:type="dxa"/>
        </w:tblCellMar>
        <w:tblLook w:val="04A0" w:firstRow="1" w:lastRow="0" w:firstColumn="1" w:lastColumn="0" w:noHBand="0" w:noVBand="1"/>
      </w:tblPr>
      <w:tblGrid>
        <w:gridCol w:w="50"/>
        <w:gridCol w:w="3131"/>
        <w:gridCol w:w="36"/>
        <w:gridCol w:w="50"/>
        <w:gridCol w:w="2797"/>
        <w:gridCol w:w="37"/>
        <w:gridCol w:w="116"/>
        <w:gridCol w:w="916"/>
        <w:gridCol w:w="36"/>
        <w:gridCol w:w="36"/>
        <w:gridCol w:w="36"/>
        <w:gridCol w:w="36"/>
        <w:gridCol w:w="115"/>
        <w:gridCol w:w="895"/>
        <w:gridCol w:w="36"/>
      </w:tblGrid>
      <w:tr w:rsidR="009C6E2F" w14:paraId="2470C5B7" w14:textId="77777777">
        <w:tc>
          <w:tcPr>
            <w:tcW w:w="50" w:type="pct"/>
            <w:shd w:val="clear" w:color="auto" w:fill="auto"/>
            <w:vAlign w:val="bottom"/>
          </w:tcPr>
          <w:p w14:paraId="2470C5A8" w14:textId="77777777" w:rsidR="009C6E2F" w:rsidRDefault="009C6E2F">
            <w:pPr>
              <w:rPr>
                <w:rFonts w:ascii="宋体"/>
              </w:rPr>
            </w:pPr>
          </w:p>
        </w:tc>
        <w:tc>
          <w:tcPr>
            <w:tcW w:w="1900" w:type="pct"/>
            <w:shd w:val="clear" w:color="auto" w:fill="auto"/>
            <w:vAlign w:val="bottom"/>
          </w:tcPr>
          <w:p w14:paraId="2470C5A9" w14:textId="77777777" w:rsidR="009C6E2F" w:rsidRDefault="009C6E2F">
            <w:pPr>
              <w:rPr>
                <w:rFonts w:ascii="宋体"/>
              </w:rPr>
            </w:pPr>
          </w:p>
        </w:tc>
        <w:tc>
          <w:tcPr>
            <w:tcW w:w="5" w:type="pct"/>
            <w:shd w:val="clear" w:color="auto" w:fill="auto"/>
            <w:vAlign w:val="bottom"/>
          </w:tcPr>
          <w:p w14:paraId="2470C5AA" w14:textId="77777777" w:rsidR="009C6E2F" w:rsidRDefault="009C6E2F">
            <w:pPr>
              <w:rPr>
                <w:rFonts w:ascii="宋体"/>
              </w:rPr>
            </w:pPr>
          </w:p>
        </w:tc>
        <w:tc>
          <w:tcPr>
            <w:tcW w:w="50" w:type="pct"/>
            <w:shd w:val="clear" w:color="auto" w:fill="auto"/>
            <w:vAlign w:val="bottom"/>
          </w:tcPr>
          <w:p w14:paraId="2470C5AB" w14:textId="77777777" w:rsidR="009C6E2F" w:rsidRDefault="009C6E2F">
            <w:pPr>
              <w:rPr>
                <w:rFonts w:ascii="宋体"/>
              </w:rPr>
            </w:pPr>
          </w:p>
        </w:tc>
        <w:tc>
          <w:tcPr>
            <w:tcW w:w="1699" w:type="pct"/>
            <w:shd w:val="clear" w:color="auto" w:fill="auto"/>
            <w:vAlign w:val="bottom"/>
          </w:tcPr>
          <w:p w14:paraId="2470C5AC" w14:textId="77777777" w:rsidR="009C6E2F" w:rsidRDefault="009C6E2F">
            <w:pPr>
              <w:rPr>
                <w:rFonts w:ascii="宋体"/>
              </w:rPr>
            </w:pPr>
          </w:p>
        </w:tc>
        <w:tc>
          <w:tcPr>
            <w:tcW w:w="5" w:type="pct"/>
            <w:shd w:val="clear" w:color="auto" w:fill="auto"/>
            <w:vAlign w:val="bottom"/>
          </w:tcPr>
          <w:p w14:paraId="2470C5AD" w14:textId="77777777" w:rsidR="009C6E2F" w:rsidRDefault="009C6E2F">
            <w:pPr>
              <w:rPr>
                <w:rFonts w:ascii="宋体"/>
              </w:rPr>
            </w:pPr>
          </w:p>
        </w:tc>
        <w:tc>
          <w:tcPr>
            <w:tcW w:w="50" w:type="pct"/>
            <w:shd w:val="clear" w:color="auto" w:fill="auto"/>
            <w:vAlign w:val="bottom"/>
          </w:tcPr>
          <w:p w14:paraId="2470C5AE" w14:textId="77777777" w:rsidR="009C6E2F" w:rsidRDefault="009C6E2F">
            <w:pPr>
              <w:rPr>
                <w:rFonts w:ascii="宋体"/>
              </w:rPr>
            </w:pPr>
          </w:p>
        </w:tc>
        <w:tc>
          <w:tcPr>
            <w:tcW w:w="570" w:type="pct"/>
            <w:shd w:val="clear" w:color="auto" w:fill="auto"/>
            <w:vAlign w:val="bottom"/>
          </w:tcPr>
          <w:p w14:paraId="2470C5AF" w14:textId="77777777" w:rsidR="009C6E2F" w:rsidRDefault="009C6E2F">
            <w:pPr>
              <w:rPr>
                <w:rFonts w:ascii="宋体"/>
              </w:rPr>
            </w:pPr>
          </w:p>
        </w:tc>
        <w:tc>
          <w:tcPr>
            <w:tcW w:w="5" w:type="pct"/>
            <w:shd w:val="clear" w:color="auto" w:fill="auto"/>
            <w:vAlign w:val="bottom"/>
          </w:tcPr>
          <w:p w14:paraId="2470C5B0" w14:textId="77777777" w:rsidR="009C6E2F" w:rsidRDefault="009C6E2F">
            <w:pPr>
              <w:rPr>
                <w:rFonts w:ascii="宋体"/>
              </w:rPr>
            </w:pPr>
          </w:p>
        </w:tc>
        <w:tc>
          <w:tcPr>
            <w:tcW w:w="5" w:type="pct"/>
            <w:shd w:val="clear" w:color="auto" w:fill="auto"/>
            <w:vAlign w:val="bottom"/>
          </w:tcPr>
          <w:p w14:paraId="2470C5B1" w14:textId="77777777" w:rsidR="009C6E2F" w:rsidRDefault="009C6E2F">
            <w:pPr>
              <w:rPr>
                <w:rFonts w:ascii="宋体"/>
              </w:rPr>
            </w:pPr>
          </w:p>
        </w:tc>
        <w:tc>
          <w:tcPr>
            <w:tcW w:w="28" w:type="pct"/>
            <w:shd w:val="clear" w:color="auto" w:fill="auto"/>
            <w:vAlign w:val="bottom"/>
          </w:tcPr>
          <w:p w14:paraId="2470C5B2" w14:textId="77777777" w:rsidR="009C6E2F" w:rsidRDefault="009C6E2F">
            <w:pPr>
              <w:rPr>
                <w:rFonts w:ascii="宋体"/>
              </w:rPr>
            </w:pPr>
          </w:p>
        </w:tc>
        <w:tc>
          <w:tcPr>
            <w:tcW w:w="5" w:type="pct"/>
            <w:shd w:val="clear" w:color="auto" w:fill="auto"/>
            <w:vAlign w:val="bottom"/>
          </w:tcPr>
          <w:p w14:paraId="2470C5B3" w14:textId="77777777" w:rsidR="009C6E2F" w:rsidRDefault="009C6E2F">
            <w:pPr>
              <w:rPr>
                <w:rFonts w:ascii="宋体"/>
              </w:rPr>
            </w:pPr>
          </w:p>
        </w:tc>
        <w:tc>
          <w:tcPr>
            <w:tcW w:w="50" w:type="pct"/>
            <w:shd w:val="clear" w:color="auto" w:fill="auto"/>
            <w:vAlign w:val="bottom"/>
          </w:tcPr>
          <w:p w14:paraId="2470C5B4" w14:textId="77777777" w:rsidR="009C6E2F" w:rsidRDefault="009C6E2F">
            <w:pPr>
              <w:rPr>
                <w:rFonts w:ascii="宋体"/>
              </w:rPr>
            </w:pPr>
          </w:p>
        </w:tc>
        <w:tc>
          <w:tcPr>
            <w:tcW w:w="571" w:type="pct"/>
            <w:shd w:val="clear" w:color="auto" w:fill="auto"/>
            <w:vAlign w:val="bottom"/>
          </w:tcPr>
          <w:p w14:paraId="2470C5B5" w14:textId="77777777" w:rsidR="009C6E2F" w:rsidRDefault="009C6E2F">
            <w:pPr>
              <w:rPr>
                <w:rFonts w:ascii="宋体"/>
              </w:rPr>
            </w:pPr>
          </w:p>
        </w:tc>
        <w:tc>
          <w:tcPr>
            <w:tcW w:w="5" w:type="pct"/>
            <w:shd w:val="clear" w:color="auto" w:fill="auto"/>
            <w:vAlign w:val="bottom"/>
          </w:tcPr>
          <w:p w14:paraId="2470C5B6" w14:textId="77777777" w:rsidR="009C6E2F" w:rsidRDefault="009C6E2F">
            <w:pPr>
              <w:rPr>
                <w:rFonts w:ascii="宋体"/>
              </w:rPr>
            </w:pPr>
          </w:p>
        </w:tc>
      </w:tr>
      <w:tr w:rsidR="009C6E2F" w14:paraId="2470C5BA" w14:textId="77777777">
        <w:tc>
          <w:tcPr>
            <w:tcW w:w="0" w:type="auto"/>
            <w:gridSpan w:val="3"/>
            <w:shd w:val="clear" w:color="auto" w:fill="auto"/>
            <w:tcMar>
              <w:top w:w="40" w:type="dxa"/>
              <w:left w:w="20" w:type="dxa"/>
              <w:bottom w:w="40" w:type="dxa"/>
              <w:right w:w="20" w:type="dxa"/>
            </w:tcMar>
            <w:vAlign w:val="bottom"/>
          </w:tcPr>
          <w:p w14:paraId="2470C5B8" w14:textId="77777777" w:rsidR="009C6E2F" w:rsidRDefault="007972BE">
            <w:pPr>
              <w:textAlignment w:val="bottom"/>
            </w:pPr>
            <w:r>
              <w:rPr>
                <w:rFonts w:ascii="Arial" w:eastAsia="宋体" w:hAnsi="Arial" w:cs="Arial"/>
                <w:color w:val="000000"/>
                <w:sz w:val="17"/>
                <w:szCs w:val="17"/>
              </w:rPr>
              <w:t> </w:t>
            </w:r>
          </w:p>
        </w:tc>
        <w:tc>
          <w:tcPr>
            <w:tcW w:w="0" w:type="auto"/>
            <w:gridSpan w:val="12"/>
            <w:shd w:val="clear" w:color="auto" w:fill="auto"/>
            <w:tcMar>
              <w:top w:w="40" w:type="dxa"/>
              <w:left w:w="20" w:type="dxa"/>
              <w:bottom w:w="40" w:type="dxa"/>
              <w:right w:w="20" w:type="dxa"/>
            </w:tcMar>
            <w:vAlign w:val="bottom"/>
          </w:tcPr>
          <w:p w14:paraId="2470C5B9" w14:textId="77777777" w:rsidR="009C6E2F" w:rsidRDefault="007972BE">
            <w:pPr>
              <w:jc w:val="center"/>
              <w:textAlignment w:val="bottom"/>
            </w:pPr>
            <w:r>
              <w:rPr>
                <w:rFonts w:ascii="sans-serif" w:eastAsia="sans-serif" w:hAnsi="sans-serif" w:cs="sans-serif"/>
                <w:b/>
                <w:bCs/>
                <w:color w:val="000000"/>
                <w:sz w:val="17"/>
                <w:szCs w:val="17"/>
              </w:rPr>
              <w:t>DERIVATIVE ASSETS</w:t>
            </w:r>
          </w:p>
        </w:tc>
      </w:tr>
      <w:tr w:rsidR="009C6E2F" w14:paraId="2470C5C0" w14:textId="77777777">
        <w:trPr>
          <w:trHeight w:val="240"/>
        </w:trPr>
        <w:tc>
          <w:tcPr>
            <w:tcW w:w="0" w:type="auto"/>
            <w:gridSpan w:val="3"/>
            <w:shd w:val="clear" w:color="auto" w:fill="auto"/>
            <w:tcMar>
              <w:top w:w="0" w:type="dxa"/>
              <w:left w:w="20" w:type="dxa"/>
              <w:bottom w:w="0" w:type="dxa"/>
              <w:right w:w="20" w:type="dxa"/>
            </w:tcMar>
            <w:vAlign w:val="bottom"/>
          </w:tcPr>
          <w:p w14:paraId="2470C5BB" w14:textId="77777777" w:rsidR="009C6E2F" w:rsidRDefault="009C6E2F">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470C5BC" w14:textId="77777777" w:rsidR="009C6E2F" w:rsidRDefault="007972BE">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BD" w14:textId="77777777" w:rsidR="009C6E2F" w:rsidRDefault="007972BE">
            <w:pPr>
              <w:jc w:val="center"/>
              <w:textAlignment w:val="bottom"/>
            </w:pPr>
            <w:r>
              <w:rPr>
                <w:rFonts w:ascii="sans-serif" w:eastAsia="sans-serif" w:hAnsi="sans-serif" w:cs="sans-serif"/>
                <w:b/>
                <w:bCs/>
                <w:color w:val="000000"/>
                <w:sz w:val="17"/>
                <w:szCs w:val="17"/>
              </w:rPr>
              <w:t>NOVEMBER 30,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BE"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BF" w14:textId="77777777" w:rsidR="009C6E2F" w:rsidRDefault="007972BE">
            <w:pPr>
              <w:jc w:val="center"/>
              <w:textAlignment w:val="bottom"/>
            </w:pPr>
            <w:r>
              <w:rPr>
                <w:rFonts w:ascii="sans-serif" w:eastAsia="sans-serif" w:hAnsi="sans-serif" w:cs="sans-serif"/>
                <w:b/>
                <w:bCs/>
                <w:color w:val="000000"/>
                <w:sz w:val="17"/>
                <w:szCs w:val="17"/>
              </w:rPr>
              <w:t>MAY 31,</w:t>
            </w:r>
          </w:p>
        </w:tc>
      </w:tr>
      <w:tr w:rsidR="009C6E2F" w14:paraId="2470C5C6" w14:textId="77777777">
        <w:trPr>
          <w:trHeight w:val="240"/>
        </w:trPr>
        <w:tc>
          <w:tcPr>
            <w:tcW w:w="0" w:type="auto"/>
            <w:gridSpan w:val="3"/>
            <w:shd w:val="clear" w:color="auto" w:fill="auto"/>
            <w:tcMar>
              <w:top w:w="40" w:type="dxa"/>
              <w:left w:w="20" w:type="dxa"/>
              <w:bottom w:w="40" w:type="dxa"/>
              <w:right w:w="20" w:type="dxa"/>
            </w:tcMar>
            <w:vAlign w:val="bottom"/>
          </w:tcPr>
          <w:p w14:paraId="2470C5C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470C5C2" w14:textId="77777777" w:rsidR="009C6E2F" w:rsidRDefault="009C6E2F">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C3"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470C5C4"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C5" w14:textId="77777777" w:rsidR="009C6E2F" w:rsidRDefault="007972BE">
            <w:pPr>
              <w:jc w:val="center"/>
              <w:textAlignment w:val="bottom"/>
            </w:pPr>
            <w:r>
              <w:rPr>
                <w:rFonts w:ascii="sans-serif" w:eastAsia="sans-serif" w:hAnsi="sans-serif" w:cs="sans-serif"/>
                <w:b/>
                <w:bCs/>
                <w:color w:val="000000"/>
                <w:sz w:val="17"/>
                <w:szCs w:val="17"/>
              </w:rPr>
              <w:t>2021</w:t>
            </w:r>
          </w:p>
        </w:tc>
      </w:tr>
      <w:tr w:rsidR="009C6E2F" w14:paraId="2470C5C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C7" w14:textId="77777777" w:rsidR="009C6E2F" w:rsidRDefault="007972BE">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C8"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5C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C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CB" w14:textId="77777777" w:rsidR="009C6E2F" w:rsidRDefault="009C6E2F">
            <w:pPr>
              <w:rPr>
                <w:rFonts w:ascii="宋体"/>
              </w:rPr>
            </w:pPr>
          </w:p>
        </w:tc>
      </w:tr>
      <w:tr w:rsidR="009C6E2F" w14:paraId="2470C5D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5CD"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5CE" w14:textId="77777777" w:rsidR="009C6E2F" w:rsidRDefault="007972BE">
            <w:pPr>
              <w:jc w:val="right"/>
              <w:textAlignment w:val="bottom"/>
            </w:pPr>
            <w:r>
              <w:rPr>
                <w:rFonts w:ascii="Arial" w:eastAsia="宋体" w:hAnsi="Arial" w:cs="Arial"/>
                <w:color w:val="000000"/>
                <w:sz w:val="17"/>
                <w:szCs w:val="17"/>
              </w:rPr>
              <w:t xml:space="preserve">Prepaid </w:t>
            </w:r>
            <w:r>
              <w:rPr>
                <w:rFonts w:ascii="Arial" w:eastAsia="宋体" w:hAnsi="Arial" w:cs="Arial"/>
                <w:color w:val="000000"/>
                <w:sz w:val="17"/>
                <w:szCs w:val="17"/>
              </w:rPr>
              <w:t>expenses and other current assets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5C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5D0" w14:textId="77777777" w:rsidR="009C6E2F" w:rsidRDefault="007972BE">
            <w:pPr>
              <w:jc w:val="right"/>
              <w:textAlignment w:val="bottom"/>
            </w:pPr>
            <w:r>
              <w:rPr>
                <w:rFonts w:ascii="Arial" w:eastAsia="宋体" w:hAnsi="Arial" w:cs="Arial"/>
                <w:color w:val="000000"/>
                <w:sz w:val="17"/>
                <w:szCs w:val="17"/>
              </w:rPr>
              <w:t>428 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D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D2"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5D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5D4" w14:textId="77777777" w:rsidR="009C6E2F" w:rsidRDefault="007972BE">
            <w:pPr>
              <w:jc w:val="right"/>
              <w:textAlignment w:val="bottom"/>
            </w:pPr>
            <w:r>
              <w:rPr>
                <w:rFonts w:ascii="Arial" w:eastAsia="宋体" w:hAnsi="Arial" w:cs="Arial"/>
                <w:color w:val="000000"/>
                <w:sz w:val="17"/>
                <w:szCs w:val="17"/>
              </w:rPr>
              <w:t>42 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D5" w14:textId="77777777" w:rsidR="009C6E2F" w:rsidRDefault="009C6E2F">
            <w:pPr>
              <w:jc w:val="right"/>
              <w:rPr>
                <w:rFonts w:ascii="宋体"/>
              </w:rPr>
            </w:pPr>
          </w:p>
        </w:tc>
      </w:tr>
      <w:tr w:rsidR="009C6E2F" w14:paraId="2470C5D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5D7"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5D8" w14:textId="77777777" w:rsidR="009C6E2F" w:rsidRDefault="007972BE">
            <w:pPr>
              <w:jc w:val="right"/>
              <w:textAlignment w:val="bottom"/>
            </w:pPr>
            <w:r>
              <w:rPr>
                <w:rFonts w:ascii="Arial" w:eastAsia="宋体" w:hAnsi="Arial" w:cs="Arial"/>
                <w:color w:val="000000"/>
                <w:sz w:val="17"/>
                <w:szCs w:val="17"/>
              </w:rPr>
              <w:t>Deferred income taxes and other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5D9" w14:textId="77777777" w:rsidR="009C6E2F" w:rsidRDefault="007972BE">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D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D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5DC"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DD" w14:textId="77777777" w:rsidR="009C6E2F" w:rsidRDefault="009C6E2F">
            <w:pPr>
              <w:jc w:val="right"/>
              <w:rPr>
                <w:rFonts w:ascii="宋体"/>
              </w:rPr>
            </w:pPr>
          </w:p>
        </w:tc>
      </w:tr>
      <w:tr w:rsidR="009C6E2F" w14:paraId="2470C5E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DF" w14:textId="77777777" w:rsidR="009C6E2F" w:rsidRDefault="007972BE">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E0"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5E1" w14:textId="77777777" w:rsidR="009C6E2F" w:rsidRDefault="007972BE">
            <w:pPr>
              <w:jc w:val="right"/>
              <w:textAlignment w:val="bottom"/>
            </w:pPr>
            <w:r>
              <w:rPr>
                <w:rFonts w:ascii="Arial" w:eastAsia="宋体" w:hAnsi="Arial" w:cs="Arial"/>
                <w:color w:val="000000"/>
                <w:sz w:val="17"/>
                <w:szCs w:val="17"/>
              </w:rPr>
              <w:t>530 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5E2"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E3"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5E4" w14:textId="77777777" w:rsidR="009C6E2F" w:rsidRDefault="007972BE">
            <w:pPr>
              <w:jc w:val="right"/>
              <w:textAlignment w:val="bottom"/>
            </w:pPr>
            <w:r>
              <w:rPr>
                <w:rFonts w:ascii="Arial" w:eastAsia="宋体" w:hAnsi="Arial" w:cs="Arial"/>
                <w:color w:val="000000"/>
                <w:sz w:val="17"/>
                <w:szCs w:val="17"/>
              </w:rPr>
              <w:t>58 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5E5" w14:textId="77777777" w:rsidR="009C6E2F" w:rsidRDefault="009C6E2F">
            <w:pPr>
              <w:jc w:val="right"/>
              <w:rPr>
                <w:rFonts w:ascii="宋体"/>
              </w:rPr>
            </w:pPr>
          </w:p>
        </w:tc>
      </w:tr>
      <w:tr w:rsidR="009C6E2F" w14:paraId="2470C5E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5E7" w14:textId="77777777" w:rsidR="009C6E2F" w:rsidRDefault="007972BE">
            <w:pPr>
              <w:textAlignment w:val="bottom"/>
            </w:pPr>
            <w:r>
              <w:rPr>
                <w:rFonts w:ascii="Arial" w:eastAsia="宋体" w:hAnsi="Arial" w:cs="Arial"/>
                <w:color w:val="000000"/>
                <w:sz w:val="17"/>
                <w:szCs w:val="17"/>
              </w:rPr>
              <w:t xml:space="preserve">Derivatives not designated as </w:t>
            </w:r>
            <w:r>
              <w:rPr>
                <w:rFonts w:ascii="Arial" w:eastAsia="宋体" w:hAnsi="Arial" w:cs="Arial"/>
                <w:color w:val="000000"/>
                <w:sz w:val="17"/>
                <w:szCs w:val="17"/>
              </w:rPr>
              <w:t>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E8"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5E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E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5EB" w14:textId="77777777" w:rsidR="009C6E2F" w:rsidRDefault="009C6E2F">
            <w:pPr>
              <w:rPr>
                <w:rFonts w:ascii="宋体"/>
              </w:rPr>
            </w:pPr>
          </w:p>
        </w:tc>
      </w:tr>
      <w:tr w:rsidR="009C6E2F" w14:paraId="2470C5F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5ED"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5EE" w14:textId="77777777" w:rsidR="009C6E2F" w:rsidRDefault="007972BE">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5EF"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F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F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5F2" w14:textId="77777777" w:rsidR="009C6E2F" w:rsidRDefault="007972BE">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F3" w14:textId="77777777" w:rsidR="009C6E2F" w:rsidRDefault="009C6E2F">
            <w:pPr>
              <w:jc w:val="right"/>
              <w:rPr>
                <w:rFonts w:ascii="宋体"/>
              </w:rPr>
            </w:pPr>
          </w:p>
        </w:tc>
      </w:tr>
      <w:tr w:rsidR="009C6E2F" w14:paraId="2470C5F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5F5" w14:textId="77777777" w:rsidR="009C6E2F" w:rsidRDefault="007972BE">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5F6" w14:textId="77777777" w:rsidR="009C6E2F" w:rsidRDefault="007972BE">
            <w:pPr>
              <w:jc w:val="right"/>
              <w:textAlignment w:val="bottom"/>
            </w:pPr>
            <w:r>
              <w:rPr>
                <w:rFonts w:ascii="Arial" w:eastAsia="宋体" w:hAnsi="Arial" w:cs="Arial"/>
                <w:color w:val="000000"/>
                <w:sz w:val="17"/>
                <w:szCs w:val="17"/>
              </w:rPr>
              <w:t>Prepaid expenses and other current assets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5F7"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5F8"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5F9"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5F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5FB" w14:textId="77777777" w:rsidR="009C6E2F" w:rsidRDefault="009C6E2F">
            <w:pPr>
              <w:jc w:val="right"/>
              <w:rPr>
                <w:rFonts w:ascii="宋体"/>
              </w:rPr>
            </w:pPr>
          </w:p>
        </w:tc>
      </w:tr>
      <w:tr w:rsidR="009C6E2F" w14:paraId="2470C602" w14:textId="77777777">
        <w:trPr>
          <w:hidden/>
        </w:trPr>
        <w:tc>
          <w:tcPr>
            <w:tcW w:w="0" w:type="auto"/>
            <w:gridSpan w:val="3"/>
            <w:shd w:val="clear" w:color="auto" w:fill="auto"/>
            <w:vAlign w:val="bottom"/>
          </w:tcPr>
          <w:p w14:paraId="2470C5FD" w14:textId="77777777" w:rsidR="009C6E2F" w:rsidRDefault="009C6E2F">
            <w:pPr>
              <w:rPr>
                <w:rFonts w:ascii="宋体"/>
                <w:vanish/>
              </w:rPr>
            </w:pPr>
          </w:p>
        </w:tc>
        <w:tc>
          <w:tcPr>
            <w:tcW w:w="0" w:type="auto"/>
            <w:gridSpan w:val="3"/>
            <w:shd w:val="clear" w:color="auto" w:fill="auto"/>
            <w:vAlign w:val="bottom"/>
          </w:tcPr>
          <w:p w14:paraId="2470C5FE" w14:textId="77777777" w:rsidR="009C6E2F" w:rsidRDefault="009C6E2F">
            <w:pPr>
              <w:rPr>
                <w:rFonts w:ascii="宋体"/>
                <w:vanish/>
              </w:rPr>
            </w:pPr>
          </w:p>
        </w:tc>
        <w:tc>
          <w:tcPr>
            <w:tcW w:w="0" w:type="auto"/>
            <w:gridSpan w:val="3"/>
            <w:shd w:val="clear" w:color="auto" w:fill="auto"/>
            <w:vAlign w:val="bottom"/>
          </w:tcPr>
          <w:p w14:paraId="2470C5FF" w14:textId="77777777" w:rsidR="009C6E2F" w:rsidRDefault="009C6E2F">
            <w:pPr>
              <w:rPr>
                <w:rFonts w:ascii="宋体"/>
                <w:vanish/>
              </w:rPr>
            </w:pPr>
          </w:p>
        </w:tc>
        <w:tc>
          <w:tcPr>
            <w:tcW w:w="0" w:type="auto"/>
            <w:gridSpan w:val="3"/>
            <w:shd w:val="clear" w:color="auto" w:fill="auto"/>
            <w:vAlign w:val="bottom"/>
          </w:tcPr>
          <w:p w14:paraId="2470C600" w14:textId="77777777" w:rsidR="009C6E2F" w:rsidRDefault="009C6E2F">
            <w:pPr>
              <w:rPr>
                <w:rFonts w:ascii="宋体"/>
                <w:vanish/>
              </w:rPr>
            </w:pPr>
          </w:p>
        </w:tc>
        <w:tc>
          <w:tcPr>
            <w:tcW w:w="0" w:type="auto"/>
            <w:gridSpan w:val="3"/>
            <w:shd w:val="clear" w:color="auto" w:fill="auto"/>
            <w:vAlign w:val="bottom"/>
          </w:tcPr>
          <w:p w14:paraId="2470C601" w14:textId="77777777" w:rsidR="009C6E2F" w:rsidRDefault="009C6E2F">
            <w:pPr>
              <w:rPr>
                <w:rFonts w:ascii="宋体"/>
                <w:vanish/>
              </w:rPr>
            </w:pPr>
          </w:p>
        </w:tc>
      </w:tr>
      <w:tr w:rsidR="009C6E2F" w14:paraId="2470C608" w14:textId="77777777">
        <w:trPr>
          <w:hidden/>
        </w:trPr>
        <w:tc>
          <w:tcPr>
            <w:tcW w:w="0" w:type="auto"/>
            <w:gridSpan w:val="3"/>
            <w:shd w:val="clear" w:color="auto" w:fill="auto"/>
            <w:vAlign w:val="bottom"/>
          </w:tcPr>
          <w:p w14:paraId="2470C603" w14:textId="77777777" w:rsidR="009C6E2F" w:rsidRDefault="009C6E2F">
            <w:pPr>
              <w:rPr>
                <w:rFonts w:ascii="宋体"/>
                <w:vanish/>
              </w:rPr>
            </w:pPr>
          </w:p>
        </w:tc>
        <w:tc>
          <w:tcPr>
            <w:tcW w:w="0" w:type="auto"/>
            <w:gridSpan w:val="3"/>
            <w:shd w:val="clear" w:color="auto" w:fill="auto"/>
            <w:vAlign w:val="bottom"/>
          </w:tcPr>
          <w:p w14:paraId="2470C604" w14:textId="77777777" w:rsidR="009C6E2F" w:rsidRDefault="009C6E2F">
            <w:pPr>
              <w:rPr>
                <w:rFonts w:ascii="宋体"/>
                <w:vanish/>
              </w:rPr>
            </w:pPr>
          </w:p>
        </w:tc>
        <w:tc>
          <w:tcPr>
            <w:tcW w:w="0" w:type="auto"/>
            <w:gridSpan w:val="3"/>
            <w:shd w:val="clear" w:color="auto" w:fill="auto"/>
            <w:vAlign w:val="bottom"/>
          </w:tcPr>
          <w:p w14:paraId="2470C605" w14:textId="77777777" w:rsidR="009C6E2F" w:rsidRDefault="009C6E2F">
            <w:pPr>
              <w:rPr>
                <w:rFonts w:ascii="宋体"/>
                <w:vanish/>
              </w:rPr>
            </w:pPr>
          </w:p>
        </w:tc>
        <w:tc>
          <w:tcPr>
            <w:tcW w:w="0" w:type="auto"/>
            <w:gridSpan w:val="3"/>
            <w:shd w:val="clear" w:color="auto" w:fill="auto"/>
            <w:vAlign w:val="bottom"/>
          </w:tcPr>
          <w:p w14:paraId="2470C606" w14:textId="77777777" w:rsidR="009C6E2F" w:rsidRDefault="009C6E2F">
            <w:pPr>
              <w:rPr>
                <w:rFonts w:ascii="宋体"/>
                <w:vanish/>
              </w:rPr>
            </w:pPr>
          </w:p>
        </w:tc>
        <w:tc>
          <w:tcPr>
            <w:tcW w:w="0" w:type="auto"/>
            <w:gridSpan w:val="3"/>
            <w:shd w:val="clear" w:color="auto" w:fill="auto"/>
            <w:vAlign w:val="bottom"/>
          </w:tcPr>
          <w:p w14:paraId="2470C607" w14:textId="77777777" w:rsidR="009C6E2F" w:rsidRDefault="009C6E2F">
            <w:pPr>
              <w:rPr>
                <w:rFonts w:ascii="宋体"/>
                <w:vanish/>
              </w:rPr>
            </w:pPr>
          </w:p>
        </w:tc>
      </w:tr>
      <w:tr w:rsidR="009C6E2F" w14:paraId="2470C61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09" w14:textId="77777777" w:rsidR="009C6E2F" w:rsidRDefault="007972BE">
            <w:pPr>
              <w:textAlignment w:val="bottom"/>
            </w:pPr>
            <w:r>
              <w:rPr>
                <w:rFonts w:ascii="Arial" w:eastAsia="宋体" w:hAnsi="Arial" w:cs="Arial"/>
                <w:color w:val="000000"/>
                <w:sz w:val="17"/>
                <w:szCs w:val="17"/>
              </w:rPr>
              <w:t xml:space="preserve">Total derivatives not designated as hedging </w:t>
            </w:r>
            <w:r>
              <w:rPr>
                <w:rFonts w:ascii="Arial" w:eastAsia="宋体" w:hAnsi="Arial" w:cs="Arial"/>
                <w:color w:val="000000"/>
                <w:sz w:val="17"/>
                <w:szCs w:val="17"/>
              </w:rPr>
              <w:t>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0A"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60B"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60C"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0D"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60E" w14:textId="77777777" w:rsidR="009C6E2F" w:rsidRDefault="007972BE">
            <w:pPr>
              <w:jc w:val="right"/>
              <w:textAlignment w:val="bottom"/>
            </w:pPr>
            <w:r>
              <w:rPr>
                <w:rFonts w:ascii="Arial" w:eastAsia="宋体" w:hAnsi="Arial" w:cs="Arial"/>
                <w:color w:val="000000"/>
                <w:sz w:val="17"/>
                <w:szCs w:val="17"/>
              </w:rPr>
              <w:t>34 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60F" w14:textId="77777777" w:rsidR="009C6E2F" w:rsidRDefault="009C6E2F">
            <w:pPr>
              <w:jc w:val="right"/>
              <w:rPr>
                <w:rFonts w:ascii="宋体"/>
              </w:rPr>
            </w:pPr>
          </w:p>
        </w:tc>
      </w:tr>
      <w:tr w:rsidR="009C6E2F" w14:paraId="2470C61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11" w14:textId="77777777" w:rsidR="009C6E2F" w:rsidRDefault="007972BE">
            <w:pPr>
              <w:textAlignment w:val="bottom"/>
            </w:pPr>
            <w:r>
              <w:rPr>
                <w:rFonts w:ascii="Arial" w:eastAsia="宋体" w:hAnsi="Arial" w:cs="Arial"/>
                <w:b/>
                <w:bCs/>
                <w:color w:val="000000"/>
                <w:sz w:val="17"/>
                <w:szCs w:val="17"/>
              </w:rPr>
              <w:t>TOTAL DERIVATIVE ASSETS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12"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61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614" w14:textId="77777777" w:rsidR="009C6E2F" w:rsidRDefault="007972BE">
            <w:pPr>
              <w:jc w:val="right"/>
              <w:textAlignment w:val="bottom"/>
            </w:pPr>
            <w:r>
              <w:rPr>
                <w:rFonts w:ascii="Arial" w:eastAsia="宋体" w:hAnsi="Arial" w:cs="Arial"/>
                <w:b/>
                <w:bCs/>
                <w:color w:val="000000"/>
                <w:sz w:val="17"/>
                <w:szCs w:val="17"/>
              </w:rPr>
              <w:t>547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615"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16"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61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618" w14:textId="77777777" w:rsidR="009C6E2F" w:rsidRDefault="007972BE">
            <w:pPr>
              <w:jc w:val="right"/>
              <w:textAlignment w:val="bottom"/>
            </w:pPr>
            <w:r>
              <w:rPr>
                <w:rFonts w:ascii="Arial" w:eastAsia="宋体" w:hAnsi="Arial" w:cs="Arial"/>
                <w:b/>
                <w:bCs/>
                <w:color w:val="000000"/>
                <w:sz w:val="17"/>
                <w:szCs w:val="17"/>
              </w:rPr>
              <w:t>92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619" w14:textId="77777777" w:rsidR="009C6E2F" w:rsidRDefault="009C6E2F">
            <w:pPr>
              <w:jc w:val="right"/>
              <w:rPr>
                <w:rFonts w:ascii="宋体"/>
              </w:rPr>
            </w:pPr>
          </w:p>
        </w:tc>
      </w:tr>
      <w:tr w:rsidR="009C6E2F" w14:paraId="2470C620" w14:textId="77777777">
        <w:trPr>
          <w:trHeight w:val="240"/>
        </w:trPr>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1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1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1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1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1F" w14:textId="77777777" w:rsidR="009C6E2F" w:rsidRDefault="009C6E2F">
            <w:pPr>
              <w:rPr>
                <w:rFonts w:ascii="宋体"/>
              </w:rPr>
            </w:pPr>
          </w:p>
        </w:tc>
      </w:tr>
      <w:tr w:rsidR="009C6E2F" w14:paraId="2470C623" w14:textId="77777777">
        <w:tc>
          <w:tcPr>
            <w:tcW w:w="0" w:type="auto"/>
            <w:gridSpan w:val="3"/>
            <w:shd w:val="clear" w:color="auto" w:fill="auto"/>
            <w:tcMar>
              <w:top w:w="0" w:type="dxa"/>
              <w:left w:w="20" w:type="dxa"/>
              <w:bottom w:w="0" w:type="dxa"/>
              <w:right w:w="20" w:type="dxa"/>
            </w:tcMar>
            <w:vAlign w:val="bottom"/>
          </w:tcPr>
          <w:p w14:paraId="2470C621"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C622" w14:textId="77777777" w:rsidR="009C6E2F" w:rsidRDefault="007972BE">
            <w:pPr>
              <w:jc w:val="center"/>
              <w:textAlignment w:val="bottom"/>
            </w:pPr>
            <w:r>
              <w:rPr>
                <w:rFonts w:ascii="sans-serif" w:eastAsia="sans-serif" w:hAnsi="sans-serif" w:cs="sans-serif"/>
                <w:b/>
                <w:bCs/>
                <w:color w:val="000000"/>
                <w:sz w:val="17"/>
                <w:szCs w:val="17"/>
              </w:rPr>
              <w:t>DERIVATIVE LIABILITIES</w:t>
            </w:r>
          </w:p>
        </w:tc>
      </w:tr>
      <w:tr w:rsidR="009C6E2F" w14:paraId="2470C629" w14:textId="77777777">
        <w:trPr>
          <w:trHeight w:val="240"/>
        </w:trPr>
        <w:tc>
          <w:tcPr>
            <w:tcW w:w="0" w:type="auto"/>
            <w:gridSpan w:val="3"/>
            <w:shd w:val="clear" w:color="auto" w:fill="auto"/>
            <w:tcMar>
              <w:top w:w="0" w:type="dxa"/>
              <w:left w:w="20" w:type="dxa"/>
              <w:bottom w:w="0" w:type="dxa"/>
              <w:right w:w="20" w:type="dxa"/>
            </w:tcMar>
            <w:vAlign w:val="bottom"/>
          </w:tcPr>
          <w:p w14:paraId="2470C624" w14:textId="77777777" w:rsidR="009C6E2F" w:rsidRDefault="009C6E2F">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470C625" w14:textId="77777777" w:rsidR="009C6E2F" w:rsidRDefault="007972BE">
            <w:pPr>
              <w:jc w:val="right"/>
              <w:textAlignment w:val="bottom"/>
            </w:pPr>
            <w:r>
              <w:rPr>
                <w:rFonts w:ascii="sans-serif" w:eastAsia="sans-serif" w:hAnsi="sans-serif" w:cs="sans-serif"/>
                <w:b/>
                <w:bCs/>
                <w:color w:val="000000"/>
                <w:sz w:val="17"/>
                <w:szCs w:val="17"/>
              </w:rPr>
              <w:t>BALANCE SHEET LOCATION</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26" w14:textId="77777777" w:rsidR="009C6E2F" w:rsidRDefault="007972BE">
            <w:pPr>
              <w:jc w:val="center"/>
              <w:textAlignment w:val="bottom"/>
            </w:pPr>
            <w:r>
              <w:rPr>
                <w:rFonts w:ascii="sans-serif" w:eastAsia="sans-serif" w:hAnsi="sans-serif" w:cs="sans-serif"/>
                <w:b/>
                <w:bCs/>
                <w:color w:val="000000"/>
                <w:sz w:val="17"/>
                <w:szCs w:val="17"/>
              </w:rPr>
              <w:t>NOVEMBER 30,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27"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28" w14:textId="77777777" w:rsidR="009C6E2F" w:rsidRDefault="007972BE">
            <w:pPr>
              <w:jc w:val="center"/>
              <w:textAlignment w:val="bottom"/>
            </w:pPr>
            <w:r>
              <w:rPr>
                <w:rFonts w:ascii="sans-serif" w:eastAsia="sans-serif" w:hAnsi="sans-serif" w:cs="sans-serif"/>
                <w:b/>
                <w:bCs/>
                <w:color w:val="000000"/>
                <w:sz w:val="17"/>
                <w:szCs w:val="17"/>
              </w:rPr>
              <w:t>MAY 31,</w:t>
            </w:r>
          </w:p>
        </w:tc>
      </w:tr>
      <w:tr w:rsidR="009C6E2F" w14:paraId="2470C62F" w14:textId="77777777">
        <w:trPr>
          <w:trHeight w:val="240"/>
        </w:trPr>
        <w:tc>
          <w:tcPr>
            <w:tcW w:w="0" w:type="auto"/>
            <w:gridSpan w:val="3"/>
            <w:shd w:val="clear" w:color="auto" w:fill="auto"/>
            <w:tcMar>
              <w:top w:w="40" w:type="dxa"/>
              <w:left w:w="20" w:type="dxa"/>
              <w:bottom w:w="40" w:type="dxa"/>
              <w:right w:w="20" w:type="dxa"/>
            </w:tcMar>
            <w:vAlign w:val="bottom"/>
          </w:tcPr>
          <w:p w14:paraId="2470C62A"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470C62B" w14:textId="77777777" w:rsidR="009C6E2F" w:rsidRDefault="009C6E2F">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2C"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470C62D"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2E" w14:textId="77777777" w:rsidR="009C6E2F" w:rsidRDefault="007972BE">
            <w:pPr>
              <w:jc w:val="center"/>
              <w:textAlignment w:val="bottom"/>
            </w:pPr>
            <w:r>
              <w:rPr>
                <w:rFonts w:ascii="sans-serif" w:eastAsia="sans-serif" w:hAnsi="sans-serif" w:cs="sans-serif"/>
                <w:b/>
                <w:bCs/>
                <w:color w:val="000000"/>
                <w:sz w:val="17"/>
                <w:szCs w:val="17"/>
              </w:rPr>
              <w:t>2021</w:t>
            </w:r>
          </w:p>
        </w:tc>
      </w:tr>
      <w:tr w:rsidR="009C6E2F" w14:paraId="2470C63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30" w14:textId="77777777" w:rsidR="009C6E2F" w:rsidRDefault="007972BE">
            <w:pPr>
              <w:textAlignment w:val="bottom"/>
            </w:pPr>
            <w:r>
              <w:rPr>
                <w:rFonts w:ascii="Arial" w:eastAsia="宋体" w:hAnsi="Arial" w:cs="Arial"/>
                <w:color w:val="000000"/>
                <w:sz w:val="17"/>
                <w:szCs w:val="17"/>
              </w:rPr>
              <w:t>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31"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63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3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34" w14:textId="77777777" w:rsidR="009C6E2F" w:rsidRDefault="009C6E2F">
            <w:pPr>
              <w:rPr>
                <w:rFonts w:ascii="宋体"/>
              </w:rPr>
            </w:pPr>
          </w:p>
        </w:tc>
      </w:tr>
      <w:tr w:rsidR="009C6E2F" w14:paraId="2470C63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636" w14:textId="77777777" w:rsidR="009C6E2F" w:rsidRDefault="007972BE">
            <w:pPr>
              <w:textAlignment w:val="bottom"/>
            </w:pPr>
            <w:r>
              <w:rPr>
                <w:rFonts w:ascii="Arial" w:eastAsia="宋体" w:hAnsi="Arial" w:cs="Arial"/>
                <w:color w:val="000000"/>
                <w:sz w:val="17"/>
                <w:szCs w:val="17"/>
              </w:rPr>
              <w:t xml:space="preserve">Foreign </w:t>
            </w:r>
            <w:r>
              <w:rPr>
                <w:rFonts w:ascii="Arial" w:eastAsia="宋体" w:hAnsi="Arial" w:cs="Arial"/>
                <w:color w:val="000000"/>
                <w:sz w:val="17"/>
                <w:szCs w:val="17"/>
              </w:rPr>
              <w:t>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637" w14:textId="77777777" w:rsidR="009C6E2F" w:rsidRDefault="007972BE">
            <w:pPr>
              <w:jc w:val="right"/>
              <w:textAlignment w:val="bottom"/>
            </w:pPr>
            <w:r>
              <w:rPr>
                <w:rFonts w:ascii="Arial" w:eastAsia="宋体" w:hAnsi="Arial" w:cs="Arial"/>
                <w:color w:val="000000"/>
                <w:sz w:val="17"/>
                <w:szCs w:val="17"/>
              </w:rPr>
              <w:t>Accrued liabilities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63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639" w14:textId="77777777" w:rsidR="009C6E2F" w:rsidRDefault="007972BE">
            <w:pPr>
              <w:jc w:val="right"/>
              <w:textAlignment w:val="bottom"/>
            </w:pPr>
            <w:r>
              <w:rPr>
                <w:rFonts w:ascii="Arial" w:eastAsia="宋体" w:hAnsi="Arial" w:cs="Arial"/>
                <w:color w:val="000000"/>
                <w:sz w:val="17"/>
                <w:szCs w:val="17"/>
              </w:rPr>
              <w:t>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3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63B"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63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63D" w14:textId="77777777" w:rsidR="009C6E2F" w:rsidRDefault="007972BE">
            <w:pPr>
              <w:jc w:val="right"/>
              <w:textAlignment w:val="bottom"/>
            </w:pPr>
            <w:r>
              <w:rPr>
                <w:rFonts w:ascii="Arial" w:eastAsia="宋体" w:hAnsi="Arial" w:cs="Arial"/>
                <w:color w:val="000000"/>
                <w:sz w:val="17"/>
                <w:szCs w:val="17"/>
              </w:rPr>
              <w:t>385 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3E" w14:textId="77777777" w:rsidR="009C6E2F" w:rsidRDefault="009C6E2F">
            <w:pPr>
              <w:jc w:val="right"/>
              <w:rPr>
                <w:rFonts w:ascii="宋体"/>
              </w:rPr>
            </w:pPr>
          </w:p>
        </w:tc>
      </w:tr>
      <w:tr w:rsidR="009C6E2F" w14:paraId="2470C64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640"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641" w14:textId="77777777" w:rsidR="009C6E2F" w:rsidRDefault="007972BE">
            <w:pPr>
              <w:jc w:val="right"/>
              <w:textAlignment w:val="bottom"/>
            </w:pPr>
            <w:r>
              <w:rPr>
                <w:rFonts w:ascii="Arial" w:eastAsia="宋体" w:hAnsi="Arial" w:cs="Arial"/>
                <w:color w:val="000000"/>
                <w:sz w:val="17"/>
                <w:szCs w:val="17"/>
              </w:rPr>
              <w:t>Deferred income taxes and other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42"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4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644"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45" w14:textId="77777777" w:rsidR="009C6E2F" w:rsidRDefault="007972BE">
            <w:pPr>
              <w:jc w:val="right"/>
              <w:textAlignment w:val="bottom"/>
            </w:pPr>
            <w:r>
              <w:rPr>
                <w:rFonts w:ascii="Arial" w:eastAsia="宋体" w:hAnsi="Arial" w:cs="Arial"/>
                <w:color w:val="000000"/>
                <w:sz w:val="17"/>
                <w:szCs w:val="17"/>
              </w:rPr>
              <w:t>41 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46" w14:textId="77777777" w:rsidR="009C6E2F" w:rsidRDefault="009C6E2F">
            <w:pPr>
              <w:jc w:val="right"/>
              <w:rPr>
                <w:rFonts w:ascii="宋体"/>
              </w:rPr>
            </w:pPr>
          </w:p>
        </w:tc>
      </w:tr>
      <w:tr w:rsidR="009C6E2F" w14:paraId="2470C64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48" w14:textId="77777777" w:rsidR="009C6E2F" w:rsidRDefault="007972BE">
            <w:pPr>
              <w:textAlignment w:val="bottom"/>
            </w:pPr>
            <w:r>
              <w:rPr>
                <w:rFonts w:ascii="Arial" w:eastAsia="宋体" w:hAnsi="Arial" w:cs="Arial"/>
                <w:color w:val="000000"/>
                <w:sz w:val="17"/>
                <w:szCs w:val="17"/>
              </w:rPr>
              <w:t>Total derivatives formally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49"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64A" w14:textId="77777777" w:rsidR="009C6E2F" w:rsidRDefault="007972BE">
            <w:pPr>
              <w:jc w:val="right"/>
              <w:textAlignment w:val="bottom"/>
            </w:pPr>
            <w:r>
              <w:rPr>
                <w:rFonts w:ascii="Arial" w:eastAsia="宋体" w:hAnsi="Arial" w:cs="Arial"/>
                <w:color w:val="000000"/>
                <w:sz w:val="17"/>
                <w:szCs w:val="17"/>
              </w:rPr>
              <w:t>60 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64B"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4C"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64D" w14:textId="77777777" w:rsidR="009C6E2F" w:rsidRDefault="007972BE">
            <w:pPr>
              <w:jc w:val="right"/>
              <w:textAlignment w:val="bottom"/>
            </w:pPr>
            <w:r>
              <w:rPr>
                <w:rFonts w:ascii="Arial" w:eastAsia="宋体" w:hAnsi="Arial" w:cs="Arial"/>
                <w:color w:val="000000"/>
                <w:sz w:val="17"/>
                <w:szCs w:val="17"/>
              </w:rPr>
              <w:t>426 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64E" w14:textId="77777777" w:rsidR="009C6E2F" w:rsidRDefault="009C6E2F">
            <w:pPr>
              <w:jc w:val="right"/>
              <w:rPr>
                <w:rFonts w:ascii="宋体"/>
              </w:rPr>
            </w:pPr>
          </w:p>
        </w:tc>
      </w:tr>
      <w:tr w:rsidR="009C6E2F" w14:paraId="2470C65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50" w14:textId="77777777" w:rsidR="009C6E2F" w:rsidRDefault="007972BE">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51"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65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5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54" w14:textId="77777777" w:rsidR="009C6E2F" w:rsidRDefault="009C6E2F">
            <w:pPr>
              <w:rPr>
                <w:rFonts w:ascii="宋体"/>
              </w:rPr>
            </w:pPr>
          </w:p>
        </w:tc>
      </w:tr>
      <w:tr w:rsidR="009C6E2F" w14:paraId="2470C65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656"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657" w14:textId="77777777" w:rsidR="009C6E2F" w:rsidRDefault="007972BE">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58"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59"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65A"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5B" w14:textId="77777777" w:rsidR="009C6E2F" w:rsidRDefault="007972BE">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5C" w14:textId="77777777" w:rsidR="009C6E2F" w:rsidRDefault="009C6E2F">
            <w:pPr>
              <w:jc w:val="right"/>
              <w:rPr>
                <w:rFonts w:ascii="宋体"/>
              </w:rPr>
            </w:pPr>
          </w:p>
        </w:tc>
      </w:tr>
      <w:tr w:rsidR="009C6E2F" w14:paraId="2470C66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65E" w14:textId="77777777" w:rsidR="009C6E2F" w:rsidRDefault="007972BE">
            <w:pPr>
              <w:textAlignment w:val="bottom"/>
            </w:pPr>
            <w:r>
              <w:rPr>
                <w:rFonts w:ascii="Arial" w:eastAsia="宋体" w:hAnsi="Arial" w:cs="Arial"/>
                <w:color w:val="000000"/>
                <w:sz w:val="17"/>
                <w:szCs w:val="17"/>
              </w:rPr>
              <w:t>Embedded derivatives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65F" w14:textId="77777777" w:rsidR="009C6E2F" w:rsidRDefault="007972BE">
            <w:pPr>
              <w:jc w:val="right"/>
              <w:textAlignment w:val="bottom"/>
            </w:pPr>
            <w:r>
              <w:rPr>
                <w:rFonts w:ascii="Arial" w:eastAsia="宋体" w:hAnsi="Arial" w:cs="Arial"/>
                <w:color w:val="000000"/>
                <w:sz w:val="17"/>
                <w:szCs w:val="17"/>
              </w:rPr>
              <w:t>Accrued liabilities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60"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6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662"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63"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64" w14:textId="77777777" w:rsidR="009C6E2F" w:rsidRDefault="009C6E2F">
            <w:pPr>
              <w:jc w:val="right"/>
              <w:rPr>
                <w:rFonts w:ascii="宋体"/>
              </w:rPr>
            </w:pPr>
          </w:p>
        </w:tc>
      </w:tr>
      <w:tr w:rsidR="009C6E2F" w14:paraId="2470C66B" w14:textId="77777777">
        <w:trPr>
          <w:hidden/>
        </w:trPr>
        <w:tc>
          <w:tcPr>
            <w:tcW w:w="0" w:type="auto"/>
            <w:gridSpan w:val="3"/>
            <w:shd w:val="clear" w:color="auto" w:fill="auto"/>
            <w:vAlign w:val="bottom"/>
          </w:tcPr>
          <w:p w14:paraId="2470C666" w14:textId="77777777" w:rsidR="009C6E2F" w:rsidRDefault="009C6E2F">
            <w:pPr>
              <w:rPr>
                <w:rFonts w:ascii="宋体"/>
                <w:vanish/>
              </w:rPr>
            </w:pPr>
          </w:p>
        </w:tc>
        <w:tc>
          <w:tcPr>
            <w:tcW w:w="0" w:type="auto"/>
            <w:gridSpan w:val="3"/>
            <w:shd w:val="clear" w:color="auto" w:fill="auto"/>
            <w:vAlign w:val="bottom"/>
          </w:tcPr>
          <w:p w14:paraId="2470C667" w14:textId="77777777" w:rsidR="009C6E2F" w:rsidRDefault="009C6E2F">
            <w:pPr>
              <w:rPr>
                <w:rFonts w:ascii="宋体"/>
                <w:vanish/>
              </w:rPr>
            </w:pPr>
          </w:p>
        </w:tc>
        <w:tc>
          <w:tcPr>
            <w:tcW w:w="0" w:type="auto"/>
            <w:gridSpan w:val="3"/>
            <w:shd w:val="clear" w:color="auto" w:fill="auto"/>
            <w:vAlign w:val="bottom"/>
          </w:tcPr>
          <w:p w14:paraId="2470C668" w14:textId="77777777" w:rsidR="009C6E2F" w:rsidRDefault="009C6E2F">
            <w:pPr>
              <w:rPr>
                <w:rFonts w:ascii="宋体"/>
                <w:vanish/>
              </w:rPr>
            </w:pPr>
          </w:p>
        </w:tc>
        <w:tc>
          <w:tcPr>
            <w:tcW w:w="0" w:type="auto"/>
            <w:gridSpan w:val="3"/>
            <w:shd w:val="clear" w:color="auto" w:fill="auto"/>
            <w:vAlign w:val="bottom"/>
          </w:tcPr>
          <w:p w14:paraId="2470C669" w14:textId="77777777" w:rsidR="009C6E2F" w:rsidRDefault="009C6E2F">
            <w:pPr>
              <w:rPr>
                <w:rFonts w:ascii="宋体"/>
                <w:vanish/>
              </w:rPr>
            </w:pPr>
          </w:p>
        </w:tc>
        <w:tc>
          <w:tcPr>
            <w:tcW w:w="0" w:type="auto"/>
            <w:gridSpan w:val="3"/>
            <w:shd w:val="clear" w:color="auto" w:fill="auto"/>
            <w:vAlign w:val="bottom"/>
          </w:tcPr>
          <w:p w14:paraId="2470C66A" w14:textId="77777777" w:rsidR="009C6E2F" w:rsidRDefault="009C6E2F">
            <w:pPr>
              <w:rPr>
                <w:rFonts w:ascii="宋体"/>
                <w:vanish/>
              </w:rPr>
            </w:pPr>
          </w:p>
        </w:tc>
      </w:tr>
      <w:tr w:rsidR="009C6E2F" w14:paraId="2470C671" w14:textId="77777777">
        <w:trPr>
          <w:hidden/>
        </w:trPr>
        <w:tc>
          <w:tcPr>
            <w:tcW w:w="0" w:type="auto"/>
            <w:gridSpan w:val="3"/>
            <w:shd w:val="clear" w:color="auto" w:fill="auto"/>
            <w:vAlign w:val="bottom"/>
          </w:tcPr>
          <w:p w14:paraId="2470C66C" w14:textId="77777777" w:rsidR="009C6E2F" w:rsidRDefault="009C6E2F">
            <w:pPr>
              <w:rPr>
                <w:rFonts w:ascii="宋体"/>
                <w:vanish/>
              </w:rPr>
            </w:pPr>
          </w:p>
        </w:tc>
        <w:tc>
          <w:tcPr>
            <w:tcW w:w="0" w:type="auto"/>
            <w:gridSpan w:val="3"/>
            <w:shd w:val="clear" w:color="auto" w:fill="auto"/>
            <w:vAlign w:val="bottom"/>
          </w:tcPr>
          <w:p w14:paraId="2470C66D" w14:textId="77777777" w:rsidR="009C6E2F" w:rsidRDefault="009C6E2F">
            <w:pPr>
              <w:rPr>
                <w:rFonts w:ascii="宋体"/>
                <w:vanish/>
              </w:rPr>
            </w:pPr>
          </w:p>
        </w:tc>
        <w:tc>
          <w:tcPr>
            <w:tcW w:w="0" w:type="auto"/>
            <w:gridSpan w:val="3"/>
            <w:shd w:val="clear" w:color="auto" w:fill="auto"/>
            <w:vAlign w:val="bottom"/>
          </w:tcPr>
          <w:p w14:paraId="2470C66E" w14:textId="77777777" w:rsidR="009C6E2F" w:rsidRDefault="009C6E2F">
            <w:pPr>
              <w:rPr>
                <w:rFonts w:ascii="宋体"/>
                <w:vanish/>
              </w:rPr>
            </w:pPr>
          </w:p>
        </w:tc>
        <w:tc>
          <w:tcPr>
            <w:tcW w:w="0" w:type="auto"/>
            <w:gridSpan w:val="3"/>
            <w:shd w:val="clear" w:color="auto" w:fill="auto"/>
            <w:vAlign w:val="bottom"/>
          </w:tcPr>
          <w:p w14:paraId="2470C66F" w14:textId="77777777" w:rsidR="009C6E2F" w:rsidRDefault="009C6E2F">
            <w:pPr>
              <w:rPr>
                <w:rFonts w:ascii="宋体"/>
                <w:vanish/>
              </w:rPr>
            </w:pPr>
          </w:p>
        </w:tc>
        <w:tc>
          <w:tcPr>
            <w:tcW w:w="0" w:type="auto"/>
            <w:gridSpan w:val="3"/>
            <w:shd w:val="clear" w:color="auto" w:fill="auto"/>
            <w:vAlign w:val="bottom"/>
          </w:tcPr>
          <w:p w14:paraId="2470C670" w14:textId="77777777" w:rsidR="009C6E2F" w:rsidRDefault="009C6E2F">
            <w:pPr>
              <w:rPr>
                <w:rFonts w:ascii="宋体"/>
                <w:vanish/>
              </w:rPr>
            </w:pPr>
          </w:p>
        </w:tc>
      </w:tr>
      <w:tr w:rsidR="009C6E2F" w14:paraId="2470C67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72" w14:textId="77777777" w:rsidR="009C6E2F" w:rsidRDefault="007972BE">
            <w:pPr>
              <w:textAlignment w:val="bottom"/>
            </w:pPr>
            <w:r>
              <w:rPr>
                <w:rFonts w:ascii="Arial" w:eastAsia="宋体" w:hAnsi="Arial" w:cs="Arial"/>
                <w:color w:val="000000"/>
                <w:sz w:val="17"/>
                <w:szCs w:val="17"/>
              </w:rPr>
              <w:t>Total derivatives not designated as hedging instruments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73"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674" w14:textId="77777777" w:rsidR="009C6E2F" w:rsidRDefault="007972BE">
            <w:pPr>
              <w:jc w:val="right"/>
              <w:textAlignment w:val="bottom"/>
            </w:pPr>
            <w:r>
              <w:rPr>
                <w:rFonts w:ascii="Arial" w:eastAsia="宋体" w:hAnsi="Arial" w:cs="Arial"/>
                <w:color w:val="000000"/>
                <w:sz w:val="17"/>
                <w:szCs w:val="17"/>
              </w:rPr>
              <w:t>19 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675"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76"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677" w14:textId="77777777" w:rsidR="009C6E2F" w:rsidRDefault="007972BE">
            <w:pPr>
              <w:jc w:val="right"/>
              <w:textAlignment w:val="bottom"/>
            </w:pPr>
            <w:r>
              <w:rPr>
                <w:rFonts w:ascii="Arial" w:eastAsia="宋体" w:hAnsi="Arial" w:cs="Arial"/>
                <w:color w:val="000000"/>
                <w:sz w:val="17"/>
                <w:szCs w:val="17"/>
              </w:rPr>
              <w:t>31 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678" w14:textId="77777777" w:rsidR="009C6E2F" w:rsidRDefault="009C6E2F">
            <w:pPr>
              <w:jc w:val="right"/>
              <w:rPr>
                <w:rFonts w:ascii="宋体"/>
              </w:rPr>
            </w:pPr>
          </w:p>
        </w:tc>
      </w:tr>
      <w:tr w:rsidR="009C6E2F" w14:paraId="2470C68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67A" w14:textId="77777777" w:rsidR="009C6E2F" w:rsidRDefault="007972BE">
            <w:pPr>
              <w:textAlignment w:val="bottom"/>
            </w:pPr>
            <w:r>
              <w:rPr>
                <w:rFonts w:ascii="Arial" w:eastAsia="宋体" w:hAnsi="Arial" w:cs="Arial"/>
                <w:b/>
                <w:bCs/>
                <w:color w:val="000000"/>
                <w:sz w:val="17"/>
                <w:szCs w:val="17"/>
              </w:rPr>
              <w:t>TOTAL DERIVATIVE LIABILITIES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67B"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67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67D" w14:textId="77777777" w:rsidR="009C6E2F" w:rsidRDefault="007972BE">
            <w:pPr>
              <w:jc w:val="right"/>
              <w:textAlignment w:val="bottom"/>
            </w:pPr>
            <w:r>
              <w:rPr>
                <w:rFonts w:ascii="Arial" w:eastAsia="宋体" w:hAnsi="Arial" w:cs="Arial"/>
                <w:b/>
                <w:bCs/>
                <w:color w:val="000000"/>
                <w:sz w:val="17"/>
                <w:szCs w:val="17"/>
              </w:rPr>
              <w:t>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67E"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67F"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68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681" w14:textId="77777777" w:rsidR="009C6E2F" w:rsidRDefault="007972BE">
            <w:pPr>
              <w:jc w:val="right"/>
              <w:textAlignment w:val="bottom"/>
            </w:pPr>
            <w:r>
              <w:rPr>
                <w:rFonts w:ascii="Arial" w:eastAsia="宋体" w:hAnsi="Arial" w:cs="Arial"/>
                <w:b/>
                <w:bCs/>
                <w:color w:val="000000"/>
                <w:sz w:val="17"/>
                <w:szCs w:val="17"/>
              </w:rPr>
              <w:t>457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682" w14:textId="77777777" w:rsidR="009C6E2F" w:rsidRDefault="009C6E2F">
            <w:pPr>
              <w:jc w:val="right"/>
              <w:rPr>
                <w:rFonts w:ascii="宋体"/>
              </w:rPr>
            </w:pPr>
          </w:p>
        </w:tc>
      </w:tr>
    </w:tbl>
    <w:p w14:paraId="2470C684" w14:textId="77777777" w:rsidR="009C6E2F" w:rsidRDefault="007972BE">
      <w:pPr>
        <w:spacing w:before="120" w:after="120"/>
      </w:pPr>
      <w:r>
        <w:rPr>
          <w:rFonts w:ascii="Arial" w:eastAsia="宋体" w:hAnsi="Arial" w:cs="Arial"/>
          <w:color w:val="000000"/>
          <w:sz w:val="17"/>
          <w:szCs w:val="17"/>
        </w:rPr>
        <w:t xml:space="preserve">The following tables present the amounts in the Unaudited Condensed Consolidated Statements of Income in which the effects of cash flow hedges are recorded and the effects of cash flow hedge activity on these line items: </w:t>
      </w:r>
    </w:p>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9C6E2F" w14:paraId="2470C697" w14:textId="77777777">
        <w:tc>
          <w:tcPr>
            <w:tcW w:w="50" w:type="pct"/>
            <w:shd w:val="clear" w:color="auto" w:fill="auto"/>
            <w:vAlign w:val="bottom"/>
          </w:tcPr>
          <w:p w14:paraId="2470C685" w14:textId="77777777" w:rsidR="009C6E2F" w:rsidRDefault="009C6E2F">
            <w:pPr>
              <w:rPr>
                <w:rFonts w:ascii="宋体"/>
              </w:rPr>
            </w:pPr>
          </w:p>
        </w:tc>
        <w:tc>
          <w:tcPr>
            <w:tcW w:w="2398" w:type="pct"/>
            <w:shd w:val="clear" w:color="auto" w:fill="auto"/>
            <w:vAlign w:val="bottom"/>
          </w:tcPr>
          <w:p w14:paraId="2470C686" w14:textId="77777777" w:rsidR="009C6E2F" w:rsidRDefault="009C6E2F">
            <w:pPr>
              <w:rPr>
                <w:rFonts w:ascii="宋体"/>
              </w:rPr>
            </w:pPr>
          </w:p>
        </w:tc>
        <w:tc>
          <w:tcPr>
            <w:tcW w:w="5" w:type="pct"/>
            <w:shd w:val="clear" w:color="auto" w:fill="auto"/>
            <w:vAlign w:val="bottom"/>
          </w:tcPr>
          <w:p w14:paraId="2470C687" w14:textId="77777777" w:rsidR="009C6E2F" w:rsidRDefault="009C6E2F">
            <w:pPr>
              <w:rPr>
                <w:rFonts w:ascii="宋体"/>
              </w:rPr>
            </w:pPr>
          </w:p>
        </w:tc>
        <w:tc>
          <w:tcPr>
            <w:tcW w:w="50" w:type="pct"/>
            <w:shd w:val="clear" w:color="auto" w:fill="auto"/>
            <w:vAlign w:val="bottom"/>
          </w:tcPr>
          <w:p w14:paraId="2470C688" w14:textId="77777777" w:rsidR="009C6E2F" w:rsidRDefault="009C6E2F">
            <w:pPr>
              <w:rPr>
                <w:rFonts w:ascii="宋体"/>
              </w:rPr>
            </w:pPr>
          </w:p>
        </w:tc>
        <w:tc>
          <w:tcPr>
            <w:tcW w:w="571" w:type="pct"/>
            <w:shd w:val="clear" w:color="auto" w:fill="auto"/>
            <w:vAlign w:val="bottom"/>
          </w:tcPr>
          <w:p w14:paraId="2470C689" w14:textId="77777777" w:rsidR="009C6E2F" w:rsidRDefault="009C6E2F">
            <w:pPr>
              <w:rPr>
                <w:rFonts w:ascii="宋体"/>
              </w:rPr>
            </w:pPr>
          </w:p>
        </w:tc>
        <w:tc>
          <w:tcPr>
            <w:tcW w:w="5" w:type="pct"/>
            <w:shd w:val="clear" w:color="auto" w:fill="auto"/>
            <w:vAlign w:val="bottom"/>
          </w:tcPr>
          <w:p w14:paraId="2470C68A" w14:textId="77777777" w:rsidR="009C6E2F" w:rsidRDefault="009C6E2F">
            <w:pPr>
              <w:rPr>
                <w:rFonts w:ascii="宋体"/>
              </w:rPr>
            </w:pPr>
          </w:p>
        </w:tc>
        <w:tc>
          <w:tcPr>
            <w:tcW w:w="50" w:type="pct"/>
            <w:shd w:val="clear" w:color="auto" w:fill="auto"/>
            <w:vAlign w:val="bottom"/>
          </w:tcPr>
          <w:p w14:paraId="2470C68B" w14:textId="77777777" w:rsidR="009C6E2F" w:rsidRDefault="009C6E2F">
            <w:pPr>
              <w:rPr>
                <w:rFonts w:ascii="宋体"/>
              </w:rPr>
            </w:pPr>
          </w:p>
        </w:tc>
        <w:tc>
          <w:tcPr>
            <w:tcW w:w="571" w:type="pct"/>
            <w:shd w:val="clear" w:color="auto" w:fill="auto"/>
            <w:vAlign w:val="bottom"/>
          </w:tcPr>
          <w:p w14:paraId="2470C68C" w14:textId="77777777" w:rsidR="009C6E2F" w:rsidRDefault="009C6E2F">
            <w:pPr>
              <w:rPr>
                <w:rFonts w:ascii="宋体"/>
              </w:rPr>
            </w:pPr>
          </w:p>
        </w:tc>
        <w:tc>
          <w:tcPr>
            <w:tcW w:w="5" w:type="pct"/>
            <w:shd w:val="clear" w:color="auto" w:fill="auto"/>
            <w:vAlign w:val="bottom"/>
          </w:tcPr>
          <w:p w14:paraId="2470C68D" w14:textId="77777777" w:rsidR="009C6E2F" w:rsidRDefault="009C6E2F">
            <w:pPr>
              <w:rPr>
                <w:rFonts w:ascii="宋体"/>
              </w:rPr>
            </w:pPr>
          </w:p>
        </w:tc>
        <w:tc>
          <w:tcPr>
            <w:tcW w:w="5" w:type="pct"/>
            <w:shd w:val="clear" w:color="auto" w:fill="auto"/>
            <w:vAlign w:val="bottom"/>
          </w:tcPr>
          <w:p w14:paraId="2470C68E" w14:textId="77777777" w:rsidR="009C6E2F" w:rsidRDefault="009C6E2F">
            <w:pPr>
              <w:rPr>
                <w:rFonts w:ascii="宋体"/>
              </w:rPr>
            </w:pPr>
          </w:p>
        </w:tc>
        <w:tc>
          <w:tcPr>
            <w:tcW w:w="28" w:type="pct"/>
            <w:shd w:val="clear" w:color="auto" w:fill="auto"/>
            <w:vAlign w:val="bottom"/>
          </w:tcPr>
          <w:p w14:paraId="2470C68F" w14:textId="77777777" w:rsidR="009C6E2F" w:rsidRDefault="009C6E2F">
            <w:pPr>
              <w:rPr>
                <w:rFonts w:ascii="宋体"/>
              </w:rPr>
            </w:pPr>
          </w:p>
        </w:tc>
        <w:tc>
          <w:tcPr>
            <w:tcW w:w="5" w:type="pct"/>
            <w:shd w:val="clear" w:color="auto" w:fill="auto"/>
            <w:vAlign w:val="bottom"/>
          </w:tcPr>
          <w:p w14:paraId="2470C690" w14:textId="77777777" w:rsidR="009C6E2F" w:rsidRDefault="009C6E2F">
            <w:pPr>
              <w:rPr>
                <w:rFonts w:ascii="宋体"/>
              </w:rPr>
            </w:pPr>
          </w:p>
        </w:tc>
        <w:tc>
          <w:tcPr>
            <w:tcW w:w="50" w:type="pct"/>
            <w:shd w:val="clear" w:color="auto" w:fill="auto"/>
            <w:vAlign w:val="bottom"/>
          </w:tcPr>
          <w:p w14:paraId="2470C691" w14:textId="77777777" w:rsidR="009C6E2F" w:rsidRDefault="009C6E2F">
            <w:pPr>
              <w:rPr>
                <w:rFonts w:ascii="宋体"/>
              </w:rPr>
            </w:pPr>
          </w:p>
        </w:tc>
        <w:tc>
          <w:tcPr>
            <w:tcW w:w="571" w:type="pct"/>
            <w:shd w:val="clear" w:color="auto" w:fill="auto"/>
            <w:vAlign w:val="bottom"/>
          </w:tcPr>
          <w:p w14:paraId="2470C692" w14:textId="77777777" w:rsidR="009C6E2F" w:rsidRDefault="009C6E2F">
            <w:pPr>
              <w:rPr>
                <w:rFonts w:ascii="宋体"/>
              </w:rPr>
            </w:pPr>
          </w:p>
        </w:tc>
        <w:tc>
          <w:tcPr>
            <w:tcW w:w="5" w:type="pct"/>
            <w:shd w:val="clear" w:color="auto" w:fill="auto"/>
            <w:vAlign w:val="bottom"/>
          </w:tcPr>
          <w:p w14:paraId="2470C693" w14:textId="77777777" w:rsidR="009C6E2F" w:rsidRDefault="009C6E2F">
            <w:pPr>
              <w:rPr>
                <w:rFonts w:ascii="宋体"/>
              </w:rPr>
            </w:pPr>
          </w:p>
        </w:tc>
        <w:tc>
          <w:tcPr>
            <w:tcW w:w="50" w:type="pct"/>
            <w:shd w:val="clear" w:color="auto" w:fill="auto"/>
            <w:vAlign w:val="bottom"/>
          </w:tcPr>
          <w:p w14:paraId="2470C694" w14:textId="77777777" w:rsidR="009C6E2F" w:rsidRDefault="009C6E2F">
            <w:pPr>
              <w:rPr>
                <w:rFonts w:ascii="宋体"/>
              </w:rPr>
            </w:pPr>
          </w:p>
        </w:tc>
        <w:tc>
          <w:tcPr>
            <w:tcW w:w="572" w:type="pct"/>
            <w:shd w:val="clear" w:color="auto" w:fill="auto"/>
            <w:vAlign w:val="bottom"/>
          </w:tcPr>
          <w:p w14:paraId="2470C695" w14:textId="77777777" w:rsidR="009C6E2F" w:rsidRDefault="009C6E2F">
            <w:pPr>
              <w:rPr>
                <w:rFonts w:ascii="宋体"/>
              </w:rPr>
            </w:pPr>
          </w:p>
        </w:tc>
        <w:tc>
          <w:tcPr>
            <w:tcW w:w="5" w:type="pct"/>
            <w:shd w:val="clear" w:color="auto" w:fill="auto"/>
            <w:vAlign w:val="bottom"/>
          </w:tcPr>
          <w:p w14:paraId="2470C696" w14:textId="77777777" w:rsidR="009C6E2F" w:rsidRDefault="009C6E2F">
            <w:pPr>
              <w:rPr>
                <w:rFonts w:ascii="宋体"/>
              </w:rPr>
            </w:pPr>
          </w:p>
        </w:tc>
      </w:tr>
      <w:tr w:rsidR="009C6E2F" w14:paraId="2470C69A" w14:textId="77777777">
        <w:tc>
          <w:tcPr>
            <w:tcW w:w="0" w:type="auto"/>
            <w:gridSpan w:val="3"/>
            <w:shd w:val="clear" w:color="auto" w:fill="auto"/>
            <w:tcMar>
              <w:top w:w="0" w:type="dxa"/>
              <w:left w:w="20" w:type="dxa"/>
              <w:bottom w:w="0" w:type="dxa"/>
              <w:right w:w="20" w:type="dxa"/>
            </w:tcMar>
            <w:vAlign w:val="bottom"/>
          </w:tcPr>
          <w:p w14:paraId="2470C698"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C699" w14:textId="77777777" w:rsidR="009C6E2F" w:rsidRDefault="007972BE">
            <w:pPr>
              <w:jc w:val="center"/>
              <w:textAlignment w:val="bottom"/>
            </w:pPr>
            <w:r>
              <w:rPr>
                <w:rFonts w:ascii="sans-serif" w:eastAsia="sans-serif" w:hAnsi="sans-serif" w:cs="sans-serif"/>
                <w:b/>
                <w:bCs/>
                <w:color w:val="000000"/>
                <w:sz w:val="17"/>
                <w:szCs w:val="17"/>
              </w:rPr>
              <w:t xml:space="preserve">THREE </w:t>
            </w:r>
            <w:r>
              <w:rPr>
                <w:rFonts w:ascii="sans-serif" w:eastAsia="sans-serif" w:hAnsi="sans-serif" w:cs="sans-serif"/>
                <w:b/>
                <w:bCs/>
                <w:color w:val="000000"/>
                <w:sz w:val="17"/>
                <w:szCs w:val="17"/>
              </w:rPr>
              <w:t>MONTHS ENDED NOVEMBER 30,</w:t>
            </w:r>
          </w:p>
        </w:tc>
      </w:tr>
      <w:tr w:rsidR="009C6E2F" w14:paraId="2470C69F" w14:textId="77777777">
        <w:tc>
          <w:tcPr>
            <w:tcW w:w="0" w:type="auto"/>
            <w:gridSpan w:val="3"/>
            <w:shd w:val="clear" w:color="auto" w:fill="auto"/>
            <w:tcMar>
              <w:top w:w="0" w:type="dxa"/>
              <w:left w:w="20" w:type="dxa"/>
              <w:bottom w:w="0" w:type="dxa"/>
              <w:right w:w="20" w:type="dxa"/>
            </w:tcMar>
            <w:vAlign w:val="bottom"/>
          </w:tcPr>
          <w:p w14:paraId="2470C69B"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69C"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9D"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69E"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C6A6" w14:textId="77777777">
        <w:tc>
          <w:tcPr>
            <w:tcW w:w="0" w:type="auto"/>
            <w:gridSpan w:val="3"/>
            <w:shd w:val="clear" w:color="auto" w:fill="auto"/>
            <w:tcMar>
              <w:top w:w="40" w:type="dxa"/>
              <w:left w:w="20" w:type="dxa"/>
              <w:bottom w:w="40" w:type="dxa"/>
              <w:right w:w="20" w:type="dxa"/>
            </w:tcMar>
            <w:vAlign w:val="bottom"/>
          </w:tcPr>
          <w:p w14:paraId="2470C6A0"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A1" w14:textId="77777777" w:rsidR="009C6E2F" w:rsidRDefault="007972BE">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A2" w14:textId="77777777" w:rsidR="009C6E2F" w:rsidRDefault="007972BE">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2470C6A3"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A4" w14:textId="77777777" w:rsidR="009C6E2F" w:rsidRDefault="007972BE">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A5" w14:textId="77777777" w:rsidR="009C6E2F" w:rsidRDefault="007972BE">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9C6E2F" w14:paraId="2470C6B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6A7" w14:textId="77777777" w:rsidR="009C6E2F" w:rsidRDefault="007972BE">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6A8"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6A9" w14:textId="77777777" w:rsidR="009C6E2F" w:rsidRDefault="007972BE">
            <w:pPr>
              <w:jc w:val="right"/>
              <w:textAlignment w:val="bottom"/>
            </w:pPr>
            <w:r>
              <w:rPr>
                <w:rFonts w:ascii="Arial" w:eastAsia="宋体" w:hAnsi="Arial" w:cs="Arial"/>
                <w:color w:val="000000"/>
                <w:sz w:val="17"/>
                <w:szCs w:val="17"/>
              </w:rPr>
              <w:t>11,357 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6AA"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6AB"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6AC" w14:textId="77777777" w:rsidR="009C6E2F" w:rsidRDefault="007972BE">
            <w:pPr>
              <w:jc w:val="right"/>
              <w:textAlignment w:val="bottom"/>
            </w:pPr>
            <w:r>
              <w:rPr>
                <w:rFonts w:ascii="Arial" w:eastAsia="宋体" w:hAnsi="Arial" w:cs="Arial"/>
                <w:color w:val="000000"/>
                <w:sz w:val="17"/>
                <w:szCs w:val="17"/>
              </w:rPr>
              <w:t>(20)</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6AD"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AE"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6AF"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6B0" w14:textId="77777777" w:rsidR="009C6E2F" w:rsidRDefault="007972BE">
            <w:pPr>
              <w:jc w:val="right"/>
              <w:textAlignment w:val="bottom"/>
            </w:pPr>
            <w:r>
              <w:rPr>
                <w:rFonts w:ascii="Arial" w:eastAsia="宋体" w:hAnsi="Arial" w:cs="Arial"/>
                <w:color w:val="000000"/>
                <w:sz w:val="17"/>
                <w:szCs w:val="17"/>
              </w:rPr>
              <w:t>11,243 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6B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6B2"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6B3"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6B4" w14:textId="77777777" w:rsidR="009C6E2F" w:rsidRDefault="009C6E2F">
            <w:pPr>
              <w:jc w:val="right"/>
              <w:rPr>
                <w:rFonts w:ascii="宋体"/>
              </w:rPr>
            </w:pPr>
          </w:p>
        </w:tc>
      </w:tr>
      <w:tr w:rsidR="009C6E2F" w14:paraId="2470C6C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6B6" w14:textId="77777777" w:rsidR="009C6E2F" w:rsidRDefault="007972BE">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B7" w14:textId="77777777" w:rsidR="009C6E2F" w:rsidRDefault="007972BE">
            <w:pPr>
              <w:jc w:val="right"/>
              <w:textAlignment w:val="bottom"/>
            </w:pPr>
            <w:r>
              <w:rPr>
                <w:rFonts w:ascii="Arial" w:eastAsia="宋体" w:hAnsi="Arial" w:cs="Arial"/>
                <w:color w:val="000000"/>
                <w:sz w:val="17"/>
                <w:szCs w:val="17"/>
              </w:rPr>
              <w:t>6,144 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B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B9" w14:textId="77777777" w:rsidR="009C6E2F" w:rsidRDefault="007972BE">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B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6B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BC" w14:textId="77777777" w:rsidR="009C6E2F" w:rsidRDefault="007972BE">
            <w:pPr>
              <w:jc w:val="right"/>
              <w:textAlignment w:val="bottom"/>
            </w:pPr>
            <w:r>
              <w:rPr>
                <w:rFonts w:ascii="Arial" w:eastAsia="宋体" w:hAnsi="Arial" w:cs="Arial"/>
                <w:color w:val="000000"/>
                <w:sz w:val="17"/>
                <w:szCs w:val="17"/>
              </w:rPr>
              <w:t>6,396 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B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BE" w14:textId="77777777" w:rsidR="009C6E2F" w:rsidRDefault="007972BE">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BF" w14:textId="77777777" w:rsidR="009C6E2F" w:rsidRDefault="009C6E2F">
            <w:pPr>
              <w:jc w:val="right"/>
              <w:rPr>
                <w:rFonts w:ascii="宋体"/>
              </w:rPr>
            </w:pPr>
          </w:p>
        </w:tc>
      </w:tr>
      <w:tr w:rsidR="009C6E2F" w14:paraId="2470C6C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6C1" w14:textId="77777777" w:rsidR="009C6E2F" w:rsidRDefault="007972BE">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C2" w14:textId="77777777" w:rsidR="009C6E2F" w:rsidRDefault="007972BE">
            <w:pPr>
              <w:jc w:val="right"/>
              <w:textAlignment w:val="bottom"/>
            </w:pPr>
            <w:r>
              <w:rPr>
                <w:rFonts w:ascii="Arial" w:eastAsia="宋体" w:hAnsi="Arial" w:cs="Arial"/>
                <w:color w:val="000000"/>
                <w:sz w:val="17"/>
                <w:szCs w:val="17"/>
              </w:rPr>
              <w:t>1,017 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C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C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C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6C6"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C7" w14:textId="77777777" w:rsidR="009C6E2F" w:rsidRDefault="007972BE">
            <w:pPr>
              <w:jc w:val="right"/>
              <w:textAlignment w:val="bottom"/>
            </w:pPr>
            <w:r>
              <w:rPr>
                <w:rFonts w:ascii="Arial" w:eastAsia="宋体" w:hAnsi="Arial" w:cs="Arial"/>
                <w:color w:val="000000"/>
                <w:sz w:val="17"/>
                <w:szCs w:val="17"/>
              </w:rPr>
              <w:t>729 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C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C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CA" w14:textId="77777777" w:rsidR="009C6E2F" w:rsidRDefault="009C6E2F">
            <w:pPr>
              <w:jc w:val="right"/>
              <w:rPr>
                <w:rFonts w:ascii="宋体"/>
              </w:rPr>
            </w:pPr>
          </w:p>
        </w:tc>
      </w:tr>
      <w:tr w:rsidR="009C6E2F" w14:paraId="2470C6D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6CC" w14:textId="77777777" w:rsidR="009C6E2F" w:rsidRDefault="007972BE">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CD" w14:textId="77777777" w:rsidR="009C6E2F" w:rsidRDefault="007972BE">
            <w:pPr>
              <w:jc w:val="right"/>
              <w:textAlignment w:val="bottom"/>
            </w:pPr>
            <w:r>
              <w:rPr>
                <w:rFonts w:ascii="Arial" w:eastAsia="宋体" w:hAnsi="Arial" w:cs="Arial"/>
                <w:color w:val="000000"/>
                <w:sz w:val="17"/>
                <w:szCs w:val="17"/>
              </w:rPr>
              <w:t>(102)</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CE"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6CF" w14:textId="77777777" w:rsidR="009C6E2F" w:rsidRDefault="007972BE">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6D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6D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D2"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D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6D4" w14:textId="77777777" w:rsidR="009C6E2F" w:rsidRDefault="007972BE">
            <w:pPr>
              <w:jc w:val="right"/>
              <w:textAlignment w:val="bottom"/>
            </w:pPr>
            <w:r>
              <w:rPr>
                <w:rFonts w:ascii="Arial" w:eastAsia="宋体" w:hAnsi="Arial" w:cs="Arial"/>
                <w:color w:val="000000"/>
                <w:sz w:val="17"/>
                <w:szCs w:val="17"/>
              </w:rPr>
              <w:t>(13)</w:t>
            </w:r>
          </w:p>
        </w:tc>
        <w:tc>
          <w:tcPr>
            <w:tcW w:w="0" w:type="auto"/>
            <w:tcBorders>
              <w:top w:val="single" w:sz="4" w:space="0" w:color="808080"/>
            </w:tcBorders>
            <w:shd w:val="clear" w:color="auto" w:fill="auto"/>
            <w:tcMar>
              <w:top w:w="40" w:type="dxa"/>
              <w:left w:w="0" w:type="dxa"/>
              <w:bottom w:w="40" w:type="dxa"/>
              <w:right w:w="20" w:type="dxa"/>
            </w:tcMar>
            <w:vAlign w:val="bottom"/>
          </w:tcPr>
          <w:p w14:paraId="2470C6D5" w14:textId="77777777" w:rsidR="009C6E2F" w:rsidRDefault="009C6E2F">
            <w:pPr>
              <w:jc w:val="right"/>
              <w:rPr>
                <w:rFonts w:ascii="宋体"/>
              </w:rPr>
            </w:pPr>
          </w:p>
        </w:tc>
      </w:tr>
      <w:tr w:rsidR="009C6E2F" w14:paraId="2470C6E1"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C6D7" w14:textId="77777777" w:rsidR="009C6E2F" w:rsidRDefault="007972BE">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6D8"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6D9"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6DA"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6DB" w14:textId="77777777" w:rsidR="009C6E2F" w:rsidRDefault="009C6E2F">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C6DC" w14:textId="77777777" w:rsidR="009C6E2F" w:rsidRDefault="009C6E2F">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6DD" w14:textId="77777777" w:rsidR="009C6E2F" w:rsidRDefault="007972BE">
            <w:pPr>
              <w:jc w:val="right"/>
              <w:textAlignment w:val="bottom"/>
            </w:pPr>
            <w:r>
              <w:rPr>
                <w:rFonts w:ascii="Arial" w:eastAsia="宋体" w:hAnsi="Arial" w:cs="Arial"/>
                <w:color w:val="000000"/>
                <w:sz w:val="17"/>
                <w:szCs w:val="17"/>
              </w:rPr>
              <w:t>70 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6DE"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6DF"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6E0" w14:textId="77777777" w:rsidR="009C6E2F" w:rsidRDefault="009C6E2F">
            <w:pPr>
              <w:jc w:val="right"/>
              <w:rPr>
                <w:rFonts w:ascii="宋体"/>
              </w:rPr>
            </w:pPr>
          </w:p>
        </w:tc>
      </w:tr>
    </w:tbl>
    <w:p w14:paraId="2470C6E2" w14:textId="77777777" w:rsidR="009C6E2F" w:rsidRDefault="007972BE">
      <w:pPr>
        <w:spacing w:before="120" w:after="120"/>
        <w:jc w:val="right"/>
      </w:pPr>
      <w:r>
        <w:rPr>
          <w:rFonts w:ascii="Arial" w:eastAsia="宋体" w:hAnsi="Arial" w:cs="Arial"/>
          <w:color w:val="E87722"/>
          <w:sz w:val="17"/>
          <w:szCs w:val="17"/>
        </w:rPr>
        <w:t>13</w:t>
      </w:r>
    </w:p>
    <w:p w14:paraId="2470C6E3" w14:textId="77777777" w:rsidR="009C6E2F" w:rsidRDefault="007972BE">
      <w:r>
        <w:pict w14:anchorId="2470E1F2">
          <v:rect id="_x0000_i1039" style="width:415.3pt;height:1.5pt" o:hralign="center" o:hrstd="t" o:hr="t" fillcolor="#a0a0a0" stroked="f"/>
        </w:pict>
      </w:r>
    </w:p>
    <w:p w14:paraId="2470C6E4" w14:textId="77777777" w:rsidR="009C6E2F" w:rsidRDefault="009C6E2F"/>
    <w:p w14:paraId="2470C6E5" w14:textId="77777777" w:rsidR="009C6E2F" w:rsidRDefault="007972BE">
      <w:hyperlink r:id="rId82" w:anchor="i9e023a7388204bdbacd6aa338988f838_7" w:history="1">
        <w:r>
          <w:rPr>
            <w:rStyle w:val="a5"/>
            <w:rFonts w:ascii="sans-serif" w:eastAsia="sans-serif" w:hAnsi="sans-serif" w:cs="sans-serif"/>
            <w:sz w:val="17"/>
            <w:szCs w:val="17"/>
          </w:rPr>
          <w:t>Table of Contents</w:t>
        </w:r>
      </w:hyperlink>
    </w:p>
    <w:p w14:paraId="2470C6E6" w14:textId="77777777" w:rsidR="009C6E2F" w:rsidRDefault="009C6E2F"/>
    <w:tbl>
      <w:tblPr>
        <w:tblW w:w="4985" w:type="pct"/>
        <w:tblCellMar>
          <w:top w:w="15" w:type="dxa"/>
          <w:left w:w="15" w:type="dxa"/>
          <w:bottom w:w="15" w:type="dxa"/>
          <w:right w:w="15" w:type="dxa"/>
        </w:tblCellMar>
        <w:tblLook w:val="04A0" w:firstRow="1" w:lastRow="0" w:firstColumn="1" w:lastColumn="0" w:noHBand="0" w:noVBand="1"/>
      </w:tblPr>
      <w:tblGrid>
        <w:gridCol w:w="38"/>
        <w:gridCol w:w="3942"/>
        <w:gridCol w:w="37"/>
        <w:gridCol w:w="115"/>
        <w:gridCol w:w="903"/>
        <w:gridCol w:w="36"/>
        <w:gridCol w:w="116"/>
        <w:gridCol w:w="903"/>
        <w:gridCol w:w="36"/>
        <w:gridCol w:w="36"/>
        <w:gridCol w:w="36"/>
        <w:gridCol w:w="36"/>
        <w:gridCol w:w="115"/>
        <w:gridCol w:w="868"/>
        <w:gridCol w:w="36"/>
        <w:gridCol w:w="116"/>
        <w:gridCol w:w="906"/>
        <w:gridCol w:w="36"/>
      </w:tblGrid>
      <w:tr w:rsidR="009C6E2F" w14:paraId="2470C6F9" w14:textId="77777777">
        <w:tc>
          <w:tcPr>
            <w:tcW w:w="50" w:type="pct"/>
            <w:shd w:val="clear" w:color="auto" w:fill="auto"/>
            <w:vAlign w:val="bottom"/>
          </w:tcPr>
          <w:p w14:paraId="2470C6E7" w14:textId="77777777" w:rsidR="009C6E2F" w:rsidRDefault="009C6E2F">
            <w:pPr>
              <w:rPr>
                <w:rFonts w:ascii="宋体"/>
              </w:rPr>
            </w:pPr>
          </w:p>
        </w:tc>
        <w:tc>
          <w:tcPr>
            <w:tcW w:w="2398" w:type="pct"/>
            <w:shd w:val="clear" w:color="auto" w:fill="auto"/>
            <w:vAlign w:val="bottom"/>
          </w:tcPr>
          <w:p w14:paraId="2470C6E8" w14:textId="77777777" w:rsidR="009C6E2F" w:rsidRDefault="009C6E2F">
            <w:pPr>
              <w:rPr>
                <w:rFonts w:ascii="宋体"/>
              </w:rPr>
            </w:pPr>
          </w:p>
        </w:tc>
        <w:tc>
          <w:tcPr>
            <w:tcW w:w="5" w:type="pct"/>
            <w:shd w:val="clear" w:color="auto" w:fill="auto"/>
            <w:vAlign w:val="bottom"/>
          </w:tcPr>
          <w:p w14:paraId="2470C6E9" w14:textId="77777777" w:rsidR="009C6E2F" w:rsidRDefault="009C6E2F">
            <w:pPr>
              <w:rPr>
                <w:rFonts w:ascii="宋体"/>
              </w:rPr>
            </w:pPr>
          </w:p>
        </w:tc>
        <w:tc>
          <w:tcPr>
            <w:tcW w:w="50" w:type="pct"/>
            <w:shd w:val="clear" w:color="auto" w:fill="auto"/>
            <w:vAlign w:val="bottom"/>
          </w:tcPr>
          <w:p w14:paraId="2470C6EA" w14:textId="77777777" w:rsidR="009C6E2F" w:rsidRDefault="009C6E2F">
            <w:pPr>
              <w:rPr>
                <w:rFonts w:ascii="宋体"/>
              </w:rPr>
            </w:pPr>
          </w:p>
        </w:tc>
        <w:tc>
          <w:tcPr>
            <w:tcW w:w="571" w:type="pct"/>
            <w:shd w:val="clear" w:color="auto" w:fill="auto"/>
            <w:vAlign w:val="bottom"/>
          </w:tcPr>
          <w:p w14:paraId="2470C6EB" w14:textId="77777777" w:rsidR="009C6E2F" w:rsidRDefault="009C6E2F">
            <w:pPr>
              <w:rPr>
                <w:rFonts w:ascii="宋体"/>
              </w:rPr>
            </w:pPr>
          </w:p>
        </w:tc>
        <w:tc>
          <w:tcPr>
            <w:tcW w:w="5" w:type="pct"/>
            <w:shd w:val="clear" w:color="auto" w:fill="auto"/>
            <w:vAlign w:val="bottom"/>
          </w:tcPr>
          <w:p w14:paraId="2470C6EC" w14:textId="77777777" w:rsidR="009C6E2F" w:rsidRDefault="009C6E2F">
            <w:pPr>
              <w:rPr>
                <w:rFonts w:ascii="宋体"/>
              </w:rPr>
            </w:pPr>
          </w:p>
        </w:tc>
        <w:tc>
          <w:tcPr>
            <w:tcW w:w="50" w:type="pct"/>
            <w:shd w:val="clear" w:color="auto" w:fill="auto"/>
            <w:vAlign w:val="bottom"/>
          </w:tcPr>
          <w:p w14:paraId="2470C6ED" w14:textId="77777777" w:rsidR="009C6E2F" w:rsidRDefault="009C6E2F">
            <w:pPr>
              <w:rPr>
                <w:rFonts w:ascii="宋体"/>
              </w:rPr>
            </w:pPr>
          </w:p>
        </w:tc>
        <w:tc>
          <w:tcPr>
            <w:tcW w:w="571" w:type="pct"/>
            <w:shd w:val="clear" w:color="auto" w:fill="auto"/>
            <w:vAlign w:val="bottom"/>
          </w:tcPr>
          <w:p w14:paraId="2470C6EE" w14:textId="77777777" w:rsidR="009C6E2F" w:rsidRDefault="009C6E2F">
            <w:pPr>
              <w:rPr>
                <w:rFonts w:ascii="宋体"/>
              </w:rPr>
            </w:pPr>
          </w:p>
        </w:tc>
        <w:tc>
          <w:tcPr>
            <w:tcW w:w="5" w:type="pct"/>
            <w:shd w:val="clear" w:color="auto" w:fill="auto"/>
            <w:vAlign w:val="bottom"/>
          </w:tcPr>
          <w:p w14:paraId="2470C6EF" w14:textId="77777777" w:rsidR="009C6E2F" w:rsidRDefault="009C6E2F">
            <w:pPr>
              <w:rPr>
                <w:rFonts w:ascii="宋体"/>
              </w:rPr>
            </w:pPr>
          </w:p>
        </w:tc>
        <w:tc>
          <w:tcPr>
            <w:tcW w:w="5" w:type="pct"/>
            <w:shd w:val="clear" w:color="auto" w:fill="auto"/>
            <w:vAlign w:val="bottom"/>
          </w:tcPr>
          <w:p w14:paraId="2470C6F0" w14:textId="77777777" w:rsidR="009C6E2F" w:rsidRDefault="009C6E2F">
            <w:pPr>
              <w:rPr>
                <w:rFonts w:ascii="宋体"/>
              </w:rPr>
            </w:pPr>
          </w:p>
        </w:tc>
        <w:tc>
          <w:tcPr>
            <w:tcW w:w="28" w:type="pct"/>
            <w:shd w:val="clear" w:color="auto" w:fill="auto"/>
            <w:vAlign w:val="bottom"/>
          </w:tcPr>
          <w:p w14:paraId="2470C6F1" w14:textId="77777777" w:rsidR="009C6E2F" w:rsidRDefault="009C6E2F">
            <w:pPr>
              <w:rPr>
                <w:rFonts w:ascii="宋体"/>
              </w:rPr>
            </w:pPr>
          </w:p>
        </w:tc>
        <w:tc>
          <w:tcPr>
            <w:tcW w:w="5" w:type="pct"/>
            <w:shd w:val="clear" w:color="auto" w:fill="auto"/>
            <w:vAlign w:val="bottom"/>
          </w:tcPr>
          <w:p w14:paraId="2470C6F2" w14:textId="77777777" w:rsidR="009C6E2F" w:rsidRDefault="009C6E2F">
            <w:pPr>
              <w:rPr>
                <w:rFonts w:ascii="宋体"/>
              </w:rPr>
            </w:pPr>
          </w:p>
        </w:tc>
        <w:tc>
          <w:tcPr>
            <w:tcW w:w="50" w:type="pct"/>
            <w:shd w:val="clear" w:color="auto" w:fill="auto"/>
            <w:vAlign w:val="bottom"/>
          </w:tcPr>
          <w:p w14:paraId="2470C6F3" w14:textId="77777777" w:rsidR="009C6E2F" w:rsidRDefault="009C6E2F">
            <w:pPr>
              <w:rPr>
                <w:rFonts w:ascii="宋体"/>
              </w:rPr>
            </w:pPr>
          </w:p>
        </w:tc>
        <w:tc>
          <w:tcPr>
            <w:tcW w:w="571" w:type="pct"/>
            <w:shd w:val="clear" w:color="auto" w:fill="auto"/>
            <w:vAlign w:val="bottom"/>
          </w:tcPr>
          <w:p w14:paraId="2470C6F4" w14:textId="77777777" w:rsidR="009C6E2F" w:rsidRDefault="009C6E2F">
            <w:pPr>
              <w:rPr>
                <w:rFonts w:ascii="宋体"/>
              </w:rPr>
            </w:pPr>
          </w:p>
        </w:tc>
        <w:tc>
          <w:tcPr>
            <w:tcW w:w="5" w:type="pct"/>
            <w:shd w:val="clear" w:color="auto" w:fill="auto"/>
            <w:vAlign w:val="bottom"/>
          </w:tcPr>
          <w:p w14:paraId="2470C6F5" w14:textId="77777777" w:rsidR="009C6E2F" w:rsidRDefault="009C6E2F">
            <w:pPr>
              <w:rPr>
                <w:rFonts w:ascii="宋体"/>
              </w:rPr>
            </w:pPr>
          </w:p>
        </w:tc>
        <w:tc>
          <w:tcPr>
            <w:tcW w:w="50" w:type="pct"/>
            <w:shd w:val="clear" w:color="auto" w:fill="auto"/>
            <w:vAlign w:val="bottom"/>
          </w:tcPr>
          <w:p w14:paraId="2470C6F6" w14:textId="77777777" w:rsidR="009C6E2F" w:rsidRDefault="009C6E2F">
            <w:pPr>
              <w:rPr>
                <w:rFonts w:ascii="宋体"/>
              </w:rPr>
            </w:pPr>
          </w:p>
        </w:tc>
        <w:tc>
          <w:tcPr>
            <w:tcW w:w="572" w:type="pct"/>
            <w:shd w:val="clear" w:color="auto" w:fill="auto"/>
            <w:vAlign w:val="bottom"/>
          </w:tcPr>
          <w:p w14:paraId="2470C6F7" w14:textId="77777777" w:rsidR="009C6E2F" w:rsidRDefault="009C6E2F">
            <w:pPr>
              <w:rPr>
                <w:rFonts w:ascii="宋体"/>
              </w:rPr>
            </w:pPr>
          </w:p>
        </w:tc>
        <w:tc>
          <w:tcPr>
            <w:tcW w:w="5" w:type="pct"/>
            <w:shd w:val="clear" w:color="auto" w:fill="auto"/>
            <w:vAlign w:val="bottom"/>
          </w:tcPr>
          <w:p w14:paraId="2470C6F8" w14:textId="77777777" w:rsidR="009C6E2F" w:rsidRDefault="009C6E2F">
            <w:pPr>
              <w:rPr>
                <w:rFonts w:ascii="宋体"/>
              </w:rPr>
            </w:pPr>
          </w:p>
        </w:tc>
      </w:tr>
      <w:tr w:rsidR="009C6E2F" w14:paraId="2470C6FC" w14:textId="77777777">
        <w:tc>
          <w:tcPr>
            <w:tcW w:w="0" w:type="auto"/>
            <w:gridSpan w:val="3"/>
            <w:shd w:val="clear" w:color="auto" w:fill="auto"/>
            <w:tcMar>
              <w:top w:w="0" w:type="dxa"/>
              <w:left w:w="20" w:type="dxa"/>
              <w:bottom w:w="0" w:type="dxa"/>
              <w:right w:w="20" w:type="dxa"/>
            </w:tcMar>
            <w:vAlign w:val="bottom"/>
          </w:tcPr>
          <w:p w14:paraId="2470C6FA"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C6FB"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C701" w14:textId="77777777">
        <w:tc>
          <w:tcPr>
            <w:tcW w:w="0" w:type="auto"/>
            <w:gridSpan w:val="3"/>
            <w:shd w:val="clear" w:color="auto" w:fill="auto"/>
            <w:tcMar>
              <w:top w:w="0" w:type="dxa"/>
              <w:left w:w="20" w:type="dxa"/>
              <w:bottom w:w="0" w:type="dxa"/>
              <w:right w:w="20" w:type="dxa"/>
            </w:tcMar>
            <w:vAlign w:val="bottom"/>
          </w:tcPr>
          <w:p w14:paraId="2470C6FD"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6FE"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6FF"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700"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C708" w14:textId="77777777">
        <w:tc>
          <w:tcPr>
            <w:tcW w:w="0" w:type="auto"/>
            <w:gridSpan w:val="3"/>
            <w:shd w:val="clear" w:color="auto" w:fill="auto"/>
            <w:tcMar>
              <w:top w:w="40" w:type="dxa"/>
              <w:left w:w="20" w:type="dxa"/>
              <w:bottom w:w="40" w:type="dxa"/>
              <w:right w:w="20" w:type="dxa"/>
            </w:tcMar>
            <w:vAlign w:val="bottom"/>
          </w:tcPr>
          <w:p w14:paraId="2470C702"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03" w14:textId="77777777" w:rsidR="009C6E2F" w:rsidRDefault="007972BE">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04" w14:textId="77777777" w:rsidR="009C6E2F" w:rsidRDefault="007972BE">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c>
          <w:tcPr>
            <w:tcW w:w="0" w:type="auto"/>
            <w:gridSpan w:val="3"/>
            <w:shd w:val="clear" w:color="auto" w:fill="auto"/>
            <w:tcMar>
              <w:top w:w="0" w:type="dxa"/>
              <w:left w:w="20" w:type="dxa"/>
              <w:bottom w:w="0" w:type="dxa"/>
              <w:right w:w="20" w:type="dxa"/>
            </w:tcMar>
            <w:vAlign w:val="bottom"/>
          </w:tcPr>
          <w:p w14:paraId="2470C705"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06" w14:textId="77777777" w:rsidR="009C6E2F" w:rsidRDefault="007972BE">
            <w:pPr>
              <w:jc w:val="right"/>
              <w:textAlignment w:val="bottom"/>
            </w:pPr>
            <w:r>
              <w:rPr>
                <w:rFonts w:ascii="sans-serif" w:eastAsia="sans-serif" w:hAnsi="sans-serif" w:cs="sans-serif"/>
                <w:b/>
                <w:bCs/>
                <w:color w:val="000000"/>
                <w:sz w:val="17"/>
                <w:szCs w:val="17"/>
              </w:rPr>
              <w:t>TOTAL</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07" w14:textId="77777777" w:rsidR="009C6E2F" w:rsidRDefault="007972BE">
            <w:pPr>
              <w:jc w:val="right"/>
              <w:textAlignment w:val="bottom"/>
            </w:pPr>
            <w:r>
              <w:rPr>
                <w:rFonts w:ascii="sans-serif" w:eastAsia="sans-serif" w:hAnsi="sans-serif" w:cs="sans-serif"/>
                <w:b/>
                <w:bCs/>
                <w:color w:val="000000"/>
                <w:sz w:val="17"/>
                <w:szCs w:val="17"/>
              </w:rPr>
              <w:t>AMOUNT OF GAIN (LOSS)</w:t>
            </w:r>
            <w:r>
              <w:rPr>
                <w:rFonts w:ascii="sans-serif" w:eastAsia="sans-serif" w:hAnsi="sans-serif" w:cs="sans-serif"/>
                <w:b/>
                <w:bCs/>
                <w:color w:val="000000"/>
                <w:sz w:val="17"/>
                <w:szCs w:val="17"/>
              </w:rPr>
              <w:br/>
              <w:t xml:space="preserve">ON CASH FLOW </w:t>
            </w:r>
            <w:r>
              <w:rPr>
                <w:rFonts w:ascii="sans-serif" w:eastAsia="sans-serif" w:hAnsi="sans-serif" w:cs="sans-serif"/>
                <w:b/>
                <w:bCs/>
                <w:color w:val="000000"/>
                <w:sz w:val="17"/>
                <w:szCs w:val="17"/>
              </w:rPr>
              <w:br/>
              <w:t>HEDGE ACTIVITY</w:t>
            </w:r>
          </w:p>
        </w:tc>
      </w:tr>
      <w:tr w:rsidR="009C6E2F" w14:paraId="2470C71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09" w14:textId="77777777" w:rsidR="009C6E2F" w:rsidRDefault="007972BE">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70A"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70B" w14:textId="77777777" w:rsidR="009C6E2F" w:rsidRDefault="007972BE">
            <w:pPr>
              <w:jc w:val="right"/>
              <w:textAlignment w:val="bottom"/>
            </w:pPr>
            <w:r>
              <w:rPr>
                <w:rFonts w:ascii="Arial" w:eastAsia="宋体" w:hAnsi="Arial" w:cs="Arial"/>
                <w:color w:val="000000"/>
                <w:sz w:val="17"/>
                <w:szCs w:val="17"/>
              </w:rPr>
              <w:t>23,605 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70C"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70D"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70E" w14:textId="77777777" w:rsidR="009C6E2F" w:rsidRDefault="007972BE">
            <w:pPr>
              <w:jc w:val="right"/>
              <w:textAlignment w:val="bottom"/>
            </w:pPr>
            <w:r>
              <w:rPr>
                <w:rFonts w:ascii="Arial" w:eastAsia="宋体" w:hAnsi="Arial" w:cs="Arial"/>
                <w:color w:val="000000"/>
                <w:sz w:val="17"/>
                <w:szCs w:val="17"/>
              </w:rPr>
              <w:t>(41)</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70F"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710"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711"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712" w14:textId="77777777" w:rsidR="009C6E2F" w:rsidRDefault="007972BE">
            <w:pPr>
              <w:jc w:val="right"/>
              <w:textAlignment w:val="bottom"/>
            </w:pPr>
            <w:r>
              <w:rPr>
                <w:rFonts w:ascii="Arial" w:eastAsia="宋体" w:hAnsi="Arial" w:cs="Arial"/>
                <w:color w:val="000000"/>
                <w:sz w:val="17"/>
                <w:szCs w:val="17"/>
              </w:rPr>
              <w:t>21,837 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713"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714"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715"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716" w14:textId="77777777" w:rsidR="009C6E2F" w:rsidRDefault="009C6E2F">
            <w:pPr>
              <w:jc w:val="right"/>
              <w:rPr>
                <w:rFonts w:ascii="宋体"/>
              </w:rPr>
            </w:pPr>
          </w:p>
        </w:tc>
      </w:tr>
      <w:tr w:rsidR="009C6E2F" w14:paraId="2470C72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18" w14:textId="77777777" w:rsidR="009C6E2F" w:rsidRDefault="007972BE">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19" w14:textId="77777777" w:rsidR="009C6E2F" w:rsidRDefault="007972BE">
            <w:pPr>
              <w:jc w:val="right"/>
              <w:textAlignment w:val="bottom"/>
            </w:pPr>
            <w:r>
              <w:rPr>
                <w:rFonts w:ascii="Arial" w:eastAsia="宋体" w:hAnsi="Arial" w:cs="Arial"/>
                <w:color w:val="000000"/>
                <w:sz w:val="17"/>
                <w:szCs w:val="17"/>
              </w:rPr>
              <w:t>12,696 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1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1B" w14:textId="77777777" w:rsidR="009C6E2F" w:rsidRDefault="007972BE">
            <w:pPr>
              <w:jc w:val="right"/>
              <w:textAlignment w:val="bottom"/>
            </w:pPr>
            <w:r>
              <w:rPr>
                <w:rFonts w:ascii="Arial" w:eastAsia="宋体" w:hAnsi="Arial" w:cs="Arial"/>
                <w:color w:val="000000"/>
                <w:sz w:val="17"/>
                <w:szCs w:val="17"/>
              </w:rPr>
              <w:t>(96)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1C"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1D"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1E" w14:textId="77777777" w:rsidR="009C6E2F" w:rsidRDefault="007972BE">
            <w:pPr>
              <w:jc w:val="right"/>
              <w:textAlignment w:val="bottom"/>
            </w:pPr>
            <w:r>
              <w:rPr>
                <w:rFonts w:ascii="Arial" w:eastAsia="宋体" w:hAnsi="Arial" w:cs="Arial"/>
                <w:color w:val="000000"/>
                <w:sz w:val="17"/>
                <w:szCs w:val="17"/>
              </w:rPr>
              <w:t>12,249 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1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20" w14:textId="77777777" w:rsidR="009C6E2F" w:rsidRDefault="007972BE">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21" w14:textId="77777777" w:rsidR="009C6E2F" w:rsidRDefault="009C6E2F">
            <w:pPr>
              <w:jc w:val="right"/>
              <w:rPr>
                <w:rFonts w:ascii="宋体"/>
              </w:rPr>
            </w:pPr>
          </w:p>
        </w:tc>
      </w:tr>
      <w:tr w:rsidR="009C6E2F" w14:paraId="2470C72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23" w14:textId="77777777" w:rsidR="009C6E2F" w:rsidRDefault="007972BE">
            <w:pPr>
              <w:textAlignment w:val="bottom"/>
            </w:pPr>
            <w:r>
              <w:rPr>
                <w:rFonts w:ascii="Arial" w:eastAsia="宋体" w:hAnsi="Arial" w:cs="Arial"/>
                <w:color w:val="000000"/>
                <w:sz w:val="17"/>
                <w:szCs w:val="17"/>
              </w:rPr>
              <w:t>Demand</w:t>
            </w:r>
            <w:r>
              <w:rPr>
                <w:rFonts w:ascii="Arial" w:eastAsia="宋体" w:hAnsi="Arial" w:cs="Arial"/>
                <w:color w:val="000000"/>
                <w:sz w:val="17"/>
                <w:szCs w:val="17"/>
              </w:rPr>
              <w:t xml:space="preserve">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24" w14:textId="77777777" w:rsidR="009C6E2F" w:rsidRDefault="007972BE">
            <w:pPr>
              <w:jc w:val="right"/>
              <w:textAlignment w:val="bottom"/>
            </w:pPr>
            <w:r>
              <w:rPr>
                <w:rFonts w:ascii="Arial" w:eastAsia="宋体" w:hAnsi="Arial" w:cs="Arial"/>
                <w:color w:val="000000"/>
                <w:sz w:val="17"/>
                <w:szCs w:val="17"/>
              </w:rPr>
              <w:t>1,935 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2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26"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2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28"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29" w14:textId="77777777" w:rsidR="009C6E2F" w:rsidRDefault="007972BE">
            <w:pPr>
              <w:jc w:val="right"/>
              <w:textAlignment w:val="bottom"/>
            </w:pPr>
            <w:r>
              <w:rPr>
                <w:rFonts w:ascii="Arial" w:eastAsia="宋体" w:hAnsi="Arial" w:cs="Arial"/>
                <w:color w:val="000000"/>
                <w:sz w:val="17"/>
                <w:szCs w:val="17"/>
              </w:rPr>
              <w:t>1,406 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2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2B"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2C" w14:textId="77777777" w:rsidR="009C6E2F" w:rsidRDefault="009C6E2F">
            <w:pPr>
              <w:jc w:val="right"/>
              <w:rPr>
                <w:rFonts w:ascii="宋体"/>
              </w:rPr>
            </w:pPr>
          </w:p>
        </w:tc>
      </w:tr>
      <w:tr w:rsidR="009C6E2F" w14:paraId="2470C738"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2E" w14:textId="77777777" w:rsidR="009C6E2F" w:rsidRDefault="007972BE">
            <w:pPr>
              <w:textAlignment w:val="bottom"/>
            </w:pPr>
            <w:r>
              <w:rPr>
                <w:rFonts w:ascii="Arial" w:eastAsia="宋体" w:hAnsi="Arial" w:cs="Arial"/>
                <w:color w:val="000000"/>
                <w:sz w:val="17"/>
                <w:szCs w:val="17"/>
              </w:rPr>
              <w:t xml:space="preserve">Other </w:t>
            </w:r>
            <w:r>
              <w:rPr>
                <w:rFonts w:ascii="Arial" w:eastAsia="宋体" w:hAnsi="Arial" w:cs="Arial"/>
                <w:color w:val="000000"/>
                <w:sz w:val="17"/>
                <w:szCs w:val="17"/>
              </w:rPr>
              <w:t>(income)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2F" w14:textId="77777777" w:rsidR="009C6E2F" w:rsidRDefault="007972BE">
            <w:pPr>
              <w:jc w:val="right"/>
              <w:textAlignment w:val="bottom"/>
            </w:pPr>
            <w:r>
              <w:rPr>
                <w:rFonts w:ascii="Arial" w:eastAsia="宋体" w:hAnsi="Arial" w:cs="Arial"/>
                <w:color w:val="000000"/>
                <w:sz w:val="17"/>
                <w:szCs w:val="17"/>
              </w:rPr>
              <w:t>(141)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3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31"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32"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33"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34"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3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36" w14:textId="77777777" w:rsidR="009C6E2F" w:rsidRDefault="007972BE">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37" w14:textId="77777777" w:rsidR="009C6E2F" w:rsidRDefault="009C6E2F">
            <w:pPr>
              <w:jc w:val="right"/>
              <w:rPr>
                <w:rFonts w:ascii="宋体"/>
              </w:rPr>
            </w:pPr>
          </w:p>
        </w:tc>
      </w:tr>
      <w:tr w:rsidR="009C6E2F" w14:paraId="2470C743"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C739" w14:textId="77777777" w:rsidR="009C6E2F" w:rsidRDefault="007972BE">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73A" w14:textId="77777777" w:rsidR="009C6E2F" w:rsidRDefault="007972BE">
            <w:pPr>
              <w:jc w:val="right"/>
              <w:textAlignment w:val="bottom"/>
            </w:pPr>
            <w:r>
              <w:rPr>
                <w:rFonts w:ascii="Arial" w:eastAsia="宋体" w:hAnsi="Arial" w:cs="Arial"/>
                <w:color w:val="000000"/>
                <w:sz w:val="17"/>
                <w:szCs w:val="17"/>
              </w:rPr>
              <w:t>112 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73B"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73C"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73D" w14:textId="77777777" w:rsidR="009C6E2F" w:rsidRDefault="009C6E2F">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C73E" w14:textId="77777777" w:rsidR="009C6E2F" w:rsidRDefault="009C6E2F">
            <w:pPr>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73F" w14:textId="77777777" w:rsidR="009C6E2F" w:rsidRDefault="007972BE">
            <w:pPr>
              <w:jc w:val="right"/>
              <w:textAlignment w:val="bottom"/>
            </w:pPr>
            <w:r>
              <w:rPr>
                <w:rFonts w:ascii="Arial" w:eastAsia="宋体" w:hAnsi="Arial" w:cs="Arial"/>
                <w:color w:val="000000"/>
                <w:sz w:val="17"/>
                <w:szCs w:val="17"/>
              </w:rPr>
              <w:t>135 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740"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741"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742" w14:textId="77777777" w:rsidR="009C6E2F" w:rsidRDefault="009C6E2F">
            <w:pPr>
              <w:jc w:val="right"/>
              <w:rPr>
                <w:rFonts w:ascii="宋体"/>
              </w:rPr>
            </w:pPr>
          </w:p>
        </w:tc>
      </w:tr>
    </w:tbl>
    <w:p w14:paraId="2470C744" w14:textId="77777777" w:rsidR="009C6E2F" w:rsidRDefault="007972BE">
      <w:pPr>
        <w:spacing w:before="120" w:after="120"/>
      </w:pPr>
      <w:r>
        <w:rPr>
          <w:rFonts w:ascii="Arial" w:eastAsia="宋体" w:hAnsi="Arial" w:cs="Arial"/>
          <w:color w:val="000000"/>
          <w:sz w:val="17"/>
          <w:szCs w:val="17"/>
        </w:rPr>
        <w:t>The following tables present the amounts affecting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6"/>
        <w:gridCol w:w="1973"/>
        <w:gridCol w:w="38"/>
        <w:gridCol w:w="116"/>
        <w:gridCol w:w="779"/>
        <w:gridCol w:w="37"/>
        <w:gridCol w:w="116"/>
        <w:gridCol w:w="779"/>
        <w:gridCol w:w="36"/>
        <w:gridCol w:w="36"/>
        <w:gridCol w:w="36"/>
        <w:gridCol w:w="36"/>
        <w:gridCol w:w="44"/>
        <w:gridCol w:w="2281"/>
        <w:gridCol w:w="37"/>
        <w:gridCol w:w="37"/>
        <w:gridCol w:w="37"/>
        <w:gridCol w:w="37"/>
        <w:gridCol w:w="116"/>
        <w:gridCol w:w="748"/>
        <w:gridCol w:w="37"/>
        <w:gridCol w:w="116"/>
        <w:gridCol w:w="781"/>
        <w:gridCol w:w="37"/>
      </w:tblGrid>
      <w:tr w:rsidR="009C6E2F" w14:paraId="2470C75D" w14:textId="77777777">
        <w:tc>
          <w:tcPr>
            <w:tcW w:w="50" w:type="pct"/>
            <w:shd w:val="clear" w:color="auto" w:fill="auto"/>
            <w:vAlign w:val="bottom"/>
          </w:tcPr>
          <w:p w14:paraId="2470C745" w14:textId="77777777" w:rsidR="009C6E2F" w:rsidRDefault="009C6E2F">
            <w:pPr>
              <w:rPr>
                <w:rFonts w:ascii="宋体"/>
              </w:rPr>
            </w:pPr>
          </w:p>
        </w:tc>
        <w:tc>
          <w:tcPr>
            <w:tcW w:w="1210" w:type="pct"/>
            <w:shd w:val="clear" w:color="auto" w:fill="auto"/>
            <w:vAlign w:val="bottom"/>
          </w:tcPr>
          <w:p w14:paraId="2470C746" w14:textId="77777777" w:rsidR="009C6E2F" w:rsidRDefault="009C6E2F">
            <w:pPr>
              <w:rPr>
                <w:rFonts w:ascii="宋体"/>
              </w:rPr>
            </w:pPr>
          </w:p>
        </w:tc>
        <w:tc>
          <w:tcPr>
            <w:tcW w:w="5" w:type="pct"/>
            <w:shd w:val="clear" w:color="auto" w:fill="auto"/>
            <w:vAlign w:val="bottom"/>
          </w:tcPr>
          <w:p w14:paraId="2470C747" w14:textId="77777777" w:rsidR="009C6E2F" w:rsidRDefault="009C6E2F">
            <w:pPr>
              <w:rPr>
                <w:rFonts w:ascii="宋体"/>
              </w:rPr>
            </w:pPr>
          </w:p>
        </w:tc>
        <w:tc>
          <w:tcPr>
            <w:tcW w:w="50" w:type="pct"/>
            <w:shd w:val="clear" w:color="auto" w:fill="auto"/>
            <w:vAlign w:val="bottom"/>
          </w:tcPr>
          <w:p w14:paraId="2470C748" w14:textId="77777777" w:rsidR="009C6E2F" w:rsidRDefault="009C6E2F">
            <w:pPr>
              <w:rPr>
                <w:rFonts w:ascii="宋体"/>
              </w:rPr>
            </w:pPr>
          </w:p>
        </w:tc>
        <w:tc>
          <w:tcPr>
            <w:tcW w:w="492" w:type="pct"/>
            <w:shd w:val="clear" w:color="auto" w:fill="auto"/>
            <w:vAlign w:val="bottom"/>
          </w:tcPr>
          <w:p w14:paraId="2470C749" w14:textId="77777777" w:rsidR="009C6E2F" w:rsidRDefault="009C6E2F">
            <w:pPr>
              <w:rPr>
                <w:rFonts w:ascii="宋体"/>
              </w:rPr>
            </w:pPr>
          </w:p>
        </w:tc>
        <w:tc>
          <w:tcPr>
            <w:tcW w:w="5" w:type="pct"/>
            <w:shd w:val="clear" w:color="auto" w:fill="auto"/>
            <w:vAlign w:val="bottom"/>
          </w:tcPr>
          <w:p w14:paraId="2470C74A" w14:textId="77777777" w:rsidR="009C6E2F" w:rsidRDefault="009C6E2F">
            <w:pPr>
              <w:rPr>
                <w:rFonts w:ascii="宋体"/>
              </w:rPr>
            </w:pPr>
          </w:p>
        </w:tc>
        <w:tc>
          <w:tcPr>
            <w:tcW w:w="50" w:type="pct"/>
            <w:shd w:val="clear" w:color="auto" w:fill="auto"/>
            <w:vAlign w:val="bottom"/>
          </w:tcPr>
          <w:p w14:paraId="2470C74B" w14:textId="77777777" w:rsidR="009C6E2F" w:rsidRDefault="009C6E2F">
            <w:pPr>
              <w:rPr>
                <w:rFonts w:ascii="宋体"/>
              </w:rPr>
            </w:pPr>
          </w:p>
        </w:tc>
        <w:tc>
          <w:tcPr>
            <w:tcW w:w="492" w:type="pct"/>
            <w:shd w:val="clear" w:color="auto" w:fill="auto"/>
            <w:vAlign w:val="bottom"/>
          </w:tcPr>
          <w:p w14:paraId="2470C74C" w14:textId="77777777" w:rsidR="009C6E2F" w:rsidRDefault="009C6E2F">
            <w:pPr>
              <w:rPr>
                <w:rFonts w:ascii="宋体"/>
              </w:rPr>
            </w:pPr>
          </w:p>
        </w:tc>
        <w:tc>
          <w:tcPr>
            <w:tcW w:w="5" w:type="pct"/>
            <w:shd w:val="clear" w:color="auto" w:fill="auto"/>
            <w:vAlign w:val="bottom"/>
          </w:tcPr>
          <w:p w14:paraId="2470C74D" w14:textId="77777777" w:rsidR="009C6E2F" w:rsidRDefault="009C6E2F">
            <w:pPr>
              <w:rPr>
                <w:rFonts w:ascii="宋体"/>
              </w:rPr>
            </w:pPr>
          </w:p>
        </w:tc>
        <w:tc>
          <w:tcPr>
            <w:tcW w:w="5" w:type="pct"/>
            <w:shd w:val="clear" w:color="auto" w:fill="auto"/>
            <w:vAlign w:val="bottom"/>
          </w:tcPr>
          <w:p w14:paraId="2470C74E" w14:textId="77777777" w:rsidR="009C6E2F" w:rsidRDefault="009C6E2F">
            <w:pPr>
              <w:rPr>
                <w:rFonts w:ascii="宋体"/>
              </w:rPr>
            </w:pPr>
          </w:p>
        </w:tc>
        <w:tc>
          <w:tcPr>
            <w:tcW w:w="28" w:type="pct"/>
            <w:shd w:val="clear" w:color="auto" w:fill="auto"/>
            <w:vAlign w:val="bottom"/>
          </w:tcPr>
          <w:p w14:paraId="2470C74F" w14:textId="77777777" w:rsidR="009C6E2F" w:rsidRDefault="009C6E2F">
            <w:pPr>
              <w:rPr>
                <w:rFonts w:ascii="宋体"/>
              </w:rPr>
            </w:pPr>
          </w:p>
        </w:tc>
        <w:tc>
          <w:tcPr>
            <w:tcW w:w="5" w:type="pct"/>
            <w:shd w:val="clear" w:color="auto" w:fill="auto"/>
            <w:vAlign w:val="bottom"/>
          </w:tcPr>
          <w:p w14:paraId="2470C750" w14:textId="77777777" w:rsidR="009C6E2F" w:rsidRDefault="009C6E2F">
            <w:pPr>
              <w:rPr>
                <w:rFonts w:ascii="宋体"/>
              </w:rPr>
            </w:pPr>
          </w:p>
        </w:tc>
        <w:tc>
          <w:tcPr>
            <w:tcW w:w="50" w:type="pct"/>
            <w:shd w:val="clear" w:color="auto" w:fill="auto"/>
            <w:vAlign w:val="bottom"/>
          </w:tcPr>
          <w:p w14:paraId="2470C751" w14:textId="77777777" w:rsidR="009C6E2F" w:rsidRDefault="009C6E2F">
            <w:pPr>
              <w:rPr>
                <w:rFonts w:ascii="宋体"/>
              </w:rPr>
            </w:pPr>
          </w:p>
        </w:tc>
        <w:tc>
          <w:tcPr>
            <w:tcW w:w="1411" w:type="pct"/>
            <w:shd w:val="clear" w:color="auto" w:fill="auto"/>
            <w:vAlign w:val="bottom"/>
          </w:tcPr>
          <w:p w14:paraId="2470C752" w14:textId="77777777" w:rsidR="009C6E2F" w:rsidRDefault="009C6E2F">
            <w:pPr>
              <w:rPr>
                <w:rFonts w:ascii="宋体"/>
              </w:rPr>
            </w:pPr>
          </w:p>
        </w:tc>
        <w:tc>
          <w:tcPr>
            <w:tcW w:w="5" w:type="pct"/>
            <w:shd w:val="clear" w:color="auto" w:fill="auto"/>
            <w:vAlign w:val="bottom"/>
          </w:tcPr>
          <w:p w14:paraId="2470C753" w14:textId="77777777" w:rsidR="009C6E2F" w:rsidRDefault="009C6E2F">
            <w:pPr>
              <w:rPr>
                <w:rFonts w:ascii="宋体"/>
              </w:rPr>
            </w:pPr>
          </w:p>
        </w:tc>
        <w:tc>
          <w:tcPr>
            <w:tcW w:w="5" w:type="pct"/>
            <w:shd w:val="clear" w:color="auto" w:fill="auto"/>
            <w:vAlign w:val="bottom"/>
          </w:tcPr>
          <w:p w14:paraId="2470C754" w14:textId="77777777" w:rsidR="009C6E2F" w:rsidRDefault="009C6E2F">
            <w:pPr>
              <w:rPr>
                <w:rFonts w:ascii="宋体"/>
              </w:rPr>
            </w:pPr>
          </w:p>
        </w:tc>
        <w:tc>
          <w:tcPr>
            <w:tcW w:w="28" w:type="pct"/>
            <w:shd w:val="clear" w:color="auto" w:fill="auto"/>
            <w:vAlign w:val="bottom"/>
          </w:tcPr>
          <w:p w14:paraId="2470C755" w14:textId="77777777" w:rsidR="009C6E2F" w:rsidRDefault="009C6E2F">
            <w:pPr>
              <w:rPr>
                <w:rFonts w:ascii="宋体"/>
              </w:rPr>
            </w:pPr>
          </w:p>
        </w:tc>
        <w:tc>
          <w:tcPr>
            <w:tcW w:w="5" w:type="pct"/>
            <w:shd w:val="clear" w:color="auto" w:fill="auto"/>
            <w:vAlign w:val="bottom"/>
          </w:tcPr>
          <w:p w14:paraId="2470C756" w14:textId="77777777" w:rsidR="009C6E2F" w:rsidRDefault="009C6E2F">
            <w:pPr>
              <w:rPr>
                <w:rFonts w:ascii="宋体"/>
              </w:rPr>
            </w:pPr>
          </w:p>
        </w:tc>
        <w:tc>
          <w:tcPr>
            <w:tcW w:w="50" w:type="pct"/>
            <w:shd w:val="clear" w:color="auto" w:fill="auto"/>
            <w:vAlign w:val="bottom"/>
          </w:tcPr>
          <w:p w14:paraId="2470C757" w14:textId="77777777" w:rsidR="009C6E2F" w:rsidRDefault="009C6E2F">
            <w:pPr>
              <w:rPr>
                <w:rFonts w:ascii="宋体"/>
              </w:rPr>
            </w:pPr>
          </w:p>
        </w:tc>
        <w:tc>
          <w:tcPr>
            <w:tcW w:w="492" w:type="pct"/>
            <w:shd w:val="clear" w:color="auto" w:fill="auto"/>
            <w:vAlign w:val="bottom"/>
          </w:tcPr>
          <w:p w14:paraId="2470C758" w14:textId="77777777" w:rsidR="009C6E2F" w:rsidRDefault="009C6E2F">
            <w:pPr>
              <w:rPr>
                <w:rFonts w:ascii="宋体"/>
              </w:rPr>
            </w:pPr>
          </w:p>
        </w:tc>
        <w:tc>
          <w:tcPr>
            <w:tcW w:w="5" w:type="pct"/>
            <w:shd w:val="clear" w:color="auto" w:fill="auto"/>
            <w:vAlign w:val="bottom"/>
          </w:tcPr>
          <w:p w14:paraId="2470C759" w14:textId="77777777" w:rsidR="009C6E2F" w:rsidRDefault="009C6E2F">
            <w:pPr>
              <w:rPr>
                <w:rFonts w:ascii="宋体"/>
              </w:rPr>
            </w:pPr>
          </w:p>
        </w:tc>
        <w:tc>
          <w:tcPr>
            <w:tcW w:w="50" w:type="pct"/>
            <w:shd w:val="clear" w:color="auto" w:fill="auto"/>
            <w:vAlign w:val="bottom"/>
          </w:tcPr>
          <w:p w14:paraId="2470C75A" w14:textId="77777777" w:rsidR="009C6E2F" w:rsidRDefault="009C6E2F">
            <w:pPr>
              <w:rPr>
                <w:rFonts w:ascii="宋体"/>
              </w:rPr>
            </w:pPr>
          </w:p>
        </w:tc>
        <w:tc>
          <w:tcPr>
            <w:tcW w:w="493" w:type="pct"/>
            <w:shd w:val="clear" w:color="auto" w:fill="auto"/>
            <w:vAlign w:val="bottom"/>
          </w:tcPr>
          <w:p w14:paraId="2470C75B" w14:textId="77777777" w:rsidR="009C6E2F" w:rsidRDefault="009C6E2F">
            <w:pPr>
              <w:rPr>
                <w:rFonts w:ascii="宋体"/>
              </w:rPr>
            </w:pPr>
          </w:p>
        </w:tc>
        <w:tc>
          <w:tcPr>
            <w:tcW w:w="5" w:type="pct"/>
            <w:shd w:val="clear" w:color="auto" w:fill="auto"/>
            <w:vAlign w:val="bottom"/>
          </w:tcPr>
          <w:p w14:paraId="2470C75C" w14:textId="77777777" w:rsidR="009C6E2F" w:rsidRDefault="009C6E2F">
            <w:pPr>
              <w:rPr>
                <w:rFonts w:ascii="宋体"/>
              </w:rPr>
            </w:pPr>
          </w:p>
        </w:tc>
      </w:tr>
      <w:tr w:rsidR="009C6E2F" w14:paraId="2470C766"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2470C75E" w14:textId="77777777" w:rsidR="009C6E2F" w:rsidRDefault="009C6E2F">
            <w:pPr>
              <w:pBdr>
                <w:top w:val="none" w:sz="0" w:space="0" w:color="auto"/>
                <w:left w:val="none" w:sz="0" w:space="0" w:color="auto"/>
                <w:bottom w:val="none" w:sz="0" w:space="0" w:color="auto"/>
                <w:right w:val="none" w:sz="0" w:space="0" w:color="auto"/>
              </w:pBdr>
              <w:textAlignment w:val="bottom"/>
            </w:pPr>
          </w:p>
          <w:p w14:paraId="2470C75F"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470C760"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470C761" w14:textId="77777777" w:rsidR="009C6E2F" w:rsidRDefault="009C6E2F">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2470C762"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AMOUNT OF GAIN (LOSS) </w:t>
            </w:r>
          </w:p>
          <w:p w14:paraId="2470C763"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RECLASSIFIED FROM ACCUMULATED </w:t>
            </w:r>
          </w:p>
          <w:p w14:paraId="2470C764"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OTHER COMPREHENSIVE </w:t>
            </w:r>
          </w:p>
          <w:p w14:paraId="2470C765"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INCOME (LOSS) INTO </w:t>
            </w:r>
            <w:r>
              <w:rPr>
                <w:rFonts w:ascii="sans-serif" w:eastAsia="sans-serif" w:hAnsi="sans-serif" w:cs="sans-serif"/>
                <w:b/>
                <w:bCs/>
                <w:color w:val="000000"/>
                <w:sz w:val="17"/>
                <w:szCs w:val="17"/>
              </w:rPr>
              <w:t>INCOME</w:t>
            </w:r>
            <w:r>
              <w:rPr>
                <w:rFonts w:ascii="sans-serif" w:eastAsia="sans-serif" w:hAnsi="sans-serif" w:cs="sans-serif"/>
                <w:b/>
                <w:bCs/>
                <w:color w:val="000000"/>
                <w:sz w:val="11"/>
                <w:szCs w:val="11"/>
              </w:rPr>
              <w:t>(1)</w:t>
            </w:r>
          </w:p>
        </w:tc>
      </w:tr>
      <w:tr w:rsidR="009C6E2F" w14:paraId="2470C76D" w14:textId="77777777">
        <w:trPr>
          <w:trHeight w:val="520"/>
        </w:trPr>
        <w:tc>
          <w:tcPr>
            <w:tcW w:w="0" w:type="auto"/>
            <w:gridSpan w:val="3"/>
            <w:vMerge/>
            <w:shd w:val="clear" w:color="auto" w:fill="auto"/>
            <w:tcMar>
              <w:top w:w="40" w:type="dxa"/>
              <w:left w:w="20" w:type="dxa"/>
              <w:bottom w:w="40" w:type="dxa"/>
              <w:right w:w="20" w:type="dxa"/>
            </w:tcMar>
            <w:vAlign w:val="bottom"/>
          </w:tcPr>
          <w:p w14:paraId="2470C767"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768"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C769" w14:textId="77777777" w:rsidR="009C6E2F" w:rsidRDefault="009C6E2F">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470C76A" w14:textId="77777777" w:rsidR="009C6E2F" w:rsidRDefault="007972BE">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76B"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76C"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r>
      <w:tr w:rsidR="009C6E2F" w14:paraId="2470C776" w14:textId="77777777">
        <w:trPr>
          <w:trHeight w:val="240"/>
        </w:trPr>
        <w:tc>
          <w:tcPr>
            <w:tcW w:w="0" w:type="auto"/>
            <w:gridSpan w:val="3"/>
            <w:vMerge/>
            <w:shd w:val="clear" w:color="auto" w:fill="auto"/>
            <w:tcMar>
              <w:top w:w="40" w:type="dxa"/>
              <w:left w:w="20" w:type="dxa"/>
              <w:bottom w:w="40" w:type="dxa"/>
              <w:right w:w="20" w:type="dxa"/>
            </w:tcMar>
            <w:vAlign w:val="bottom"/>
          </w:tcPr>
          <w:p w14:paraId="2470C76E"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6F"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70"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C771" w14:textId="77777777" w:rsidR="009C6E2F" w:rsidRDefault="009C6E2F">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470C772"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C773"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74"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75"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C77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777"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77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77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77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77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77C"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77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77E" w14:textId="77777777" w:rsidR="009C6E2F" w:rsidRDefault="009C6E2F">
            <w:pPr>
              <w:rPr>
                <w:rFonts w:ascii="宋体"/>
              </w:rPr>
            </w:pPr>
          </w:p>
        </w:tc>
      </w:tr>
      <w:tr w:rsidR="009C6E2F" w14:paraId="2470C79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80"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78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782" w14:textId="77777777" w:rsidR="009C6E2F" w:rsidRDefault="007972BE">
            <w:pPr>
              <w:jc w:val="right"/>
              <w:textAlignment w:val="bottom"/>
            </w:pPr>
            <w:r>
              <w:rPr>
                <w:rFonts w:ascii="Arial" w:eastAsia="宋体" w:hAnsi="Arial" w:cs="Arial"/>
                <w:color w:val="000000"/>
                <w:sz w:val="17"/>
                <w:szCs w:val="17"/>
              </w:rPr>
              <w:t>(31)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83"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78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785"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86"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87"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88" w14:textId="77777777" w:rsidR="009C6E2F" w:rsidRDefault="007972BE">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89"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78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78B" w14:textId="77777777" w:rsidR="009C6E2F" w:rsidRDefault="007972BE">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8C"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78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78E"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8F" w14:textId="77777777" w:rsidR="009C6E2F" w:rsidRDefault="009C6E2F">
            <w:pPr>
              <w:jc w:val="right"/>
              <w:rPr>
                <w:rFonts w:ascii="宋体"/>
              </w:rPr>
            </w:pPr>
          </w:p>
        </w:tc>
      </w:tr>
      <w:tr w:rsidR="009C6E2F" w14:paraId="2470C79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9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92" w14:textId="77777777" w:rsidR="009C6E2F" w:rsidRDefault="007972BE">
            <w:pPr>
              <w:jc w:val="right"/>
              <w:textAlignment w:val="bottom"/>
            </w:pPr>
            <w:r>
              <w:rPr>
                <w:rFonts w:ascii="Arial" w:eastAsia="宋体" w:hAnsi="Arial" w:cs="Arial"/>
                <w:color w:val="000000"/>
                <w:sz w:val="17"/>
                <w:szCs w:val="17"/>
              </w:rPr>
              <w:t>253 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9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94" w14:textId="77777777" w:rsidR="009C6E2F" w:rsidRDefault="007972BE">
            <w:pPr>
              <w:jc w:val="right"/>
              <w:textAlignment w:val="bottom"/>
            </w:pPr>
            <w:r>
              <w:rPr>
                <w:rFonts w:ascii="Arial" w:eastAsia="宋体" w:hAnsi="Arial" w:cs="Arial"/>
                <w:color w:val="000000"/>
                <w:sz w:val="17"/>
                <w:szCs w:val="17"/>
              </w:rPr>
              <w:t>(69)</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9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96"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97" w14:textId="77777777" w:rsidR="009C6E2F" w:rsidRDefault="007972BE">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98"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99" w14:textId="77777777" w:rsidR="009C6E2F" w:rsidRDefault="007972BE">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9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9B" w14:textId="77777777" w:rsidR="009C6E2F" w:rsidRDefault="007972BE">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9C" w14:textId="77777777" w:rsidR="009C6E2F" w:rsidRDefault="009C6E2F">
            <w:pPr>
              <w:jc w:val="right"/>
              <w:rPr>
                <w:rFonts w:ascii="宋体"/>
              </w:rPr>
            </w:pPr>
          </w:p>
        </w:tc>
      </w:tr>
      <w:tr w:rsidR="009C6E2F" w14:paraId="2470C7AA"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79E"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9F" w14:textId="77777777" w:rsidR="009C6E2F" w:rsidRDefault="007972BE">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A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A1"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A2"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A3"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A4" w14:textId="77777777" w:rsidR="009C6E2F" w:rsidRDefault="007972BE">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A5"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A6"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A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A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A9" w14:textId="77777777" w:rsidR="009C6E2F" w:rsidRDefault="009C6E2F">
            <w:pPr>
              <w:jc w:val="right"/>
              <w:rPr>
                <w:rFonts w:ascii="宋体"/>
              </w:rPr>
            </w:pPr>
          </w:p>
        </w:tc>
      </w:tr>
      <w:tr w:rsidR="009C6E2F" w14:paraId="2470C7B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AB"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AC" w14:textId="77777777" w:rsidR="009C6E2F" w:rsidRDefault="007972BE">
            <w:pPr>
              <w:jc w:val="right"/>
              <w:textAlignment w:val="bottom"/>
            </w:pPr>
            <w:r>
              <w:rPr>
                <w:rFonts w:ascii="Arial" w:eastAsia="宋体" w:hAnsi="Arial" w:cs="Arial"/>
                <w:color w:val="000000"/>
                <w:sz w:val="17"/>
                <w:szCs w:val="17"/>
              </w:rPr>
              <w:t>143 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A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AE"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A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B0"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B1" w14:textId="77777777" w:rsidR="009C6E2F" w:rsidRDefault="007972BE">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B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B3" w14:textId="77777777" w:rsidR="009C6E2F" w:rsidRDefault="007972BE">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B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B5" w14:textId="77777777" w:rsidR="009C6E2F" w:rsidRDefault="007972BE">
            <w:pPr>
              <w:jc w:val="right"/>
              <w:textAlignment w:val="bottom"/>
            </w:pPr>
            <w:r>
              <w:rPr>
                <w:rFonts w:ascii="Arial" w:eastAsia="宋体" w:hAnsi="Arial" w:cs="Arial"/>
                <w:color w:val="000000"/>
                <w:sz w:val="17"/>
                <w:szCs w:val="17"/>
              </w:rPr>
              <w:t>(13)</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B6" w14:textId="77777777" w:rsidR="009C6E2F" w:rsidRDefault="009C6E2F">
            <w:pPr>
              <w:jc w:val="right"/>
              <w:rPr>
                <w:rFonts w:ascii="宋体"/>
              </w:rPr>
            </w:pPr>
          </w:p>
        </w:tc>
      </w:tr>
      <w:tr w:rsidR="009C6E2F" w14:paraId="2470C7C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B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B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B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B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BC"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BD"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7BE" w14:textId="77777777" w:rsidR="009C6E2F" w:rsidRDefault="007972BE">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7B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7C0"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7C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7C2"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470C7C3" w14:textId="77777777" w:rsidR="009C6E2F" w:rsidRDefault="009C6E2F">
            <w:pPr>
              <w:jc w:val="right"/>
              <w:rPr>
                <w:rFonts w:ascii="宋体"/>
              </w:rPr>
            </w:pPr>
          </w:p>
        </w:tc>
      </w:tr>
      <w:tr w:rsidR="009C6E2F" w14:paraId="2470C7D5"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7C5" w14:textId="77777777" w:rsidR="009C6E2F" w:rsidRDefault="007972BE">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7C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7C7" w14:textId="77777777" w:rsidR="009C6E2F" w:rsidRDefault="007972BE">
            <w:pPr>
              <w:jc w:val="right"/>
              <w:textAlignment w:val="bottom"/>
            </w:pPr>
            <w:r>
              <w:rPr>
                <w:rFonts w:ascii="Arial" w:eastAsia="宋体" w:hAnsi="Arial" w:cs="Arial"/>
                <w:b/>
                <w:bCs/>
                <w:color w:val="000000"/>
                <w:sz w:val="17"/>
                <w:szCs w:val="17"/>
              </w:rPr>
              <w:t>363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7C8"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7C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7CA" w14:textId="77777777" w:rsidR="009C6E2F" w:rsidRDefault="007972BE">
            <w:pPr>
              <w:jc w:val="right"/>
              <w:textAlignment w:val="bottom"/>
            </w:pPr>
            <w:r>
              <w:rPr>
                <w:rFonts w:ascii="Arial" w:eastAsia="宋体" w:hAnsi="Arial" w:cs="Arial"/>
                <w:b/>
                <w:bCs/>
                <w:color w:val="000000"/>
                <w:sz w:val="17"/>
                <w:szCs w:val="17"/>
              </w:rPr>
              <w:t>(60)</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7CB"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7CC"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7CD"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7CE"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7C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7D0" w14:textId="77777777" w:rsidR="009C6E2F" w:rsidRDefault="007972BE">
            <w:pPr>
              <w:jc w:val="right"/>
              <w:textAlignment w:val="bottom"/>
            </w:pPr>
            <w:r>
              <w:rPr>
                <w:rFonts w:ascii="Arial" w:eastAsia="宋体" w:hAnsi="Arial" w:cs="Arial"/>
                <w:b/>
                <w:bCs/>
                <w:color w:val="000000"/>
                <w:sz w:val="17"/>
                <w:szCs w:val="17"/>
              </w:rPr>
              <w:t>(31)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7D1"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7D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7D3" w14:textId="77777777" w:rsidR="009C6E2F" w:rsidRDefault="007972BE">
            <w:pPr>
              <w:jc w:val="right"/>
              <w:textAlignment w:val="bottom"/>
            </w:pPr>
            <w:r>
              <w:rPr>
                <w:rFonts w:ascii="Arial" w:eastAsia="宋体" w:hAnsi="Arial" w:cs="Arial"/>
                <w:b/>
                <w:bCs/>
                <w:color w:val="000000"/>
                <w:sz w:val="17"/>
                <w:szCs w:val="17"/>
              </w:rPr>
              <w:t>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7D4" w14:textId="77777777" w:rsidR="009C6E2F" w:rsidRDefault="009C6E2F">
            <w:pPr>
              <w:jc w:val="right"/>
              <w:rPr>
                <w:rFonts w:ascii="宋体"/>
              </w:rPr>
            </w:pPr>
          </w:p>
        </w:tc>
      </w:tr>
    </w:tbl>
    <w:p w14:paraId="2470C7D6"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(1)For the three months ended November 30, 2021 and 2020, the amounts recorded in Other (income) expense, net as a result of the discontinuance of cash flow hedges because the fo</w:t>
      </w:r>
      <w:r>
        <w:rPr>
          <w:rFonts w:ascii="Arial" w:eastAsia="宋体" w:hAnsi="Arial" w:cs="Arial"/>
          <w:i/>
          <w:iCs/>
          <w:color w:val="000000"/>
          <w:sz w:val="14"/>
          <w:szCs w:val="14"/>
        </w:rPr>
        <w:t>recasted transactions were no longer probable of occurring were immaterial.</w:t>
      </w:r>
    </w:p>
    <w:p w14:paraId="2470C7D7"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(2)Gains and losses associated with terminated interest rate swaps, which were previously designated as cash flow hedges and recorded in Accumulated other comprehensive income (los</w:t>
      </w:r>
      <w:r>
        <w:rPr>
          <w:rFonts w:ascii="Arial" w:eastAsia="宋体" w:hAnsi="Arial" w:cs="Arial"/>
          <w:i/>
          <w:iCs/>
          <w:color w:val="000000"/>
          <w:sz w:val="14"/>
          <w:szCs w:val="14"/>
        </w:rPr>
        <w:t>s), will be released through Interest expense (income), net over the term of the issued debt.</w:t>
      </w:r>
    </w:p>
    <w:p w14:paraId="2470C7D8" w14:textId="77777777" w:rsidR="009C6E2F" w:rsidRDefault="007972BE">
      <w:pPr>
        <w:spacing w:before="120" w:after="120"/>
      </w:pPr>
      <w:r>
        <w:rPr>
          <w:rFonts w:ascii="Arial" w:eastAsia="宋体" w:hAnsi="Arial" w:cs="Arial"/>
          <w:color w:val="E87722"/>
          <w:sz w:val="17"/>
          <w:szCs w:val="17"/>
        </w:rPr>
        <w:t>14</w:t>
      </w:r>
      <w:r>
        <w:rPr>
          <w:rFonts w:ascii="sans-serif" w:eastAsia="sans-serif" w:hAnsi="sans-serif" w:cs="sans-serif"/>
          <w:color w:val="000000"/>
          <w:sz w:val="17"/>
          <w:szCs w:val="17"/>
        </w:rPr>
        <w:t xml:space="preserve"> </w:t>
      </w:r>
    </w:p>
    <w:p w14:paraId="2470C7D9" w14:textId="77777777" w:rsidR="009C6E2F" w:rsidRDefault="007972BE">
      <w:r>
        <w:pict w14:anchorId="2470E1F3">
          <v:rect id="_x0000_i1040" style="width:415.3pt;height:1.5pt" o:hralign="center" o:hrstd="t" o:hr="t" fillcolor="#a0a0a0" stroked="f"/>
        </w:pict>
      </w:r>
    </w:p>
    <w:p w14:paraId="2470C7DA" w14:textId="77777777" w:rsidR="009C6E2F" w:rsidRDefault="009C6E2F"/>
    <w:p w14:paraId="2470C7DB" w14:textId="77777777" w:rsidR="009C6E2F" w:rsidRDefault="007972BE">
      <w:hyperlink r:id="rId83" w:anchor="i9e023a7388204bdbacd6aa338988f838_7" w:history="1">
        <w:r>
          <w:rPr>
            <w:rStyle w:val="a5"/>
            <w:rFonts w:ascii="sans-serif" w:eastAsia="sans-serif" w:hAnsi="sans-serif" w:cs="sans-serif"/>
            <w:sz w:val="17"/>
            <w:szCs w:val="17"/>
          </w:rPr>
          <w:t xml:space="preserve">Table </w:t>
        </w:r>
        <w:r>
          <w:rPr>
            <w:rStyle w:val="a5"/>
            <w:rFonts w:ascii="sans-serif" w:eastAsia="sans-serif" w:hAnsi="sans-serif" w:cs="sans-serif"/>
            <w:sz w:val="17"/>
            <w:szCs w:val="17"/>
          </w:rPr>
          <w:t>of Contents</w:t>
        </w:r>
      </w:hyperlink>
    </w:p>
    <w:p w14:paraId="2470C7DC" w14:textId="77777777" w:rsidR="009C6E2F" w:rsidRDefault="009C6E2F"/>
    <w:p w14:paraId="2470C7DD" w14:textId="77777777" w:rsidR="009C6E2F" w:rsidRDefault="009C6E2F">
      <w:pPr>
        <w:spacing w:before="100"/>
      </w:pPr>
    </w:p>
    <w:tbl>
      <w:tblPr>
        <w:tblW w:w="5000" w:type="pct"/>
        <w:tblCellMar>
          <w:top w:w="15" w:type="dxa"/>
          <w:left w:w="15" w:type="dxa"/>
          <w:bottom w:w="15" w:type="dxa"/>
          <w:right w:w="15" w:type="dxa"/>
        </w:tblCellMar>
        <w:tblLook w:val="04A0" w:firstRow="1" w:lastRow="0" w:firstColumn="1" w:lastColumn="0" w:noHBand="0" w:noVBand="1"/>
      </w:tblPr>
      <w:tblGrid>
        <w:gridCol w:w="46"/>
        <w:gridCol w:w="1974"/>
        <w:gridCol w:w="38"/>
        <w:gridCol w:w="116"/>
        <w:gridCol w:w="779"/>
        <w:gridCol w:w="37"/>
        <w:gridCol w:w="116"/>
        <w:gridCol w:w="779"/>
        <w:gridCol w:w="36"/>
        <w:gridCol w:w="36"/>
        <w:gridCol w:w="36"/>
        <w:gridCol w:w="36"/>
        <w:gridCol w:w="44"/>
        <w:gridCol w:w="2281"/>
        <w:gridCol w:w="37"/>
        <w:gridCol w:w="37"/>
        <w:gridCol w:w="37"/>
        <w:gridCol w:w="37"/>
        <w:gridCol w:w="115"/>
        <w:gridCol w:w="750"/>
        <w:gridCol w:w="36"/>
        <w:gridCol w:w="115"/>
        <w:gridCol w:w="782"/>
        <w:gridCol w:w="36"/>
      </w:tblGrid>
      <w:tr w:rsidR="009C6E2F" w14:paraId="2470C7F6" w14:textId="77777777">
        <w:tc>
          <w:tcPr>
            <w:tcW w:w="50" w:type="pct"/>
            <w:shd w:val="clear" w:color="auto" w:fill="auto"/>
            <w:vAlign w:val="bottom"/>
          </w:tcPr>
          <w:p w14:paraId="2470C7DE" w14:textId="77777777" w:rsidR="009C6E2F" w:rsidRDefault="009C6E2F">
            <w:pPr>
              <w:rPr>
                <w:rFonts w:ascii="宋体"/>
              </w:rPr>
            </w:pPr>
          </w:p>
        </w:tc>
        <w:tc>
          <w:tcPr>
            <w:tcW w:w="1210" w:type="pct"/>
            <w:shd w:val="clear" w:color="auto" w:fill="auto"/>
            <w:vAlign w:val="bottom"/>
          </w:tcPr>
          <w:p w14:paraId="2470C7DF" w14:textId="77777777" w:rsidR="009C6E2F" w:rsidRDefault="009C6E2F">
            <w:pPr>
              <w:rPr>
                <w:rFonts w:ascii="宋体"/>
              </w:rPr>
            </w:pPr>
          </w:p>
        </w:tc>
        <w:tc>
          <w:tcPr>
            <w:tcW w:w="5" w:type="pct"/>
            <w:shd w:val="clear" w:color="auto" w:fill="auto"/>
            <w:vAlign w:val="bottom"/>
          </w:tcPr>
          <w:p w14:paraId="2470C7E0" w14:textId="77777777" w:rsidR="009C6E2F" w:rsidRDefault="009C6E2F">
            <w:pPr>
              <w:rPr>
                <w:rFonts w:ascii="宋体"/>
              </w:rPr>
            </w:pPr>
          </w:p>
        </w:tc>
        <w:tc>
          <w:tcPr>
            <w:tcW w:w="50" w:type="pct"/>
            <w:shd w:val="clear" w:color="auto" w:fill="auto"/>
            <w:vAlign w:val="bottom"/>
          </w:tcPr>
          <w:p w14:paraId="2470C7E1" w14:textId="77777777" w:rsidR="009C6E2F" w:rsidRDefault="009C6E2F">
            <w:pPr>
              <w:rPr>
                <w:rFonts w:ascii="宋体"/>
              </w:rPr>
            </w:pPr>
          </w:p>
        </w:tc>
        <w:tc>
          <w:tcPr>
            <w:tcW w:w="492" w:type="pct"/>
            <w:shd w:val="clear" w:color="auto" w:fill="auto"/>
            <w:vAlign w:val="bottom"/>
          </w:tcPr>
          <w:p w14:paraId="2470C7E2" w14:textId="77777777" w:rsidR="009C6E2F" w:rsidRDefault="009C6E2F">
            <w:pPr>
              <w:rPr>
                <w:rFonts w:ascii="宋体"/>
              </w:rPr>
            </w:pPr>
          </w:p>
        </w:tc>
        <w:tc>
          <w:tcPr>
            <w:tcW w:w="5" w:type="pct"/>
            <w:shd w:val="clear" w:color="auto" w:fill="auto"/>
            <w:vAlign w:val="bottom"/>
          </w:tcPr>
          <w:p w14:paraId="2470C7E3" w14:textId="77777777" w:rsidR="009C6E2F" w:rsidRDefault="009C6E2F">
            <w:pPr>
              <w:rPr>
                <w:rFonts w:ascii="宋体"/>
              </w:rPr>
            </w:pPr>
          </w:p>
        </w:tc>
        <w:tc>
          <w:tcPr>
            <w:tcW w:w="50" w:type="pct"/>
            <w:shd w:val="clear" w:color="auto" w:fill="auto"/>
            <w:vAlign w:val="bottom"/>
          </w:tcPr>
          <w:p w14:paraId="2470C7E4" w14:textId="77777777" w:rsidR="009C6E2F" w:rsidRDefault="009C6E2F">
            <w:pPr>
              <w:rPr>
                <w:rFonts w:ascii="宋体"/>
              </w:rPr>
            </w:pPr>
          </w:p>
        </w:tc>
        <w:tc>
          <w:tcPr>
            <w:tcW w:w="492" w:type="pct"/>
            <w:shd w:val="clear" w:color="auto" w:fill="auto"/>
            <w:vAlign w:val="bottom"/>
          </w:tcPr>
          <w:p w14:paraId="2470C7E5" w14:textId="77777777" w:rsidR="009C6E2F" w:rsidRDefault="009C6E2F">
            <w:pPr>
              <w:rPr>
                <w:rFonts w:ascii="宋体"/>
              </w:rPr>
            </w:pPr>
          </w:p>
        </w:tc>
        <w:tc>
          <w:tcPr>
            <w:tcW w:w="5" w:type="pct"/>
            <w:shd w:val="clear" w:color="auto" w:fill="auto"/>
            <w:vAlign w:val="bottom"/>
          </w:tcPr>
          <w:p w14:paraId="2470C7E6" w14:textId="77777777" w:rsidR="009C6E2F" w:rsidRDefault="009C6E2F">
            <w:pPr>
              <w:rPr>
                <w:rFonts w:ascii="宋体"/>
              </w:rPr>
            </w:pPr>
          </w:p>
        </w:tc>
        <w:tc>
          <w:tcPr>
            <w:tcW w:w="5" w:type="pct"/>
            <w:shd w:val="clear" w:color="auto" w:fill="auto"/>
            <w:vAlign w:val="bottom"/>
          </w:tcPr>
          <w:p w14:paraId="2470C7E7" w14:textId="77777777" w:rsidR="009C6E2F" w:rsidRDefault="009C6E2F">
            <w:pPr>
              <w:rPr>
                <w:rFonts w:ascii="宋体"/>
              </w:rPr>
            </w:pPr>
          </w:p>
        </w:tc>
        <w:tc>
          <w:tcPr>
            <w:tcW w:w="28" w:type="pct"/>
            <w:shd w:val="clear" w:color="auto" w:fill="auto"/>
            <w:vAlign w:val="bottom"/>
          </w:tcPr>
          <w:p w14:paraId="2470C7E8" w14:textId="77777777" w:rsidR="009C6E2F" w:rsidRDefault="009C6E2F">
            <w:pPr>
              <w:rPr>
                <w:rFonts w:ascii="宋体"/>
              </w:rPr>
            </w:pPr>
          </w:p>
        </w:tc>
        <w:tc>
          <w:tcPr>
            <w:tcW w:w="5" w:type="pct"/>
            <w:shd w:val="clear" w:color="auto" w:fill="auto"/>
            <w:vAlign w:val="bottom"/>
          </w:tcPr>
          <w:p w14:paraId="2470C7E9" w14:textId="77777777" w:rsidR="009C6E2F" w:rsidRDefault="009C6E2F">
            <w:pPr>
              <w:rPr>
                <w:rFonts w:ascii="宋体"/>
              </w:rPr>
            </w:pPr>
          </w:p>
        </w:tc>
        <w:tc>
          <w:tcPr>
            <w:tcW w:w="50" w:type="pct"/>
            <w:shd w:val="clear" w:color="auto" w:fill="auto"/>
            <w:vAlign w:val="bottom"/>
          </w:tcPr>
          <w:p w14:paraId="2470C7EA" w14:textId="77777777" w:rsidR="009C6E2F" w:rsidRDefault="009C6E2F">
            <w:pPr>
              <w:rPr>
                <w:rFonts w:ascii="宋体"/>
              </w:rPr>
            </w:pPr>
          </w:p>
        </w:tc>
        <w:tc>
          <w:tcPr>
            <w:tcW w:w="1411" w:type="pct"/>
            <w:shd w:val="clear" w:color="auto" w:fill="auto"/>
            <w:vAlign w:val="bottom"/>
          </w:tcPr>
          <w:p w14:paraId="2470C7EB" w14:textId="77777777" w:rsidR="009C6E2F" w:rsidRDefault="009C6E2F">
            <w:pPr>
              <w:rPr>
                <w:rFonts w:ascii="宋体"/>
              </w:rPr>
            </w:pPr>
          </w:p>
        </w:tc>
        <w:tc>
          <w:tcPr>
            <w:tcW w:w="5" w:type="pct"/>
            <w:shd w:val="clear" w:color="auto" w:fill="auto"/>
            <w:vAlign w:val="bottom"/>
          </w:tcPr>
          <w:p w14:paraId="2470C7EC" w14:textId="77777777" w:rsidR="009C6E2F" w:rsidRDefault="009C6E2F">
            <w:pPr>
              <w:rPr>
                <w:rFonts w:ascii="宋体"/>
              </w:rPr>
            </w:pPr>
          </w:p>
        </w:tc>
        <w:tc>
          <w:tcPr>
            <w:tcW w:w="5" w:type="pct"/>
            <w:shd w:val="clear" w:color="auto" w:fill="auto"/>
            <w:vAlign w:val="bottom"/>
          </w:tcPr>
          <w:p w14:paraId="2470C7ED" w14:textId="77777777" w:rsidR="009C6E2F" w:rsidRDefault="009C6E2F">
            <w:pPr>
              <w:rPr>
                <w:rFonts w:ascii="宋体"/>
              </w:rPr>
            </w:pPr>
          </w:p>
        </w:tc>
        <w:tc>
          <w:tcPr>
            <w:tcW w:w="28" w:type="pct"/>
            <w:shd w:val="clear" w:color="auto" w:fill="auto"/>
            <w:vAlign w:val="bottom"/>
          </w:tcPr>
          <w:p w14:paraId="2470C7EE" w14:textId="77777777" w:rsidR="009C6E2F" w:rsidRDefault="009C6E2F">
            <w:pPr>
              <w:rPr>
                <w:rFonts w:ascii="宋体"/>
              </w:rPr>
            </w:pPr>
          </w:p>
        </w:tc>
        <w:tc>
          <w:tcPr>
            <w:tcW w:w="5" w:type="pct"/>
            <w:shd w:val="clear" w:color="auto" w:fill="auto"/>
            <w:vAlign w:val="bottom"/>
          </w:tcPr>
          <w:p w14:paraId="2470C7EF" w14:textId="77777777" w:rsidR="009C6E2F" w:rsidRDefault="009C6E2F">
            <w:pPr>
              <w:rPr>
                <w:rFonts w:ascii="宋体"/>
              </w:rPr>
            </w:pPr>
          </w:p>
        </w:tc>
        <w:tc>
          <w:tcPr>
            <w:tcW w:w="50" w:type="pct"/>
            <w:shd w:val="clear" w:color="auto" w:fill="auto"/>
            <w:vAlign w:val="bottom"/>
          </w:tcPr>
          <w:p w14:paraId="2470C7F0" w14:textId="77777777" w:rsidR="009C6E2F" w:rsidRDefault="009C6E2F">
            <w:pPr>
              <w:rPr>
                <w:rFonts w:ascii="宋体"/>
              </w:rPr>
            </w:pPr>
          </w:p>
        </w:tc>
        <w:tc>
          <w:tcPr>
            <w:tcW w:w="492" w:type="pct"/>
            <w:shd w:val="clear" w:color="auto" w:fill="auto"/>
            <w:vAlign w:val="bottom"/>
          </w:tcPr>
          <w:p w14:paraId="2470C7F1" w14:textId="77777777" w:rsidR="009C6E2F" w:rsidRDefault="009C6E2F">
            <w:pPr>
              <w:rPr>
                <w:rFonts w:ascii="宋体"/>
              </w:rPr>
            </w:pPr>
          </w:p>
        </w:tc>
        <w:tc>
          <w:tcPr>
            <w:tcW w:w="5" w:type="pct"/>
            <w:shd w:val="clear" w:color="auto" w:fill="auto"/>
            <w:vAlign w:val="bottom"/>
          </w:tcPr>
          <w:p w14:paraId="2470C7F2" w14:textId="77777777" w:rsidR="009C6E2F" w:rsidRDefault="009C6E2F">
            <w:pPr>
              <w:rPr>
                <w:rFonts w:ascii="宋体"/>
              </w:rPr>
            </w:pPr>
          </w:p>
        </w:tc>
        <w:tc>
          <w:tcPr>
            <w:tcW w:w="50" w:type="pct"/>
            <w:shd w:val="clear" w:color="auto" w:fill="auto"/>
            <w:vAlign w:val="bottom"/>
          </w:tcPr>
          <w:p w14:paraId="2470C7F3" w14:textId="77777777" w:rsidR="009C6E2F" w:rsidRDefault="009C6E2F">
            <w:pPr>
              <w:rPr>
                <w:rFonts w:ascii="宋体"/>
              </w:rPr>
            </w:pPr>
          </w:p>
        </w:tc>
        <w:tc>
          <w:tcPr>
            <w:tcW w:w="493" w:type="pct"/>
            <w:shd w:val="clear" w:color="auto" w:fill="auto"/>
            <w:vAlign w:val="bottom"/>
          </w:tcPr>
          <w:p w14:paraId="2470C7F4" w14:textId="77777777" w:rsidR="009C6E2F" w:rsidRDefault="009C6E2F">
            <w:pPr>
              <w:rPr>
                <w:rFonts w:ascii="宋体"/>
              </w:rPr>
            </w:pPr>
          </w:p>
        </w:tc>
        <w:tc>
          <w:tcPr>
            <w:tcW w:w="5" w:type="pct"/>
            <w:shd w:val="clear" w:color="auto" w:fill="auto"/>
            <w:vAlign w:val="bottom"/>
          </w:tcPr>
          <w:p w14:paraId="2470C7F5" w14:textId="77777777" w:rsidR="009C6E2F" w:rsidRDefault="009C6E2F">
            <w:pPr>
              <w:rPr>
                <w:rFonts w:ascii="宋体"/>
              </w:rPr>
            </w:pPr>
          </w:p>
        </w:tc>
      </w:tr>
      <w:tr w:rsidR="009C6E2F" w14:paraId="2470C7FF" w14:textId="77777777">
        <w:trPr>
          <w:trHeight w:val="780"/>
        </w:trPr>
        <w:tc>
          <w:tcPr>
            <w:tcW w:w="0" w:type="auto"/>
            <w:gridSpan w:val="3"/>
            <w:vMerge w:val="restart"/>
            <w:shd w:val="clear" w:color="auto" w:fill="auto"/>
            <w:tcMar>
              <w:top w:w="40" w:type="dxa"/>
              <w:left w:w="20" w:type="dxa"/>
              <w:bottom w:w="40" w:type="dxa"/>
              <w:right w:w="20" w:type="dxa"/>
            </w:tcMar>
            <w:vAlign w:val="bottom"/>
          </w:tcPr>
          <w:p w14:paraId="2470C7F7" w14:textId="77777777" w:rsidR="009C6E2F" w:rsidRDefault="009C6E2F">
            <w:pPr>
              <w:pBdr>
                <w:top w:val="none" w:sz="0" w:space="0" w:color="auto"/>
                <w:left w:val="none" w:sz="0" w:space="0" w:color="auto"/>
                <w:bottom w:val="none" w:sz="0" w:space="0" w:color="auto"/>
                <w:right w:val="none" w:sz="0" w:space="0" w:color="auto"/>
              </w:pBdr>
              <w:textAlignment w:val="bottom"/>
            </w:pPr>
          </w:p>
          <w:p w14:paraId="2470C7F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6"/>
            <w:tcBorders>
              <w:bottom w:val="single" w:sz="8" w:space="0" w:color="E87722"/>
            </w:tcBorders>
            <w:shd w:val="clear" w:color="auto" w:fill="auto"/>
            <w:tcMar>
              <w:top w:w="40" w:type="dxa"/>
              <w:left w:w="20" w:type="dxa"/>
              <w:bottom w:w="40" w:type="dxa"/>
              <w:right w:w="20" w:type="dxa"/>
            </w:tcMar>
            <w:vAlign w:val="bottom"/>
          </w:tcPr>
          <w:p w14:paraId="2470C7F9"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AMOUNT OF GAIN (LOSS) RECOGNIZED IN OTHER </w:t>
            </w:r>
            <w:r>
              <w:rPr>
                <w:rFonts w:ascii="sans-serif" w:eastAsia="sans-serif" w:hAnsi="sans-serif" w:cs="sans-serif"/>
                <w:b/>
                <w:bCs/>
                <w:color w:val="000000"/>
                <w:sz w:val="17"/>
                <w:szCs w:val="17"/>
              </w:rPr>
              <w:br/>
              <w:t>COMPREHENSIVE INCOME (LOSS) ON DERIVATIVES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470C7FA" w14:textId="77777777" w:rsidR="009C6E2F" w:rsidRDefault="009C6E2F">
            <w:pPr>
              <w:rPr>
                <w:rFonts w:ascii="宋体"/>
              </w:rPr>
            </w:pPr>
          </w:p>
        </w:tc>
        <w:tc>
          <w:tcPr>
            <w:tcW w:w="0" w:type="auto"/>
            <w:gridSpan w:val="12"/>
            <w:tcBorders>
              <w:bottom w:val="single" w:sz="8" w:space="0" w:color="E87722"/>
            </w:tcBorders>
            <w:shd w:val="clear" w:color="auto" w:fill="auto"/>
            <w:tcMar>
              <w:top w:w="40" w:type="dxa"/>
              <w:left w:w="20" w:type="dxa"/>
              <w:bottom w:w="40" w:type="dxa"/>
              <w:right w:w="20" w:type="dxa"/>
            </w:tcMar>
            <w:vAlign w:val="bottom"/>
          </w:tcPr>
          <w:p w14:paraId="2470C7FB"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AMOUNT OF GAIN (LOSS) </w:t>
            </w:r>
          </w:p>
          <w:p w14:paraId="2470C7FC"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RECLASSIFIED FROM ACCUMULATED </w:t>
            </w:r>
          </w:p>
          <w:p w14:paraId="2470C7FD"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OTHER COMPREHENSIVE </w:t>
            </w:r>
          </w:p>
          <w:p w14:paraId="2470C7FE" w14:textId="77777777" w:rsidR="009C6E2F" w:rsidRDefault="007972BE">
            <w:pPr>
              <w:pBdr>
                <w:top w:val="none" w:sz="0" w:space="0" w:color="auto"/>
                <w:left w:val="none" w:sz="0" w:space="0" w:color="auto"/>
                <w:bottom w:val="none" w:sz="0" w:space="0" w:color="auto"/>
                <w:right w:val="none" w:sz="0" w:space="0" w:color="auto"/>
              </w:pBdr>
              <w:jc w:val="center"/>
              <w:textAlignment w:val="bottom"/>
            </w:pPr>
            <w:r>
              <w:rPr>
                <w:rFonts w:ascii="sans-serif" w:eastAsia="sans-serif" w:hAnsi="sans-serif" w:cs="sans-serif"/>
                <w:b/>
                <w:bCs/>
                <w:color w:val="000000"/>
                <w:sz w:val="17"/>
                <w:szCs w:val="17"/>
              </w:rPr>
              <w:t xml:space="preserve">INCOME (LOSS) INTO </w:t>
            </w:r>
            <w:r>
              <w:rPr>
                <w:rFonts w:ascii="sans-serif" w:eastAsia="sans-serif" w:hAnsi="sans-serif" w:cs="sans-serif"/>
                <w:b/>
                <w:bCs/>
                <w:color w:val="000000"/>
                <w:sz w:val="17"/>
                <w:szCs w:val="17"/>
              </w:rPr>
              <w:t>INCOME</w:t>
            </w:r>
            <w:r>
              <w:rPr>
                <w:rFonts w:ascii="sans-serif" w:eastAsia="sans-serif" w:hAnsi="sans-serif" w:cs="sans-serif"/>
                <w:b/>
                <w:bCs/>
                <w:color w:val="000000"/>
                <w:sz w:val="11"/>
                <w:szCs w:val="11"/>
              </w:rPr>
              <w:t>(1)</w:t>
            </w:r>
          </w:p>
        </w:tc>
      </w:tr>
      <w:tr w:rsidR="009C6E2F" w14:paraId="2470C806" w14:textId="77777777">
        <w:trPr>
          <w:trHeight w:val="520"/>
        </w:trPr>
        <w:tc>
          <w:tcPr>
            <w:tcW w:w="0" w:type="auto"/>
            <w:gridSpan w:val="3"/>
            <w:vMerge/>
            <w:shd w:val="clear" w:color="auto" w:fill="auto"/>
            <w:tcMar>
              <w:top w:w="40" w:type="dxa"/>
              <w:left w:w="20" w:type="dxa"/>
              <w:bottom w:w="40" w:type="dxa"/>
              <w:right w:w="20" w:type="dxa"/>
            </w:tcMar>
            <w:vAlign w:val="bottom"/>
          </w:tcPr>
          <w:p w14:paraId="2470C800"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801"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gridSpan w:val="3"/>
            <w:shd w:val="clear" w:color="auto" w:fill="auto"/>
            <w:tcMar>
              <w:top w:w="0" w:type="dxa"/>
              <w:left w:w="20" w:type="dxa"/>
              <w:bottom w:w="0" w:type="dxa"/>
              <w:right w:w="20" w:type="dxa"/>
            </w:tcMar>
            <w:vAlign w:val="bottom"/>
          </w:tcPr>
          <w:p w14:paraId="2470C802" w14:textId="77777777" w:rsidR="009C6E2F" w:rsidRDefault="009C6E2F">
            <w:pPr>
              <w:rPr>
                <w:rFonts w:ascii="宋体"/>
              </w:rPr>
            </w:pPr>
          </w:p>
        </w:tc>
        <w:tc>
          <w:tcPr>
            <w:tcW w:w="0" w:type="auto"/>
            <w:gridSpan w:val="3"/>
            <w:vMerge w:val="restart"/>
            <w:tcBorders>
              <w:top w:val="single" w:sz="8" w:space="0" w:color="E87722"/>
            </w:tcBorders>
            <w:shd w:val="clear" w:color="auto" w:fill="auto"/>
            <w:tcMar>
              <w:top w:w="40" w:type="dxa"/>
              <w:left w:w="20" w:type="dxa"/>
              <w:bottom w:w="40" w:type="dxa"/>
              <w:right w:w="20" w:type="dxa"/>
            </w:tcMar>
            <w:vAlign w:val="bottom"/>
          </w:tcPr>
          <w:p w14:paraId="2470C803" w14:textId="77777777" w:rsidR="009C6E2F" w:rsidRDefault="007972BE">
            <w:pPr>
              <w:jc w:val="right"/>
              <w:textAlignment w:val="bottom"/>
            </w:pPr>
            <w:r>
              <w:rPr>
                <w:rFonts w:ascii="sans-serif" w:eastAsia="sans-serif" w:hAnsi="sans-serif" w:cs="sans-serif"/>
                <w:b/>
                <w:bCs/>
                <w:color w:val="000000"/>
                <w:sz w:val="17"/>
                <w:szCs w:val="17"/>
              </w:rPr>
              <w:t xml:space="preserve">LOCATION OF GAIN (LOSS) </w:t>
            </w:r>
            <w:r>
              <w:rPr>
                <w:rFonts w:ascii="sans-serif" w:eastAsia="sans-serif" w:hAnsi="sans-serif" w:cs="sans-serif"/>
                <w:b/>
                <w:bCs/>
                <w:color w:val="000000"/>
                <w:sz w:val="17"/>
                <w:szCs w:val="17"/>
              </w:rPr>
              <w:br/>
              <w:t xml:space="preserve">RECLASSIFIED FROM ACCUMULATED </w:t>
            </w:r>
            <w:r>
              <w:rPr>
                <w:rFonts w:ascii="sans-serif" w:eastAsia="sans-serif" w:hAnsi="sans-serif" w:cs="sans-serif"/>
                <w:b/>
                <w:bCs/>
                <w:color w:val="000000"/>
                <w:sz w:val="17"/>
                <w:szCs w:val="17"/>
              </w:rPr>
              <w:br/>
              <w:t xml:space="preserve">OTHER COMPREHENSIVE INCOME </w:t>
            </w:r>
            <w:r>
              <w:rPr>
                <w:rFonts w:ascii="sans-serif" w:eastAsia="sans-serif" w:hAnsi="sans-serif" w:cs="sans-serif"/>
                <w:b/>
                <w:bCs/>
                <w:color w:val="000000"/>
                <w:sz w:val="17"/>
                <w:szCs w:val="17"/>
              </w:rPr>
              <w:br/>
              <w:t>(LOSS) INTO INCOME</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04"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805"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C80F" w14:textId="77777777">
        <w:trPr>
          <w:trHeight w:val="240"/>
        </w:trPr>
        <w:tc>
          <w:tcPr>
            <w:tcW w:w="0" w:type="auto"/>
            <w:gridSpan w:val="3"/>
            <w:vMerge/>
            <w:shd w:val="clear" w:color="auto" w:fill="auto"/>
            <w:tcMar>
              <w:top w:w="40" w:type="dxa"/>
              <w:left w:w="20" w:type="dxa"/>
              <w:bottom w:w="40" w:type="dxa"/>
              <w:right w:w="20" w:type="dxa"/>
            </w:tcMar>
            <w:vAlign w:val="bottom"/>
          </w:tcPr>
          <w:p w14:paraId="2470C807"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08"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09"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C80A" w14:textId="77777777" w:rsidR="009C6E2F" w:rsidRDefault="009C6E2F">
            <w:pPr>
              <w:rPr>
                <w:rFonts w:ascii="宋体"/>
              </w:rPr>
            </w:pPr>
          </w:p>
        </w:tc>
        <w:tc>
          <w:tcPr>
            <w:tcW w:w="0" w:type="auto"/>
            <w:gridSpan w:val="3"/>
            <w:vMerge/>
            <w:tcBorders>
              <w:top w:val="single" w:sz="8" w:space="0" w:color="E87722"/>
            </w:tcBorders>
            <w:shd w:val="clear" w:color="auto" w:fill="auto"/>
            <w:tcMar>
              <w:top w:w="40" w:type="dxa"/>
              <w:left w:w="20" w:type="dxa"/>
              <w:bottom w:w="40" w:type="dxa"/>
              <w:right w:w="20" w:type="dxa"/>
            </w:tcMar>
            <w:vAlign w:val="bottom"/>
          </w:tcPr>
          <w:p w14:paraId="2470C80B"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C80C"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0D"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0E"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C81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10"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Derivatives designated as </w:t>
            </w:r>
            <w:r>
              <w:rPr>
                <w:rFonts w:ascii="sans-serif" w:eastAsia="sans-serif" w:hAnsi="sans-serif" w:cs="sans-serif"/>
                <w:b/>
                <w:bCs/>
                <w:color w:val="000000"/>
                <w:sz w:val="17"/>
                <w:szCs w:val="17"/>
              </w:rPr>
              <w:br/>
            </w:r>
            <w:r>
              <w:rPr>
                <w:rFonts w:ascii="Arial" w:eastAsia="宋体" w:hAnsi="Arial" w:cs="Arial"/>
                <w:color w:val="000000"/>
                <w:sz w:val="17"/>
                <w:szCs w:val="17"/>
              </w:rPr>
              <w:t>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811"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1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1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1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15"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81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17" w14:textId="77777777" w:rsidR="009C6E2F" w:rsidRDefault="009C6E2F">
            <w:pPr>
              <w:rPr>
                <w:rFonts w:ascii="宋体"/>
              </w:rPr>
            </w:pPr>
          </w:p>
        </w:tc>
      </w:tr>
      <w:tr w:rsidR="009C6E2F" w14:paraId="2470C82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19"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81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81B"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1C"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81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81E"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1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20"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21" w14:textId="77777777" w:rsidR="009C6E2F" w:rsidRDefault="007972BE">
            <w:pPr>
              <w:jc w:val="right"/>
              <w:textAlignment w:val="bottom"/>
            </w:pPr>
            <w:r>
              <w:rPr>
                <w:rFonts w:ascii="Arial" w:eastAsia="宋体" w:hAnsi="Arial" w:cs="Arial"/>
                <w:color w:val="000000"/>
                <w:sz w:val="17"/>
                <w:szCs w:val="17"/>
              </w:rPr>
              <w:t>Revenues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22"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82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824" w14:textId="77777777" w:rsidR="009C6E2F" w:rsidRDefault="007972BE">
            <w:pPr>
              <w:jc w:val="right"/>
              <w:textAlignment w:val="bottom"/>
            </w:pPr>
            <w:r>
              <w:rPr>
                <w:rFonts w:ascii="Arial" w:eastAsia="宋体" w:hAnsi="Arial" w:cs="Arial"/>
                <w:color w:val="000000"/>
                <w:sz w:val="17"/>
                <w:szCs w:val="17"/>
              </w:rPr>
              <w:t>(41)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25"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82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827"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28" w14:textId="77777777" w:rsidR="009C6E2F" w:rsidRDefault="009C6E2F">
            <w:pPr>
              <w:jc w:val="right"/>
              <w:rPr>
                <w:rFonts w:ascii="宋体"/>
              </w:rPr>
            </w:pPr>
          </w:p>
        </w:tc>
      </w:tr>
      <w:tr w:rsidR="009C6E2F" w14:paraId="2470C83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2A"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Foreign exchange forwards</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2B" w14:textId="77777777" w:rsidR="009C6E2F" w:rsidRDefault="007972BE">
            <w:pPr>
              <w:jc w:val="right"/>
              <w:textAlignment w:val="bottom"/>
            </w:pPr>
            <w:r>
              <w:rPr>
                <w:rFonts w:ascii="Arial" w:eastAsia="宋体" w:hAnsi="Arial" w:cs="Arial"/>
                <w:color w:val="000000"/>
                <w:sz w:val="17"/>
                <w:szCs w:val="17"/>
              </w:rPr>
              <w:t>518 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2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2D" w14:textId="77777777" w:rsidR="009C6E2F" w:rsidRDefault="007972BE">
            <w:pPr>
              <w:jc w:val="right"/>
              <w:textAlignment w:val="bottom"/>
            </w:pPr>
            <w:r>
              <w:rPr>
                <w:rFonts w:ascii="Arial" w:eastAsia="宋体" w:hAnsi="Arial" w:cs="Arial"/>
                <w:color w:val="000000"/>
                <w:sz w:val="17"/>
                <w:szCs w:val="17"/>
              </w:rPr>
              <w:t>(440)</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2E"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2F"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30" w14:textId="77777777" w:rsidR="009C6E2F" w:rsidRDefault="007972BE">
            <w:pPr>
              <w:jc w:val="right"/>
              <w:textAlignment w:val="bottom"/>
            </w:pPr>
            <w:r>
              <w:rPr>
                <w:rFonts w:ascii="Arial" w:eastAsia="宋体" w:hAnsi="Arial" w:cs="Arial"/>
                <w:color w:val="000000"/>
                <w:sz w:val="17"/>
                <w:szCs w:val="17"/>
              </w:rPr>
              <w:t>Cost of sales</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3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32" w14:textId="77777777" w:rsidR="009C6E2F" w:rsidRDefault="007972BE">
            <w:pPr>
              <w:jc w:val="right"/>
              <w:textAlignment w:val="bottom"/>
            </w:pPr>
            <w:r>
              <w:rPr>
                <w:rFonts w:ascii="Arial" w:eastAsia="宋体" w:hAnsi="Arial" w:cs="Arial"/>
                <w:color w:val="000000"/>
                <w:sz w:val="17"/>
                <w:szCs w:val="17"/>
              </w:rPr>
              <w:t>(96)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3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34" w14:textId="77777777" w:rsidR="009C6E2F" w:rsidRDefault="007972BE">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35" w14:textId="77777777" w:rsidR="009C6E2F" w:rsidRDefault="009C6E2F">
            <w:pPr>
              <w:jc w:val="right"/>
              <w:rPr>
                <w:rFonts w:ascii="宋体"/>
              </w:rPr>
            </w:pPr>
          </w:p>
        </w:tc>
      </w:tr>
      <w:tr w:rsidR="009C6E2F" w14:paraId="2470C843"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837"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38"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3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3A"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3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3C"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3D" w14:textId="77777777" w:rsidR="009C6E2F" w:rsidRDefault="007972BE">
            <w:pPr>
              <w:jc w:val="right"/>
              <w:textAlignment w:val="bottom"/>
            </w:pPr>
            <w:r>
              <w:rPr>
                <w:rFonts w:ascii="Arial" w:eastAsia="宋体" w:hAnsi="Arial" w:cs="Arial"/>
                <w:color w:val="000000"/>
                <w:sz w:val="17"/>
                <w:szCs w:val="17"/>
              </w:rPr>
              <w:t>Demand creation expense</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3E"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3F"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4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41"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42" w14:textId="77777777" w:rsidR="009C6E2F" w:rsidRDefault="009C6E2F">
            <w:pPr>
              <w:jc w:val="right"/>
              <w:rPr>
                <w:rFonts w:ascii="宋体"/>
              </w:rPr>
            </w:pPr>
          </w:p>
        </w:tc>
      </w:tr>
      <w:tr w:rsidR="009C6E2F" w14:paraId="2470C85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44"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Foreign exchange forwards </w:t>
            </w:r>
            <w:r>
              <w:rPr>
                <w:rFonts w:ascii="sans-serif" w:eastAsia="sans-serif" w:hAnsi="sans-serif" w:cs="sans-serif"/>
                <w:b/>
                <w:bCs/>
                <w:color w:val="000000"/>
                <w:sz w:val="17"/>
                <w:szCs w:val="17"/>
              </w:rPr>
              <w:br/>
            </w:r>
            <w:r>
              <w:rPr>
                <w:rFonts w:ascii="Arial" w:eastAsia="宋体" w:hAnsi="Arial" w:cs="Arial"/>
                <w:color w:val="000000"/>
                <w:sz w:val="17"/>
                <w:szCs w:val="17"/>
              </w:rPr>
              <w:t>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45" w14:textId="77777777" w:rsidR="009C6E2F" w:rsidRDefault="007972BE">
            <w:pPr>
              <w:jc w:val="right"/>
              <w:textAlignment w:val="bottom"/>
            </w:pPr>
            <w:r>
              <w:rPr>
                <w:rFonts w:ascii="Arial" w:eastAsia="宋体" w:hAnsi="Arial" w:cs="Arial"/>
                <w:color w:val="000000"/>
                <w:sz w:val="17"/>
                <w:szCs w:val="17"/>
              </w:rPr>
              <w:t>273 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4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47" w14:textId="77777777" w:rsidR="009C6E2F" w:rsidRDefault="007972BE">
            <w:pPr>
              <w:jc w:val="right"/>
              <w:textAlignment w:val="bottom"/>
            </w:pPr>
            <w:r>
              <w:rPr>
                <w:rFonts w:ascii="Arial" w:eastAsia="宋体" w:hAnsi="Arial" w:cs="Arial"/>
                <w:color w:val="000000"/>
                <w:sz w:val="17"/>
                <w:szCs w:val="17"/>
              </w:rPr>
              <w:t>(159)</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48"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49"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4A" w14:textId="77777777" w:rsidR="009C6E2F" w:rsidRDefault="007972BE">
            <w:pPr>
              <w:jc w:val="right"/>
              <w:textAlignment w:val="bottom"/>
            </w:pPr>
            <w:r>
              <w:rPr>
                <w:rFonts w:ascii="Arial" w:eastAsia="宋体" w:hAnsi="Arial" w:cs="Arial"/>
                <w:color w:val="000000"/>
                <w:sz w:val="17"/>
                <w:szCs w:val="17"/>
              </w:rPr>
              <w:t>Other (income) expense,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4B"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4C"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4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4E" w14:textId="77777777" w:rsidR="009C6E2F" w:rsidRDefault="007972BE">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4F" w14:textId="77777777" w:rsidR="009C6E2F" w:rsidRDefault="009C6E2F">
            <w:pPr>
              <w:jc w:val="right"/>
              <w:rPr>
                <w:rFonts w:ascii="宋体"/>
              </w:rPr>
            </w:pPr>
          </w:p>
        </w:tc>
      </w:tr>
      <w:tr w:rsidR="009C6E2F" w14:paraId="2470C85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5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Interest rate swaps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52"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5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5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5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56"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57" w14:textId="77777777" w:rsidR="009C6E2F" w:rsidRDefault="007972BE">
            <w:pPr>
              <w:jc w:val="right"/>
              <w:textAlignment w:val="bottom"/>
            </w:pPr>
            <w:r>
              <w:rPr>
                <w:rFonts w:ascii="Arial" w:eastAsia="宋体" w:hAnsi="Arial" w:cs="Arial"/>
                <w:color w:val="000000"/>
                <w:sz w:val="17"/>
                <w:szCs w:val="17"/>
              </w:rPr>
              <w:t>Interest expense (income), net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58"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859"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5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85B"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5C" w14:textId="77777777" w:rsidR="009C6E2F" w:rsidRDefault="009C6E2F">
            <w:pPr>
              <w:jc w:val="right"/>
              <w:rPr>
                <w:rFonts w:ascii="宋体"/>
              </w:rPr>
            </w:pPr>
          </w:p>
        </w:tc>
      </w:tr>
      <w:tr w:rsidR="009C6E2F" w14:paraId="2470C86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85E" w14:textId="77777777" w:rsidR="009C6E2F" w:rsidRDefault="007972BE">
            <w:pPr>
              <w:textAlignment w:val="bottom"/>
            </w:pPr>
            <w:r>
              <w:rPr>
                <w:rFonts w:ascii="Arial" w:eastAsia="宋体" w:hAnsi="Arial" w:cs="Arial"/>
                <w:b/>
                <w:bCs/>
                <w:color w:val="000000"/>
                <w:sz w:val="17"/>
                <w:szCs w:val="17"/>
              </w:rPr>
              <w:t xml:space="preserve">TOTAL DESIGNATED CASH FLOW HEDGES </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85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860" w14:textId="77777777" w:rsidR="009C6E2F" w:rsidRDefault="007972BE">
            <w:pPr>
              <w:jc w:val="right"/>
              <w:textAlignment w:val="bottom"/>
            </w:pPr>
            <w:r>
              <w:rPr>
                <w:rFonts w:ascii="Arial" w:eastAsia="宋体" w:hAnsi="Arial" w:cs="Arial"/>
                <w:b/>
                <w:bCs/>
                <w:color w:val="000000"/>
                <w:sz w:val="17"/>
                <w:szCs w:val="17"/>
              </w:rPr>
              <w:t>751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861"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86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863" w14:textId="77777777" w:rsidR="009C6E2F" w:rsidRDefault="007972BE">
            <w:pPr>
              <w:jc w:val="right"/>
              <w:textAlignment w:val="bottom"/>
            </w:pPr>
            <w:r>
              <w:rPr>
                <w:rFonts w:ascii="Arial" w:eastAsia="宋体" w:hAnsi="Arial" w:cs="Arial"/>
                <w:b/>
                <w:bCs/>
                <w:color w:val="000000"/>
                <w:sz w:val="17"/>
                <w:szCs w:val="17"/>
              </w:rPr>
              <w:t>(590)</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864"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865"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866"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867"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86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869" w14:textId="77777777" w:rsidR="009C6E2F" w:rsidRDefault="007972BE">
            <w:pPr>
              <w:jc w:val="right"/>
              <w:textAlignment w:val="bottom"/>
            </w:pPr>
            <w:r>
              <w:rPr>
                <w:rFonts w:ascii="Arial" w:eastAsia="宋体" w:hAnsi="Arial" w:cs="Arial"/>
                <w:b/>
                <w:bCs/>
                <w:color w:val="000000"/>
                <w:sz w:val="17"/>
                <w:szCs w:val="17"/>
              </w:rPr>
              <w:t>(128)</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86A"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86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86C" w14:textId="77777777" w:rsidR="009C6E2F" w:rsidRDefault="007972BE">
            <w:pPr>
              <w:jc w:val="right"/>
              <w:textAlignment w:val="bottom"/>
            </w:pPr>
            <w:r>
              <w:rPr>
                <w:rFonts w:ascii="Arial" w:eastAsia="宋体" w:hAnsi="Arial" w:cs="Arial"/>
                <w:b/>
                <w:bCs/>
                <w:color w:val="000000"/>
                <w:sz w:val="17"/>
                <w:szCs w:val="17"/>
              </w:rPr>
              <w:t>178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86D" w14:textId="77777777" w:rsidR="009C6E2F" w:rsidRDefault="009C6E2F">
            <w:pPr>
              <w:jc w:val="right"/>
              <w:rPr>
                <w:rFonts w:ascii="宋体"/>
              </w:rPr>
            </w:pPr>
          </w:p>
        </w:tc>
      </w:tr>
    </w:tbl>
    <w:p w14:paraId="2470C86F"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(1)For the six months ended November 30, 2021 and 2020, the amounts recorded in Other (income) expense, net as a result of the discontinuance of cash flow hedges because the fore</w:t>
      </w:r>
      <w:r>
        <w:rPr>
          <w:rFonts w:ascii="Arial" w:eastAsia="宋体" w:hAnsi="Arial" w:cs="Arial"/>
          <w:i/>
          <w:iCs/>
          <w:color w:val="000000"/>
          <w:sz w:val="14"/>
          <w:szCs w:val="14"/>
        </w:rPr>
        <w:t>casted transactions were no longer probable of occurring were immaterial.</w:t>
      </w:r>
    </w:p>
    <w:p w14:paraId="2470C870"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(2)Gains and losses associated with terminated interest rate swaps, which were previously designated as cash flow hedges and recorded in Accumulated other comprehensive income (loss)</w:t>
      </w:r>
      <w:r>
        <w:rPr>
          <w:rFonts w:ascii="Arial" w:eastAsia="宋体" w:hAnsi="Arial" w:cs="Arial"/>
          <w:i/>
          <w:iCs/>
          <w:color w:val="000000"/>
          <w:sz w:val="14"/>
          <w:szCs w:val="14"/>
        </w:rPr>
        <w:t>, will be released through Interest expense (income), net over the term of the issued debt.</w:t>
      </w:r>
    </w:p>
    <w:tbl>
      <w:tblPr>
        <w:tblW w:w="5000" w:type="pct"/>
        <w:tblCellMar>
          <w:top w:w="15" w:type="dxa"/>
          <w:left w:w="15" w:type="dxa"/>
          <w:bottom w:w="15" w:type="dxa"/>
          <w:right w:w="15" w:type="dxa"/>
        </w:tblCellMar>
        <w:tblLook w:val="04A0" w:firstRow="1" w:lastRow="0" w:firstColumn="1" w:lastColumn="0" w:noHBand="0" w:noVBand="1"/>
      </w:tblPr>
      <w:tblGrid>
        <w:gridCol w:w="43"/>
        <w:gridCol w:w="2789"/>
        <w:gridCol w:w="37"/>
        <w:gridCol w:w="116"/>
        <w:gridCol w:w="704"/>
        <w:gridCol w:w="37"/>
        <w:gridCol w:w="116"/>
        <w:gridCol w:w="704"/>
        <w:gridCol w:w="37"/>
        <w:gridCol w:w="36"/>
        <w:gridCol w:w="36"/>
        <w:gridCol w:w="36"/>
        <w:gridCol w:w="116"/>
        <w:gridCol w:w="677"/>
        <w:gridCol w:w="37"/>
        <w:gridCol w:w="116"/>
        <w:gridCol w:w="705"/>
        <w:gridCol w:w="37"/>
        <w:gridCol w:w="44"/>
        <w:gridCol w:w="1877"/>
        <w:gridCol w:w="36"/>
      </w:tblGrid>
      <w:tr w:rsidR="009C6E2F" w14:paraId="2470C886" w14:textId="77777777">
        <w:tc>
          <w:tcPr>
            <w:tcW w:w="50" w:type="pct"/>
            <w:shd w:val="clear" w:color="auto" w:fill="auto"/>
            <w:vAlign w:val="bottom"/>
          </w:tcPr>
          <w:p w14:paraId="2470C871" w14:textId="77777777" w:rsidR="009C6E2F" w:rsidRDefault="009C6E2F">
            <w:pPr>
              <w:rPr>
                <w:rFonts w:ascii="宋体"/>
              </w:rPr>
            </w:pPr>
          </w:p>
        </w:tc>
        <w:tc>
          <w:tcPr>
            <w:tcW w:w="1696" w:type="pct"/>
            <w:shd w:val="clear" w:color="auto" w:fill="auto"/>
            <w:vAlign w:val="bottom"/>
          </w:tcPr>
          <w:p w14:paraId="2470C872" w14:textId="77777777" w:rsidR="009C6E2F" w:rsidRDefault="009C6E2F">
            <w:pPr>
              <w:rPr>
                <w:rFonts w:ascii="宋体"/>
              </w:rPr>
            </w:pPr>
          </w:p>
        </w:tc>
        <w:tc>
          <w:tcPr>
            <w:tcW w:w="5" w:type="pct"/>
            <w:shd w:val="clear" w:color="auto" w:fill="auto"/>
            <w:vAlign w:val="bottom"/>
          </w:tcPr>
          <w:p w14:paraId="2470C873" w14:textId="77777777" w:rsidR="009C6E2F" w:rsidRDefault="009C6E2F">
            <w:pPr>
              <w:rPr>
                <w:rFonts w:ascii="宋体"/>
              </w:rPr>
            </w:pPr>
          </w:p>
        </w:tc>
        <w:tc>
          <w:tcPr>
            <w:tcW w:w="50" w:type="pct"/>
            <w:shd w:val="clear" w:color="auto" w:fill="auto"/>
            <w:vAlign w:val="bottom"/>
          </w:tcPr>
          <w:p w14:paraId="2470C874" w14:textId="77777777" w:rsidR="009C6E2F" w:rsidRDefault="009C6E2F">
            <w:pPr>
              <w:rPr>
                <w:rFonts w:ascii="宋体"/>
              </w:rPr>
            </w:pPr>
          </w:p>
        </w:tc>
        <w:tc>
          <w:tcPr>
            <w:tcW w:w="446" w:type="pct"/>
            <w:shd w:val="clear" w:color="auto" w:fill="auto"/>
            <w:vAlign w:val="bottom"/>
          </w:tcPr>
          <w:p w14:paraId="2470C875" w14:textId="77777777" w:rsidR="009C6E2F" w:rsidRDefault="009C6E2F">
            <w:pPr>
              <w:rPr>
                <w:rFonts w:ascii="宋体"/>
              </w:rPr>
            </w:pPr>
          </w:p>
        </w:tc>
        <w:tc>
          <w:tcPr>
            <w:tcW w:w="5" w:type="pct"/>
            <w:shd w:val="clear" w:color="auto" w:fill="auto"/>
            <w:vAlign w:val="bottom"/>
          </w:tcPr>
          <w:p w14:paraId="2470C876" w14:textId="77777777" w:rsidR="009C6E2F" w:rsidRDefault="009C6E2F">
            <w:pPr>
              <w:rPr>
                <w:rFonts w:ascii="宋体"/>
              </w:rPr>
            </w:pPr>
          </w:p>
        </w:tc>
        <w:tc>
          <w:tcPr>
            <w:tcW w:w="50" w:type="pct"/>
            <w:shd w:val="clear" w:color="auto" w:fill="auto"/>
            <w:vAlign w:val="bottom"/>
          </w:tcPr>
          <w:p w14:paraId="2470C877" w14:textId="77777777" w:rsidR="009C6E2F" w:rsidRDefault="009C6E2F">
            <w:pPr>
              <w:rPr>
                <w:rFonts w:ascii="宋体"/>
              </w:rPr>
            </w:pPr>
          </w:p>
        </w:tc>
        <w:tc>
          <w:tcPr>
            <w:tcW w:w="446" w:type="pct"/>
            <w:shd w:val="clear" w:color="auto" w:fill="auto"/>
            <w:vAlign w:val="bottom"/>
          </w:tcPr>
          <w:p w14:paraId="2470C878" w14:textId="77777777" w:rsidR="009C6E2F" w:rsidRDefault="009C6E2F">
            <w:pPr>
              <w:rPr>
                <w:rFonts w:ascii="宋体"/>
              </w:rPr>
            </w:pPr>
          </w:p>
        </w:tc>
        <w:tc>
          <w:tcPr>
            <w:tcW w:w="5" w:type="pct"/>
            <w:shd w:val="clear" w:color="auto" w:fill="auto"/>
            <w:vAlign w:val="bottom"/>
          </w:tcPr>
          <w:p w14:paraId="2470C879" w14:textId="77777777" w:rsidR="009C6E2F" w:rsidRDefault="009C6E2F">
            <w:pPr>
              <w:rPr>
                <w:rFonts w:ascii="宋体"/>
              </w:rPr>
            </w:pPr>
          </w:p>
        </w:tc>
        <w:tc>
          <w:tcPr>
            <w:tcW w:w="5" w:type="pct"/>
            <w:shd w:val="clear" w:color="auto" w:fill="auto"/>
            <w:vAlign w:val="bottom"/>
          </w:tcPr>
          <w:p w14:paraId="2470C87A" w14:textId="77777777" w:rsidR="009C6E2F" w:rsidRDefault="009C6E2F">
            <w:pPr>
              <w:rPr>
                <w:rFonts w:ascii="宋体"/>
              </w:rPr>
            </w:pPr>
          </w:p>
        </w:tc>
        <w:tc>
          <w:tcPr>
            <w:tcW w:w="28" w:type="pct"/>
            <w:shd w:val="clear" w:color="auto" w:fill="auto"/>
            <w:vAlign w:val="bottom"/>
          </w:tcPr>
          <w:p w14:paraId="2470C87B" w14:textId="77777777" w:rsidR="009C6E2F" w:rsidRDefault="009C6E2F">
            <w:pPr>
              <w:rPr>
                <w:rFonts w:ascii="宋体"/>
              </w:rPr>
            </w:pPr>
          </w:p>
        </w:tc>
        <w:tc>
          <w:tcPr>
            <w:tcW w:w="5" w:type="pct"/>
            <w:shd w:val="clear" w:color="auto" w:fill="auto"/>
            <w:vAlign w:val="bottom"/>
          </w:tcPr>
          <w:p w14:paraId="2470C87C" w14:textId="77777777" w:rsidR="009C6E2F" w:rsidRDefault="009C6E2F">
            <w:pPr>
              <w:rPr>
                <w:rFonts w:ascii="宋体"/>
              </w:rPr>
            </w:pPr>
          </w:p>
        </w:tc>
        <w:tc>
          <w:tcPr>
            <w:tcW w:w="50" w:type="pct"/>
            <w:shd w:val="clear" w:color="auto" w:fill="auto"/>
            <w:vAlign w:val="bottom"/>
          </w:tcPr>
          <w:p w14:paraId="2470C87D" w14:textId="77777777" w:rsidR="009C6E2F" w:rsidRDefault="009C6E2F">
            <w:pPr>
              <w:rPr>
                <w:rFonts w:ascii="宋体"/>
              </w:rPr>
            </w:pPr>
          </w:p>
        </w:tc>
        <w:tc>
          <w:tcPr>
            <w:tcW w:w="446" w:type="pct"/>
            <w:shd w:val="clear" w:color="auto" w:fill="auto"/>
            <w:vAlign w:val="bottom"/>
          </w:tcPr>
          <w:p w14:paraId="2470C87E" w14:textId="77777777" w:rsidR="009C6E2F" w:rsidRDefault="009C6E2F">
            <w:pPr>
              <w:rPr>
                <w:rFonts w:ascii="宋体"/>
              </w:rPr>
            </w:pPr>
          </w:p>
        </w:tc>
        <w:tc>
          <w:tcPr>
            <w:tcW w:w="5" w:type="pct"/>
            <w:shd w:val="clear" w:color="auto" w:fill="auto"/>
            <w:vAlign w:val="bottom"/>
          </w:tcPr>
          <w:p w14:paraId="2470C87F" w14:textId="77777777" w:rsidR="009C6E2F" w:rsidRDefault="009C6E2F">
            <w:pPr>
              <w:rPr>
                <w:rFonts w:ascii="宋体"/>
              </w:rPr>
            </w:pPr>
          </w:p>
        </w:tc>
        <w:tc>
          <w:tcPr>
            <w:tcW w:w="50" w:type="pct"/>
            <w:shd w:val="clear" w:color="auto" w:fill="auto"/>
            <w:vAlign w:val="bottom"/>
          </w:tcPr>
          <w:p w14:paraId="2470C880" w14:textId="77777777" w:rsidR="009C6E2F" w:rsidRDefault="009C6E2F">
            <w:pPr>
              <w:rPr>
                <w:rFonts w:ascii="宋体"/>
              </w:rPr>
            </w:pPr>
          </w:p>
        </w:tc>
        <w:tc>
          <w:tcPr>
            <w:tcW w:w="446" w:type="pct"/>
            <w:shd w:val="clear" w:color="auto" w:fill="auto"/>
            <w:vAlign w:val="bottom"/>
          </w:tcPr>
          <w:p w14:paraId="2470C881" w14:textId="77777777" w:rsidR="009C6E2F" w:rsidRDefault="009C6E2F">
            <w:pPr>
              <w:rPr>
                <w:rFonts w:ascii="宋体"/>
              </w:rPr>
            </w:pPr>
          </w:p>
        </w:tc>
        <w:tc>
          <w:tcPr>
            <w:tcW w:w="5" w:type="pct"/>
            <w:shd w:val="clear" w:color="auto" w:fill="auto"/>
            <w:vAlign w:val="bottom"/>
          </w:tcPr>
          <w:p w14:paraId="2470C882" w14:textId="77777777" w:rsidR="009C6E2F" w:rsidRDefault="009C6E2F">
            <w:pPr>
              <w:rPr>
                <w:rFonts w:ascii="宋体"/>
              </w:rPr>
            </w:pPr>
          </w:p>
        </w:tc>
        <w:tc>
          <w:tcPr>
            <w:tcW w:w="50" w:type="pct"/>
            <w:shd w:val="clear" w:color="auto" w:fill="auto"/>
            <w:vAlign w:val="bottom"/>
          </w:tcPr>
          <w:p w14:paraId="2470C883" w14:textId="77777777" w:rsidR="009C6E2F" w:rsidRDefault="009C6E2F">
            <w:pPr>
              <w:rPr>
                <w:rFonts w:ascii="宋体"/>
              </w:rPr>
            </w:pPr>
          </w:p>
        </w:tc>
        <w:tc>
          <w:tcPr>
            <w:tcW w:w="1148" w:type="pct"/>
            <w:shd w:val="clear" w:color="auto" w:fill="auto"/>
            <w:vAlign w:val="bottom"/>
          </w:tcPr>
          <w:p w14:paraId="2470C884" w14:textId="77777777" w:rsidR="009C6E2F" w:rsidRDefault="009C6E2F">
            <w:pPr>
              <w:rPr>
                <w:rFonts w:ascii="宋体"/>
              </w:rPr>
            </w:pPr>
          </w:p>
        </w:tc>
        <w:tc>
          <w:tcPr>
            <w:tcW w:w="5" w:type="pct"/>
            <w:shd w:val="clear" w:color="auto" w:fill="auto"/>
            <w:vAlign w:val="bottom"/>
          </w:tcPr>
          <w:p w14:paraId="2470C885" w14:textId="77777777" w:rsidR="009C6E2F" w:rsidRDefault="009C6E2F">
            <w:pPr>
              <w:rPr>
                <w:rFonts w:ascii="宋体"/>
              </w:rPr>
            </w:pPr>
          </w:p>
        </w:tc>
      </w:tr>
      <w:tr w:rsidR="009C6E2F" w14:paraId="2470C88A" w14:textId="77777777">
        <w:trPr>
          <w:trHeight w:val="420"/>
        </w:trPr>
        <w:tc>
          <w:tcPr>
            <w:tcW w:w="0" w:type="auto"/>
            <w:gridSpan w:val="3"/>
            <w:shd w:val="clear" w:color="auto" w:fill="auto"/>
            <w:tcMar>
              <w:top w:w="0" w:type="dxa"/>
              <w:left w:w="20" w:type="dxa"/>
              <w:bottom w:w="0" w:type="dxa"/>
              <w:right w:w="20" w:type="dxa"/>
            </w:tcMar>
            <w:vAlign w:val="bottom"/>
          </w:tcPr>
          <w:p w14:paraId="2470C887"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C888" w14:textId="77777777" w:rsidR="009C6E2F" w:rsidRDefault="007972BE">
            <w:pPr>
              <w:jc w:val="center"/>
              <w:textAlignment w:val="bottom"/>
            </w:pPr>
            <w:r>
              <w:rPr>
                <w:rFonts w:ascii="sans-serif" w:eastAsia="sans-serif" w:hAnsi="sans-serif" w:cs="sans-serif"/>
                <w:b/>
                <w:bCs/>
                <w:color w:val="000000"/>
                <w:sz w:val="17"/>
                <w:szCs w:val="17"/>
              </w:rPr>
              <w:t xml:space="preserve">AMOUNT OF GAIN (LOSS) RECOGNIZED </w:t>
            </w:r>
            <w:r>
              <w:rPr>
                <w:rFonts w:ascii="sans-serif" w:eastAsia="sans-serif" w:hAnsi="sans-serif" w:cs="sans-serif"/>
                <w:b/>
                <w:bCs/>
                <w:color w:val="000000"/>
                <w:sz w:val="17"/>
                <w:szCs w:val="17"/>
              </w:rPr>
              <w:br/>
              <w:t>IN INCOME ON DERIVATIVES</w:t>
            </w:r>
          </w:p>
        </w:tc>
        <w:tc>
          <w:tcPr>
            <w:tcW w:w="0" w:type="auto"/>
            <w:gridSpan w:val="3"/>
            <w:vMerge w:val="restart"/>
            <w:shd w:val="clear" w:color="auto" w:fill="auto"/>
            <w:tcMar>
              <w:top w:w="40" w:type="dxa"/>
              <w:left w:w="20" w:type="dxa"/>
              <w:bottom w:w="40" w:type="dxa"/>
              <w:right w:w="20" w:type="dxa"/>
            </w:tcMar>
            <w:vAlign w:val="bottom"/>
          </w:tcPr>
          <w:p w14:paraId="2470C889" w14:textId="77777777" w:rsidR="009C6E2F" w:rsidRDefault="007972BE">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RECOGNIZED IN INCOME</w:t>
            </w:r>
            <w:r>
              <w:rPr>
                <w:rFonts w:ascii="sans-serif" w:eastAsia="sans-serif" w:hAnsi="sans-serif" w:cs="sans-serif"/>
                <w:b/>
                <w:bCs/>
                <w:color w:val="000000"/>
                <w:sz w:val="17"/>
                <w:szCs w:val="17"/>
              </w:rPr>
              <w:br/>
              <w:t>ON DERIVATIVES</w:t>
            </w:r>
          </w:p>
        </w:tc>
      </w:tr>
      <w:tr w:rsidR="009C6E2F" w14:paraId="2470C890" w14:textId="77777777">
        <w:trPr>
          <w:trHeight w:val="420"/>
        </w:trPr>
        <w:tc>
          <w:tcPr>
            <w:tcW w:w="0" w:type="auto"/>
            <w:gridSpan w:val="3"/>
            <w:shd w:val="clear" w:color="auto" w:fill="auto"/>
            <w:tcMar>
              <w:top w:w="0" w:type="dxa"/>
              <w:left w:w="20" w:type="dxa"/>
              <w:bottom w:w="0" w:type="dxa"/>
              <w:right w:w="20" w:type="dxa"/>
            </w:tcMar>
            <w:vAlign w:val="bottom"/>
          </w:tcPr>
          <w:p w14:paraId="2470C88B"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88C"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8D"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88E"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gridSpan w:val="3"/>
            <w:vMerge/>
            <w:shd w:val="clear" w:color="auto" w:fill="auto"/>
            <w:tcMar>
              <w:top w:w="40" w:type="dxa"/>
              <w:left w:w="20" w:type="dxa"/>
              <w:bottom w:w="40" w:type="dxa"/>
              <w:right w:w="20" w:type="dxa"/>
            </w:tcMar>
            <w:vAlign w:val="bottom"/>
          </w:tcPr>
          <w:p w14:paraId="2470C88F" w14:textId="77777777" w:rsidR="009C6E2F" w:rsidRDefault="009C6E2F">
            <w:pPr>
              <w:jc w:val="right"/>
              <w:rPr>
                <w:rFonts w:ascii="宋体"/>
              </w:rPr>
            </w:pPr>
          </w:p>
        </w:tc>
      </w:tr>
      <w:tr w:rsidR="009C6E2F" w14:paraId="2470C898" w14:textId="77777777">
        <w:trPr>
          <w:trHeight w:val="240"/>
        </w:trPr>
        <w:tc>
          <w:tcPr>
            <w:tcW w:w="0" w:type="auto"/>
            <w:gridSpan w:val="3"/>
            <w:shd w:val="clear" w:color="auto" w:fill="auto"/>
            <w:tcMar>
              <w:top w:w="40" w:type="dxa"/>
              <w:left w:w="20" w:type="dxa"/>
              <w:bottom w:w="40" w:type="dxa"/>
              <w:right w:w="20" w:type="dxa"/>
            </w:tcMar>
            <w:vAlign w:val="bottom"/>
          </w:tcPr>
          <w:p w14:paraId="2470C89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92"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93"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C894"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95"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96"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vMerge/>
            <w:shd w:val="clear" w:color="auto" w:fill="auto"/>
            <w:tcMar>
              <w:top w:w="40" w:type="dxa"/>
              <w:left w:w="20" w:type="dxa"/>
              <w:bottom w:w="40" w:type="dxa"/>
              <w:right w:w="20" w:type="dxa"/>
            </w:tcMar>
            <w:vAlign w:val="bottom"/>
          </w:tcPr>
          <w:p w14:paraId="2470C897" w14:textId="77777777" w:rsidR="009C6E2F" w:rsidRDefault="009C6E2F">
            <w:pPr>
              <w:jc w:val="right"/>
              <w:rPr>
                <w:rFonts w:ascii="宋体"/>
              </w:rPr>
            </w:pPr>
          </w:p>
        </w:tc>
      </w:tr>
      <w:tr w:rsidR="009C6E2F" w14:paraId="2470C8A0" w14:textId="77777777">
        <w:trPr>
          <w:hidden/>
        </w:trPr>
        <w:tc>
          <w:tcPr>
            <w:tcW w:w="0" w:type="auto"/>
            <w:gridSpan w:val="3"/>
            <w:shd w:val="clear" w:color="auto" w:fill="auto"/>
            <w:vAlign w:val="bottom"/>
          </w:tcPr>
          <w:p w14:paraId="2470C899" w14:textId="77777777" w:rsidR="009C6E2F" w:rsidRDefault="009C6E2F">
            <w:pPr>
              <w:rPr>
                <w:rFonts w:ascii="宋体"/>
                <w:vanish/>
              </w:rPr>
            </w:pPr>
          </w:p>
        </w:tc>
        <w:tc>
          <w:tcPr>
            <w:tcW w:w="0" w:type="auto"/>
            <w:gridSpan w:val="3"/>
            <w:shd w:val="clear" w:color="auto" w:fill="auto"/>
            <w:vAlign w:val="bottom"/>
          </w:tcPr>
          <w:p w14:paraId="2470C89A" w14:textId="77777777" w:rsidR="009C6E2F" w:rsidRDefault="009C6E2F">
            <w:pPr>
              <w:rPr>
                <w:rFonts w:ascii="宋体"/>
                <w:vanish/>
              </w:rPr>
            </w:pPr>
          </w:p>
        </w:tc>
        <w:tc>
          <w:tcPr>
            <w:tcW w:w="0" w:type="auto"/>
            <w:gridSpan w:val="3"/>
            <w:shd w:val="clear" w:color="auto" w:fill="auto"/>
            <w:vAlign w:val="bottom"/>
          </w:tcPr>
          <w:p w14:paraId="2470C89B" w14:textId="77777777" w:rsidR="009C6E2F" w:rsidRDefault="009C6E2F">
            <w:pPr>
              <w:rPr>
                <w:rFonts w:ascii="宋体"/>
                <w:vanish/>
              </w:rPr>
            </w:pPr>
          </w:p>
        </w:tc>
        <w:tc>
          <w:tcPr>
            <w:tcW w:w="0" w:type="auto"/>
            <w:gridSpan w:val="3"/>
            <w:shd w:val="clear" w:color="auto" w:fill="auto"/>
            <w:vAlign w:val="bottom"/>
          </w:tcPr>
          <w:p w14:paraId="2470C89C" w14:textId="77777777" w:rsidR="009C6E2F" w:rsidRDefault="009C6E2F">
            <w:pPr>
              <w:rPr>
                <w:rFonts w:ascii="宋体"/>
                <w:vanish/>
              </w:rPr>
            </w:pPr>
          </w:p>
        </w:tc>
        <w:tc>
          <w:tcPr>
            <w:tcW w:w="0" w:type="auto"/>
            <w:gridSpan w:val="3"/>
            <w:shd w:val="clear" w:color="auto" w:fill="auto"/>
            <w:vAlign w:val="bottom"/>
          </w:tcPr>
          <w:p w14:paraId="2470C89D" w14:textId="77777777" w:rsidR="009C6E2F" w:rsidRDefault="009C6E2F">
            <w:pPr>
              <w:rPr>
                <w:rFonts w:ascii="宋体"/>
                <w:vanish/>
              </w:rPr>
            </w:pPr>
          </w:p>
        </w:tc>
        <w:tc>
          <w:tcPr>
            <w:tcW w:w="0" w:type="auto"/>
            <w:gridSpan w:val="3"/>
            <w:shd w:val="clear" w:color="auto" w:fill="auto"/>
            <w:vAlign w:val="bottom"/>
          </w:tcPr>
          <w:p w14:paraId="2470C89E" w14:textId="77777777" w:rsidR="009C6E2F" w:rsidRDefault="009C6E2F">
            <w:pPr>
              <w:rPr>
                <w:rFonts w:ascii="宋体"/>
                <w:vanish/>
              </w:rPr>
            </w:pPr>
          </w:p>
        </w:tc>
        <w:tc>
          <w:tcPr>
            <w:tcW w:w="0" w:type="auto"/>
            <w:gridSpan w:val="3"/>
            <w:shd w:val="clear" w:color="auto" w:fill="auto"/>
            <w:vAlign w:val="bottom"/>
          </w:tcPr>
          <w:p w14:paraId="2470C89F" w14:textId="77777777" w:rsidR="009C6E2F" w:rsidRDefault="009C6E2F">
            <w:pPr>
              <w:rPr>
                <w:rFonts w:ascii="宋体"/>
                <w:vanish/>
              </w:rPr>
            </w:pPr>
          </w:p>
        </w:tc>
      </w:tr>
      <w:tr w:rsidR="009C6E2F" w14:paraId="2470C8A8" w14:textId="77777777">
        <w:trPr>
          <w:hidden/>
        </w:trPr>
        <w:tc>
          <w:tcPr>
            <w:tcW w:w="0" w:type="auto"/>
            <w:gridSpan w:val="3"/>
            <w:shd w:val="clear" w:color="auto" w:fill="auto"/>
            <w:vAlign w:val="bottom"/>
          </w:tcPr>
          <w:p w14:paraId="2470C8A1" w14:textId="77777777" w:rsidR="009C6E2F" w:rsidRDefault="009C6E2F">
            <w:pPr>
              <w:rPr>
                <w:rFonts w:ascii="宋体"/>
                <w:vanish/>
              </w:rPr>
            </w:pPr>
          </w:p>
        </w:tc>
        <w:tc>
          <w:tcPr>
            <w:tcW w:w="0" w:type="auto"/>
            <w:gridSpan w:val="3"/>
            <w:shd w:val="clear" w:color="auto" w:fill="auto"/>
            <w:vAlign w:val="bottom"/>
          </w:tcPr>
          <w:p w14:paraId="2470C8A2" w14:textId="77777777" w:rsidR="009C6E2F" w:rsidRDefault="009C6E2F">
            <w:pPr>
              <w:rPr>
                <w:rFonts w:ascii="宋体"/>
                <w:vanish/>
              </w:rPr>
            </w:pPr>
          </w:p>
        </w:tc>
        <w:tc>
          <w:tcPr>
            <w:tcW w:w="0" w:type="auto"/>
            <w:gridSpan w:val="3"/>
            <w:shd w:val="clear" w:color="auto" w:fill="auto"/>
            <w:vAlign w:val="bottom"/>
          </w:tcPr>
          <w:p w14:paraId="2470C8A3" w14:textId="77777777" w:rsidR="009C6E2F" w:rsidRDefault="009C6E2F">
            <w:pPr>
              <w:rPr>
                <w:rFonts w:ascii="宋体"/>
                <w:vanish/>
              </w:rPr>
            </w:pPr>
          </w:p>
        </w:tc>
        <w:tc>
          <w:tcPr>
            <w:tcW w:w="0" w:type="auto"/>
            <w:gridSpan w:val="3"/>
            <w:shd w:val="clear" w:color="auto" w:fill="auto"/>
            <w:vAlign w:val="bottom"/>
          </w:tcPr>
          <w:p w14:paraId="2470C8A4" w14:textId="77777777" w:rsidR="009C6E2F" w:rsidRDefault="009C6E2F">
            <w:pPr>
              <w:rPr>
                <w:rFonts w:ascii="宋体"/>
                <w:vanish/>
              </w:rPr>
            </w:pPr>
          </w:p>
        </w:tc>
        <w:tc>
          <w:tcPr>
            <w:tcW w:w="0" w:type="auto"/>
            <w:gridSpan w:val="3"/>
            <w:shd w:val="clear" w:color="auto" w:fill="auto"/>
            <w:vAlign w:val="bottom"/>
          </w:tcPr>
          <w:p w14:paraId="2470C8A5" w14:textId="77777777" w:rsidR="009C6E2F" w:rsidRDefault="009C6E2F">
            <w:pPr>
              <w:rPr>
                <w:rFonts w:ascii="宋体"/>
                <w:vanish/>
              </w:rPr>
            </w:pPr>
          </w:p>
        </w:tc>
        <w:tc>
          <w:tcPr>
            <w:tcW w:w="0" w:type="auto"/>
            <w:gridSpan w:val="3"/>
            <w:shd w:val="clear" w:color="auto" w:fill="auto"/>
            <w:vAlign w:val="bottom"/>
          </w:tcPr>
          <w:p w14:paraId="2470C8A6" w14:textId="77777777" w:rsidR="009C6E2F" w:rsidRDefault="009C6E2F">
            <w:pPr>
              <w:rPr>
                <w:rFonts w:ascii="宋体"/>
                <w:vanish/>
              </w:rPr>
            </w:pPr>
          </w:p>
        </w:tc>
        <w:tc>
          <w:tcPr>
            <w:tcW w:w="0" w:type="auto"/>
            <w:gridSpan w:val="3"/>
            <w:shd w:val="clear" w:color="auto" w:fill="auto"/>
            <w:vAlign w:val="bottom"/>
          </w:tcPr>
          <w:p w14:paraId="2470C8A7" w14:textId="77777777" w:rsidR="009C6E2F" w:rsidRDefault="009C6E2F">
            <w:pPr>
              <w:rPr>
                <w:rFonts w:ascii="宋体"/>
                <w:vanish/>
              </w:rPr>
            </w:pPr>
          </w:p>
        </w:tc>
      </w:tr>
      <w:tr w:rsidR="009C6E2F" w14:paraId="2470C8B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8A9" w14:textId="77777777" w:rsidR="009C6E2F" w:rsidRDefault="007972BE">
            <w:pPr>
              <w:textAlignment w:val="bottom"/>
            </w:pPr>
            <w:r>
              <w:rPr>
                <w:rFonts w:ascii="Arial" w:eastAsia="宋体" w:hAnsi="Arial" w:cs="Arial"/>
                <w:color w:val="000000"/>
                <w:sz w:val="17"/>
                <w:szCs w:val="17"/>
              </w:rPr>
              <w:t>Derivatives not designated as hedging instruments: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8A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A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AC"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8A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A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8AF" w14:textId="77777777" w:rsidR="009C6E2F" w:rsidRDefault="009C6E2F">
            <w:pPr>
              <w:rPr>
                <w:rFonts w:ascii="宋体"/>
              </w:rPr>
            </w:pPr>
          </w:p>
        </w:tc>
      </w:tr>
      <w:tr w:rsidR="009C6E2F" w14:paraId="2470C8C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8B1"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8B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8B3"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B4"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8B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8B6" w14:textId="77777777" w:rsidR="009C6E2F" w:rsidRDefault="007972BE">
            <w:pPr>
              <w:jc w:val="right"/>
              <w:textAlignment w:val="bottom"/>
            </w:pPr>
            <w:r>
              <w:rPr>
                <w:rFonts w:ascii="Arial" w:eastAsia="宋体" w:hAnsi="Arial" w:cs="Arial"/>
                <w:color w:val="000000"/>
                <w:sz w:val="17"/>
                <w:szCs w:val="17"/>
              </w:rPr>
              <w:t>(49)</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B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8B8"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8B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8BA" w14:textId="77777777" w:rsidR="009C6E2F" w:rsidRDefault="007972BE">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8BB"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8B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8BD" w14:textId="77777777" w:rsidR="009C6E2F" w:rsidRDefault="007972BE">
            <w:pPr>
              <w:jc w:val="right"/>
              <w:textAlignment w:val="bottom"/>
            </w:pPr>
            <w:r>
              <w:rPr>
                <w:rFonts w:ascii="Arial" w:eastAsia="宋体" w:hAnsi="Arial" w:cs="Arial"/>
                <w:color w:val="000000"/>
                <w:sz w:val="17"/>
                <w:szCs w:val="17"/>
              </w:rPr>
              <w:t>(87)</w:t>
            </w:r>
          </w:p>
        </w:tc>
        <w:tc>
          <w:tcPr>
            <w:tcW w:w="0" w:type="auto"/>
            <w:tcBorders>
              <w:top w:val="single" w:sz="4" w:space="0" w:color="808080"/>
            </w:tcBorders>
            <w:shd w:val="clear" w:color="auto" w:fill="auto"/>
            <w:tcMar>
              <w:top w:w="40" w:type="dxa"/>
              <w:left w:w="0" w:type="dxa"/>
              <w:bottom w:w="40" w:type="dxa"/>
              <w:right w:w="20" w:type="dxa"/>
            </w:tcMar>
            <w:vAlign w:val="bottom"/>
          </w:tcPr>
          <w:p w14:paraId="2470C8BE" w14:textId="77777777" w:rsidR="009C6E2F" w:rsidRDefault="009C6E2F">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8BF" w14:textId="77777777" w:rsidR="009C6E2F" w:rsidRDefault="007972BE">
            <w:pPr>
              <w:jc w:val="right"/>
              <w:textAlignment w:val="bottom"/>
            </w:pPr>
            <w:r>
              <w:rPr>
                <w:rFonts w:ascii="Arial" w:eastAsia="宋体" w:hAnsi="Arial" w:cs="Arial"/>
                <w:color w:val="000000"/>
                <w:sz w:val="17"/>
                <w:szCs w:val="17"/>
              </w:rPr>
              <w:t>Other (income) expense, net</w:t>
            </w:r>
          </w:p>
        </w:tc>
      </w:tr>
      <w:tr w:rsidR="009C6E2F" w14:paraId="2470C8CC"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470C8C1" w14:textId="77777777" w:rsidR="009C6E2F" w:rsidRDefault="007972BE">
            <w:pPr>
              <w:textAlignment w:val="bottom"/>
            </w:pPr>
            <w:r>
              <w:rPr>
                <w:rFonts w:ascii="Arial" w:eastAsia="宋体" w:hAnsi="Arial" w:cs="Arial"/>
                <w:color w:val="000000"/>
                <w:sz w:val="17"/>
                <w:szCs w:val="17"/>
              </w:rPr>
              <w:t>Embedded derivatives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8C2" w14:textId="77777777" w:rsidR="009C6E2F" w:rsidRDefault="007972BE">
            <w:pPr>
              <w:jc w:val="right"/>
              <w:textAlignment w:val="bottom"/>
            </w:pPr>
            <w:r>
              <w:rPr>
                <w:rFonts w:ascii="Arial" w:eastAsia="宋体" w:hAnsi="Arial" w:cs="Arial"/>
                <w:color w:val="000000"/>
                <w:sz w:val="17"/>
                <w:szCs w:val="17"/>
              </w:rPr>
              <w:t>(4)</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8C3"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8C4" w14:textId="77777777" w:rsidR="009C6E2F" w:rsidRDefault="007972BE">
            <w:pPr>
              <w:jc w:val="right"/>
              <w:textAlignment w:val="bottom"/>
            </w:pPr>
            <w:r>
              <w:rPr>
                <w:rFonts w:ascii="Arial" w:eastAsia="宋体" w:hAnsi="Arial" w:cs="Arial"/>
                <w:color w:val="000000"/>
                <w:sz w:val="17"/>
                <w:szCs w:val="17"/>
              </w:rPr>
              <w:t>(9)</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8C5" w14:textId="77777777" w:rsidR="009C6E2F" w:rsidRDefault="009C6E2F">
            <w:pPr>
              <w:jc w:val="right"/>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C8C6" w14:textId="77777777" w:rsidR="009C6E2F" w:rsidRDefault="009C6E2F">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C8C7" w14:textId="77777777" w:rsidR="009C6E2F" w:rsidRDefault="007972BE">
            <w:pPr>
              <w:jc w:val="right"/>
              <w:textAlignment w:val="bottom"/>
            </w:pPr>
            <w:r>
              <w:rPr>
                <w:rFonts w:ascii="Arial" w:eastAsia="宋体" w:hAnsi="Arial" w:cs="Arial"/>
                <w:color w:val="000000"/>
                <w:sz w:val="17"/>
                <w:szCs w:val="17"/>
              </w:rPr>
              <w:t>(9)</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C8C8"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C8C9" w14:textId="77777777" w:rsidR="009C6E2F" w:rsidRDefault="007972BE">
            <w:pPr>
              <w:jc w:val="right"/>
              <w:textAlignment w:val="bottom"/>
            </w:pPr>
            <w:r>
              <w:rPr>
                <w:rFonts w:ascii="Arial" w:eastAsia="宋体" w:hAnsi="Arial" w:cs="Arial"/>
                <w:color w:val="000000"/>
                <w:sz w:val="17"/>
                <w:szCs w:val="17"/>
              </w:rPr>
              <w:t>(13)</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C8CA" w14:textId="77777777" w:rsidR="009C6E2F" w:rsidRDefault="009C6E2F">
            <w:pPr>
              <w:jc w:val="right"/>
              <w:rPr>
                <w:rFonts w:ascii="宋体"/>
              </w:rPr>
            </w:pP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C8CB" w14:textId="77777777" w:rsidR="009C6E2F" w:rsidRDefault="007972BE">
            <w:pPr>
              <w:jc w:val="right"/>
              <w:textAlignment w:val="bottom"/>
            </w:pPr>
            <w:r>
              <w:rPr>
                <w:rFonts w:ascii="Arial" w:eastAsia="宋体" w:hAnsi="Arial" w:cs="Arial"/>
                <w:color w:val="000000"/>
                <w:sz w:val="17"/>
                <w:szCs w:val="17"/>
              </w:rPr>
              <w:t>Other (income) expense, net</w:t>
            </w:r>
          </w:p>
        </w:tc>
      </w:tr>
    </w:tbl>
    <w:p w14:paraId="2470C8CD" w14:textId="77777777" w:rsidR="009C6E2F" w:rsidRDefault="007972BE">
      <w:pPr>
        <w:spacing w:before="240" w:after="120"/>
      </w:pPr>
      <w:r>
        <w:rPr>
          <w:rFonts w:ascii="sans-serif" w:eastAsia="sans-serif" w:hAnsi="sans-serif" w:cs="sans-serif"/>
          <w:b/>
          <w:bCs/>
          <w:color w:val="000000"/>
          <w:sz w:val="28"/>
          <w:szCs w:val="28"/>
        </w:rPr>
        <w:t>CASH FLOW HEDGES</w:t>
      </w:r>
    </w:p>
    <w:p w14:paraId="2470C8CE" w14:textId="77777777" w:rsidR="009C6E2F" w:rsidRDefault="007972BE">
      <w:pPr>
        <w:spacing w:before="120" w:after="120"/>
      </w:pPr>
      <w:r>
        <w:rPr>
          <w:rFonts w:ascii="Arial" w:eastAsia="宋体" w:hAnsi="Arial" w:cs="Arial"/>
          <w:color w:val="000000"/>
          <w:sz w:val="17"/>
          <w:szCs w:val="17"/>
        </w:rPr>
        <w:t>All changes in fair value of derivatives designated as cash flow hedge instruments are recorded in Accumulated other comprehensive income (loss) until Net income is affected by the variability of cash flows of the he</w:t>
      </w:r>
      <w:r>
        <w:rPr>
          <w:rFonts w:ascii="Arial" w:eastAsia="宋体" w:hAnsi="Arial" w:cs="Arial"/>
          <w:color w:val="000000"/>
          <w:sz w:val="17"/>
          <w:szCs w:val="17"/>
        </w:rPr>
        <w:t>dged transaction. Effective hedge results are classified in the Unaudited Condensed Consolidated Statements of Income in the same manner as the underlying exposure. When it is no longer probable the forecasted hedged transaction will occur in the initially</w:t>
      </w:r>
      <w:r>
        <w:rPr>
          <w:rFonts w:ascii="Arial" w:eastAsia="宋体" w:hAnsi="Arial" w:cs="Arial"/>
          <w:color w:val="000000"/>
          <w:sz w:val="17"/>
          <w:szCs w:val="17"/>
        </w:rPr>
        <w:t xml:space="preserve"> identified time period, hedge accounting is discontinued and the Company accounts for the associated derivative as an undesignated instrument as discussed below. Additionally, the gains and losses associated with derivatives no longer designated as cash f</w:t>
      </w:r>
      <w:r>
        <w:rPr>
          <w:rFonts w:ascii="Arial" w:eastAsia="宋体" w:hAnsi="Arial" w:cs="Arial"/>
          <w:color w:val="000000"/>
          <w:sz w:val="17"/>
          <w:szCs w:val="17"/>
        </w:rPr>
        <w:t>low hedge instruments in Accumulated other comprehensive income (loss) are recognized immediately in Other (income) expense, net, if it is probable the forecasted hedged transaction will not occur by the end of the initially identified time period or withi</w:t>
      </w:r>
      <w:r>
        <w:rPr>
          <w:rFonts w:ascii="Arial" w:eastAsia="宋体" w:hAnsi="Arial" w:cs="Arial"/>
          <w:color w:val="000000"/>
          <w:sz w:val="17"/>
          <w:szCs w:val="17"/>
        </w:rPr>
        <w:t>n an additional two-month period thereafter. In rare circumstances, the additional period of time may exceed two months due to extenuating circumstances related to the nature of the forecasted transaction that are outside the control or influence of the Co</w:t>
      </w:r>
      <w:r>
        <w:rPr>
          <w:rFonts w:ascii="Arial" w:eastAsia="宋体" w:hAnsi="Arial" w:cs="Arial"/>
          <w:color w:val="000000"/>
          <w:sz w:val="17"/>
          <w:szCs w:val="17"/>
        </w:rPr>
        <w:t xml:space="preserve">mpany. </w:t>
      </w:r>
    </w:p>
    <w:p w14:paraId="2470C8CF" w14:textId="77777777" w:rsidR="009C6E2F" w:rsidRDefault="007972BE">
      <w:pPr>
        <w:spacing w:before="120" w:after="120"/>
      </w:pPr>
      <w:r>
        <w:rPr>
          <w:rFonts w:ascii="Arial" w:eastAsia="宋体" w:hAnsi="Arial" w:cs="Arial"/>
          <w:color w:val="000000"/>
          <w:sz w:val="17"/>
          <w:szCs w:val="17"/>
        </w:rPr>
        <w:t>The total notional amount of outstanding foreign currency derivatives designated as cash flow hedges was approximately $13.1 billion as of November 30, 2021. Approximately $296 million of deferred net gains (net of tax) on both outstanding and matu</w:t>
      </w:r>
      <w:r>
        <w:rPr>
          <w:rFonts w:ascii="Arial" w:eastAsia="宋体" w:hAnsi="Arial" w:cs="Arial"/>
          <w:color w:val="000000"/>
          <w:sz w:val="17"/>
          <w:szCs w:val="17"/>
        </w:rPr>
        <w:t>red derivatives in Accumulated other comprehensive income (loss) as of November 30, 2021, are expected to be reclassified to Net income during the next 12 months concurrent with the underlying hedged transactions also being recorded in Net income. Actual a</w:t>
      </w:r>
      <w:r>
        <w:rPr>
          <w:rFonts w:ascii="Arial" w:eastAsia="宋体" w:hAnsi="Arial" w:cs="Arial"/>
          <w:color w:val="000000"/>
          <w:sz w:val="17"/>
          <w:szCs w:val="17"/>
        </w:rPr>
        <w:t xml:space="preserve">mounts ultimately reclassified to Net income are dependent on the exchange rates in effect when derivative contracts currently outstanding mature. As of November 30, 2021, the maximum term over which the Company hedges exposures to the variability of cash </w:t>
      </w:r>
      <w:r>
        <w:rPr>
          <w:rFonts w:ascii="Arial" w:eastAsia="宋体" w:hAnsi="Arial" w:cs="Arial"/>
          <w:color w:val="000000"/>
          <w:sz w:val="17"/>
          <w:szCs w:val="17"/>
        </w:rPr>
        <w:t xml:space="preserve">flows for its forecasted transactions was 24 months. </w:t>
      </w:r>
    </w:p>
    <w:p w14:paraId="2470C8D0" w14:textId="77777777" w:rsidR="009C6E2F" w:rsidRDefault="007972BE">
      <w:pPr>
        <w:spacing w:before="120" w:after="120"/>
        <w:jc w:val="right"/>
      </w:pPr>
      <w:r>
        <w:rPr>
          <w:rFonts w:ascii="Arial" w:eastAsia="宋体" w:hAnsi="Arial" w:cs="Arial"/>
          <w:color w:val="E87722"/>
          <w:sz w:val="17"/>
          <w:szCs w:val="17"/>
        </w:rPr>
        <w:t>15</w:t>
      </w:r>
    </w:p>
    <w:p w14:paraId="2470C8D1" w14:textId="77777777" w:rsidR="009C6E2F" w:rsidRDefault="007972BE">
      <w:r>
        <w:pict w14:anchorId="2470E1F4">
          <v:rect id="_x0000_i1041" style="width:415.3pt;height:1.5pt" o:hralign="center" o:hrstd="t" o:hr="t" fillcolor="#a0a0a0" stroked="f"/>
        </w:pict>
      </w:r>
    </w:p>
    <w:p w14:paraId="2470C8D2" w14:textId="77777777" w:rsidR="009C6E2F" w:rsidRDefault="009C6E2F"/>
    <w:p w14:paraId="2470C8D3" w14:textId="77777777" w:rsidR="009C6E2F" w:rsidRDefault="007972BE">
      <w:hyperlink r:id="rId84" w:anchor="i9e023a7388204bdbacd6aa338988f838_7" w:history="1">
        <w:r>
          <w:rPr>
            <w:rStyle w:val="a5"/>
            <w:rFonts w:ascii="sans-serif" w:eastAsia="sans-serif" w:hAnsi="sans-serif" w:cs="sans-serif"/>
            <w:sz w:val="17"/>
            <w:szCs w:val="17"/>
          </w:rPr>
          <w:t>Table of Contents</w:t>
        </w:r>
      </w:hyperlink>
    </w:p>
    <w:p w14:paraId="2470C8D4" w14:textId="77777777" w:rsidR="009C6E2F" w:rsidRDefault="009C6E2F"/>
    <w:p w14:paraId="2470C8D5" w14:textId="77777777" w:rsidR="009C6E2F" w:rsidRDefault="007972BE">
      <w:pPr>
        <w:spacing w:before="240" w:after="120"/>
      </w:pPr>
      <w:r>
        <w:rPr>
          <w:rFonts w:ascii="sans-serif" w:eastAsia="sans-serif" w:hAnsi="sans-serif" w:cs="sans-serif"/>
          <w:b/>
          <w:bCs/>
          <w:color w:val="000000"/>
          <w:sz w:val="28"/>
          <w:szCs w:val="28"/>
        </w:rPr>
        <w:t>UNDESIGNATED DERIVATIVE I</w:t>
      </w:r>
      <w:r>
        <w:rPr>
          <w:rFonts w:ascii="sans-serif" w:eastAsia="sans-serif" w:hAnsi="sans-serif" w:cs="sans-serif"/>
          <w:b/>
          <w:bCs/>
          <w:color w:val="000000"/>
          <w:sz w:val="28"/>
          <w:szCs w:val="28"/>
        </w:rPr>
        <w:t>NSTRUMENTS</w:t>
      </w:r>
    </w:p>
    <w:p w14:paraId="2470C8D6" w14:textId="77777777" w:rsidR="009C6E2F" w:rsidRDefault="007972BE">
      <w:pPr>
        <w:spacing w:before="120" w:after="120"/>
      </w:pPr>
      <w:r>
        <w:rPr>
          <w:rFonts w:ascii="Arial" w:eastAsia="宋体" w:hAnsi="Arial" w:cs="Arial"/>
          <w:color w:val="000000"/>
          <w:sz w:val="17"/>
          <w:szCs w:val="17"/>
        </w:rPr>
        <w:t>The Company may elect to enter into foreign exchange forwards to mitigate the change in fair value of specific assets and liabilities on the Unaudited Condensed Consolidated Balance Sheets and/or embedded derivative contracts. These undesignated</w:t>
      </w:r>
      <w:r>
        <w:rPr>
          <w:rFonts w:ascii="Arial" w:eastAsia="宋体" w:hAnsi="Arial" w:cs="Arial"/>
          <w:color w:val="000000"/>
          <w:sz w:val="17"/>
          <w:szCs w:val="17"/>
        </w:rPr>
        <w:t xml:space="preserve"> instruments are recorded at fair value as a derivative asset or liability on the Unaudited Condensed Consolidated Balance Sheets with their corresponding change in fair value recognized in Other (income) expense, net, together with the remeasurement gain </w:t>
      </w:r>
      <w:r>
        <w:rPr>
          <w:rFonts w:ascii="Arial" w:eastAsia="宋体" w:hAnsi="Arial" w:cs="Arial"/>
          <w:color w:val="000000"/>
          <w:sz w:val="17"/>
          <w:szCs w:val="17"/>
        </w:rPr>
        <w:t>or loss from the hedged balance sheet position and/or embedded derivative contract. The total notional amount of outstanding undesignated derivative instruments was $3.3 billion as of November 30, 2021.</w:t>
      </w:r>
    </w:p>
    <w:p w14:paraId="2470C8D7" w14:textId="77777777" w:rsidR="009C6E2F" w:rsidRDefault="007972BE">
      <w:pPr>
        <w:spacing w:before="240" w:after="120"/>
      </w:pPr>
      <w:r>
        <w:rPr>
          <w:rFonts w:ascii="sans-serif" w:eastAsia="sans-serif" w:hAnsi="sans-serif" w:cs="sans-serif"/>
          <w:b/>
          <w:bCs/>
          <w:color w:val="000000"/>
          <w:sz w:val="28"/>
          <w:szCs w:val="28"/>
        </w:rPr>
        <w:t>EMBEDDED DERIVATIVES</w:t>
      </w:r>
    </w:p>
    <w:p w14:paraId="2470C8D8" w14:textId="77777777" w:rsidR="009C6E2F" w:rsidRDefault="007972BE">
      <w:pPr>
        <w:spacing w:before="120" w:after="120"/>
      </w:pPr>
      <w:r>
        <w:rPr>
          <w:rFonts w:ascii="Arial" w:eastAsia="宋体" w:hAnsi="Arial" w:cs="Arial"/>
          <w:color w:val="000000"/>
          <w:sz w:val="17"/>
          <w:szCs w:val="17"/>
        </w:rPr>
        <w:t>Embedded derivative contracts ar</w:t>
      </w:r>
      <w:r>
        <w:rPr>
          <w:rFonts w:ascii="Arial" w:eastAsia="宋体" w:hAnsi="Arial" w:cs="Arial"/>
          <w:color w:val="000000"/>
          <w:sz w:val="17"/>
          <w:szCs w:val="17"/>
        </w:rPr>
        <w:t>e treated as foreign currency forward contracts that are bifurcated from the related contract and recorded at fair value as a derivative asset or liability on the Unaudited Condensed Consolidated Balance Sheets with their corresponding change in fair value</w:t>
      </w:r>
      <w:r>
        <w:rPr>
          <w:rFonts w:ascii="Arial" w:eastAsia="宋体" w:hAnsi="Arial" w:cs="Arial"/>
          <w:color w:val="000000"/>
          <w:sz w:val="17"/>
          <w:szCs w:val="17"/>
        </w:rPr>
        <w:t xml:space="preserve"> recognized in Other (income) expense, net, through the date the foreign currency fluctuations cease to exist. </w:t>
      </w:r>
    </w:p>
    <w:p w14:paraId="2470C8D9" w14:textId="77777777" w:rsidR="009C6E2F" w:rsidRDefault="007972BE">
      <w:pPr>
        <w:spacing w:before="120" w:after="120"/>
      </w:pPr>
      <w:r>
        <w:rPr>
          <w:rFonts w:ascii="Arial" w:eastAsia="宋体" w:hAnsi="Arial" w:cs="Arial"/>
          <w:color w:val="000000"/>
          <w:sz w:val="17"/>
          <w:szCs w:val="17"/>
        </w:rPr>
        <w:t>As of November 30, 2021, the total notional amount of embedded derivatives outstanding was approximately $634 million.</w:t>
      </w:r>
    </w:p>
    <w:p w14:paraId="2470C8DA" w14:textId="77777777" w:rsidR="009C6E2F" w:rsidRDefault="007972BE">
      <w:pPr>
        <w:spacing w:before="240" w:after="120"/>
      </w:pPr>
      <w:r>
        <w:rPr>
          <w:rFonts w:ascii="sans-serif" w:eastAsia="sans-serif" w:hAnsi="sans-serif" w:cs="sans-serif"/>
          <w:b/>
          <w:bCs/>
          <w:color w:val="000000"/>
          <w:sz w:val="28"/>
          <w:szCs w:val="28"/>
        </w:rPr>
        <w:t>CREDIT RISK</w:t>
      </w:r>
    </w:p>
    <w:p w14:paraId="2470C8DB" w14:textId="77777777" w:rsidR="009C6E2F" w:rsidRDefault="007972BE">
      <w:pPr>
        <w:spacing w:before="120" w:after="120"/>
      </w:pPr>
      <w:r>
        <w:rPr>
          <w:rFonts w:ascii="Arial" w:eastAsia="宋体" w:hAnsi="Arial" w:cs="Arial"/>
          <w:color w:val="000000"/>
          <w:sz w:val="17"/>
          <w:szCs w:val="17"/>
        </w:rPr>
        <w:t>The Company's</w:t>
      </w:r>
      <w:r>
        <w:rPr>
          <w:rFonts w:ascii="Arial" w:eastAsia="宋体" w:hAnsi="Arial" w:cs="Arial"/>
          <w:color w:val="000000"/>
          <w:sz w:val="17"/>
          <w:szCs w:val="17"/>
        </w:rPr>
        <w:t xml:space="preserve"> bilateral credit-related contingent features generally require the owing entity, either the Company or the derivative counterparty, to post collateral for the portion of the fair value in excess of $50 million should the fair value of outstanding derivati</w:t>
      </w:r>
      <w:r>
        <w:rPr>
          <w:rFonts w:ascii="Arial" w:eastAsia="宋体" w:hAnsi="Arial" w:cs="Arial"/>
          <w:color w:val="000000"/>
          <w:sz w:val="17"/>
          <w:szCs w:val="17"/>
        </w:rPr>
        <w:t>ves per counterparty be greater than $50 million. Additionally, a certain level of decline in credit rating of either the Company or the counterparty could trigger collateral requirements. As of November 30, 2021, the Company was in compliance with all cre</w:t>
      </w:r>
      <w:r>
        <w:rPr>
          <w:rFonts w:ascii="Arial" w:eastAsia="宋体" w:hAnsi="Arial" w:cs="Arial"/>
          <w:color w:val="000000"/>
          <w:sz w:val="17"/>
          <w:szCs w:val="17"/>
        </w:rPr>
        <w:t>dit risk-related contingent features, and derivative instruments with such features were in a net asset position of approximately $471 million. Accordingly, the Company was not required to post cash collateral as a result of these contingent features. Furt</w:t>
      </w:r>
      <w:r>
        <w:rPr>
          <w:rFonts w:ascii="Arial" w:eastAsia="宋体" w:hAnsi="Arial" w:cs="Arial"/>
          <w:color w:val="000000"/>
          <w:sz w:val="17"/>
          <w:szCs w:val="17"/>
        </w:rPr>
        <w:t>her, $141 million of collateral was received on the Company's derivative asset balance as of November 30, 2021. The Company considers the impact of the risk of counterparty default to be immaterial.</w:t>
      </w:r>
    </w:p>
    <w:p w14:paraId="2470C8DC" w14:textId="77777777" w:rsidR="009C6E2F" w:rsidRDefault="007972BE">
      <w:pPr>
        <w:spacing w:before="120" w:after="120"/>
      </w:pPr>
      <w:r>
        <w:rPr>
          <w:rFonts w:ascii="Arial" w:eastAsia="宋体" w:hAnsi="Arial" w:cs="Arial"/>
          <w:color w:val="000000"/>
          <w:sz w:val="17"/>
          <w:szCs w:val="17"/>
        </w:rPr>
        <w:t>For additional information related to the Company's deriv</w:t>
      </w:r>
      <w:r>
        <w:rPr>
          <w:rFonts w:ascii="Arial" w:eastAsia="宋体" w:hAnsi="Arial" w:cs="Arial"/>
          <w:color w:val="000000"/>
          <w:sz w:val="17"/>
          <w:szCs w:val="17"/>
        </w:rPr>
        <w:t>ative financial instruments and collateral, refer to Note 4 — Fair Value Measurements.</w:t>
      </w:r>
    </w:p>
    <w:p w14:paraId="2470C8DD" w14:textId="77777777" w:rsidR="009C6E2F" w:rsidRDefault="007972BE">
      <w:pPr>
        <w:spacing w:before="120" w:after="120"/>
      </w:pPr>
      <w:r>
        <w:rPr>
          <w:rFonts w:ascii="Arial" w:eastAsia="宋体" w:hAnsi="Arial" w:cs="Arial"/>
          <w:color w:val="E87722"/>
          <w:sz w:val="17"/>
          <w:szCs w:val="17"/>
        </w:rPr>
        <w:t>16</w:t>
      </w:r>
      <w:r>
        <w:rPr>
          <w:rFonts w:ascii="sans-serif" w:eastAsia="sans-serif" w:hAnsi="sans-serif" w:cs="sans-serif"/>
          <w:color w:val="000000"/>
          <w:sz w:val="17"/>
          <w:szCs w:val="17"/>
        </w:rPr>
        <w:t xml:space="preserve"> </w:t>
      </w:r>
    </w:p>
    <w:p w14:paraId="2470C8DE" w14:textId="77777777" w:rsidR="009C6E2F" w:rsidRDefault="007972BE">
      <w:r>
        <w:pict w14:anchorId="2470E1F5">
          <v:rect id="_x0000_i1042" style="width:415.3pt;height:1.5pt" o:hralign="center" o:hrstd="t" o:hr="t" fillcolor="#a0a0a0" stroked="f"/>
        </w:pict>
      </w:r>
    </w:p>
    <w:p w14:paraId="2470C8DF" w14:textId="77777777" w:rsidR="009C6E2F" w:rsidRDefault="009C6E2F"/>
    <w:p w14:paraId="2470C8E0" w14:textId="77777777" w:rsidR="009C6E2F" w:rsidRDefault="007972BE">
      <w:hyperlink r:id="rId85" w:anchor="i9e023a7388204bdbacd6aa338988f838_7" w:history="1">
        <w:r>
          <w:rPr>
            <w:rStyle w:val="a5"/>
            <w:rFonts w:ascii="sans-serif" w:eastAsia="sans-serif" w:hAnsi="sans-serif" w:cs="sans-serif"/>
            <w:sz w:val="17"/>
            <w:szCs w:val="17"/>
          </w:rPr>
          <w:t>Table of Contents</w:t>
        </w:r>
      </w:hyperlink>
    </w:p>
    <w:p w14:paraId="2470C8E1" w14:textId="77777777" w:rsidR="009C6E2F" w:rsidRDefault="009C6E2F"/>
    <w:tbl>
      <w:tblPr>
        <w:tblW w:w="4865" w:type="pct"/>
        <w:tblCellMar>
          <w:top w:w="15" w:type="dxa"/>
          <w:left w:w="15" w:type="dxa"/>
          <w:bottom w:w="15" w:type="dxa"/>
          <w:right w:w="15" w:type="dxa"/>
        </w:tblCellMar>
        <w:tblLook w:val="04A0" w:firstRow="1" w:lastRow="0" w:firstColumn="1" w:lastColumn="0" w:noHBand="0" w:noVBand="1"/>
      </w:tblPr>
      <w:tblGrid>
        <w:gridCol w:w="67"/>
        <w:gridCol w:w="8008"/>
        <w:gridCol w:w="36"/>
      </w:tblGrid>
      <w:tr w:rsidR="009C6E2F" w14:paraId="2470C8E5" w14:textId="77777777">
        <w:tc>
          <w:tcPr>
            <w:tcW w:w="50" w:type="pct"/>
            <w:shd w:val="clear" w:color="auto" w:fill="auto"/>
            <w:vAlign w:val="bottom"/>
          </w:tcPr>
          <w:p w14:paraId="2470C8E2" w14:textId="77777777" w:rsidR="009C6E2F" w:rsidRDefault="009C6E2F">
            <w:pPr>
              <w:rPr>
                <w:rFonts w:ascii="宋体"/>
              </w:rPr>
            </w:pPr>
          </w:p>
        </w:tc>
        <w:tc>
          <w:tcPr>
            <w:tcW w:w="4945" w:type="pct"/>
            <w:shd w:val="clear" w:color="auto" w:fill="auto"/>
            <w:vAlign w:val="bottom"/>
          </w:tcPr>
          <w:p w14:paraId="2470C8E3" w14:textId="77777777" w:rsidR="009C6E2F" w:rsidRDefault="009C6E2F">
            <w:pPr>
              <w:rPr>
                <w:rFonts w:ascii="宋体"/>
              </w:rPr>
            </w:pPr>
          </w:p>
        </w:tc>
        <w:tc>
          <w:tcPr>
            <w:tcW w:w="5" w:type="pct"/>
            <w:shd w:val="clear" w:color="auto" w:fill="auto"/>
            <w:vAlign w:val="bottom"/>
          </w:tcPr>
          <w:p w14:paraId="2470C8E4" w14:textId="77777777" w:rsidR="009C6E2F" w:rsidRDefault="009C6E2F">
            <w:pPr>
              <w:rPr>
                <w:rFonts w:ascii="宋体"/>
              </w:rPr>
            </w:pPr>
          </w:p>
        </w:tc>
      </w:tr>
      <w:tr w:rsidR="009C6E2F" w14:paraId="2470C8E7" w14:textId="77777777">
        <w:tc>
          <w:tcPr>
            <w:tcW w:w="0" w:type="auto"/>
            <w:gridSpan w:val="3"/>
            <w:shd w:val="clear" w:color="auto" w:fill="auto"/>
            <w:tcMar>
              <w:top w:w="40" w:type="dxa"/>
              <w:left w:w="20" w:type="dxa"/>
              <w:bottom w:w="40" w:type="dxa"/>
              <w:right w:w="20" w:type="dxa"/>
            </w:tcMar>
            <w:vAlign w:val="bottom"/>
          </w:tcPr>
          <w:p w14:paraId="2470C8E6" w14:textId="77777777" w:rsidR="009C6E2F" w:rsidRDefault="007972BE">
            <w:pPr>
              <w:textAlignment w:val="bottom"/>
            </w:pPr>
            <w:r>
              <w:rPr>
                <w:rFonts w:ascii="sans-serif" w:eastAsia="sans-serif" w:hAnsi="sans-serif" w:cs="sans-serif"/>
                <w:b/>
                <w:bCs/>
                <w:color w:val="E87722"/>
                <w:sz w:val="36"/>
                <w:szCs w:val="36"/>
              </w:rPr>
              <w:t>NOTE 9 — ACCUMULATED OTHER COMPREHENSIVE INCOME (LOSS)</w:t>
            </w:r>
          </w:p>
        </w:tc>
      </w:tr>
    </w:tbl>
    <w:p w14:paraId="2470C8E8" w14:textId="77777777" w:rsidR="009C6E2F" w:rsidRDefault="007972BE">
      <w:pPr>
        <w:spacing w:before="120" w:after="120"/>
      </w:pPr>
      <w:r>
        <w:rPr>
          <w:rFonts w:ascii="Arial" w:eastAsia="宋体" w:hAnsi="Arial" w:cs="Arial"/>
          <w:color w:val="000000"/>
          <w:sz w:val="17"/>
          <w:szCs w:val="17"/>
        </w:rPr>
        <w:t xml:space="preserve">The changes in </w:t>
      </w:r>
      <w:r>
        <w:rPr>
          <w:rFonts w:ascii="Arial" w:eastAsia="宋体" w:hAnsi="Arial" w:cs="Arial"/>
          <w:color w:val="000000"/>
          <w:sz w:val="17"/>
          <w:szCs w:val="17"/>
        </w:rPr>
        <w:t>Accumulated other comprehensive income (loss), net of tax,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01"/>
        <w:gridCol w:w="39"/>
        <w:gridCol w:w="116"/>
        <w:gridCol w:w="1030"/>
        <w:gridCol w:w="36"/>
        <w:gridCol w:w="116"/>
        <w:gridCol w:w="633"/>
        <w:gridCol w:w="36"/>
        <w:gridCol w:w="116"/>
        <w:gridCol w:w="867"/>
        <w:gridCol w:w="36"/>
        <w:gridCol w:w="116"/>
        <w:gridCol w:w="633"/>
        <w:gridCol w:w="36"/>
        <w:gridCol w:w="116"/>
        <w:gridCol w:w="633"/>
        <w:gridCol w:w="36"/>
      </w:tblGrid>
      <w:tr w:rsidR="009C6E2F" w14:paraId="2470C8FB" w14:textId="77777777">
        <w:tc>
          <w:tcPr>
            <w:tcW w:w="50" w:type="pct"/>
            <w:shd w:val="clear" w:color="auto" w:fill="auto"/>
            <w:vAlign w:val="bottom"/>
          </w:tcPr>
          <w:p w14:paraId="2470C8E9" w14:textId="77777777" w:rsidR="009C6E2F" w:rsidRDefault="009C6E2F">
            <w:pPr>
              <w:rPr>
                <w:rFonts w:ascii="宋体"/>
              </w:rPr>
            </w:pPr>
          </w:p>
        </w:tc>
        <w:tc>
          <w:tcPr>
            <w:tcW w:w="2332" w:type="pct"/>
            <w:shd w:val="clear" w:color="auto" w:fill="auto"/>
            <w:vAlign w:val="bottom"/>
          </w:tcPr>
          <w:p w14:paraId="2470C8EA" w14:textId="77777777" w:rsidR="009C6E2F" w:rsidRDefault="009C6E2F">
            <w:pPr>
              <w:rPr>
                <w:rFonts w:ascii="宋体"/>
              </w:rPr>
            </w:pPr>
          </w:p>
        </w:tc>
        <w:tc>
          <w:tcPr>
            <w:tcW w:w="5" w:type="pct"/>
            <w:shd w:val="clear" w:color="auto" w:fill="auto"/>
            <w:vAlign w:val="bottom"/>
          </w:tcPr>
          <w:p w14:paraId="2470C8EB" w14:textId="77777777" w:rsidR="009C6E2F" w:rsidRDefault="009C6E2F">
            <w:pPr>
              <w:rPr>
                <w:rFonts w:ascii="宋体"/>
              </w:rPr>
            </w:pPr>
          </w:p>
        </w:tc>
        <w:tc>
          <w:tcPr>
            <w:tcW w:w="50" w:type="pct"/>
            <w:shd w:val="clear" w:color="auto" w:fill="auto"/>
            <w:vAlign w:val="bottom"/>
          </w:tcPr>
          <w:p w14:paraId="2470C8EC" w14:textId="77777777" w:rsidR="009C6E2F" w:rsidRDefault="009C6E2F">
            <w:pPr>
              <w:rPr>
                <w:rFonts w:ascii="宋体"/>
              </w:rPr>
            </w:pPr>
          </w:p>
        </w:tc>
        <w:tc>
          <w:tcPr>
            <w:tcW w:w="545" w:type="pct"/>
            <w:shd w:val="clear" w:color="auto" w:fill="auto"/>
            <w:vAlign w:val="bottom"/>
          </w:tcPr>
          <w:p w14:paraId="2470C8ED" w14:textId="77777777" w:rsidR="009C6E2F" w:rsidRDefault="009C6E2F">
            <w:pPr>
              <w:rPr>
                <w:rFonts w:ascii="宋体"/>
              </w:rPr>
            </w:pPr>
          </w:p>
        </w:tc>
        <w:tc>
          <w:tcPr>
            <w:tcW w:w="5" w:type="pct"/>
            <w:shd w:val="clear" w:color="auto" w:fill="auto"/>
            <w:vAlign w:val="bottom"/>
          </w:tcPr>
          <w:p w14:paraId="2470C8EE" w14:textId="77777777" w:rsidR="009C6E2F" w:rsidRDefault="009C6E2F">
            <w:pPr>
              <w:rPr>
                <w:rFonts w:ascii="宋体"/>
              </w:rPr>
            </w:pPr>
          </w:p>
        </w:tc>
        <w:tc>
          <w:tcPr>
            <w:tcW w:w="50" w:type="pct"/>
            <w:shd w:val="clear" w:color="auto" w:fill="auto"/>
            <w:vAlign w:val="bottom"/>
          </w:tcPr>
          <w:p w14:paraId="2470C8EF" w14:textId="77777777" w:rsidR="009C6E2F" w:rsidRDefault="009C6E2F">
            <w:pPr>
              <w:rPr>
                <w:rFonts w:ascii="宋体"/>
              </w:rPr>
            </w:pPr>
          </w:p>
        </w:tc>
        <w:tc>
          <w:tcPr>
            <w:tcW w:w="448" w:type="pct"/>
            <w:shd w:val="clear" w:color="auto" w:fill="auto"/>
            <w:vAlign w:val="bottom"/>
          </w:tcPr>
          <w:p w14:paraId="2470C8F0" w14:textId="77777777" w:rsidR="009C6E2F" w:rsidRDefault="009C6E2F">
            <w:pPr>
              <w:rPr>
                <w:rFonts w:ascii="宋体"/>
              </w:rPr>
            </w:pPr>
          </w:p>
        </w:tc>
        <w:tc>
          <w:tcPr>
            <w:tcW w:w="5" w:type="pct"/>
            <w:shd w:val="clear" w:color="auto" w:fill="auto"/>
            <w:vAlign w:val="bottom"/>
          </w:tcPr>
          <w:p w14:paraId="2470C8F1" w14:textId="77777777" w:rsidR="009C6E2F" w:rsidRDefault="009C6E2F">
            <w:pPr>
              <w:rPr>
                <w:rFonts w:ascii="宋体"/>
              </w:rPr>
            </w:pPr>
          </w:p>
        </w:tc>
        <w:tc>
          <w:tcPr>
            <w:tcW w:w="50" w:type="pct"/>
            <w:shd w:val="clear" w:color="auto" w:fill="auto"/>
            <w:vAlign w:val="bottom"/>
          </w:tcPr>
          <w:p w14:paraId="2470C8F2" w14:textId="77777777" w:rsidR="009C6E2F" w:rsidRDefault="009C6E2F">
            <w:pPr>
              <w:rPr>
                <w:rFonts w:ascii="宋体"/>
              </w:rPr>
            </w:pPr>
          </w:p>
        </w:tc>
        <w:tc>
          <w:tcPr>
            <w:tcW w:w="448" w:type="pct"/>
            <w:shd w:val="clear" w:color="auto" w:fill="auto"/>
            <w:vAlign w:val="bottom"/>
          </w:tcPr>
          <w:p w14:paraId="2470C8F3" w14:textId="77777777" w:rsidR="009C6E2F" w:rsidRDefault="009C6E2F">
            <w:pPr>
              <w:rPr>
                <w:rFonts w:ascii="宋体"/>
              </w:rPr>
            </w:pPr>
          </w:p>
        </w:tc>
        <w:tc>
          <w:tcPr>
            <w:tcW w:w="5" w:type="pct"/>
            <w:shd w:val="clear" w:color="auto" w:fill="auto"/>
            <w:vAlign w:val="bottom"/>
          </w:tcPr>
          <w:p w14:paraId="2470C8F4" w14:textId="77777777" w:rsidR="009C6E2F" w:rsidRDefault="009C6E2F">
            <w:pPr>
              <w:rPr>
                <w:rFonts w:ascii="宋体"/>
              </w:rPr>
            </w:pPr>
          </w:p>
        </w:tc>
        <w:tc>
          <w:tcPr>
            <w:tcW w:w="50" w:type="pct"/>
            <w:shd w:val="clear" w:color="auto" w:fill="auto"/>
            <w:vAlign w:val="bottom"/>
          </w:tcPr>
          <w:p w14:paraId="2470C8F5" w14:textId="77777777" w:rsidR="009C6E2F" w:rsidRDefault="009C6E2F">
            <w:pPr>
              <w:rPr>
                <w:rFonts w:ascii="宋体"/>
              </w:rPr>
            </w:pPr>
          </w:p>
        </w:tc>
        <w:tc>
          <w:tcPr>
            <w:tcW w:w="448" w:type="pct"/>
            <w:shd w:val="clear" w:color="auto" w:fill="auto"/>
            <w:vAlign w:val="bottom"/>
          </w:tcPr>
          <w:p w14:paraId="2470C8F6" w14:textId="77777777" w:rsidR="009C6E2F" w:rsidRDefault="009C6E2F">
            <w:pPr>
              <w:rPr>
                <w:rFonts w:ascii="宋体"/>
              </w:rPr>
            </w:pPr>
          </w:p>
        </w:tc>
        <w:tc>
          <w:tcPr>
            <w:tcW w:w="5" w:type="pct"/>
            <w:shd w:val="clear" w:color="auto" w:fill="auto"/>
            <w:vAlign w:val="bottom"/>
          </w:tcPr>
          <w:p w14:paraId="2470C8F7" w14:textId="77777777" w:rsidR="009C6E2F" w:rsidRDefault="009C6E2F">
            <w:pPr>
              <w:rPr>
                <w:rFonts w:ascii="宋体"/>
              </w:rPr>
            </w:pPr>
          </w:p>
        </w:tc>
        <w:tc>
          <w:tcPr>
            <w:tcW w:w="50" w:type="pct"/>
            <w:shd w:val="clear" w:color="auto" w:fill="auto"/>
            <w:vAlign w:val="bottom"/>
          </w:tcPr>
          <w:p w14:paraId="2470C8F8" w14:textId="77777777" w:rsidR="009C6E2F" w:rsidRDefault="009C6E2F">
            <w:pPr>
              <w:rPr>
                <w:rFonts w:ascii="宋体"/>
              </w:rPr>
            </w:pPr>
          </w:p>
        </w:tc>
        <w:tc>
          <w:tcPr>
            <w:tcW w:w="448" w:type="pct"/>
            <w:shd w:val="clear" w:color="auto" w:fill="auto"/>
            <w:vAlign w:val="bottom"/>
          </w:tcPr>
          <w:p w14:paraId="2470C8F9" w14:textId="77777777" w:rsidR="009C6E2F" w:rsidRDefault="009C6E2F">
            <w:pPr>
              <w:rPr>
                <w:rFonts w:ascii="宋体"/>
              </w:rPr>
            </w:pPr>
          </w:p>
        </w:tc>
        <w:tc>
          <w:tcPr>
            <w:tcW w:w="5" w:type="pct"/>
            <w:shd w:val="clear" w:color="auto" w:fill="auto"/>
            <w:vAlign w:val="bottom"/>
          </w:tcPr>
          <w:p w14:paraId="2470C8FA" w14:textId="77777777" w:rsidR="009C6E2F" w:rsidRDefault="009C6E2F">
            <w:pPr>
              <w:rPr>
                <w:rFonts w:ascii="宋体"/>
              </w:rPr>
            </w:pPr>
          </w:p>
        </w:tc>
      </w:tr>
      <w:tr w:rsidR="009C6E2F" w14:paraId="2470C902" w14:textId="77777777">
        <w:tc>
          <w:tcPr>
            <w:tcW w:w="0" w:type="auto"/>
            <w:gridSpan w:val="3"/>
            <w:shd w:val="clear" w:color="auto" w:fill="auto"/>
            <w:tcMar>
              <w:top w:w="40" w:type="dxa"/>
              <w:left w:w="20" w:type="dxa"/>
              <w:bottom w:w="40" w:type="dxa"/>
              <w:right w:w="20" w:type="dxa"/>
            </w:tcMar>
            <w:vAlign w:val="bottom"/>
          </w:tcPr>
          <w:p w14:paraId="2470C8FC"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2470C8FD"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8FE" w14:textId="77777777" w:rsidR="009C6E2F" w:rsidRDefault="007972BE">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470C8FF"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900" w14:textId="77777777" w:rsidR="009C6E2F" w:rsidRDefault="007972BE">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470C901"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C91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903" w14:textId="77777777" w:rsidR="009C6E2F" w:rsidRDefault="007972BE">
            <w:pPr>
              <w:textAlignment w:val="bottom"/>
            </w:pPr>
            <w:r>
              <w:rPr>
                <w:rFonts w:ascii="Arial" w:eastAsia="宋体" w:hAnsi="Arial" w:cs="Arial"/>
                <w:b/>
                <w:bCs/>
                <w:color w:val="000000"/>
                <w:sz w:val="17"/>
                <w:szCs w:val="17"/>
              </w:rPr>
              <w:t>Balance at August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2470C90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05" w14:textId="77777777" w:rsidR="009C6E2F" w:rsidRDefault="007972BE">
            <w:pPr>
              <w:jc w:val="right"/>
              <w:textAlignment w:val="bottom"/>
            </w:pPr>
            <w:r>
              <w:rPr>
                <w:rFonts w:ascii="Arial" w:eastAsia="宋体" w:hAnsi="Arial" w:cs="Arial"/>
                <w:b/>
                <w:bCs/>
                <w:color w:val="000000"/>
                <w:sz w:val="17"/>
                <w:szCs w:val="17"/>
              </w:rPr>
              <w:t>(126)</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06"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0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08" w14:textId="77777777" w:rsidR="009C6E2F" w:rsidRDefault="007972BE">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0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0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0B"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0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0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0E" w14:textId="77777777" w:rsidR="009C6E2F" w:rsidRDefault="007972BE">
            <w:pPr>
              <w:jc w:val="right"/>
              <w:textAlignment w:val="bottom"/>
            </w:pPr>
            <w:r>
              <w:rPr>
                <w:rFonts w:ascii="Arial" w:eastAsia="宋体" w:hAnsi="Arial" w:cs="Arial"/>
                <w:b/>
                <w:bCs/>
                <w:color w:val="000000"/>
                <w:sz w:val="17"/>
                <w:szCs w:val="17"/>
              </w:rPr>
              <w:t>(59)</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0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1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11" w14:textId="77777777" w:rsidR="009C6E2F" w:rsidRDefault="007972BE">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12" w14:textId="77777777" w:rsidR="009C6E2F" w:rsidRDefault="009C6E2F">
            <w:pPr>
              <w:jc w:val="right"/>
              <w:rPr>
                <w:rFonts w:ascii="宋体"/>
              </w:rPr>
            </w:pPr>
          </w:p>
        </w:tc>
      </w:tr>
      <w:tr w:rsidR="009C6E2F" w14:paraId="2470C91A"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470C914" w14:textId="77777777" w:rsidR="009C6E2F" w:rsidRDefault="007972BE">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15"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16"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17"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18"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19" w14:textId="77777777" w:rsidR="009C6E2F" w:rsidRDefault="009C6E2F">
            <w:pPr>
              <w:rPr>
                <w:rFonts w:ascii="宋体"/>
              </w:rPr>
            </w:pPr>
          </w:p>
        </w:tc>
      </w:tr>
      <w:tr w:rsidR="009C6E2F" w14:paraId="2470C926"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91B"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1C" w14:textId="77777777" w:rsidR="009C6E2F" w:rsidRDefault="007972BE">
            <w:pPr>
              <w:jc w:val="right"/>
              <w:textAlignment w:val="bottom"/>
            </w:pPr>
            <w:r>
              <w:rPr>
                <w:rFonts w:ascii="Arial" w:eastAsia="宋体" w:hAnsi="Arial" w:cs="Arial"/>
                <w:color w:val="000000"/>
                <w:sz w:val="17"/>
                <w:szCs w:val="17"/>
              </w:rPr>
              <w:t>(155)</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1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1E" w14:textId="77777777" w:rsidR="009C6E2F" w:rsidRDefault="007972BE">
            <w:pPr>
              <w:jc w:val="right"/>
              <w:textAlignment w:val="bottom"/>
            </w:pPr>
            <w:r>
              <w:rPr>
                <w:rFonts w:ascii="Arial" w:eastAsia="宋体" w:hAnsi="Arial" w:cs="Arial"/>
                <w:color w:val="000000"/>
                <w:sz w:val="17"/>
                <w:szCs w:val="17"/>
              </w:rPr>
              <w:t>336 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1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2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2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22"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2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24" w14:textId="77777777" w:rsidR="009C6E2F" w:rsidRDefault="007972BE">
            <w:pPr>
              <w:jc w:val="right"/>
              <w:textAlignment w:val="bottom"/>
            </w:pPr>
            <w:r>
              <w:rPr>
                <w:rFonts w:ascii="Arial" w:eastAsia="宋体" w:hAnsi="Arial" w:cs="Arial"/>
                <w:color w:val="000000"/>
                <w:sz w:val="17"/>
                <w:szCs w:val="17"/>
              </w:rPr>
              <w:t>187 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25" w14:textId="77777777" w:rsidR="009C6E2F" w:rsidRDefault="009C6E2F">
            <w:pPr>
              <w:jc w:val="right"/>
              <w:rPr>
                <w:rFonts w:ascii="宋体"/>
              </w:rPr>
            </w:pPr>
          </w:p>
        </w:tc>
      </w:tr>
      <w:tr w:rsidR="009C6E2F" w14:paraId="2470C932"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927"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2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29"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2A" w14:textId="77777777" w:rsidR="009C6E2F" w:rsidRDefault="007972BE">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2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2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2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2E" w14:textId="77777777" w:rsidR="009C6E2F" w:rsidRDefault="007972BE">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2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30" w14:textId="77777777" w:rsidR="009C6E2F" w:rsidRDefault="007972BE">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31" w14:textId="77777777" w:rsidR="009C6E2F" w:rsidRDefault="009C6E2F">
            <w:pPr>
              <w:jc w:val="right"/>
              <w:rPr>
                <w:rFonts w:ascii="宋体"/>
              </w:rPr>
            </w:pPr>
          </w:p>
        </w:tc>
      </w:tr>
      <w:tr w:rsidR="009C6E2F" w14:paraId="2470C93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933" w14:textId="77777777" w:rsidR="009C6E2F" w:rsidRDefault="007972BE">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934" w14:textId="77777777" w:rsidR="009C6E2F" w:rsidRDefault="007972BE">
            <w:pPr>
              <w:jc w:val="right"/>
              <w:textAlignment w:val="bottom"/>
            </w:pPr>
            <w:r>
              <w:rPr>
                <w:rFonts w:ascii="Arial" w:eastAsia="宋体" w:hAnsi="Arial" w:cs="Arial"/>
                <w:color w:val="000000"/>
                <w:sz w:val="17"/>
                <w:szCs w:val="17"/>
              </w:rPr>
              <w:t>(155)</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935"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936" w14:textId="77777777" w:rsidR="009C6E2F" w:rsidRDefault="007972BE">
            <w:pPr>
              <w:jc w:val="right"/>
              <w:textAlignment w:val="bottom"/>
            </w:pPr>
            <w:r>
              <w:rPr>
                <w:rFonts w:ascii="Arial" w:eastAsia="宋体" w:hAnsi="Arial" w:cs="Arial"/>
                <w:color w:val="000000"/>
                <w:sz w:val="17"/>
                <w:szCs w:val="17"/>
              </w:rPr>
              <w:t>366 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937"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93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939"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93A"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93B"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93C" w14:textId="77777777" w:rsidR="009C6E2F" w:rsidRDefault="007972BE">
            <w:pPr>
              <w:jc w:val="right"/>
              <w:textAlignment w:val="bottom"/>
            </w:pPr>
            <w:r>
              <w:rPr>
                <w:rFonts w:ascii="Arial" w:eastAsia="宋体" w:hAnsi="Arial" w:cs="Arial"/>
                <w:color w:val="000000"/>
                <w:sz w:val="17"/>
                <w:szCs w:val="17"/>
              </w:rPr>
              <w:t>212 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93D" w14:textId="77777777" w:rsidR="009C6E2F" w:rsidRDefault="009C6E2F">
            <w:pPr>
              <w:jc w:val="right"/>
              <w:rPr>
                <w:rFonts w:ascii="宋体"/>
              </w:rPr>
            </w:pPr>
          </w:p>
        </w:tc>
      </w:tr>
      <w:tr w:rsidR="009C6E2F" w14:paraId="2470C94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93F" w14:textId="77777777" w:rsidR="009C6E2F" w:rsidRDefault="007972BE">
            <w:pPr>
              <w:textAlignment w:val="bottom"/>
            </w:pPr>
            <w:r>
              <w:rPr>
                <w:rFonts w:ascii="Arial" w:eastAsia="宋体" w:hAnsi="Arial" w:cs="Arial"/>
                <w:b/>
                <w:bCs/>
                <w:color w:val="000000"/>
                <w:sz w:val="17"/>
                <w:szCs w:val="17"/>
              </w:rPr>
              <w:t>Balance at November 30,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94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941" w14:textId="77777777" w:rsidR="009C6E2F" w:rsidRDefault="007972BE">
            <w:pPr>
              <w:jc w:val="right"/>
              <w:textAlignment w:val="bottom"/>
            </w:pPr>
            <w:r>
              <w:rPr>
                <w:rFonts w:ascii="Arial" w:eastAsia="宋体" w:hAnsi="Arial" w:cs="Arial"/>
                <w:b/>
                <w:bCs/>
                <w:color w:val="000000"/>
                <w:sz w:val="17"/>
                <w:szCs w:val="17"/>
              </w:rPr>
              <w:t>(281)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94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94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944" w14:textId="77777777" w:rsidR="009C6E2F" w:rsidRDefault="007972BE">
            <w:pPr>
              <w:jc w:val="right"/>
              <w:textAlignment w:val="bottom"/>
            </w:pPr>
            <w:r>
              <w:rPr>
                <w:rFonts w:ascii="Arial" w:eastAsia="宋体" w:hAnsi="Arial" w:cs="Arial"/>
                <w:b/>
                <w:bCs/>
                <w:color w:val="000000"/>
                <w:sz w:val="17"/>
                <w:szCs w:val="17"/>
              </w:rPr>
              <w:t>369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945"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94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947"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948"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94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94A" w14:textId="77777777" w:rsidR="009C6E2F" w:rsidRDefault="007972BE">
            <w:pPr>
              <w:jc w:val="right"/>
              <w:textAlignment w:val="bottom"/>
            </w:pPr>
            <w:r>
              <w:rPr>
                <w:rFonts w:ascii="Arial" w:eastAsia="宋体" w:hAnsi="Arial" w:cs="Arial"/>
                <w:b/>
                <w:bCs/>
                <w:color w:val="000000"/>
                <w:sz w:val="17"/>
                <w:szCs w:val="17"/>
              </w:rPr>
              <w:t>(58)</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94B"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94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94D" w14:textId="77777777" w:rsidR="009C6E2F" w:rsidRDefault="007972BE">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94E" w14:textId="77777777" w:rsidR="009C6E2F" w:rsidRDefault="009C6E2F">
            <w:pPr>
              <w:jc w:val="right"/>
              <w:rPr>
                <w:rFonts w:ascii="宋体"/>
              </w:rPr>
            </w:pPr>
          </w:p>
        </w:tc>
      </w:tr>
    </w:tbl>
    <w:p w14:paraId="2470C950"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2470C951"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(2)Net of tax benefit (expense) of $0 million, $(27) million, $0 million, $(2) million and $(29) million, respectively.</w:t>
      </w:r>
    </w:p>
    <w:p w14:paraId="2470C952"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 xml:space="preserve">(3)Net of tax </w:t>
      </w:r>
      <w:r>
        <w:rPr>
          <w:rFonts w:ascii="Arial" w:eastAsia="宋体" w:hAnsi="Arial" w:cs="Arial"/>
          <w:i/>
          <w:iCs/>
          <w:color w:val="000000"/>
          <w:sz w:val="14"/>
          <w:szCs w:val="14"/>
        </w:rPr>
        <w:t>(benefit) expense of $0 million, $(1) million, $0 million, $3 million and $2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9C6E2F" w14:paraId="2470C965" w14:textId="77777777">
        <w:tc>
          <w:tcPr>
            <w:tcW w:w="50" w:type="pct"/>
            <w:shd w:val="clear" w:color="auto" w:fill="auto"/>
            <w:vAlign w:val="bottom"/>
          </w:tcPr>
          <w:p w14:paraId="2470C953" w14:textId="77777777" w:rsidR="009C6E2F" w:rsidRDefault="009C6E2F">
            <w:pPr>
              <w:rPr>
                <w:rFonts w:ascii="宋体"/>
              </w:rPr>
            </w:pPr>
          </w:p>
        </w:tc>
        <w:tc>
          <w:tcPr>
            <w:tcW w:w="2332" w:type="pct"/>
            <w:shd w:val="clear" w:color="auto" w:fill="auto"/>
            <w:vAlign w:val="bottom"/>
          </w:tcPr>
          <w:p w14:paraId="2470C954" w14:textId="77777777" w:rsidR="009C6E2F" w:rsidRDefault="009C6E2F">
            <w:pPr>
              <w:rPr>
                <w:rFonts w:ascii="宋体"/>
              </w:rPr>
            </w:pPr>
          </w:p>
        </w:tc>
        <w:tc>
          <w:tcPr>
            <w:tcW w:w="5" w:type="pct"/>
            <w:shd w:val="clear" w:color="auto" w:fill="auto"/>
            <w:vAlign w:val="bottom"/>
          </w:tcPr>
          <w:p w14:paraId="2470C955" w14:textId="77777777" w:rsidR="009C6E2F" w:rsidRDefault="009C6E2F">
            <w:pPr>
              <w:rPr>
                <w:rFonts w:ascii="宋体"/>
              </w:rPr>
            </w:pPr>
          </w:p>
        </w:tc>
        <w:tc>
          <w:tcPr>
            <w:tcW w:w="50" w:type="pct"/>
            <w:shd w:val="clear" w:color="auto" w:fill="auto"/>
            <w:vAlign w:val="bottom"/>
          </w:tcPr>
          <w:p w14:paraId="2470C956" w14:textId="77777777" w:rsidR="009C6E2F" w:rsidRDefault="009C6E2F">
            <w:pPr>
              <w:rPr>
                <w:rFonts w:ascii="宋体"/>
              </w:rPr>
            </w:pPr>
          </w:p>
        </w:tc>
        <w:tc>
          <w:tcPr>
            <w:tcW w:w="545" w:type="pct"/>
            <w:shd w:val="clear" w:color="auto" w:fill="auto"/>
            <w:vAlign w:val="bottom"/>
          </w:tcPr>
          <w:p w14:paraId="2470C957" w14:textId="77777777" w:rsidR="009C6E2F" w:rsidRDefault="009C6E2F">
            <w:pPr>
              <w:rPr>
                <w:rFonts w:ascii="宋体"/>
              </w:rPr>
            </w:pPr>
          </w:p>
        </w:tc>
        <w:tc>
          <w:tcPr>
            <w:tcW w:w="5" w:type="pct"/>
            <w:shd w:val="clear" w:color="auto" w:fill="auto"/>
            <w:vAlign w:val="bottom"/>
          </w:tcPr>
          <w:p w14:paraId="2470C958" w14:textId="77777777" w:rsidR="009C6E2F" w:rsidRDefault="009C6E2F">
            <w:pPr>
              <w:rPr>
                <w:rFonts w:ascii="宋体"/>
              </w:rPr>
            </w:pPr>
          </w:p>
        </w:tc>
        <w:tc>
          <w:tcPr>
            <w:tcW w:w="50" w:type="pct"/>
            <w:shd w:val="clear" w:color="auto" w:fill="auto"/>
            <w:vAlign w:val="bottom"/>
          </w:tcPr>
          <w:p w14:paraId="2470C959" w14:textId="77777777" w:rsidR="009C6E2F" w:rsidRDefault="009C6E2F">
            <w:pPr>
              <w:rPr>
                <w:rFonts w:ascii="宋体"/>
              </w:rPr>
            </w:pPr>
          </w:p>
        </w:tc>
        <w:tc>
          <w:tcPr>
            <w:tcW w:w="448" w:type="pct"/>
            <w:shd w:val="clear" w:color="auto" w:fill="auto"/>
            <w:vAlign w:val="bottom"/>
          </w:tcPr>
          <w:p w14:paraId="2470C95A" w14:textId="77777777" w:rsidR="009C6E2F" w:rsidRDefault="009C6E2F">
            <w:pPr>
              <w:rPr>
                <w:rFonts w:ascii="宋体"/>
              </w:rPr>
            </w:pPr>
          </w:p>
        </w:tc>
        <w:tc>
          <w:tcPr>
            <w:tcW w:w="5" w:type="pct"/>
            <w:shd w:val="clear" w:color="auto" w:fill="auto"/>
            <w:vAlign w:val="bottom"/>
          </w:tcPr>
          <w:p w14:paraId="2470C95B" w14:textId="77777777" w:rsidR="009C6E2F" w:rsidRDefault="009C6E2F">
            <w:pPr>
              <w:rPr>
                <w:rFonts w:ascii="宋体"/>
              </w:rPr>
            </w:pPr>
          </w:p>
        </w:tc>
        <w:tc>
          <w:tcPr>
            <w:tcW w:w="50" w:type="pct"/>
            <w:shd w:val="clear" w:color="auto" w:fill="auto"/>
            <w:vAlign w:val="bottom"/>
          </w:tcPr>
          <w:p w14:paraId="2470C95C" w14:textId="77777777" w:rsidR="009C6E2F" w:rsidRDefault="009C6E2F">
            <w:pPr>
              <w:rPr>
                <w:rFonts w:ascii="宋体"/>
              </w:rPr>
            </w:pPr>
          </w:p>
        </w:tc>
        <w:tc>
          <w:tcPr>
            <w:tcW w:w="448" w:type="pct"/>
            <w:shd w:val="clear" w:color="auto" w:fill="auto"/>
            <w:vAlign w:val="bottom"/>
          </w:tcPr>
          <w:p w14:paraId="2470C95D" w14:textId="77777777" w:rsidR="009C6E2F" w:rsidRDefault="009C6E2F">
            <w:pPr>
              <w:rPr>
                <w:rFonts w:ascii="宋体"/>
              </w:rPr>
            </w:pPr>
          </w:p>
        </w:tc>
        <w:tc>
          <w:tcPr>
            <w:tcW w:w="5" w:type="pct"/>
            <w:shd w:val="clear" w:color="auto" w:fill="auto"/>
            <w:vAlign w:val="bottom"/>
          </w:tcPr>
          <w:p w14:paraId="2470C95E" w14:textId="77777777" w:rsidR="009C6E2F" w:rsidRDefault="009C6E2F">
            <w:pPr>
              <w:rPr>
                <w:rFonts w:ascii="宋体"/>
              </w:rPr>
            </w:pPr>
          </w:p>
        </w:tc>
        <w:tc>
          <w:tcPr>
            <w:tcW w:w="50" w:type="pct"/>
            <w:shd w:val="clear" w:color="auto" w:fill="auto"/>
            <w:vAlign w:val="bottom"/>
          </w:tcPr>
          <w:p w14:paraId="2470C95F" w14:textId="77777777" w:rsidR="009C6E2F" w:rsidRDefault="009C6E2F">
            <w:pPr>
              <w:rPr>
                <w:rFonts w:ascii="宋体"/>
              </w:rPr>
            </w:pPr>
          </w:p>
        </w:tc>
        <w:tc>
          <w:tcPr>
            <w:tcW w:w="448" w:type="pct"/>
            <w:shd w:val="clear" w:color="auto" w:fill="auto"/>
            <w:vAlign w:val="bottom"/>
          </w:tcPr>
          <w:p w14:paraId="2470C960" w14:textId="77777777" w:rsidR="009C6E2F" w:rsidRDefault="009C6E2F">
            <w:pPr>
              <w:rPr>
                <w:rFonts w:ascii="宋体"/>
              </w:rPr>
            </w:pPr>
          </w:p>
        </w:tc>
        <w:tc>
          <w:tcPr>
            <w:tcW w:w="5" w:type="pct"/>
            <w:shd w:val="clear" w:color="auto" w:fill="auto"/>
            <w:vAlign w:val="bottom"/>
          </w:tcPr>
          <w:p w14:paraId="2470C961" w14:textId="77777777" w:rsidR="009C6E2F" w:rsidRDefault="009C6E2F">
            <w:pPr>
              <w:rPr>
                <w:rFonts w:ascii="宋体"/>
              </w:rPr>
            </w:pPr>
          </w:p>
        </w:tc>
        <w:tc>
          <w:tcPr>
            <w:tcW w:w="50" w:type="pct"/>
            <w:shd w:val="clear" w:color="auto" w:fill="auto"/>
            <w:vAlign w:val="bottom"/>
          </w:tcPr>
          <w:p w14:paraId="2470C962" w14:textId="77777777" w:rsidR="009C6E2F" w:rsidRDefault="009C6E2F">
            <w:pPr>
              <w:rPr>
                <w:rFonts w:ascii="宋体"/>
              </w:rPr>
            </w:pPr>
          </w:p>
        </w:tc>
        <w:tc>
          <w:tcPr>
            <w:tcW w:w="448" w:type="pct"/>
            <w:shd w:val="clear" w:color="auto" w:fill="auto"/>
            <w:vAlign w:val="bottom"/>
          </w:tcPr>
          <w:p w14:paraId="2470C963" w14:textId="77777777" w:rsidR="009C6E2F" w:rsidRDefault="009C6E2F">
            <w:pPr>
              <w:rPr>
                <w:rFonts w:ascii="宋体"/>
              </w:rPr>
            </w:pPr>
          </w:p>
        </w:tc>
        <w:tc>
          <w:tcPr>
            <w:tcW w:w="5" w:type="pct"/>
            <w:shd w:val="clear" w:color="auto" w:fill="auto"/>
            <w:vAlign w:val="bottom"/>
          </w:tcPr>
          <w:p w14:paraId="2470C964" w14:textId="77777777" w:rsidR="009C6E2F" w:rsidRDefault="009C6E2F">
            <w:pPr>
              <w:rPr>
                <w:rFonts w:ascii="宋体"/>
              </w:rPr>
            </w:pPr>
          </w:p>
        </w:tc>
      </w:tr>
      <w:tr w:rsidR="009C6E2F" w14:paraId="2470C96C" w14:textId="77777777">
        <w:tc>
          <w:tcPr>
            <w:tcW w:w="0" w:type="auto"/>
            <w:gridSpan w:val="3"/>
            <w:shd w:val="clear" w:color="auto" w:fill="auto"/>
            <w:tcMar>
              <w:top w:w="40" w:type="dxa"/>
              <w:left w:w="20" w:type="dxa"/>
              <w:bottom w:w="40" w:type="dxa"/>
              <w:right w:w="20" w:type="dxa"/>
            </w:tcMar>
            <w:vAlign w:val="bottom"/>
          </w:tcPr>
          <w:p w14:paraId="2470C966"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2470C967"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968" w14:textId="77777777" w:rsidR="009C6E2F" w:rsidRDefault="007972BE">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470C969"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96A" w14:textId="77777777" w:rsidR="009C6E2F" w:rsidRDefault="007972BE">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470C96B"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C97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96D" w14:textId="77777777" w:rsidR="009C6E2F" w:rsidRDefault="007972BE">
            <w:pPr>
              <w:textAlignment w:val="bottom"/>
            </w:pPr>
            <w:r>
              <w:rPr>
                <w:rFonts w:ascii="Arial" w:eastAsia="宋体" w:hAnsi="Arial" w:cs="Arial"/>
                <w:b/>
                <w:bCs/>
                <w:color w:val="000000"/>
                <w:sz w:val="17"/>
                <w:szCs w:val="17"/>
              </w:rPr>
              <w:t>Balance at August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2470C96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6F" w14:textId="77777777" w:rsidR="009C6E2F" w:rsidRDefault="007972BE">
            <w:pPr>
              <w:jc w:val="right"/>
              <w:textAlignment w:val="bottom"/>
            </w:pPr>
            <w:r>
              <w:rPr>
                <w:rFonts w:ascii="Arial" w:eastAsia="宋体" w:hAnsi="Arial" w:cs="Arial"/>
                <w:b/>
                <w:bCs/>
                <w:color w:val="000000"/>
                <w:sz w:val="17"/>
                <w:szCs w:val="17"/>
              </w:rPr>
              <w:t>(176)</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70"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7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72" w14:textId="77777777" w:rsidR="009C6E2F" w:rsidRDefault="007972BE">
            <w:pPr>
              <w:jc w:val="right"/>
              <w:textAlignment w:val="bottom"/>
            </w:pPr>
            <w:r>
              <w:rPr>
                <w:rFonts w:ascii="Arial" w:eastAsia="宋体" w:hAnsi="Arial" w:cs="Arial"/>
                <w:b/>
                <w:bCs/>
                <w:color w:val="000000"/>
                <w:sz w:val="17"/>
                <w:szCs w:val="17"/>
              </w:rPr>
              <w:t>(268)</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73"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7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75"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76"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7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78" w14:textId="77777777" w:rsidR="009C6E2F" w:rsidRDefault="007972BE">
            <w:pPr>
              <w:jc w:val="right"/>
              <w:textAlignment w:val="bottom"/>
            </w:pPr>
            <w:r>
              <w:rPr>
                <w:rFonts w:ascii="Arial" w:eastAsia="宋体" w:hAnsi="Arial" w:cs="Arial"/>
                <w:b/>
                <w:bCs/>
                <w:color w:val="000000"/>
                <w:sz w:val="17"/>
                <w:szCs w:val="17"/>
              </w:rPr>
              <w:t>(72)</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7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7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7B" w14:textId="77777777" w:rsidR="009C6E2F" w:rsidRDefault="007972BE">
            <w:pPr>
              <w:jc w:val="right"/>
              <w:textAlignment w:val="bottom"/>
            </w:pPr>
            <w:r>
              <w:rPr>
                <w:rFonts w:ascii="Arial" w:eastAsia="宋体" w:hAnsi="Arial" w:cs="Arial"/>
                <w:b/>
                <w:bCs/>
                <w:color w:val="000000"/>
                <w:sz w:val="17"/>
                <w:szCs w:val="17"/>
              </w:rPr>
              <w:t>(401)</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7C" w14:textId="77777777" w:rsidR="009C6E2F" w:rsidRDefault="009C6E2F">
            <w:pPr>
              <w:jc w:val="right"/>
              <w:rPr>
                <w:rFonts w:ascii="宋体"/>
              </w:rPr>
            </w:pPr>
          </w:p>
        </w:tc>
      </w:tr>
      <w:tr w:rsidR="009C6E2F" w14:paraId="2470C984"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470C97E" w14:textId="77777777" w:rsidR="009C6E2F" w:rsidRDefault="007972BE">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97F"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980"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981"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98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983" w14:textId="77777777" w:rsidR="009C6E2F" w:rsidRDefault="009C6E2F">
            <w:pPr>
              <w:rPr>
                <w:rFonts w:ascii="宋体"/>
              </w:rPr>
            </w:pPr>
          </w:p>
        </w:tc>
      </w:tr>
      <w:tr w:rsidR="009C6E2F" w14:paraId="2470C990"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985"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86" w14:textId="77777777" w:rsidR="009C6E2F" w:rsidRDefault="007972BE">
            <w:pPr>
              <w:jc w:val="right"/>
              <w:textAlignment w:val="bottom"/>
            </w:pPr>
            <w:r>
              <w:rPr>
                <w:rFonts w:ascii="Arial" w:eastAsia="宋体" w:hAnsi="Arial" w:cs="Arial"/>
                <w:color w:val="000000"/>
                <w:sz w:val="17"/>
                <w:szCs w:val="17"/>
              </w:rPr>
              <w:t>79 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8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88" w14:textId="77777777" w:rsidR="009C6E2F" w:rsidRDefault="007972BE">
            <w:pPr>
              <w:jc w:val="right"/>
              <w:textAlignment w:val="bottom"/>
            </w:pPr>
            <w:r>
              <w:rPr>
                <w:rFonts w:ascii="Arial" w:eastAsia="宋体" w:hAnsi="Arial" w:cs="Arial"/>
                <w:color w:val="000000"/>
                <w:sz w:val="17"/>
                <w:szCs w:val="17"/>
              </w:rPr>
              <w:t>(64)</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8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8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8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8C" w14:textId="77777777" w:rsidR="009C6E2F" w:rsidRDefault="007972BE">
            <w:pPr>
              <w:jc w:val="right"/>
              <w:textAlignment w:val="bottom"/>
            </w:pPr>
            <w:r>
              <w:rPr>
                <w:rFonts w:ascii="Arial" w:eastAsia="宋体" w:hAnsi="Arial" w:cs="Arial"/>
                <w:color w:val="000000"/>
                <w:sz w:val="17"/>
                <w:szCs w:val="17"/>
              </w:rPr>
              <w:t>(2)</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8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8E"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8F" w14:textId="77777777" w:rsidR="009C6E2F" w:rsidRDefault="009C6E2F">
            <w:pPr>
              <w:jc w:val="right"/>
              <w:rPr>
                <w:rFonts w:ascii="宋体"/>
              </w:rPr>
            </w:pPr>
          </w:p>
        </w:tc>
      </w:tr>
      <w:tr w:rsidR="009C6E2F" w14:paraId="2470C99C"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991"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92"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9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94" w14:textId="77777777" w:rsidR="009C6E2F" w:rsidRDefault="007972BE">
            <w:pPr>
              <w:jc w:val="right"/>
              <w:textAlignment w:val="bottom"/>
            </w:pPr>
            <w:r>
              <w:rPr>
                <w:rFonts w:ascii="Arial" w:eastAsia="宋体" w:hAnsi="Arial" w:cs="Arial"/>
                <w:color w:val="000000"/>
                <w:sz w:val="17"/>
                <w:szCs w:val="17"/>
              </w:rPr>
              <w:t>(39)</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9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96"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9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98"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9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99A" w14:textId="77777777" w:rsidR="009C6E2F" w:rsidRDefault="007972BE">
            <w:pPr>
              <w:jc w:val="right"/>
              <w:textAlignment w:val="bottom"/>
            </w:pPr>
            <w:r>
              <w:rPr>
                <w:rFonts w:ascii="Arial" w:eastAsia="宋体" w:hAnsi="Arial" w:cs="Arial"/>
                <w:color w:val="000000"/>
                <w:sz w:val="17"/>
                <w:szCs w:val="17"/>
              </w:rPr>
              <w:t>(41)</w:t>
            </w:r>
          </w:p>
        </w:tc>
        <w:tc>
          <w:tcPr>
            <w:tcW w:w="0" w:type="auto"/>
            <w:tcBorders>
              <w:top w:val="single" w:sz="4" w:space="0" w:color="808080"/>
            </w:tcBorders>
            <w:shd w:val="clear" w:color="auto" w:fill="auto"/>
            <w:tcMar>
              <w:top w:w="40" w:type="dxa"/>
              <w:left w:w="0" w:type="dxa"/>
              <w:bottom w:w="40" w:type="dxa"/>
              <w:right w:w="20" w:type="dxa"/>
            </w:tcMar>
            <w:vAlign w:val="bottom"/>
          </w:tcPr>
          <w:p w14:paraId="2470C99B" w14:textId="77777777" w:rsidR="009C6E2F" w:rsidRDefault="009C6E2F">
            <w:pPr>
              <w:jc w:val="right"/>
              <w:rPr>
                <w:rFonts w:ascii="宋体"/>
              </w:rPr>
            </w:pPr>
          </w:p>
        </w:tc>
      </w:tr>
      <w:tr w:rsidR="009C6E2F" w14:paraId="2470C9A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99D" w14:textId="77777777" w:rsidR="009C6E2F" w:rsidRDefault="007972BE">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99E" w14:textId="77777777" w:rsidR="009C6E2F" w:rsidRDefault="007972BE">
            <w:pPr>
              <w:jc w:val="right"/>
              <w:textAlignment w:val="bottom"/>
            </w:pPr>
            <w:r>
              <w:rPr>
                <w:rFonts w:ascii="Arial" w:eastAsia="宋体" w:hAnsi="Arial" w:cs="Arial"/>
                <w:color w:val="000000"/>
                <w:sz w:val="17"/>
                <w:szCs w:val="17"/>
              </w:rPr>
              <w:t>78 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9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9A0" w14:textId="77777777" w:rsidR="009C6E2F" w:rsidRDefault="007972BE">
            <w:pPr>
              <w:jc w:val="right"/>
              <w:textAlignment w:val="bottom"/>
            </w:pPr>
            <w:r>
              <w:rPr>
                <w:rFonts w:ascii="Arial" w:eastAsia="宋体" w:hAnsi="Arial" w:cs="Arial"/>
                <w:color w:val="000000"/>
                <w:sz w:val="17"/>
                <w:szCs w:val="17"/>
              </w:rPr>
              <w:t>(103)</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A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9A2"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A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9A4"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A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9A6" w14:textId="77777777" w:rsidR="009C6E2F" w:rsidRDefault="007972BE">
            <w:pPr>
              <w:jc w:val="right"/>
              <w:textAlignment w:val="bottom"/>
            </w:pPr>
            <w:r>
              <w:rPr>
                <w:rFonts w:ascii="Arial" w:eastAsia="宋体" w:hAnsi="Arial" w:cs="Arial"/>
                <w:color w:val="000000"/>
                <w:sz w:val="17"/>
                <w:szCs w:val="17"/>
              </w:rPr>
              <w:t>(28)</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A7" w14:textId="77777777" w:rsidR="009C6E2F" w:rsidRDefault="009C6E2F">
            <w:pPr>
              <w:jc w:val="right"/>
              <w:rPr>
                <w:rFonts w:ascii="宋体"/>
              </w:rPr>
            </w:pPr>
          </w:p>
        </w:tc>
      </w:tr>
      <w:tr w:rsidR="009C6E2F" w14:paraId="2470C9B9"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9A9" w14:textId="77777777" w:rsidR="009C6E2F" w:rsidRDefault="007972BE">
            <w:pPr>
              <w:textAlignment w:val="bottom"/>
            </w:pPr>
            <w:r>
              <w:rPr>
                <w:rFonts w:ascii="Arial" w:eastAsia="宋体" w:hAnsi="Arial" w:cs="Arial"/>
                <w:b/>
                <w:bCs/>
                <w:color w:val="000000"/>
                <w:sz w:val="17"/>
                <w:szCs w:val="17"/>
              </w:rPr>
              <w:t>Balance at November 30, 2020</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9A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9AB" w14:textId="77777777" w:rsidR="009C6E2F" w:rsidRDefault="007972BE">
            <w:pPr>
              <w:jc w:val="right"/>
              <w:textAlignment w:val="bottom"/>
            </w:pPr>
            <w:r>
              <w:rPr>
                <w:rFonts w:ascii="Arial" w:eastAsia="宋体" w:hAnsi="Arial" w:cs="Arial"/>
                <w:b/>
                <w:bCs/>
                <w:color w:val="000000"/>
                <w:sz w:val="17"/>
                <w:szCs w:val="17"/>
              </w:rPr>
              <w:t>(98)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9A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9A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9AE" w14:textId="77777777" w:rsidR="009C6E2F" w:rsidRDefault="007972BE">
            <w:pPr>
              <w:jc w:val="right"/>
              <w:textAlignment w:val="bottom"/>
            </w:pPr>
            <w:r>
              <w:rPr>
                <w:rFonts w:ascii="Arial" w:eastAsia="宋体" w:hAnsi="Arial" w:cs="Arial"/>
                <w:b/>
                <w:bCs/>
                <w:color w:val="000000"/>
                <w:sz w:val="17"/>
                <w:szCs w:val="17"/>
              </w:rPr>
              <w:t>(371)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9A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9B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9B1"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9B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9B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9B4" w14:textId="77777777" w:rsidR="009C6E2F" w:rsidRDefault="007972BE">
            <w:pPr>
              <w:jc w:val="right"/>
              <w:textAlignment w:val="bottom"/>
            </w:pPr>
            <w:r>
              <w:rPr>
                <w:rFonts w:ascii="Arial" w:eastAsia="宋体" w:hAnsi="Arial" w:cs="Arial"/>
                <w:b/>
                <w:bCs/>
                <w:color w:val="000000"/>
                <w:sz w:val="17"/>
                <w:szCs w:val="17"/>
              </w:rPr>
              <w:t>(75)</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9B5"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9B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9B7" w14:textId="77777777" w:rsidR="009C6E2F" w:rsidRDefault="007972BE">
            <w:pPr>
              <w:jc w:val="right"/>
              <w:textAlignment w:val="bottom"/>
            </w:pPr>
            <w:r>
              <w:rPr>
                <w:rFonts w:ascii="Arial" w:eastAsia="宋体" w:hAnsi="Arial" w:cs="Arial"/>
                <w:b/>
                <w:bCs/>
                <w:color w:val="000000"/>
                <w:sz w:val="17"/>
                <w:szCs w:val="17"/>
              </w:rPr>
              <w:t>(429)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9B8" w14:textId="77777777" w:rsidR="009C6E2F" w:rsidRDefault="009C6E2F">
            <w:pPr>
              <w:jc w:val="right"/>
              <w:rPr>
                <w:rFonts w:ascii="宋体"/>
              </w:rPr>
            </w:pPr>
          </w:p>
        </w:tc>
      </w:tr>
    </w:tbl>
    <w:p w14:paraId="2470C9BA"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2470C9BB"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(2)Net of tax benefit (expense) of $0 million, $(4) million, $0 million, $0 million and $(4) million, respectively.</w:t>
      </w:r>
    </w:p>
    <w:p w14:paraId="2470C9BC"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(3)Net of tax (benefit)</w:t>
      </w:r>
      <w:r>
        <w:rPr>
          <w:rFonts w:ascii="Arial" w:eastAsia="宋体" w:hAnsi="Arial" w:cs="Arial"/>
          <w:i/>
          <w:iCs/>
          <w:color w:val="000000"/>
          <w:sz w:val="14"/>
          <w:szCs w:val="14"/>
        </w:rPr>
        <w:t xml:space="preserve"> expense of $0 million, $4 million, $0 million, $0 million and $4 million,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9C6E2F" w14:paraId="2470C9CF" w14:textId="77777777">
        <w:tc>
          <w:tcPr>
            <w:tcW w:w="50" w:type="pct"/>
            <w:shd w:val="clear" w:color="auto" w:fill="auto"/>
            <w:vAlign w:val="bottom"/>
          </w:tcPr>
          <w:p w14:paraId="2470C9BD" w14:textId="77777777" w:rsidR="009C6E2F" w:rsidRDefault="009C6E2F">
            <w:pPr>
              <w:rPr>
                <w:rFonts w:ascii="宋体"/>
              </w:rPr>
            </w:pPr>
          </w:p>
        </w:tc>
        <w:tc>
          <w:tcPr>
            <w:tcW w:w="2332" w:type="pct"/>
            <w:shd w:val="clear" w:color="auto" w:fill="auto"/>
            <w:vAlign w:val="bottom"/>
          </w:tcPr>
          <w:p w14:paraId="2470C9BE" w14:textId="77777777" w:rsidR="009C6E2F" w:rsidRDefault="009C6E2F">
            <w:pPr>
              <w:rPr>
                <w:rFonts w:ascii="宋体"/>
              </w:rPr>
            </w:pPr>
          </w:p>
        </w:tc>
        <w:tc>
          <w:tcPr>
            <w:tcW w:w="5" w:type="pct"/>
            <w:shd w:val="clear" w:color="auto" w:fill="auto"/>
            <w:vAlign w:val="bottom"/>
          </w:tcPr>
          <w:p w14:paraId="2470C9BF" w14:textId="77777777" w:rsidR="009C6E2F" w:rsidRDefault="009C6E2F">
            <w:pPr>
              <w:rPr>
                <w:rFonts w:ascii="宋体"/>
              </w:rPr>
            </w:pPr>
          </w:p>
        </w:tc>
        <w:tc>
          <w:tcPr>
            <w:tcW w:w="50" w:type="pct"/>
            <w:shd w:val="clear" w:color="auto" w:fill="auto"/>
            <w:vAlign w:val="bottom"/>
          </w:tcPr>
          <w:p w14:paraId="2470C9C0" w14:textId="77777777" w:rsidR="009C6E2F" w:rsidRDefault="009C6E2F">
            <w:pPr>
              <w:rPr>
                <w:rFonts w:ascii="宋体"/>
              </w:rPr>
            </w:pPr>
          </w:p>
        </w:tc>
        <w:tc>
          <w:tcPr>
            <w:tcW w:w="545" w:type="pct"/>
            <w:shd w:val="clear" w:color="auto" w:fill="auto"/>
            <w:vAlign w:val="bottom"/>
          </w:tcPr>
          <w:p w14:paraId="2470C9C1" w14:textId="77777777" w:rsidR="009C6E2F" w:rsidRDefault="009C6E2F">
            <w:pPr>
              <w:rPr>
                <w:rFonts w:ascii="宋体"/>
              </w:rPr>
            </w:pPr>
          </w:p>
        </w:tc>
        <w:tc>
          <w:tcPr>
            <w:tcW w:w="5" w:type="pct"/>
            <w:shd w:val="clear" w:color="auto" w:fill="auto"/>
            <w:vAlign w:val="bottom"/>
          </w:tcPr>
          <w:p w14:paraId="2470C9C2" w14:textId="77777777" w:rsidR="009C6E2F" w:rsidRDefault="009C6E2F">
            <w:pPr>
              <w:rPr>
                <w:rFonts w:ascii="宋体"/>
              </w:rPr>
            </w:pPr>
          </w:p>
        </w:tc>
        <w:tc>
          <w:tcPr>
            <w:tcW w:w="50" w:type="pct"/>
            <w:shd w:val="clear" w:color="auto" w:fill="auto"/>
            <w:vAlign w:val="bottom"/>
          </w:tcPr>
          <w:p w14:paraId="2470C9C3" w14:textId="77777777" w:rsidR="009C6E2F" w:rsidRDefault="009C6E2F">
            <w:pPr>
              <w:rPr>
                <w:rFonts w:ascii="宋体"/>
              </w:rPr>
            </w:pPr>
          </w:p>
        </w:tc>
        <w:tc>
          <w:tcPr>
            <w:tcW w:w="448" w:type="pct"/>
            <w:shd w:val="clear" w:color="auto" w:fill="auto"/>
            <w:vAlign w:val="bottom"/>
          </w:tcPr>
          <w:p w14:paraId="2470C9C4" w14:textId="77777777" w:rsidR="009C6E2F" w:rsidRDefault="009C6E2F">
            <w:pPr>
              <w:rPr>
                <w:rFonts w:ascii="宋体"/>
              </w:rPr>
            </w:pPr>
          </w:p>
        </w:tc>
        <w:tc>
          <w:tcPr>
            <w:tcW w:w="5" w:type="pct"/>
            <w:shd w:val="clear" w:color="auto" w:fill="auto"/>
            <w:vAlign w:val="bottom"/>
          </w:tcPr>
          <w:p w14:paraId="2470C9C5" w14:textId="77777777" w:rsidR="009C6E2F" w:rsidRDefault="009C6E2F">
            <w:pPr>
              <w:rPr>
                <w:rFonts w:ascii="宋体"/>
              </w:rPr>
            </w:pPr>
          </w:p>
        </w:tc>
        <w:tc>
          <w:tcPr>
            <w:tcW w:w="50" w:type="pct"/>
            <w:shd w:val="clear" w:color="auto" w:fill="auto"/>
            <w:vAlign w:val="bottom"/>
          </w:tcPr>
          <w:p w14:paraId="2470C9C6" w14:textId="77777777" w:rsidR="009C6E2F" w:rsidRDefault="009C6E2F">
            <w:pPr>
              <w:rPr>
                <w:rFonts w:ascii="宋体"/>
              </w:rPr>
            </w:pPr>
          </w:p>
        </w:tc>
        <w:tc>
          <w:tcPr>
            <w:tcW w:w="448" w:type="pct"/>
            <w:shd w:val="clear" w:color="auto" w:fill="auto"/>
            <w:vAlign w:val="bottom"/>
          </w:tcPr>
          <w:p w14:paraId="2470C9C7" w14:textId="77777777" w:rsidR="009C6E2F" w:rsidRDefault="009C6E2F">
            <w:pPr>
              <w:rPr>
                <w:rFonts w:ascii="宋体"/>
              </w:rPr>
            </w:pPr>
          </w:p>
        </w:tc>
        <w:tc>
          <w:tcPr>
            <w:tcW w:w="5" w:type="pct"/>
            <w:shd w:val="clear" w:color="auto" w:fill="auto"/>
            <w:vAlign w:val="bottom"/>
          </w:tcPr>
          <w:p w14:paraId="2470C9C8" w14:textId="77777777" w:rsidR="009C6E2F" w:rsidRDefault="009C6E2F">
            <w:pPr>
              <w:rPr>
                <w:rFonts w:ascii="宋体"/>
              </w:rPr>
            </w:pPr>
          </w:p>
        </w:tc>
        <w:tc>
          <w:tcPr>
            <w:tcW w:w="50" w:type="pct"/>
            <w:shd w:val="clear" w:color="auto" w:fill="auto"/>
            <w:vAlign w:val="bottom"/>
          </w:tcPr>
          <w:p w14:paraId="2470C9C9" w14:textId="77777777" w:rsidR="009C6E2F" w:rsidRDefault="009C6E2F">
            <w:pPr>
              <w:rPr>
                <w:rFonts w:ascii="宋体"/>
              </w:rPr>
            </w:pPr>
          </w:p>
        </w:tc>
        <w:tc>
          <w:tcPr>
            <w:tcW w:w="448" w:type="pct"/>
            <w:shd w:val="clear" w:color="auto" w:fill="auto"/>
            <w:vAlign w:val="bottom"/>
          </w:tcPr>
          <w:p w14:paraId="2470C9CA" w14:textId="77777777" w:rsidR="009C6E2F" w:rsidRDefault="009C6E2F">
            <w:pPr>
              <w:rPr>
                <w:rFonts w:ascii="宋体"/>
              </w:rPr>
            </w:pPr>
          </w:p>
        </w:tc>
        <w:tc>
          <w:tcPr>
            <w:tcW w:w="5" w:type="pct"/>
            <w:shd w:val="clear" w:color="auto" w:fill="auto"/>
            <w:vAlign w:val="bottom"/>
          </w:tcPr>
          <w:p w14:paraId="2470C9CB" w14:textId="77777777" w:rsidR="009C6E2F" w:rsidRDefault="009C6E2F">
            <w:pPr>
              <w:rPr>
                <w:rFonts w:ascii="宋体"/>
              </w:rPr>
            </w:pPr>
          </w:p>
        </w:tc>
        <w:tc>
          <w:tcPr>
            <w:tcW w:w="50" w:type="pct"/>
            <w:shd w:val="clear" w:color="auto" w:fill="auto"/>
            <w:vAlign w:val="bottom"/>
          </w:tcPr>
          <w:p w14:paraId="2470C9CC" w14:textId="77777777" w:rsidR="009C6E2F" w:rsidRDefault="009C6E2F">
            <w:pPr>
              <w:rPr>
                <w:rFonts w:ascii="宋体"/>
              </w:rPr>
            </w:pPr>
          </w:p>
        </w:tc>
        <w:tc>
          <w:tcPr>
            <w:tcW w:w="448" w:type="pct"/>
            <w:shd w:val="clear" w:color="auto" w:fill="auto"/>
            <w:vAlign w:val="bottom"/>
          </w:tcPr>
          <w:p w14:paraId="2470C9CD" w14:textId="77777777" w:rsidR="009C6E2F" w:rsidRDefault="009C6E2F">
            <w:pPr>
              <w:rPr>
                <w:rFonts w:ascii="宋体"/>
              </w:rPr>
            </w:pPr>
          </w:p>
        </w:tc>
        <w:tc>
          <w:tcPr>
            <w:tcW w:w="5" w:type="pct"/>
            <w:shd w:val="clear" w:color="auto" w:fill="auto"/>
            <w:vAlign w:val="bottom"/>
          </w:tcPr>
          <w:p w14:paraId="2470C9CE" w14:textId="77777777" w:rsidR="009C6E2F" w:rsidRDefault="009C6E2F">
            <w:pPr>
              <w:rPr>
                <w:rFonts w:ascii="宋体"/>
              </w:rPr>
            </w:pPr>
          </w:p>
        </w:tc>
      </w:tr>
      <w:tr w:rsidR="009C6E2F" w14:paraId="2470C9D6" w14:textId="77777777">
        <w:tc>
          <w:tcPr>
            <w:tcW w:w="0" w:type="auto"/>
            <w:gridSpan w:val="3"/>
            <w:shd w:val="clear" w:color="auto" w:fill="auto"/>
            <w:tcMar>
              <w:top w:w="40" w:type="dxa"/>
              <w:left w:w="20" w:type="dxa"/>
              <w:bottom w:w="40" w:type="dxa"/>
              <w:right w:w="20" w:type="dxa"/>
            </w:tcMar>
            <w:vAlign w:val="bottom"/>
          </w:tcPr>
          <w:p w14:paraId="2470C9D0"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2470C9D1"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9D2" w14:textId="77777777" w:rsidR="009C6E2F" w:rsidRDefault="007972BE">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470C9D3"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9D4" w14:textId="77777777" w:rsidR="009C6E2F" w:rsidRDefault="007972BE">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470C9D5"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C9E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9D7" w14:textId="77777777" w:rsidR="009C6E2F" w:rsidRDefault="007972BE">
            <w:pPr>
              <w:textAlignment w:val="bottom"/>
            </w:pPr>
            <w:r>
              <w:rPr>
                <w:rFonts w:ascii="Arial" w:eastAsia="宋体" w:hAnsi="Arial" w:cs="Arial"/>
                <w:b/>
                <w:bCs/>
                <w:color w:val="000000"/>
                <w:sz w:val="17"/>
                <w:szCs w:val="17"/>
              </w:rPr>
              <w:t>Balance at May 31, 2021</w:t>
            </w:r>
          </w:p>
        </w:tc>
        <w:tc>
          <w:tcPr>
            <w:tcW w:w="0" w:type="auto"/>
            <w:tcBorders>
              <w:top w:val="single" w:sz="8" w:space="0" w:color="E87722"/>
            </w:tcBorders>
            <w:shd w:val="clear" w:color="auto" w:fill="auto"/>
            <w:tcMar>
              <w:top w:w="40" w:type="dxa"/>
              <w:left w:w="20" w:type="dxa"/>
              <w:bottom w:w="40" w:type="dxa"/>
              <w:right w:w="0" w:type="dxa"/>
            </w:tcMar>
            <w:vAlign w:val="bottom"/>
          </w:tcPr>
          <w:p w14:paraId="2470C9D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D9" w14:textId="77777777" w:rsidR="009C6E2F" w:rsidRDefault="007972BE">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D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D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DC" w14:textId="77777777" w:rsidR="009C6E2F" w:rsidRDefault="007972BE">
            <w:pPr>
              <w:jc w:val="right"/>
              <w:textAlignment w:val="bottom"/>
            </w:pPr>
            <w:r>
              <w:rPr>
                <w:rFonts w:ascii="Arial" w:eastAsia="宋体" w:hAnsi="Arial" w:cs="Arial"/>
                <w:b/>
                <w:bCs/>
                <w:color w:val="000000"/>
                <w:sz w:val="17"/>
                <w:szCs w:val="17"/>
              </w:rPr>
              <w:t>(435)</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DD"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D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DF"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E0"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E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E2" w14:textId="77777777" w:rsidR="009C6E2F" w:rsidRDefault="007972BE">
            <w:pPr>
              <w:jc w:val="right"/>
              <w:textAlignment w:val="bottom"/>
            </w:pPr>
            <w:r>
              <w:rPr>
                <w:rFonts w:ascii="Arial" w:eastAsia="宋体" w:hAnsi="Arial" w:cs="Arial"/>
                <w:b/>
                <w:bCs/>
                <w:color w:val="000000"/>
                <w:sz w:val="17"/>
                <w:szCs w:val="17"/>
              </w:rPr>
              <w:t>(62)</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E3"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9E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9E5" w14:textId="77777777" w:rsidR="009C6E2F" w:rsidRDefault="007972BE">
            <w:pPr>
              <w:jc w:val="right"/>
              <w:textAlignment w:val="bottom"/>
            </w:pPr>
            <w:r>
              <w:rPr>
                <w:rFonts w:ascii="Arial" w:eastAsia="宋体" w:hAnsi="Arial" w:cs="Arial"/>
                <w:b/>
                <w:bCs/>
                <w:color w:val="000000"/>
                <w:sz w:val="17"/>
                <w:szCs w:val="17"/>
              </w:rPr>
              <w:t>(380)</w:t>
            </w:r>
          </w:p>
        </w:tc>
        <w:tc>
          <w:tcPr>
            <w:tcW w:w="0" w:type="auto"/>
            <w:tcBorders>
              <w:top w:val="single" w:sz="8" w:space="0" w:color="E87722"/>
            </w:tcBorders>
            <w:shd w:val="clear" w:color="auto" w:fill="auto"/>
            <w:tcMar>
              <w:top w:w="40" w:type="dxa"/>
              <w:left w:w="0" w:type="dxa"/>
              <w:bottom w:w="40" w:type="dxa"/>
              <w:right w:w="20" w:type="dxa"/>
            </w:tcMar>
            <w:vAlign w:val="bottom"/>
          </w:tcPr>
          <w:p w14:paraId="2470C9E6" w14:textId="77777777" w:rsidR="009C6E2F" w:rsidRDefault="009C6E2F">
            <w:pPr>
              <w:jc w:val="right"/>
              <w:rPr>
                <w:rFonts w:ascii="宋体"/>
              </w:rPr>
            </w:pPr>
          </w:p>
        </w:tc>
      </w:tr>
      <w:tr w:rsidR="009C6E2F" w14:paraId="2470C9EE"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470C9E8" w14:textId="77777777" w:rsidR="009C6E2F" w:rsidRDefault="007972BE">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E9"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EA"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EB"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EC"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9ED" w14:textId="77777777" w:rsidR="009C6E2F" w:rsidRDefault="009C6E2F">
            <w:pPr>
              <w:rPr>
                <w:rFonts w:ascii="宋体"/>
              </w:rPr>
            </w:pPr>
          </w:p>
        </w:tc>
      </w:tr>
      <w:tr w:rsidR="009C6E2F" w14:paraId="2470C9FA"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9EF"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F0" w14:textId="77777777" w:rsidR="009C6E2F" w:rsidRDefault="007972BE">
            <w:pPr>
              <w:jc w:val="right"/>
              <w:textAlignment w:val="bottom"/>
            </w:pPr>
            <w:r>
              <w:rPr>
                <w:rFonts w:ascii="Arial" w:eastAsia="宋体" w:hAnsi="Arial" w:cs="Arial"/>
                <w:color w:val="000000"/>
                <w:sz w:val="17"/>
                <w:szCs w:val="17"/>
              </w:rPr>
              <w:t>(283)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F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F2" w14:textId="77777777" w:rsidR="009C6E2F" w:rsidRDefault="007972BE">
            <w:pPr>
              <w:jc w:val="right"/>
              <w:textAlignment w:val="bottom"/>
            </w:pPr>
            <w:r>
              <w:rPr>
                <w:rFonts w:ascii="Arial" w:eastAsia="宋体" w:hAnsi="Arial" w:cs="Arial"/>
                <w:color w:val="000000"/>
                <w:sz w:val="17"/>
                <w:szCs w:val="17"/>
              </w:rPr>
              <w:t>685 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F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F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F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F6"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F7"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F8" w14:textId="77777777" w:rsidR="009C6E2F" w:rsidRDefault="007972BE">
            <w:pPr>
              <w:jc w:val="right"/>
              <w:textAlignment w:val="bottom"/>
            </w:pPr>
            <w:r>
              <w:rPr>
                <w:rFonts w:ascii="Arial" w:eastAsia="宋体" w:hAnsi="Arial" w:cs="Arial"/>
                <w:color w:val="000000"/>
                <w:sz w:val="17"/>
                <w:szCs w:val="17"/>
              </w:rPr>
              <w:t>416 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F9" w14:textId="77777777" w:rsidR="009C6E2F" w:rsidRDefault="009C6E2F">
            <w:pPr>
              <w:jc w:val="right"/>
              <w:rPr>
                <w:rFonts w:ascii="宋体"/>
              </w:rPr>
            </w:pPr>
          </w:p>
        </w:tc>
      </w:tr>
      <w:tr w:rsidR="009C6E2F" w14:paraId="2470CA06"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9FB"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F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F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9FE" w14:textId="77777777" w:rsidR="009C6E2F" w:rsidRDefault="007972BE">
            <w:pPr>
              <w:jc w:val="right"/>
              <w:textAlignment w:val="bottom"/>
            </w:pPr>
            <w:r>
              <w:rPr>
                <w:rFonts w:ascii="Arial" w:eastAsia="宋体" w:hAnsi="Arial" w:cs="Arial"/>
                <w:color w:val="000000"/>
                <w:sz w:val="17"/>
                <w:szCs w:val="17"/>
              </w:rPr>
              <w:t>119 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9F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A0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A0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A02" w14:textId="77777777" w:rsidR="009C6E2F" w:rsidRDefault="007972BE">
            <w:pPr>
              <w:jc w:val="right"/>
              <w:textAlignment w:val="bottom"/>
            </w:pPr>
            <w:r>
              <w:rPr>
                <w:rFonts w:ascii="Arial" w:eastAsia="宋体" w:hAnsi="Arial" w:cs="Arial"/>
                <w:color w:val="000000"/>
                <w:sz w:val="17"/>
                <w:szCs w:val="17"/>
              </w:rPr>
              <w:t>(10)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A0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A04" w14:textId="77777777" w:rsidR="009C6E2F" w:rsidRDefault="007972BE">
            <w:pPr>
              <w:jc w:val="right"/>
              <w:textAlignment w:val="bottom"/>
            </w:pPr>
            <w:r>
              <w:rPr>
                <w:rFonts w:ascii="Arial" w:eastAsia="宋体" w:hAnsi="Arial" w:cs="Arial"/>
                <w:color w:val="000000"/>
                <w:sz w:val="17"/>
                <w:szCs w:val="17"/>
              </w:rPr>
              <w:t>109 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A05" w14:textId="77777777" w:rsidR="009C6E2F" w:rsidRDefault="009C6E2F">
            <w:pPr>
              <w:jc w:val="right"/>
              <w:rPr>
                <w:rFonts w:ascii="宋体"/>
              </w:rPr>
            </w:pPr>
          </w:p>
        </w:tc>
      </w:tr>
      <w:tr w:rsidR="009C6E2F" w14:paraId="2470CA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07" w14:textId="77777777" w:rsidR="009C6E2F" w:rsidRDefault="007972BE">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08" w14:textId="77777777" w:rsidR="009C6E2F" w:rsidRDefault="007972BE">
            <w:pPr>
              <w:jc w:val="right"/>
              <w:textAlignment w:val="bottom"/>
            </w:pPr>
            <w:r>
              <w:rPr>
                <w:rFonts w:ascii="Arial" w:eastAsia="宋体" w:hAnsi="Arial" w:cs="Arial"/>
                <w:color w:val="000000"/>
                <w:sz w:val="17"/>
                <w:szCs w:val="17"/>
              </w:rPr>
              <w:t>(283)</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09"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0A" w14:textId="77777777" w:rsidR="009C6E2F" w:rsidRDefault="007972BE">
            <w:pPr>
              <w:jc w:val="right"/>
              <w:textAlignment w:val="bottom"/>
            </w:pPr>
            <w:r>
              <w:rPr>
                <w:rFonts w:ascii="Arial" w:eastAsia="宋体" w:hAnsi="Arial" w:cs="Arial"/>
                <w:color w:val="000000"/>
                <w:sz w:val="17"/>
                <w:szCs w:val="17"/>
              </w:rPr>
              <w:t>804 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0B"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0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0D"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0E"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0F" w14:textId="77777777" w:rsidR="009C6E2F" w:rsidRDefault="009C6E2F">
            <w:pPr>
              <w:jc w:val="right"/>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10" w14:textId="77777777" w:rsidR="009C6E2F" w:rsidRDefault="007972BE">
            <w:pPr>
              <w:jc w:val="right"/>
              <w:textAlignment w:val="bottom"/>
            </w:pPr>
            <w:r>
              <w:rPr>
                <w:rFonts w:ascii="Arial" w:eastAsia="宋体" w:hAnsi="Arial" w:cs="Arial"/>
                <w:color w:val="000000"/>
                <w:sz w:val="17"/>
                <w:szCs w:val="17"/>
              </w:rPr>
              <w:t>525 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11" w14:textId="77777777" w:rsidR="009C6E2F" w:rsidRDefault="009C6E2F">
            <w:pPr>
              <w:jc w:val="right"/>
              <w:rPr>
                <w:rFonts w:ascii="宋体"/>
              </w:rPr>
            </w:pPr>
          </w:p>
        </w:tc>
      </w:tr>
      <w:tr w:rsidR="009C6E2F" w14:paraId="2470CA2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A13" w14:textId="77777777" w:rsidR="009C6E2F" w:rsidRDefault="007972BE">
            <w:pPr>
              <w:textAlignment w:val="bottom"/>
            </w:pPr>
            <w:r>
              <w:rPr>
                <w:rFonts w:ascii="Arial" w:eastAsia="宋体" w:hAnsi="Arial" w:cs="Arial"/>
                <w:b/>
                <w:bCs/>
                <w:color w:val="000000"/>
                <w:sz w:val="17"/>
                <w:szCs w:val="17"/>
              </w:rPr>
              <w:t>Balance at November 30, 2021</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A1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A15" w14:textId="77777777" w:rsidR="009C6E2F" w:rsidRDefault="007972BE">
            <w:pPr>
              <w:jc w:val="right"/>
              <w:textAlignment w:val="bottom"/>
            </w:pPr>
            <w:r>
              <w:rPr>
                <w:rFonts w:ascii="Arial" w:eastAsia="宋体" w:hAnsi="Arial" w:cs="Arial"/>
                <w:b/>
                <w:bCs/>
                <w:color w:val="000000"/>
                <w:sz w:val="17"/>
                <w:szCs w:val="17"/>
              </w:rPr>
              <w:t>(281)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A1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A1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A18" w14:textId="77777777" w:rsidR="009C6E2F" w:rsidRDefault="007972BE">
            <w:pPr>
              <w:jc w:val="right"/>
              <w:textAlignment w:val="bottom"/>
            </w:pPr>
            <w:r>
              <w:rPr>
                <w:rFonts w:ascii="Arial" w:eastAsia="宋体" w:hAnsi="Arial" w:cs="Arial"/>
                <w:b/>
                <w:bCs/>
                <w:color w:val="000000"/>
                <w:sz w:val="17"/>
                <w:szCs w:val="17"/>
              </w:rPr>
              <w:t>369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A1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A1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A1B"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A1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A1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A1E" w14:textId="77777777" w:rsidR="009C6E2F" w:rsidRDefault="007972BE">
            <w:pPr>
              <w:jc w:val="right"/>
              <w:textAlignment w:val="bottom"/>
            </w:pPr>
            <w:r>
              <w:rPr>
                <w:rFonts w:ascii="Arial" w:eastAsia="宋体" w:hAnsi="Arial" w:cs="Arial"/>
                <w:b/>
                <w:bCs/>
                <w:color w:val="000000"/>
                <w:sz w:val="17"/>
                <w:szCs w:val="17"/>
              </w:rPr>
              <w:t>(58)</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A1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A2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A21" w14:textId="77777777" w:rsidR="009C6E2F" w:rsidRDefault="007972BE">
            <w:pPr>
              <w:jc w:val="right"/>
              <w:textAlignment w:val="bottom"/>
            </w:pPr>
            <w:r>
              <w:rPr>
                <w:rFonts w:ascii="Arial" w:eastAsia="宋体" w:hAnsi="Arial" w:cs="Arial"/>
                <w:b/>
                <w:bCs/>
                <w:color w:val="000000"/>
                <w:sz w:val="17"/>
                <w:szCs w:val="17"/>
              </w:rPr>
              <w:t>145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A22" w14:textId="77777777" w:rsidR="009C6E2F" w:rsidRDefault="009C6E2F">
            <w:pPr>
              <w:jc w:val="right"/>
              <w:rPr>
                <w:rFonts w:ascii="宋体"/>
              </w:rPr>
            </w:pPr>
          </w:p>
        </w:tc>
      </w:tr>
    </w:tbl>
    <w:p w14:paraId="2470CA24"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2470CA25"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(2)Net of tax benefit (expense) of $0 million, $(66) million, $0 million, $(4) million and $(70) million, respectively.</w:t>
      </w:r>
    </w:p>
    <w:p w14:paraId="2470CA26"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(3)Net of tax (bene</w:t>
      </w:r>
      <w:r>
        <w:rPr>
          <w:rFonts w:ascii="Arial" w:eastAsia="宋体" w:hAnsi="Arial" w:cs="Arial"/>
          <w:i/>
          <w:iCs/>
          <w:color w:val="000000"/>
          <w:sz w:val="14"/>
          <w:szCs w:val="14"/>
        </w:rPr>
        <w:t>fit) expense of $0 million, $(9) million, $0 million, $4 million and $(5) million, respectively.</w:t>
      </w:r>
    </w:p>
    <w:p w14:paraId="2470CA27" w14:textId="77777777" w:rsidR="009C6E2F" w:rsidRDefault="007972BE">
      <w:pPr>
        <w:spacing w:before="120" w:after="120"/>
        <w:jc w:val="right"/>
      </w:pPr>
      <w:r>
        <w:rPr>
          <w:rFonts w:ascii="Arial" w:eastAsia="宋体" w:hAnsi="Arial" w:cs="Arial"/>
          <w:color w:val="E87722"/>
          <w:sz w:val="17"/>
          <w:szCs w:val="17"/>
        </w:rPr>
        <w:t>17</w:t>
      </w:r>
    </w:p>
    <w:p w14:paraId="2470CA28" w14:textId="77777777" w:rsidR="009C6E2F" w:rsidRDefault="007972BE">
      <w:r>
        <w:pict w14:anchorId="2470E1F6">
          <v:rect id="_x0000_i1043" style="width:415.3pt;height:1.5pt" o:hralign="center" o:hrstd="t" o:hr="t" fillcolor="#a0a0a0" stroked="f"/>
        </w:pict>
      </w:r>
    </w:p>
    <w:p w14:paraId="2470CA29" w14:textId="77777777" w:rsidR="009C6E2F" w:rsidRDefault="009C6E2F"/>
    <w:p w14:paraId="2470CA2A" w14:textId="77777777" w:rsidR="009C6E2F" w:rsidRDefault="007972BE">
      <w:hyperlink r:id="rId86" w:anchor="i9e023a7388204bdbacd6aa338988f838_7" w:history="1">
        <w:r>
          <w:rPr>
            <w:rStyle w:val="a5"/>
            <w:rFonts w:ascii="sans-serif" w:eastAsia="sans-serif" w:hAnsi="sans-serif" w:cs="sans-serif"/>
            <w:sz w:val="17"/>
            <w:szCs w:val="17"/>
          </w:rPr>
          <w:t>Tabl</w:t>
        </w:r>
        <w:r>
          <w:rPr>
            <w:rStyle w:val="a5"/>
            <w:rFonts w:ascii="sans-serif" w:eastAsia="sans-serif" w:hAnsi="sans-serif" w:cs="sans-serif"/>
            <w:sz w:val="17"/>
            <w:szCs w:val="17"/>
          </w:rPr>
          <w:t>e of Contents</w:t>
        </w:r>
      </w:hyperlink>
    </w:p>
    <w:p w14:paraId="2470CA2B" w14:textId="77777777" w:rsidR="009C6E2F" w:rsidRDefault="009C6E2F"/>
    <w:tbl>
      <w:tblPr>
        <w:tblW w:w="5000" w:type="pct"/>
        <w:tblCellMar>
          <w:top w:w="15" w:type="dxa"/>
          <w:left w:w="15" w:type="dxa"/>
          <w:bottom w:w="15" w:type="dxa"/>
          <w:right w:w="15" w:type="dxa"/>
        </w:tblCellMar>
        <w:tblLook w:val="04A0" w:firstRow="1" w:lastRow="0" w:firstColumn="1" w:lastColumn="0" w:noHBand="0" w:noVBand="1"/>
      </w:tblPr>
      <w:tblGrid>
        <w:gridCol w:w="40"/>
        <w:gridCol w:w="3702"/>
        <w:gridCol w:w="39"/>
        <w:gridCol w:w="116"/>
        <w:gridCol w:w="1030"/>
        <w:gridCol w:w="36"/>
        <w:gridCol w:w="116"/>
        <w:gridCol w:w="633"/>
        <w:gridCol w:w="36"/>
        <w:gridCol w:w="116"/>
        <w:gridCol w:w="867"/>
        <w:gridCol w:w="36"/>
        <w:gridCol w:w="116"/>
        <w:gridCol w:w="633"/>
        <w:gridCol w:w="36"/>
        <w:gridCol w:w="115"/>
        <w:gridCol w:w="633"/>
        <w:gridCol w:w="36"/>
      </w:tblGrid>
      <w:tr w:rsidR="009C6E2F" w14:paraId="2470CA3E" w14:textId="77777777">
        <w:tc>
          <w:tcPr>
            <w:tcW w:w="50" w:type="pct"/>
            <w:shd w:val="clear" w:color="auto" w:fill="auto"/>
            <w:vAlign w:val="bottom"/>
          </w:tcPr>
          <w:p w14:paraId="2470CA2C" w14:textId="77777777" w:rsidR="009C6E2F" w:rsidRDefault="009C6E2F">
            <w:pPr>
              <w:rPr>
                <w:rFonts w:ascii="宋体"/>
              </w:rPr>
            </w:pPr>
          </w:p>
        </w:tc>
        <w:tc>
          <w:tcPr>
            <w:tcW w:w="2332" w:type="pct"/>
            <w:shd w:val="clear" w:color="auto" w:fill="auto"/>
            <w:vAlign w:val="bottom"/>
          </w:tcPr>
          <w:p w14:paraId="2470CA2D" w14:textId="77777777" w:rsidR="009C6E2F" w:rsidRDefault="009C6E2F">
            <w:pPr>
              <w:rPr>
                <w:rFonts w:ascii="宋体"/>
              </w:rPr>
            </w:pPr>
          </w:p>
        </w:tc>
        <w:tc>
          <w:tcPr>
            <w:tcW w:w="5" w:type="pct"/>
            <w:shd w:val="clear" w:color="auto" w:fill="auto"/>
            <w:vAlign w:val="bottom"/>
          </w:tcPr>
          <w:p w14:paraId="2470CA2E" w14:textId="77777777" w:rsidR="009C6E2F" w:rsidRDefault="009C6E2F">
            <w:pPr>
              <w:rPr>
                <w:rFonts w:ascii="宋体"/>
              </w:rPr>
            </w:pPr>
          </w:p>
        </w:tc>
        <w:tc>
          <w:tcPr>
            <w:tcW w:w="50" w:type="pct"/>
            <w:shd w:val="clear" w:color="auto" w:fill="auto"/>
            <w:vAlign w:val="bottom"/>
          </w:tcPr>
          <w:p w14:paraId="2470CA2F" w14:textId="77777777" w:rsidR="009C6E2F" w:rsidRDefault="009C6E2F">
            <w:pPr>
              <w:rPr>
                <w:rFonts w:ascii="宋体"/>
              </w:rPr>
            </w:pPr>
          </w:p>
        </w:tc>
        <w:tc>
          <w:tcPr>
            <w:tcW w:w="545" w:type="pct"/>
            <w:shd w:val="clear" w:color="auto" w:fill="auto"/>
            <w:vAlign w:val="bottom"/>
          </w:tcPr>
          <w:p w14:paraId="2470CA30" w14:textId="77777777" w:rsidR="009C6E2F" w:rsidRDefault="009C6E2F">
            <w:pPr>
              <w:rPr>
                <w:rFonts w:ascii="宋体"/>
              </w:rPr>
            </w:pPr>
          </w:p>
        </w:tc>
        <w:tc>
          <w:tcPr>
            <w:tcW w:w="5" w:type="pct"/>
            <w:shd w:val="clear" w:color="auto" w:fill="auto"/>
            <w:vAlign w:val="bottom"/>
          </w:tcPr>
          <w:p w14:paraId="2470CA31" w14:textId="77777777" w:rsidR="009C6E2F" w:rsidRDefault="009C6E2F">
            <w:pPr>
              <w:rPr>
                <w:rFonts w:ascii="宋体"/>
              </w:rPr>
            </w:pPr>
          </w:p>
        </w:tc>
        <w:tc>
          <w:tcPr>
            <w:tcW w:w="50" w:type="pct"/>
            <w:shd w:val="clear" w:color="auto" w:fill="auto"/>
            <w:vAlign w:val="bottom"/>
          </w:tcPr>
          <w:p w14:paraId="2470CA32" w14:textId="77777777" w:rsidR="009C6E2F" w:rsidRDefault="009C6E2F">
            <w:pPr>
              <w:rPr>
                <w:rFonts w:ascii="宋体"/>
              </w:rPr>
            </w:pPr>
          </w:p>
        </w:tc>
        <w:tc>
          <w:tcPr>
            <w:tcW w:w="448" w:type="pct"/>
            <w:shd w:val="clear" w:color="auto" w:fill="auto"/>
            <w:vAlign w:val="bottom"/>
          </w:tcPr>
          <w:p w14:paraId="2470CA33" w14:textId="77777777" w:rsidR="009C6E2F" w:rsidRDefault="009C6E2F">
            <w:pPr>
              <w:rPr>
                <w:rFonts w:ascii="宋体"/>
              </w:rPr>
            </w:pPr>
          </w:p>
        </w:tc>
        <w:tc>
          <w:tcPr>
            <w:tcW w:w="5" w:type="pct"/>
            <w:shd w:val="clear" w:color="auto" w:fill="auto"/>
            <w:vAlign w:val="bottom"/>
          </w:tcPr>
          <w:p w14:paraId="2470CA34" w14:textId="77777777" w:rsidR="009C6E2F" w:rsidRDefault="009C6E2F">
            <w:pPr>
              <w:rPr>
                <w:rFonts w:ascii="宋体"/>
              </w:rPr>
            </w:pPr>
          </w:p>
        </w:tc>
        <w:tc>
          <w:tcPr>
            <w:tcW w:w="50" w:type="pct"/>
            <w:shd w:val="clear" w:color="auto" w:fill="auto"/>
            <w:vAlign w:val="bottom"/>
          </w:tcPr>
          <w:p w14:paraId="2470CA35" w14:textId="77777777" w:rsidR="009C6E2F" w:rsidRDefault="009C6E2F">
            <w:pPr>
              <w:rPr>
                <w:rFonts w:ascii="宋体"/>
              </w:rPr>
            </w:pPr>
          </w:p>
        </w:tc>
        <w:tc>
          <w:tcPr>
            <w:tcW w:w="448" w:type="pct"/>
            <w:shd w:val="clear" w:color="auto" w:fill="auto"/>
            <w:vAlign w:val="bottom"/>
          </w:tcPr>
          <w:p w14:paraId="2470CA36" w14:textId="77777777" w:rsidR="009C6E2F" w:rsidRDefault="009C6E2F">
            <w:pPr>
              <w:rPr>
                <w:rFonts w:ascii="宋体"/>
              </w:rPr>
            </w:pPr>
          </w:p>
        </w:tc>
        <w:tc>
          <w:tcPr>
            <w:tcW w:w="5" w:type="pct"/>
            <w:shd w:val="clear" w:color="auto" w:fill="auto"/>
            <w:vAlign w:val="bottom"/>
          </w:tcPr>
          <w:p w14:paraId="2470CA37" w14:textId="77777777" w:rsidR="009C6E2F" w:rsidRDefault="009C6E2F">
            <w:pPr>
              <w:rPr>
                <w:rFonts w:ascii="宋体"/>
              </w:rPr>
            </w:pPr>
          </w:p>
        </w:tc>
        <w:tc>
          <w:tcPr>
            <w:tcW w:w="50" w:type="pct"/>
            <w:shd w:val="clear" w:color="auto" w:fill="auto"/>
            <w:vAlign w:val="bottom"/>
          </w:tcPr>
          <w:p w14:paraId="2470CA38" w14:textId="77777777" w:rsidR="009C6E2F" w:rsidRDefault="009C6E2F">
            <w:pPr>
              <w:rPr>
                <w:rFonts w:ascii="宋体"/>
              </w:rPr>
            </w:pPr>
          </w:p>
        </w:tc>
        <w:tc>
          <w:tcPr>
            <w:tcW w:w="448" w:type="pct"/>
            <w:shd w:val="clear" w:color="auto" w:fill="auto"/>
            <w:vAlign w:val="bottom"/>
          </w:tcPr>
          <w:p w14:paraId="2470CA39" w14:textId="77777777" w:rsidR="009C6E2F" w:rsidRDefault="009C6E2F">
            <w:pPr>
              <w:rPr>
                <w:rFonts w:ascii="宋体"/>
              </w:rPr>
            </w:pPr>
          </w:p>
        </w:tc>
        <w:tc>
          <w:tcPr>
            <w:tcW w:w="5" w:type="pct"/>
            <w:shd w:val="clear" w:color="auto" w:fill="auto"/>
            <w:vAlign w:val="bottom"/>
          </w:tcPr>
          <w:p w14:paraId="2470CA3A" w14:textId="77777777" w:rsidR="009C6E2F" w:rsidRDefault="009C6E2F">
            <w:pPr>
              <w:rPr>
                <w:rFonts w:ascii="宋体"/>
              </w:rPr>
            </w:pPr>
          </w:p>
        </w:tc>
        <w:tc>
          <w:tcPr>
            <w:tcW w:w="50" w:type="pct"/>
            <w:shd w:val="clear" w:color="auto" w:fill="auto"/>
            <w:vAlign w:val="bottom"/>
          </w:tcPr>
          <w:p w14:paraId="2470CA3B" w14:textId="77777777" w:rsidR="009C6E2F" w:rsidRDefault="009C6E2F">
            <w:pPr>
              <w:rPr>
                <w:rFonts w:ascii="宋体"/>
              </w:rPr>
            </w:pPr>
          </w:p>
        </w:tc>
        <w:tc>
          <w:tcPr>
            <w:tcW w:w="448" w:type="pct"/>
            <w:shd w:val="clear" w:color="auto" w:fill="auto"/>
            <w:vAlign w:val="bottom"/>
          </w:tcPr>
          <w:p w14:paraId="2470CA3C" w14:textId="77777777" w:rsidR="009C6E2F" w:rsidRDefault="009C6E2F">
            <w:pPr>
              <w:rPr>
                <w:rFonts w:ascii="宋体"/>
              </w:rPr>
            </w:pPr>
          </w:p>
        </w:tc>
        <w:tc>
          <w:tcPr>
            <w:tcW w:w="5" w:type="pct"/>
            <w:shd w:val="clear" w:color="auto" w:fill="auto"/>
            <w:vAlign w:val="bottom"/>
          </w:tcPr>
          <w:p w14:paraId="2470CA3D" w14:textId="77777777" w:rsidR="009C6E2F" w:rsidRDefault="009C6E2F">
            <w:pPr>
              <w:rPr>
                <w:rFonts w:ascii="宋体"/>
              </w:rPr>
            </w:pPr>
          </w:p>
        </w:tc>
      </w:tr>
      <w:tr w:rsidR="009C6E2F" w14:paraId="2470CA45" w14:textId="77777777">
        <w:tc>
          <w:tcPr>
            <w:tcW w:w="0" w:type="auto"/>
            <w:gridSpan w:val="3"/>
            <w:shd w:val="clear" w:color="auto" w:fill="auto"/>
            <w:tcMar>
              <w:top w:w="40" w:type="dxa"/>
              <w:left w:w="20" w:type="dxa"/>
              <w:bottom w:w="40" w:type="dxa"/>
              <w:right w:w="20" w:type="dxa"/>
            </w:tcMar>
            <w:vAlign w:val="bottom"/>
          </w:tcPr>
          <w:p w14:paraId="2470CA3F"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w:t>
            </w:r>
            <w:r>
              <w:rPr>
                <w:rFonts w:ascii="Arial Narrow" w:eastAsia="Arial Narrow" w:hAnsi="Arial Narrow" w:cs="Arial Narrow"/>
                <w:i/>
                <w:iCs/>
                <w:color w:val="000000"/>
                <w:sz w:val="17"/>
                <w:szCs w:val="17"/>
              </w:rPr>
              <w:t>s in millions)</w:t>
            </w:r>
          </w:p>
        </w:tc>
        <w:tc>
          <w:tcPr>
            <w:tcW w:w="0" w:type="auto"/>
            <w:gridSpan w:val="3"/>
            <w:shd w:val="clear" w:color="auto" w:fill="auto"/>
            <w:tcMar>
              <w:top w:w="40" w:type="dxa"/>
              <w:left w:w="20" w:type="dxa"/>
              <w:bottom w:w="40" w:type="dxa"/>
              <w:right w:w="20" w:type="dxa"/>
            </w:tcMar>
            <w:vAlign w:val="bottom"/>
          </w:tcPr>
          <w:p w14:paraId="2470CA40"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FOREIGN CURRENCY TRANSLATION ADJUSTMENT</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A41" w14:textId="77777777" w:rsidR="009C6E2F" w:rsidRDefault="007972BE">
            <w:pPr>
              <w:jc w:val="right"/>
              <w:textAlignment w:val="bottom"/>
            </w:pPr>
            <w:r>
              <w:rPr>
                <w:rFonts w:ascii="sans-serif" w:eastAsia="sans-serif" w:hAnsi="sans-serif" w:cs="sans-serif"/>
                <w:b/>
                <w:bCs/>
                <w:color w:val="000000"/>
                <w:sz w:val="17"/>
                <w:szCs w:val="17"/>
              </w:rPr>
              <w:t>CASH FLOW HEDGES</w:t>
            </w:r>
          </w:p>
        </w:tc>
        <w:tc>
          <w:tcPr>
            <w:tcW w:w="0" w:type="auto"/>
            <w:gridSpan w:val="3"/>
            <w:shd w:val="clear" w:color="auto" w:fill="auto"/>
            <w:tcMar>
              <w:top w:w="40" w:type="dxa"/>
              <w:left w:w="20" w:type="dxa"/>
              <w:bottom w:w="40" w:type="dxa"/>
              <w:right w:w="20" w:type="dxa"/>
            </w:tcMar>
            <w:vAlign w:val="bottom"/>
          </w:tcPr>
          <w:p w14:paraId="2470CA42"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NET INVESTMENT HEDGES</w:t>
            </w:r>
            <w:r>
              <w:rPr>
                <w:rFonts w:ascii="sans-serif" w:eastAsia="sans-serif" w:hAnsi="sans-serif" w:cs="sans-serif"/>
                <w:b/>
                <w:bCs/>
                <w:color w:val="000000"/>
                <w:sz w:val="11"/>
                <w:szCs w:val="11"/>
              </w:rPr>
              <w:t>(1)</w:t>
            </w:r>
          </w:p>
        </w:tc>
        <w:tc>
          <w:tcPr>
            <w:tcW w:w="0" w:type="auto"/>
            <w:gridSpan w:val="3"/>
            <w:shd w:val="clear" w:color="auto" w:fill="auto"/>
            <w:tcMar>
              <w:top w:w="40" w:type="dxa"/>
              <w:left w:w="20" w:type="dxa"/>
              <w:bottom w:w="40" w:type="dxa"/>
              <w:right w:w="20" w:type="dxa"/>
            </w:tcMar>
            <w:vAlign w:val="bottom"/>
          </w:tcPr>
          <w:p w14:paraId="2470CA43" w14:textId="77777777" w:rsidR="009C6E2F" w:rsidRDefault="007972BE">
            <w:pPr>
              <w:jc w:val="right"/>
              <w:textAlignment w:val="bottom"/>
            </w:pPr>
            <w:r>
              <w:rPr>
                <w:rFonts w:ascii="sans-serif" w:eastAsia="sans-serif" w:hAnsi="sans-serif" w:cs="sans-serif"/>
                <w:b/>
                <w:bCs/>
                <w:color w:val="000000"/>
                <w:sz w:val="17"/>
                <w:szCs w:val="17"/>
              </w:rPr>
              <w:t>OTHER</w:t>
            </w:r>
          </w:p>
        </w:tc>
        <w:tc>
          <w:tcPr>
            <w:tcW w:w="0" w:type="auto"/>
            <w:gridSpan w:val="3"/>
            <w:shd w:val="clear" w:color="auto" w:fill="auto"/>
            <w:tcMar>
              <w:top w:w="40" w:type="dxa"/>
              <w:left w:w="20" w:type="dxa"/>
              <w:bottom w:w="40" w:type="dxa"/>
              <w:right w:w="20" w:type="dxa"/>
            </w:tcMar>
            <w:vAlign w:val="bottom"/>
          </w:tcPr>
          <w:p w14:paraId="2470CA44" w14:textId="77777777" w:rsidR="009C6E2F" w:rsidRDefault="007972BE">
            <w:pPr>
              <w:jc w:val="right"/>
              <w:textAlignment w:val="bottom"/>
            </w:pPr>
            <w:r>
              <w:rPr>
                <w:rFonts w:ascii="sans-serif" w:eastAsia="sans-serif" w:hAnsi="sans-serif" w:cs="sans-serif"/>
                <w:b/>
                <w:bCs/>
                <w:color w:val="000000"/>
                <w:sz w:val="17"/>
                <w:szCs w:val="17"/>
              </w:rPr>
              <w:t>TOTAL</w:t>
            </w:r>
          </w:p>
        </w:tc>
      </w:tr>
      <w:tr w:rsidR="009C6E2F" w14:paraId="2470CA5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46" w14:textId="77777777" w:rsidR="009C6E2F" w:rsidRDefault="007972BE">
            <w:pPr>
              <w:textAlignment w:val="bottom"/>
            </w:pPr>
            <w:r>
              <w:rPr>
                <w:rFonts w:ascii="Arial" w:eastAsia="宋体" w:hAnsi="Arial" w:cs="Arial"/>
                <w:b/>
                <w:bCs/>
                <w:color w:val="000000"/>
                <w:sz w:val="17"/>
                <w:szCs w:val="17"/>
              </w:rPr>
              <w:t>Balance at May 31, 2020</w:t>
            </w:r>
          </w:p>
        </w:tc>
        <w:tc>
          <w:tcPr>
            <w:tcW w:w="0" w:type="auto"/>
            <w:tcBorders>
              <w:top w:val="single" w:sz="8" w:space="0" w:color="E87722"/>
            </w:tcBorders>
            <w:shd w:val="clear" w:color="auto" w:fill="auto"/>
            <w:tcMar>
              <w:top w:w="40" w:type="dxa"/>
              <w:left w:w="20" w:type="dxa"/>
              <w:bottom w:w="40" w:type="dxa"/>
              <w:right w:w="0" w:type="dxa"/>
            </w:tcMar>
            <w:vAlign w:val="bottom"/>
          </w:tcPr>
          <w:p w14:paraId="2470CA4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A48" w14:textId="77777777" w:rsidR="009C6E2F" w:rsidRDefault="007972BE">
            <w:pPr>
              <w:jc w:val="right"/>
              <w:textAlignment w:val="bottom"/>
            </w:pPr>
            <w:r>
              <w:rPr>
                <w:rFonts w:ascii="Arial" w:eastAsia="宋体" w:hAnsi="Arial" w:cs="Arial"/>
                <w:b/>
                <w:bCs/>
                <w:color w:val="000000"/>
                <w:sz w:val="17"/>
                <w:szCs w:val="17"/>
              </w:rPr>
              <w:t>(494)</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4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A4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A4B" w14:textId="77777777" w:rsidR="009C6E2F" w:rsidRDefault="007972BE">
            <w:pPr>
              <w:jc w:val="right"/>
              <w:textAlignment w:val="bottom"/>
            </w:pPr>
            <w:r>
              <w:rPr>
                <w:rFonts w:ascii="Arial" w:eastAsia="宋体" w:hAnsi="Arial" w:cs="Arial"/>
                <w:b/>
                <w:bCs/>
                <w:color w:val="000000"/>
                <w:sz w:val="17"/>
                <w:szCs w:val="17"/>
              </w:rPr>
              <w:t>390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4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A4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A4E"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4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A5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A51" w14:textId="77777777" w:rsidR="009C6E2F" w:rsidRDefault="007972BE">
            <w:pPr>
              <w:jc w:val="right"/>
              <w:textAlignment w:val="bottom"/>
            </w:pPr>
            <w:r>
              <w:rPr>
                <w:rFonts w:ascii="Arial" w:eastAsia="宋体" w:hAnsi="Arial" w:cs="Arial"/>
                <w:b/>
                <w:bCs/>
                <w:color w:val="000000"/>
                <w:sz w:val="17"/>
                <w:szCs w:val="17"/>
              </w:rPr>
              <w:t>(67)</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5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A5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A54" w14:textId="77777777" w:rsidR="009C6E2F" w:rsidRDefault="007972BE">
            <w:pPr>
              <w:jc w:val="right"/>
              <w:textAlignment w:val="bottom"/>
            </w:pPr>
            <w:r>
              <w:rPr>
                <w:rFonts w:ascii="Arial" w:eastAsia="宋体" w:hAnsi="Arial" w:cs="Arial"/>
                <w:b/>
                <w:bCs/>
                <w:color w:val="000000"/>
                <w:sz w:val="17"/>
                <w:szCs w:val="17"/>
              </w:rPr>
              <w:t>(56)</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55" w14:textId="77777777" w:rsidR="009C6E2F" w:rsidRDefault="009C6E2F">
            <w:pPr>
              <w:jc w:val="right"/>
              <w:rPr>
                <w:rFonts w:ascii="宋体"/>
              </w:rPr>
            </w:pPr>
          </w:p>
        </w:tc>
      </w:tr>
      <w:tr w:rsidR="009C6E2F" w14:paraId="2470CA5D" w14:textId="77777777">
        <w:tc>
          <w:tcPr>
            <w:tcW w:w="0" w:type="auto"/>
            <w:gridSpan w:val="3"/>
            <w:tcBorders>
              <w:top w:val="single" w:sz="8" w:space="0" w:color="E87722"/>
            </w:tcBorders>
            <w:shd w:val="clear" w:color="auto" w:fill="auto"/>
            <w:tcMar>
              <w:top w:w="40" w:type="dxa"/>
              <w:left w:w="20" w:type="dxa"/>
              <w:bottom w:w="40" w:type="dxa"/>
              <w:right w:w="20" w:type="dxa"/>
            </w:tcMar>
            <w:vAlign w:val="center"/>
          </w:tcPr>
          <w:p w14:paraId="2470CA57" w14:textId="77777777" w:rsidR="009C6E2F" w:rsidRDefault="007972BE">
            <w:pPr>
              <w:textAlignment w:val="center"/>
            </w:pPr>
            <w:r>
              <w:rPr>
                <w:rFonts w:ascii="Arial" w:eastAsia="宋体" w:hAnsi="Arial" w:cs="Arial"/>
                <w:color w:val="000000"/>
                <w:sz w:val="17"/>
                <w:szCs w:val="17"/>
              </w:rPr>
              <w:t>Other comprehensive income (loss):</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5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5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5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5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5C" w14:textId="77777777" w:rsidR="009C6E2F" w:rsidRDefault="009C6E2F">
            <w:pPr>
              <w:rPr>
                <w:rFonts w:ascii="宋体"/>
              </w:rPr>
            </w:pPr>
          </w:p>
        </w:tc>
      </w:tr>
      <w:tr w:rsidR="009C6E2F" w14:paraId="2470CA69"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A5E"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Other comprehensive gains (losses) before reclassifications</w:t>
            </w:r>
            <w:r>
              <w:rPr>
                <w:rFonts w:ascii="Arial" w:eastAsia="宋体" w:hAnsi="Arial" w:cs="Arial"/>
                <w:color w:val="000000"/>
                <w:sz w:val="11"/>
                <w:szCs w:val="11"/>
              </w:rPr>
              <w:t>(2)</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5F" w14:textId="77777777" w:rsidR="009C6E2F" w:rsidRDefault="007972BE">
            <w:pPr>
              <w:jc w:val="right"/>
              <w:textAlignment w:val="bottom"/>
            </w:pPr>
            <w:r>
              <w:rPr>
                <w:rFonts w:ascii="Arial" w:eastAsia="宋体" w:hAnsi="Arial" w:cs="Arial"/>
                <w:color w:val="000000"/>
                <w:sz w:val="17"/>
                <w:szCs w:val="17"/>
              </w:rPr>
              <w:t>397 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6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61" w14:textId="77777777" w:rsidR="009C6E2F" w:rsidRDefault="007972BE">
            <w:pPr>
              <w:jc w:val="right"/>
              <w:textAlignment w:val="bottom"/>
            </w:pPr>
            <w:r>
              <w:rPr>
                <w:rFonts w:ascii="Arial" w:eastAsia="宋体" w:hAnsi="Arial" w:cs="Arial"/>
                <w:color w:val="000000"/>
                <w:sz w:val="17"/>
                <w:szCs w:val="17"/>
              </w:rPr>
              <w:t>(590)</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6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63"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6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65" w14:textId="77777777" w:rsidR="009C6E2F" w:rsidRDefault="007972BE">
            <w:pPr>
              <w:jc w:val="right"/>
              <w:textAlignment w:val="bottom"/>
            </w:pPr>
            <w:r>
              <w:rPr>
                <w:rFonts w:ascii="Arial" w:eastAsia="宋体" w:hAnsi="Arial" w:cs="Arial"/>
                <w:color w:val="000000"/>
                <w:sz w:val="17"/>
                <w:szCs w:val="17"/>
              </w:rPr>
              <w:t>(15)</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6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67" w14:textId="77777777" w:rsidR="009C6E2F" w:rsidRDefault="007972BE">
            <w:pPr>
              <w:jc w:val="right"/>
              <w:textAlignment w:val="bottom"/>
            </w:pPr>
            <w:r>
              <w:rPr>
                <w:rFonts w:ascii="Arial" w:eastAsia="宋体" w:hAnsi="Arial" w:cs="Arial"/>
                <w:color w:val="000000"/>
                <w:sz w:val="17"/>
                <w:szCs w:val="17"/>
              </w:rPr>
              <w:t>(208)</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68" w14:textId="77777777" w:rsidR="009C6E2F" w:rsidRDefault="009C6E2F">
            <w:pPr>
              <w:jc w:val="right"/>
              <w:rPr>
                <w:rFonts w:ascii="宋体"/>
              </w:rPr>
            </w:pPr>
          </w:p>
        </w:tc>
      </w:tr>
      <w:tr w:rsidR="009C6E2F" w14:paraId="2470CA75" w14:textId="77777777">
        <w:tc>
          <w:tcPr>
            <w:tcW w:w="0" w:type="auto"/>
            <w:gridSpan w:val="3"/>
            <w:tcBorders>
              <w:top w:val="single" w:sz="4" w:space="0" w:color="808080"/>
            </w:tcBorders>
            <w:shd w:val="clear" w:color="auto" w:fill="auto"/>
            <w:tcMar>
              <w:top w:w="40" w:type="dxa"/>
              <w:left w:w="20" w:type="dxa"/>
              <w:bottom w:w="40" w:type="dxa"/>
              <w:right w:w="20" w:type="dxa"/>
            </w:tcMar>
            <w:vAlign w:val="center"/>
          </w:tcPr>
          <w:p w14:paraId="2470CA6A" w14:textId="77777777" w:rsidR="009C6E2F" w:rsidRDefault="007972BE">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7"/>
                <w:szCs w:val="17"/>
              </w:rPr>
              <w:t>Reclassifications to net income of previously deferred (gains) losses</w:t>
            </w:r>
            <w:r>
              <w:rPr>
                <w:rFonts w:ascii="Arial" w:eastAsia="宋体" w:hAnsi="Arial" w:cs="Arial"/>
                <w:color w:val="000000"/>
                <w:sz w:val="11"/>
                <w:szCs w:val="11"/>
              </w:rPr>
              <w:t>(3)</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6B"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6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6D" w14:textId="77777777" w:rsidR="009C6E2F" w:rsidRDefault="007972BE">
            <w:pPr>
              <w:jc w:val="right"/>
              <w:textAlignment w:val="bottom"/>
            </w:pPr>
            <w:r>
              <w:rPr>
                <w:rFonts w:ascii="Arial" w:eastAsia="宋体" w:hAnsi="Arial" w:cs="Arial"/>
                <w:color w:val="000000"/>
                <w:sz w:val="17"/>
                <w:szCs w:val="17"/>
              </w:rPr>
              <w:t>(171)</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6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6F"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7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71"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7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A73" w14:textId="77777777" w:rsidR="009C6E2F" w:rsidRDefault="007972BE">
            <w:pPr>
              <w:jc w:val="right"/>
              <w:textAlignment w:val="bottom"/>
            </w:pPr>
            <w:r>
              <w:rPr>
                <w:rFonts w:ascii="Arial" w:eastAsia="宋体" w:hAnsi="Arial" w:cs="Arial"/>
                <w:color w:val="000000"/>
                <w:sz w:val="17"/>
                <w:szCs w:val="17"/>
              </w:rPr>
              <w:t>(165)</w:t>
            </w:r>
          </w:p>
        </w:tc>
        <w:tc>
          <w:tcPr>
            <w:tcW w:w="0" w:type="auto"/>
            <w:tcBorders>
              <w:top w:val="single" w:sz="4" w:space="0" w:color="808080"/>
            </w:tcBorders>
            <w:shd w:val="clear" w:color="auto" w:fill="auto"/>
            <w:tcMar>
              <w:top w:w="40" w:type="dxa"/>
              <w:left w:w="0" w:type="dxa"/>
              <w:bottom w:w="40" w:type="dxa"/>
              <w:right w:w="20" w:type="dxa"/>
            </w:tcMar>
            <w:vAlign w:val="bottom"/>
          </w:tcPr>
          <w:p w14:paraId="2470CA74" w14:textId="77777777" w:rsidR="009C6E2F" w:rsidRDefault="009C6E2F">
            <w:pPr>
              <w:jc w:val="right"/>
              <w:rPr>
                <w:rFonts w:ascii="宋体"/>
              </w:rPr>
            </w:pPr>
          </w:p>
        </w:tc>
      </w:tr>
      <w:tr w:rsidR="009C6E2F" w14:paraId="2470CA8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76" w14:textId="77777777" w:rsidR="009C6E2F" w:rsidRDefault="007972BE">
            <w:pPr>
              <w:textAlignment w:val="bottom"/>
            </w:pPr>
            <w:r>
              <w:rPr>
                <w:rFonts w:ascii="Arial" w:eastAsia="宋体" w:hAnsi="Arial" w:cs="Arial"/>
                <w:color w:val="000000"/>
                <w:sz w:val="17"/>
                <w:szCs w:val="17"/>
              </w:rPr>
              <w:t>Total other comprehensive income (loss)</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77" w14:textId="77777777" w:rsidR="009C6E2F" w:rsidRDefault="007972BE">
            <w:pPr>
              <w:jc w:val="right"/>
              <w:textAlignment w:val="bottom"/>
            </w:pPr>
            <w:r>
              <w:rPr>
                <w:rFonts w:ascii="Arial" w:eastAsia="宋体" w:hAnsi="Arial" w:cs="Arial"/>
                <w:color w:val="000000"/>
                <w:sz w:val="17"/>
                <w:szCs w:val="17"/>
              </w:rPr>
              <w:t>396 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78"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79" w14:textId="77777777" w:rsidR="009C6E2F" w:rsidRDefault="007972BE">
            <w:pPr>
              <w:jc w:val="right"/>
              <w:textAlignment w:val="bottom"/>
            </w:pPr>
            <w:r>
              <w:rPr>
                <w:rFonts w:ascii="Arial" w:eastAsia="宋体" w:hAnsi="Arial" w:cs="Arial"/>
                <w:color w:val="000000"/>
                <w:sz w:val="17"/>
                <w:szCs w:val="17"/>
              </w:rPr>
              <w:t>(761)</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7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7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7C"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7D" w14:textId="77777777" w:rsidR="009C6E2F" w:rsidRDefault="007972BE">
            <w:pPr>
              <w:jc w:val="right"/>
              <w:textAlignment w:val="bottom"/>
            </w:pPr>
            <w:r>
              <w:rPr>
                <w:rFonts w:ascii="Arial" w:eastAsia="宋体" w:hAnsi="Arial" w:cs="Arial"/>
                <w:color w:val="000000"/>
                <w:sz w:val="17"/>
                <w:szCs w:val="17"/>
              </w:rPr>
              <w:t>(8)</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7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7F" w14:textId="77777777" w:rsidR="009C6E2F" w:rsidRDefault="007972BE">
            <w:pPr>
              <w:jc w:val="right"/>
              <w:textAlignment w:val="bottom"/>
            </w:pPr>
            <w:r>
              <w:rPr>
                <w:rFonts w:ascii="Arial" w:eastAsia="宋体" w:hAnsi="Arial" w:cs="Arial"/>
                <w:color w:val="000000"/>
                <w:sz w:val="17"/>
                <w:szCs w:val="17"/>
              </w:rPr>
              <w:t>(373)</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80" w14:textId="77777777" w:rsidR="009C6E2F" w:rsidRDefault="009C6E2F">
            <w:pPr>
              <w:jc w:val="right"/>
              <w:rPr>
                <w:rFonts w:ascii="宋体"/>
              </w:rPr>
            </w:pPr>
          </w:p>
        </w:tc>
      </w:tr>
      <w:tr w:rsidR="009C6E2F" w14:paraId="2470CA9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A82" w14:textId="77777777" w:rsidR="009C6E2F" w:rsidRDefault="007972BE">
            <w:pPr>
              <w:textAlignment w:val="bottom"/>
            </w:pPr>
            <w:r>
              <w:rPr>
                <w:rFonts w:ascii="Arial" w:eastAsia="宋体" w:hAnsi="Arial" w:cs="Arial"/>
                <w:b/>
                <w:bCs/>
                <w:color w:val="000000"/>
                <w:sz w:val="17"/>
                <w:szCs w:val="17"/>
              </w:rPr>
              <w:t>Balance at November 30, 2020</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A8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A84" w14:textId="77777777" w:rsidR="009C6E2F" w:rsidRDefault="007972BE">
            <w:pPr>
              <w:jc w:val="right"/>
              <w:textAlignment w:val="bottom"/>
            </w:pPr>
            <w:r>
              <w:rPr>
                <w:rFonts w:ascii="Arial" w:eastAsia="宋体" w:hAnsi="Arial" w:cs="Arial"/>
                <w:b/>
                <w:bCs/>
                <w:color w:val="000000"/>
                <w:sz w:val="17"/>
                <w:szCs w:val="17"/>
              </w:rPr>
              <w:t>(98)</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A85"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A8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A87" w14:textId="77777777" w:rsidR="009C6E2F" w:rsidRDefault="007972BE">
            <w:pPr>
              <w:jc w:val="right"/>
              <w:textAlignment w:val="bottom"/>
            </w:pPr>
            <w:r>
              <w:rPr>
                <w:rFonts w:ascii="Arial" w:eastAsia="宋体" w:hAnsi="Arial" w:cs="Arial"/>
                <w:b/>
                <w:bCs/>
                <w:color w:val="000000"/>
                <w:sz w:val="17"/>
                <w:szCs w:val="17"/>
              </w:rPr>
              <w:t>(371)</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A88"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A8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A8A" w14:textId="77777777" w:rsidR="009C6E2F" w:rsidRDefault="007972BE">
            <w:pPr>
              <w:jc w:val="right"/>
              <w:textAlignment w:val="bottom"/>
            </w:pPr>
            <w:r>
              <w:rPr>
                <w:rFonts w:ascii="Arial" w:eastAsia="宋体" w:hAnsi="Arial" w:cs="Arial"/>
                <w:b/>
                <w:bCs/>
                <w:color w:val="000000"/>
                <w:sz w:val="17"/>
                <w:szCs w:val="17"/>
              </w:rPr>
              <w:t>115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A8B"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A8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A8D" w14:textId="77777777" w:rsidR="009C6E2F" w:rsidRDefault="007972BE">
            <w:pPr>
              <w:jc w:val="right"/>
              <w:textAlignment w:val="bottom"/>
            </w:pPr>
            <w:r>
              <w:rPr>
                <w:rFonts w:ascii="Arial" w:eastAsia="宋体" w:hAnsi="Arial" w:cs="Arial"/>
                <w:b/>
                <w:bCs/>
                <w:color w:val="000000"/>
                <w:sz w:val="17"/>
                <w:szCs w:val="17"/>
              </w:rPr>
              <w:t>(75)</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A8E"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A8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A90" w14:textId="77777777" w:rsidR="009C6E2F" w:rsidRDefault="007972BE">
            <w:pPr>
              <w:jc w:val="right"/>
              <w:textAlignment w:val="bottom"/>
            </w:pPr>
            <w:r>
              <w:rPr>
                <w:rFonts w:ascii="Arial" w:eastAsia="宋体" w:hAnsi="Arial" w:cs="Arial"/>
                <w:b/>
                <w:bCs/>
                <w:color w:val="000000"/>
                <w:sz w:val="17"/>
                <w:szCs w:val="17"/>
              </w:rPr>
              <w:t>(429)</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A91" w14:textId="77777777" w:rsidR="009C6E2F" w:rsidRDefault="009C6E2F">
            <w:pPr>
              <w:jc w:val="right"/>
              <w:rPr>
                <w:rFonts w:ascii="宋体"/>
              </w:rPr>
            </w:pPr>
          </w:p>
        </w:tc>
      </w:tr>
    </w:tbl>
    <w:p w14:paraId="2470CA93"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(1)The accumulated foreign currency translation adjustment and net investment hedge gains/losses related to an investment in a foreign subsidiary are r</w:t>
      </w:r>
      <w:r>
        <w:rPr>
          <w:rFonts w:ascii="Arial" w:eastAsia="宋体" w:hAnsi="Arial" w:cs="Arial"/>
          <w:i/>
          <w:iCs/>
          <w:color w:val="000000"/>
          <w:sz w:val="14"/>
          <w:szCs w:val="14"/>
        </w:rPr>
        <w:t>eclassified to Net income upon sale or upon complete or substantially complete liquidation of the respective entity.</w:t>
      </w:r>
    </w:p>
    <w:p w14:paraId="2470CA94"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(2)Net of tax benefit (expense) of $0 million, $0 million, $0 million, $1 million and $1 million, respectively.</w:t>
      </w:r>
    </w:p>
    <w:p w14:paraId="2470CA95"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(3)Net of tax (benefit) exp</w:t>
      </w:r>
      <w:r>
        <w:rPr>
          <w:rFonts w:ascii="Arial" w:eastAsia="宋体" w:hAnsi="Arial" w:cs="Arial"/>
          <w:i/>
          <w:iCs/>
          <w:color w:val="000000"/>
          <w:sz w:val="14"/>
          <w:szCs w:val="14"/>
        </w:rPr>
        <w:t>ense of $0 million, $7 million, $0 million, $0 million and $7 million, respectively.</w:t>
      </w:r>
    </w:p>
    <w:p w14:paraId="2470CA96" w14:textId="77777777" w:rsidR="009C6E2F" w:rsidRDefault="007972BE">
      <w:pPr>
        <w:spacing w:before="120" w:after="120"/>
      </w:pPr>
      <w:r>
        <w:rPr>
          <w:rFonts w:ascii="Arial" w:eastAsia="宋体" w:hAnsi="Arial" w:cs="Arial"/>
          <w:color w:val="000000"/>
          <w:sz w:val="17"/>
          <w:szCs w:val="17"/>
        </w:rPr>
        <w:t>The following table summarizes the reclassifications from Accumulated other comprehensive income (loss) to the Unaudited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4"/>
        <w:gridCol w:w="2689"/>
        <w:gridCol w:w="38"/>
        <w:gridCol w:w="116"/>
        <w:gridCol w:w="781"/>
        <w:gridCol w:w="37"/>
        <w:gridCol w:w="116"/>
        <w:gridCol w:w="781"/>
        <w:gridCol w:w="37"/>
        <w:gridCol w:w="36"/>
        <w:gridCol w:w="36"/>
        <w:gridCol w:w="36"/>
        <w:gridCol w:w="115"/>
        <w:gridCol w:w="751"/>
        <w:gridCol w:w="36"/>
        <w:gridCol w:w="115"/>
        <w:gridCol w:w="781"/>
        <w:gridCol w:w="36"/>
        <w:gridCol w:w="59"/>
        <w:gridCol w:w="1660"/>
        <w:gridCol w:w="36"/>
      </w:tblGrid>
      <w:tr w:rsidR="009C6E2F" w14:paraId="2470CAAC" w14:textId="77777777">
        <w:tc>
          <w:tcPr>
            <w:tcW w:w="50" w:type="pct"/>
            <w:shd w:val="clear" w:color="auto" w:fill="auto"/>
            <w:vAlign w:val="bottom"/>
          </w:tcPr>
          <w:p w14:paraId="2470CA97" w14:textId="77777777" w:rsidR="009C6E2F" w:rsidRDefault="009C6E2F">
            <w:pPr>
              <w:rPr>
                <w:rFonts w:ascii="宋体"/>
              </w:rPr>
            </w:pPr>
          </w:p>
        </w:tc>
        <w:tc>
          <w:tcPr>
            <w:tcW w:w="1634" w:type="pct"/>
            <w:shd w:val="clear" w:color="auto" w:fill="auto"/>
            <w:vAlign w:val="bottom"/>
          </w:tcPr>
          <w:p w14:paraId="2470CA98" w14:textId="77777777" w:rsidR="009C6E2F" w:rsidRDefault="009C6E2F">
            <w:pPr>
              <w:rPr>
                <w:rFonts w:ascii="宋体"/>
              </w:rPr>
            </w:pPr>
          </w:p>
        </w:tc>
        <w:tc>
          <w:tcPr>
            <w:tcW w:w="5" w:type="pct"/>
            <w:shd w:val="clear" w:color="auto" w:fill="auto"/>
            <w:vAlign w:val="bottom"/>
          </w:tcPr>
          <w:p w14:paraId="2470CA99" w14:textId="77777777" w:rsidR="009C6E2F" w:rsidRDefault="009C6E2F">
            <w:pPr>
              <w:rPr>
                <w:rFonts w:ascii="宋体"/>
              </w:rPr>
            </w:pPr>
          </w:p>
        </w:tc>
        <w:tc>
          <w:tcPr>
            <w:tcW w:w="50" w:type="pct"/>
            <w:shd w:val="clear" w:color="auto" w:fill="auto"/>
            <w:vAlign w:val="bottom"/>
          </w:tcPr>
          <w:p w14:paraId="2470CA9A" w14:textId="77777777" w:rsidR="009C6E2F" w:rsidRDefault="009C6E2F">
            <w:pPr>
              <w:rPr>
                <w:rFonts w:ascii="宋体"/>
              </w:rPr>
            </w:pPr>
          </w:p>
        </w:tc>
        <w:tc>
          <w:tcPr>
            <w:tcW w:w="492" w:type="pct"/>
            <w:shd w:val="clear" w:color="auto" w:fill="auto"/>
            <w:vAlign w:val="bottom"/>
          </w:tcPr>
          <w:p w14:paraId="2470CA9B" w14:textId="77777777" w:rsidR="009C6E2F" w:rsidRDefault="009C6E2F">
            <w:pPr>
              <w:rPr>
                <w:rFonts w:ascii="宋体"/>
              </w:rPr>
            </w:pPr>
          </w:p>
        </w:tc>
        <w:tc>
          <w:tcPr>
            <w:tcW w:w="5" w:type="pct"/>
            <w:shd w:val="clear" w:color="auto" w:fill="auto"/>
            <w:vAlign w:val="bottom"/>
          </w:tcPr>
          <w:p w14:paraId="2470CA9C" w14:textId="77777777" w:rsidR="009C6E2F" w:rsidRDefault="009C6E2F">
            <w:pPr>
              <w:rPr>
                <w:rFonts w:ascii="宋体"/>
              </w:rPr>
            </w:pPr>
          </w:p>
        </w:tc>
        <w:tc>
          <w:tcPr>
            <w:tcW w:w="50" w:type="pct"/>
            <w:shd w:val="clear" w:color="auto" w:fill="auto"/>
            <w:vAlign w:val="bottom"/>
          </w:tcPr>
          <w:p w14:paraId="2470CA9D" w14:textId="77777777" w:rsidR="009C6E2F" w:rsidRDefault="009C6E2F">
            <w:pPr>
              <w:rPr>
                <w:rFonts w:ascii="宋体"/>
              </w:rPr>
            </w:pPr>
          </w:p>
        </w:tc>
        <w:tc>
          <w:tcPr>
            <w:tcW w:w="492" w:type="pct"/>
            <w:shd w:val="clear" w:color="auto" w:fill="auto"/>
            <w:vAlign w:val="bottom"/>
          </w:tcPr>
          <w:p w14:paraId="2470CA9E" w14:textId="77777777" w:rsidR="009C6E2F" w:rsidRDefault="009C6E2F">
            <w:pPr>
              <w:rPr>
                <w:rFonts w:ascii="宋体"/>
              </w:rPr>
            </w:pPr>
          </w:p>
        </w:tc>
        <w:tc>
          <w:tcPr>
            <w:tcW w:w="5" w:type="pct"/>
            <w:shd w:val="clear" w:color="auto" w:fill="auto"/>
            <w:vAlign w:val="bottom"/>
          </w:tcPr>
          <w:p w14:paraId="2470CA9F" w14:textId="77777777" w:rsidR="009C6E2F" w:rsidRDefault="009C6E2F">
            <w:pPr>
              <w:rPr>
                <w:rFonts w:ascii="宋体"/>
              </w:rPr>
            </w:pPr>
          </w:p>
        </w:tc>
        <w:tc>
          <w:tcPr>
            <w:tcW w:w="5" w:type="pct"/>
            <w:shd w:val="clear" w:color="auto" w:fill="auto"/>
            <w:vAlign w:val="bottom"/>
          </w:tcPr>
          <w:p w14:paraId="2470CAA0" w14:textId="77777777" w:rsidR="009C6E2F" w:rsidRDefault="009C6E2F">
            <w:pPr>
              <w:rPr>
                <w:rFonts w:ascii="宋体"/>
              </w:rPr>
            </w:pPr>
          </w:p>
        </w:tc>
        <w:tc>
          <w:tcPr>
            <w:tcW w:w="27" w:type="pct"/>
            <w:shd w:val="clear" w:color="auto" w:fill="auto"/>
            <w:vAlign w:val="bottom"/>
          </w:tcPr>
          <w:p w14:paraId="2470CAA1" w14:textId="77777777" w:rsidR="009C6E2F" w:rsidRDefault="009C6E2F">
            <w:pPr>
              <w:rPr>
                <w:rFonts w:ascii="宋体"/>
              </w:rPr>
            </w:pPr>
          </w:p>
        </w:tc>
        <w:tc>
          <w:tcPr>
            <w:tcW w:w="5" w:type="pct"/>
            <w:shd w:val="clear" w:color="auto" w:fill="auto"/>
            <w:vAlign w:val="bottom"/>
          </w:tcPr>
          <w:p w14:paraId="2470CAA2" w14:textId="77777777" w:rsidR="009C6E2F" w:rsidRDefault="009C6E2F">
            <w:pPr>
              <w:rPr>
                <w:rFonts w:ascii="宋体"/>
              </w:rPr>
            </w:pPr>
          </w:p>
        </w:tc>
        <w:tc>
          <w:tcPr>
            <w:tcW w:w="50" w:type="pct"/>
            <w:shd w:val="clear" w:color="auto" w:fill="auto"/>
            <w:vAlign w:val="bottom"/>
          </w:tcPr>
          <w:p w14:paraId="2470CAA3" w14:textId="77777777" w:rsidR="009C6E2F" w:rsidRDefault="009C6E2F">
            <w:pPr>
              <w:rPr>
                <w:rFonts w:ascii="宋体"/>
              </w:rPr>
            </w:pPr>
          </w:p>
        </w:tc>
        <w:tc>
          <w:tcPr>
            <w:tcW w:w="492" w:type="pct"/>
            <w:shd w:val="clear" w:color="auto" w:fill="auto"/>
            <w:vAlign w:val="bottom"/>
          </w:tcPr>
          <w:p w14:paraId="2470CAA4" w14:textId="77777777" w:rsidR="009C6E2F" w:rsidRDefault="009C6E2F">
            <w:pPr>
              <w:rPr>
                <w:rFonts w:ascii="宋体"/>
              </w:rPr>
            </w:pPr>
          </w:p>
        </w:tc>
        <w:tc>
          <w:tcPr>
            <w:tcW w:w="5" w:type="pct"/>
            <w:shd w:val="clear" w:color="auto" w:fill="auto"/>
            <w:vAlign w:val="bottom"/>
          </w:tcPr>
          <w:p w14:paraId="2470CAA5" w14:textId="77777777" w:rsidR="009C6E2F" w:rsidRDefault="009C6E2F">
            <w:pPr>
              <w:rPr>
                <w:rFonts w:ascii="宋体"/>
              </w:rPr>
            </w:pPr>
          </w:p>
        </w:tc>
        <w:tc>
          <w:tcPr>
            <w:tcW w:w="50" w:type="pct"/>
            <w:shd w:val="clear" w:color="auto" w:fill="auto"/>
            <w:vAlign w:val="bottom"/>
          </w:tcPr>
          <w:p w14:paraId="2470CAA6" w14:textId="77777777" w:rsidR="009C6E2F" w:rsidRDefault="009C6E2F">
            <w:pPr>
              <w:rPr>
                <w:rFonts w:ascii="宋体"/>
              </w:rPr>
            </w:pPr>
          </w:p>
        </w:tc>
        <w:tc>
          <w:tcPr>
            <w:tcW w:w="492" w:type="pct"/>
            <w:shd w:val="clear" w:color="auto" w:fill="auto"/>
            <w:vAlign w:val="bottom"/>
          </w:tcPr>
          <w:p w14:paraId="2470CAA7" w14:textId="77777777" w:rsidR="009C6E2F" w:rsidRDefault="009C6E2F">
            <w:pPr>
              <w:rPr>
                <w:rFonts w:ascii="宋体"/>
              </w:rPr>
            </w:pPr>
          </w:p>
        </w:tc>
        <w:tc>
          <w:tcPr>
            <w:tcW w:w="5" w:type="pct"/>
            <w:shd w:val="clear" w:color="auto" w:fill="auto"/>
            <w:vAlign w:val="bottom"/>
          </w:tcPr>
          <w:p w14:paraId="2470CAA8" w14:textId="77777777" w:rsidR="009C6E2F" w:rsidRDefault="009C6E2F">
            <w:pPr>
              <w:rPr>
                <w:rFonts w:ascii="宋体"/>
              </w:rPr>
            </w:pPr>
          </w:p>
        </w:tc>
        <w:tc>
          <w:tcPr>
            <w:tcW w:w="50" w:type="pct"/>
            <w:shd w:val="clear" w:color="auto" w:fill="auto"/>
            <w:vAlign w:val="bottom"/>
          </w:tcPr>
          <w:p w14:paraId="2470CAA9" w14:textId="77777777" w:rsidR="009C6E2F" w:rsidRDefault="009C6E2F">
            <w:pPr>
              <w:rPr>
                <w:rFonts w:ascii="宋体"/>
              </w:rPr>
            </w:pPr>
          </w:p>
        </w:tc>
        <w:tc>
          <w:tcPr>
            <w:tcW w:w="1026" w:type="pct"/>
            <w:shd w:val="clear" w:color="auto" w:fill="auto"/>
            <w:vAlign w:val="bottom"/>
          </w:tcPr>
          <w:p w14:paraId="2470CAAA" w14:textId="77777777" w:rsidR="009C6E2F" w:rsidRDefault="009C6E2F">
            <w:pPr>
              <w:rPr>
                <w:rFonts w:ascii="宋体"/>
              </w:rPr>
            </w:pPr>
          </w:p>
        </w:tc>
        <w:tc>
          <w:tcPr>
            <w:tcW w:w="5" w:type="pct"/>
            <w:shd w:val="clear" w:color="auto" w:fill="auto"/>
            <w:vAlign w:val="bottom"/>
          </w:tcPr>
          <w:p w14:paraId="2470CAAB" w14:textId="77777777" w:rsidR="009C6E2F" w:rsidRDefault="009C6E2F">
            <w:pPr>
              <w:rPr>
                <w:rFonts w:ascii="宋体"/>
              </w:rPr>
            </w:pPr>
          </w:p>
        </w:tc>
      </w:tr>
      <w:tr w:rsidR="009C6E2F" w14:paraId="2470CAB0" w14:textId="77777777">
        <w:trPr>
          <w:trHeight w:val="420"/>
        </w:trPr>
        <w:tc>
          <w:tcPr>
            <w:tcW w:w="0" w:type="auto"/>
            <w:gridSpan w:val="3"/>
            <w:shd w:val="clear" w:color="auto" w:fill="auto"/>
            <w:tcMar>
              <w:top w:w="0" w:type="dxa"/>
              <w:left w:w="20" w:type="dxa"/>
              <w:bottom w:w="0" w:type="dxa"/>
              <w:right w:w="20" w:type="dxa"/>
            </w:tcMar>
            <w:vAlign w:val="bottom"/>
          </w:tcPr>
          <w:p w14:paraId="2470CAAD" w14:textId="77777777" w:rsidR="009C6E2F" w:rsidRDefault="009C6E2F">
            <w:pPr>
              <w:rPr>
                <w:rFonts w:ascii="宋体"/>
              </w:rPr>
            </w:pPr>
          </w:p>
        </w:tc>
        <w:tc>
          <w:tcPr>
            <w:tcW w:w="0" w:type="auto"/>
            <w:gridSpan w:val="15"/>
            <w:tcBorders>
              <w:bottom w:val="single" w:sz="8" w:space="0" w:color="E87722"/>
            </w:tcBorders>
            <w:shd w:val="clear" w:color="auto" w:fill="auto"/>
            <w:tcMar>
              <w:top w:w="40" w:type="dxa"/>
              <w:left w:w="20" w:type="dxa"/>
              <w:bottom w:w="40" w:type="dxa"/>
              <w:right w:w="20" w:type="dxa"/>
            </w:tcMar>
            <w:vAlign w:val="bottom"/>
          </w:tcPr>
          <w:p w14:paraId="2470CAAE" w14:textId="77777777" w:rsidR="009C6E2F" w:rsidRDefault="007972BE">
            <w:pPr>
              <w:jc w:val="center"/>
              <w:textAlignment w:val="bottom"/>
            </w:pPr>
            <w:r>
              <w:rPr>
                <w:rFonts w:ascii="sans-serif" w:eastAsia="sans-serif" w:hAnsi="sans-serif" w:cs="sans-serif"/>
                <w:b/>
                <w:bCs/>
                <w:color w:val="000000"/>
                <w:sz w:val="17"/>
                <w:szCs w:val="17"/>
              </w:rPr>
              <w:t>AMOUNT OF GAIN (LOSS) RECLASSIFIED FROM ACCUMULATED OTHER COMPREHENSIVE INCOME (LOSS) INTO INCOME</w:t>
            </w:r>
          </w:p>
        </w:tc>
        <w:tc>
          <w:tcPr>
            <w:tcW w:w="0" w:type="auto"/>
            <w:gridSpan w:val="3"/>
            <w:vMerge w:val="restart"/>
            <w:shd w:val="clear" w:color="auto" w:fill="auto"/>
            <w:tcMar>
              <w:top w:w="40" w:type="dxa"/>
              <w:left w:w="20" w:type="dxa"/>
              <w:bottom w:w="40" w:type="dxa"/>
              <w:right w:w="20" w:type="dxa"/>
            </w:tcMar>
            <w:vAlign w:val="bottom"/>
          </w:tcPr>
          <w:p w14:paraId="2470CAAF" w14:textId="77777777" w:rsidR="009C6E2F" w:rsidRDefault="007972BE">
            <w:pPr>
              <w:jc w:val="right"/>
              <w:textAlignment w:val="bottom"/>
            </w:pPr>
            <w:r>
              <w:rPr>
                <w:rFonts w:ascii="sans-serif" w:eastAsia="sans-serif" w:hAnsi="sans-serif" w:cs="sans-serif"/>
                <w:b/>
                <w:bCs/>
                <w:color w:val="000000"/>
                <w:sz w:val="17"/>
                <w:szCs w:val="17"/>
              </w:rPr>
              <w:t>LOCATION OF GAIN (LOSS)</w:t>
            </w:r>
            <w:r>
              <w:rPr>
                <w:rFonts w:ascii="sans-serif" w:eastAsia="sans-serif" w:hAnsi="sans-serif" w:cs="sans-serif"/>
                <w:b/>
                <w:bCs/>
                <w:color w:val="000000"/>
                <w:sz w:val="17"/>
                <w:szCs w:val="17"/>
              </w:rPr>
              <w:br/>
              <w:t>RECLASSIFIED FROM ACCUMULATED</w:t>
            </w:r>
            <w:r>
              <w:rPr>
                <w:rFonts w:ascii="sans-serif" w:eastAsia="sans-serif" w:hAnsi="sans-serif" w:cs="sans-serif"/>
                <w:b/>
                <w:bCs/>
                <w:color w:val="000000"/>
                <w:sz w:val="17"/>
                <w:szCs w:val="17"/>
              </w:rPr>
              <w:br/>
              <w:t>OTHER COMPREHENSIVE INCOME</w:t>
            </w:r>
            <w:r>
              <w:rPr>
                <w:rFonts w:ascii="sans-serif" w:eastAsia="sans-serif" w:hAnsi="sans-serif" w:cs="sans-serif"/>
                <w:b/>
                <w:bCs/>
                <w:color w:val="000000"/>
                <w:sz w:val="17"/>
                <w:szCs w:val="17"/>
              </w:rPr>
              <w:br/>
              <w:t>(LOSS) INTO INCOME</w:t>
            </w:r>
          </w:p>
        </w:tc>
      </w:tr>
      <w:tr w:rsidR="009C6E2F" w14:paraId="2470CAB6" w14:textId="77777777">
        <w:trPr>
          <w:trHeight w:val="420"/>
        </w:trPr>
        <w:tc>
          <w:tcPr>
            <w:tcW w:w="0" w:type="auto"/>
            <w:gridSpan w:val="3"/>
            <w:shd w:val="clear" w:color="auto" w:fill="auto"/>
            <w:tcMar>
              <w:top w:w="0" w:type="dxa"/>
              <w:left w:w="20" w:type="dxa"/>
              <w:bottom w:w="0" w:type="dxa"/>
              <w:right w:w="20" w:type="dxa"/>
            </w:tcMar>
            <w:vAlign w:val="bottom"/>
          </w:tcPr>
          <w:p w14:paraId="2470CAB1"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AB2"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B3" w14:textId="77777777" w:rsidR="009C6E2F" w:rsidRDefault="009C6E2F">
            <w:pPr>
              <w:rPr>
                <w:rFonts w:ascii="宋体"/>
              </w:rPr>
            </w:pPr>
          </w:p>
        </w:tc>
        <w:tc>
          <w:tcPr>
            <w:tcW w:w="0" w:type="auto"/>
            <w:gridSpan w:val="6"/>
            <w:tcBorders>
              <w:top w:val="single" w:sz="8" w:space="0" w:color="E87722"/>
            </w:tcBorders>
            <w:shd w:val="clear" w:color="auto" w:fill="auto"/>
            <w:tcMar>
              <w:top w:w="40" w:type="dxa"/>
              <w:left w:w="20" w:type="dxa"/>
              <w:bottom w:w="40" w:type="dxa"/>
              <w:right w:w="20" w:type="dxa"/>
            </w:tcMar>
            <w:vAlign w:val="bottom"/>
          </w:tcPr>
          <w:p w14:paraId="2470CAB4" w14:textId="77777777" w:rsidR="009C6E2F" w:rsidRDefault="007972BE">
            <w:pPr>
              <w:jc w:val="center"/>
              <w:textAlignment w:val="bottom"/>
            </w:pPr>
            <w:r>
              <w:rPr>
                <w:rFonts w:ascii="sans-serif" w:eastAsia="sans-serif" w:hAnsi="sans-serif" w:cs="sans-serif"/>
                <w:b/>
                <w:bCs/>
                <w:color w:val="000000"/>
                <w:sz w:val="17"/>
                <w:szCs w:val="17"/>
              </w:rPr>
              <w:t xml:space="preserve">SIX </w:t>
            </w:r>
            <w:r>
              <w:rPr>
                <w:rFonts w:ascii="sans-serif" w:eastAsia="sans-serif" w:hAnsi="sans-serif" w:cs="sans-serif"/>
                <w:b/>
                <w:bCs/>
                <w:color w:val="000000"/>
                <w:sz w:val="17"/>
                <w:szCs w:val="17"/>
              </w:rPr>
              <w:t>MONTHS ENDED NOVEMBER 30,</w:t>
            </w:r>
          </w:p>
        </w:tc>
        <w:tc>
          <w:tcPr>
            <w:tcW w:w="0" w:type="auto"/>
            <w:gridSpan w:val="3"/>
            <w:vMerge/>
            <w:shd w:val="clear" w:color="auto" w:fill="auto"/>
            <w:tcMar>
              <w:top w:w="40" w:type="dxa"/>
              <w:left w:w="20" w:type="dxa"/>
              <w:bottom w:w="40" w:type="dxa"/>
              <w:right w:w="20" w:type="dxa"/>
            </w:tcMar>
            <w:vAlign w:val="bottom"/>
          </w:tcPr>
          <w:p w14:paraId="2470CAB5" w14:textId="77777777" w:rsidR="009C6E2F" w:rsidRDefault="009C6E2F">
            <w:pPr>
              <w:jc w:val="right"/>
              <w:rPr>
                <w:rFonts w:ascii="宋体"/>
              </w:rPr>
            </w:pPr>
          </w:p>
        </w:tc>
      </w:tr>
      <w:tr w:rsidR="009C6E2F" w14:paraId="2470CABE" w14:textId="77777777">
        <w:trPr>
          <w:trHeight w:val="240"/>
        </w:trPr>
        <w:tc>
          <w:tcPr>
            <w:tcW w:w="0" w:type="auto"/>
            <w:gridSpan w:val="3"/>
            <w:shd w:val="clear" w:color="auto" w:fill="auto"/>
            <w:tcMar>
              <w:top w:w="40" w:type="dxa"/>
              <w:left w:w="20" w:type="dxa"/>
              <w:bottom w:w="40" w:type="dxa"/>
              <w:right w:w="20" w:type="dxa"/>
            </w:tcMar>
            <w:vAlign w:val="bottom"/>
          </w:tcPr>
          <w:p w14:paraId="2470CAB7"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B8"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B9"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CABA"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BB"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BC"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vMerge/>
            <w:shd w:val="clear" w:color="auto" w:fill="auto"/>
            <w:tcMar>
              <w:top w:w="40" w:type="dxa"/>
              <w:left w:w="20" w:type="dxa"/>
              <w:bottom w:w="40" w:type="dxa"/>
              <w:right w:w="20" w:type="dxa"/>
            </w:tcMar>
            <w:vAlign w:val="bottom"/>
          </w:tcPr>
          <w:p w14:paraId="2470CABD" w14:textId="77777777" w:rsidR="009C6E2F" w:rsidRDefault="009C6E2F">
            <w:pPr>
              <w:jc w:val="right"/>
              <w:rPr>
                <w:rFonts w:ascii="宋体"/>
              </w:rPr>
            </w:pPr>
          </w:p>
        </w:tc>
      </w:tr>
      <w:tr w:rsidR="009C6E2F" w14:paraId="2470CAC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BF" w14:textId="77777777" w:rsidR="009C6E2F" w:rsidRDefault="007972BE">
            <w:pPr>
              <w:textAlignment w:val="bottom"/>
            </w:pPr>
            <w:r>
              <w:rPr>
                <w:rFonts w:ascii="Arial" w:eastAsia="宋体" w:hAnsi="Arial" w:cs="Arial"/>
                <w:color w:val="000000"/>
                <w:sz w:val="17"/>
                <w:szCs w:val="17"/>
              </w:rPr>
              <w:t>Gains (losses) on foreign currency translation adjustment</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AC0"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AC1"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C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AC3"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AC4"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C5"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C6"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AC7"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AC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C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ACA"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ACB"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CC" w14:textId="77777777" w:rsidR="009C6E2F" w:rsidRDefault="009C6E2F">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CD" w14:textId="77777777" w:rsidR="009C6E2F" w:rsidRDefault="007972BE">
            <w:pPr>
              <w:jc w:val="right"/>
              <w:textAlignment w:val="bottom"/>
            </w:pPr>
            <w:r>
              <w:rPr>
                <w:rFonts w:ascii="Arial" w:eastAsia="宋体" w:hAnsi="Arial" w:cs="Arial"/>
                <w:color w:val="000000"/>
                <w:sz w:val="17"/>
                <w:szCs w:val="17"/>
              </w:rPr>
              <w:t>Other expense (income), net</w:t>
            </w:r>
          </w:p>
        </w:tc>
      </w:tr>
      <w:tr w:rsidR="009C6E2F" w14:paraId="2470CAD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CF" w14:textId="77777777" w:rsidR="009C6E2F" w:rsidRDefault="007972BE">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D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D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D2"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D3"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D4"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D5"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D6"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D7" w14:textId="77777777" w:rsidR="009C6E2F" w:rsidRDefault="007972BE">
            <w:pPr>
              <w:jc w:val="right"/>
              <w:textAlignment w:val="bottom"/>
            </w:pPr>
            <w:r>
              <w:rPr>
                <w:rFonts w:ascii="Arial" w:eastAsia="宋体" w:hAnsi="Arial" w:cs="Arial"/>
                <w:color w:val="000000"/>
                <w:sz w:val="16"/>
                <w:szCs w:val="16"/>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D8"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D9" w14:textId="77777777" w:rsidR="009C6E2F" w:rsidRDefault="009C6E2F">
            <w:pPr>
              <w:rPr>
                <w:rFonts w:ascii="宋体"/>
              </w:rPr>
            </w:pPr>
          </w:p>
        </w:tc>
      </w:tr>
      <w:tr w:rsidR="009C6E2F" w14:paraId="2470CAE6" w14:textId="77777777">
        <w:tc>
          <w:tcPr>
            <w:tcW w:w="0" w:type="auto"/>
            <w:gridSpan w:val="3"/>
            <w:tcBorders>
              <w:top w:val="single" w:sz="4" w:space="0" w:color="B6B6B6"/>
            </w:tcBorders>
            <w:shd w:val="clear" w:color="auto" w:fill="auto"/>
            <w:tcMar>
              <w:top w:w="40" w:type="dxa"/>
              <w:left w:w="20" w:type="dxa"/>
              <w:bottom w:w="40" w:type="dxa"/>
              <w:right w:w="20" w:type="dxa"/>
            </w:tcMar>
            <w:vAlign w:val="bottom"/>
          </w:tcPr>
          <w:p w14:paraId="2470CADB" w14:textId="77777777" w:rsidR="009C6E2F" w:rsidRDefault="007972BE">
            <w:pPr>
              <w:textAlignment w:val="bottom"/>
            </w:pPr>
            <w:r>
              <w:rPr>
                <w:rFonts w:ascii="Arial" w:eastAsia="宋体" w:hAnsi="Arial" w:cs="Arial"/>
                <w:color w:val="000000"/>
                <w:sz w:val="17"/>
                <w:szCs w:val="17"/>
              </w:rPr>
              <w:t>Tax (expense) benefit</w:t>
            </w: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CAD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CADD" w14:textId="77777777" w:rsidR="009C6E2F" w:rsidRDefault="009C6E2F">
            <w:pPr>
              <w:jc w:val="right"/>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CAD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470CADF"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CAE0" w14:textId="77777777" w:rsidR="009C6E2F" w:rsidRDefault="009C6E2F">
            <w:pPr>
              <w:rPr>
                <w:rFonts w:ascii="宋体"/>
              </w:rPr>
            </w:pPr>
          </w:p>
        </w:tc>
        <w:tc>
          <w:tcPr>
            <w:tcW w:w="0" w:type="auto"/>
            <w:gridSpan w:val="2"/>
            <w:tcBorders>
              <w:top w:val="single" w:sz="4" w:space="0" w:color="B6B6B6"/>
            </w:tcBorders>
            <w:shd w:val="clear" w:color="auto" w:fill="FFF1E7"/>
            <w:tcMar>
              <w:top w:w="40" w:type="dxa"/>
              <w:left w:w="20" w:type="dxa"/>
              <w:bottom w:w="40" w:type="dxa"/>
              <w:right w:w="0" w:type="dxa"/>
            </w:tcMar>
            <w:vAlign w:val="bottom"/>
          </w:tcPr>
          <w:p w14:paraId="2470CAE1"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FFF1E7"/>
            <w:tcMar>
              <w:top w:w="40" w:type="dxa"/>
              <w:left w:w="0" w:type="dxa"/>
              <w:bottom w:w="40" w:type="dxa"/>
              <w:right w:w="20" w:type="dxa"/>
            </w:tcMar>
            <w:vAlign w:val="bottom"/>
          </w:tcPr>
          <w:p w14:paraId="2470CAE2" w14:textId="77777777" w:rsidR="009C6E2F" w:rsidRDefault="009C6E2F">
            <w:pPr>
              <w:jc w:val="right"/>
              <w:rPr>
                <w:rFonts w:ascii="宋体"/>
              </w:rPr>
            </w:pPr>
          </w:p>
        </w:tc>
        <w:tc>
          <w:tcPr>
            <w:tcW w:w="0" w:type="auto"/>
            <w:gridSpan w:val="2"/>
            <w:tcBorders>
              <w:top w:val="single" w:sz="4" w:space="0" w:color="B6B6B6"/>
            </w:tcBorders>
            <w:shd w:val="clear" w:color="auto" w:fill="auto"/>
            <w:tcMar>
              <w:top w:w="40" w:type="dxa"/>
              <w:left w:w="20" w:type="dxa"/>
              <w:bottom w:w="40" w:type="dxa"/>
              <w:right w:w="0" w:type="dxa"/>
            </w:tcMar>
            <w:vAlign w:val="bottom"/>
          </w:tcPr>
          <w:p w14:paraId="2470CAE3"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B6B6B6"/>
            </w:tcBorders>
            <w:shd w:val="clear" w:color="auto" w:fill="auto"/>
            <w:tcMar>
              <w:top w:w="40" w:type="dxa"/>
              <w:left w:w="0" w:type="dxa"/>
              <w:bottom w:w="40" w:type="dxa"/>
              <w:right w:w="20" w:type="dxa"/>
            </w:tcMar>
            <w:vAlign w:val="bottom"/>
          </w:tcPr>
          <w:p w14:paraId="2470CAE4" w14:textId="77777777" w:rsidR="009C6E2F" w:rsidRDefault="009C6E2F">
            <w:pPr>
              <w:jc w:val="right"/>
              <w:rPr>
                <w:rFonts w:ascii="宋体"/>
              </w:rPr>
            </w:pPr>
          </w:p>
        </w:tc>
        <w:tc>
          <w:tcPr>
            <w:tcW w:w="0" w:type="auto"/>
            <w:gridSpan w:val="3"/>
            <w:tcBorders>
              <w:top w:val="single" w:sz="4" w:space="0" w:color="B6B6B6"/>
            </w:tcBorders>
            <w:shd w:val="clear" w:color="auto" w:fill="auto"/>
            <w:tcMar>
              <w:top w:w="0" w:type="dxa"/>
              <w:left w:w="20" w:type="dxa"/>
              <w:bottom w:w="0" w:type="dxa"/>
              <w:right w:w="20" w:type="dxa"/>
            </w:tcMar>
            <w:vAlign w:val="bottom"/>
          </w:tcPr>
          <w:p w14:paraId="2470CAE5" w14:textId="77777777" w:rsidR="009C6E2F" w:rsidRDefault="009C6E2F">
            <w:pPr>
              <w:rPr>
                <w:rFonts w:ascii="宋体"/>
              </w:rPr>
            </w:pPr>
          </w:p>
        </w:tc>
      </w:tr>
      <w:tr w:rsidR="009C6E2F" w14:paraId="2470CAF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E7" w14:textId="77777777" w:rsidR="009C6E2F" w:rsidRDefault="007972BE">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E8" w14:textId="77777777" w:rsidR="009C6E2F" w:rsidRDefault="007972BE">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E9"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EA"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EB"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EC"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AED" w14:textId="77777777" w:rsidR="009C6E2F" w:rsidRDefault="007972BE">
            <w:pPr>
              <w:jc w:val="right"/>
              <w:textAlignment w:val="bottom"/>
            </w:pPr>
            <w:r>
              <w:rPr>
                <w:rFonts w:ascii="Arial" w:eastAsia="宋体" w:hAnsi="Arial" w:cs="Arial"/>
                <w:b/>
                <w:bCs/>
                <w:color w:val="000000"/>
                <w:sz w:val="17"/>
                <w:szCs w:val="17"/>
              </w:rPr>
              <w:t>—</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AE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AEF"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AF0"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F1" w14:textId="77777777" w:rsidR="009C6E2F" w:rsidRDefault="009C6E2F">
            <w:pPr>
              <w:rPr>
                <w:rFonts w:ascii="宋体"/>
              </w:rPr>
            </w:pPr>
          </w:p>
        </w:tc>
      </w:tr>
      <w:tr w:rsidR="009C6E2F" w14:paraId="2470CAF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AF3" w14:textId="77777777" w:rsidR="009C6E2F" w:rsidRDefault="007972BE">
            <w:pPr>
              <w:textAlignment w:val="bottom"/>
            </w:pPr>
            <w:r>
              <w:rPr>
                <w:rFonts w:ascii="Arial" w:eastAsia="宋体" w:hAnsi="Arial" w:cs="Arial"/>
                <w:color w:val="000000"/>
                <w:sz w:val="17"/>
                <w:szCs w:val="17"/>
              </w:rPr>
              <w:t>Gains (losses) on cash flow hedges: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AF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F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F6"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AF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F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AF9" w14:textId="77777777" w:rsidR="009C6E2F" w:rsidRDefault="009C6E2F">
            <w:pPr>
              <w:rPr>
                <w:rFonts w:ascii="宋体"/>
              </w:rPr>
            </w:pPr>
          </w:p>
        </w:tc>
      </w:tr>
      <w:tr w:rsidR="009C6E2F" w14:paraId="2470CB0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AFB"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AF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AFD" w14:textId="77777777" w:rsidR="009C6E2F" w:rsidRDefault="007972BE">
            <w:pPr>
              <w:jc w:val="right"/>
              <w:textAlignment w:val="bottom"/>
            </w:pPr>
            <w:r>
              <w:rPr>
                <w:rFonts w:ascii="Arial" w:eastAsia="宋体" w:hAnsi="Arial" w:cs="Arial"/>
                <w:color w:val="000000"/>
                <w:sz w:val="17"/>
                <w:szCs w:val="17"/>
              </w:rPr>
              <w:t>(20)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AFE"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AF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B00"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0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02"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0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04" w14:textId="77777777" w:rsidR="009C6E2F" w:rsidRDefault="007972BE">
            <w:pPr>
              <w:jc w:val="right"/>
              <w:textAlignment w:val="bottom"/>
            </w:pPr>
            <w:r>
              <w:rPr>
                <w:rFonts w:ascii="Arial" w:eastAsia="宋体" w:hAnsi="Arial" w:cs="Arial"/>
                <w:color w:val="000000"/>
                <w:sz w:val="17"/>
                <w:szCs w:val="17"/>
              </w:rPr>
              <w:t>(41)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05"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B0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B07"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08" w14:textId="77777777" w:rsidR="009C6E2F" w:rsidRDefault="009C6E2F">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B09" w14:textId="77777777" w:rsidR="009C6E2F" w:rsidRDefault="007972BE">
            <w:pPr>
              <w:jc w:val="right"/>
              <w:textAlignment w:val="bottom"/>
            </w:pPr>
            <w:r>
              <w:rPr>
                <w:rFonts w:ascii="Arial" w:eastAsia="宋体" w:hAnsi="Arial" w:cs="Arial"/>
                <w:color w:val="000000"/>
                <w:sz w:val="17"/>
                <w:szCs w:val="17"/>
              </w:rPr>
              <w:t>Revenues</w:t>
            </w:r>
          </w:p>
        </w:tc>
      </w:tr>
      <w:tr w:rsidR="009C6E2F" w14:paraId="2470CB1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B0B"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0C" w14:textId="77777777" w:rsidR="009C6E2F" w:rsidRDefault="007972BE">
            <w:pPr>
              <w:jc w:val="right"/>
              <w:textAlignment w:val="bottom"/>
            </w:pPr>
            <w:r>
              <w:rPr>
                <w:rFonts w:ascii="Arial" w:eastAsia="宋体" w:hAnsi="Arial" w:cs="Arial"/>
                <w:color w:val="000000"/>
                <w:sz w:val="17"/>
                <w:szCs w:val="17"/>
              </w:rPr>
              <w:t>(30)</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0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0E" w14:textId="77777777" w:rsidR="009C6E2F" w:rsidRDefault="007972BE">
            <w:pPr>
              <w:jc w:val="right"/>
              <w:textAlignment w:val="bottom"/>
            </w:pPr>
            <w:r>
              <w:rPr>
                <w:rFonts w:ascii="Arial" w:eastAsia="宋体" w:hAnsi="Arial" w:cs="Arial"/>
                <w:color w:val="000000"/>
                <w:sz w:val="17"/>
                <w:szCs w:val="17"/>
              </w:rPr>
              <w:t>31 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0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10"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11" w14:textId="77777777" w:rsidR="009C6E2F" w:rsidRDefault="007972BE">
            <w:pPr>
              <w:jc w:val="right"/>
              <w:textAlignment w:val="bottom"/>
            </w:pPr>
            <w:r>
              <w:rPr>
                <w:rFonts w:ascii="Arial" w:eastAsia="宋体" w:hAnsi="Arial" w:cs="Arial"/>
                <w:color w:val="000000"/>
                <w:sz w:val="17"/>
                <w:szCs w:val="17"/>
              </w:rPr>
              <w:t>(96)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1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13" w14:textId="77777777" w:rsidR="009C6E2F" w:rsidRDefault="007972BE">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14" w14:textId="77777777" w:rsidR="009C6E2F" w:rsidRDefault="009C6E2F">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B15" w14:textId="77777777" w:rsidR="009C6E2F" w:rsidRDefault="007972BE">
            <w:pPr>
              <w:jc w:val="right"/>
              <w:textAlignment w:val="bottom"/>
            </w:pPr>
            <w:r>
              <w:rPr>
                <w:rFonts w:ascii="Arial" w:eastAsia="宋体" w:hAnsi="Arial" w:cs="Arial"/>
                <w:color w:val="000000"/>
                <w:sz w:val="17"/>
                <w:szCs w:val="17"/>
              </w:rPr>
              <w:t>Cost of sales</w:t>
            </w:r>
          </w:p>
        </w:tc>
      </w:tr>
      <w:tr w:rsidR="009C6E2F" w14:paraId="2470CB2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B17"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1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1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1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1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1C"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1D" w14:textId="77777777" w:rsidR="009C6E2F" w:rsidRDefault="007972BE">
            <w:pPr>
              <w:jc w:val="right"/>
              <w:textAlignment w:val="bottom"/>
            </w:pPr>
            <w:r>
              <w:rPr>
                <w:rFonts w:ascii="Arial" w:eastAsia="宋体" w:hAnsi="Arial" w:cs="Arial"/>
                <w:color w:val="000000"/>
                <w:sz w:val="16"/>
                <w:szCs w:val="16"/>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1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1F" w14:textId="77777777" w:rsidR="009C6E2F" w:rsidRDefault="007972BE">
            <w:pPr>
              <w:jc w:val="right"/>
              <w:textAlignment w:val="bottom"/>
            </w:pPr>
            <w:r>
              <w:rPr>
                <w:rFonts w:ascii="Arial" w:eastAsia="宋体" w:hAnsi="Arial" w:cs="Arial"/>
                <w:color w:val="000000"/>
                <w:sz w:val="16"/>
                <w:szCs w:val="16"/>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20" w14:textId="77777777" w:rsidR="009C6E2F" w:rsidRDefault="009C6E2F">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B21" w14:textId="77777777" w:rsidR="009C6E2F" w:rsidRDefault="007972BE">
            <w:pPr>
              <w:jc w:val="right"/>
              <w:textAlignment w:val="bottom"/>
            </w:pPr>
            <w:r>
              <w:rPr>
                <w:rFonts w:ascii="Arial" w:eastAsia="宋体" w:hAnsi="Arial" w:cs="Arial"/>
                <w:color w:val="000000"/>
                <w:sz w:val="17"/>
                <w:szCs w:val="17"/>
              </w:rPr>
              <w:t xml:space="preserve">Demand creation </w:t>
            </w:r>
            <w:r>
              <w:rPr>
                <w:rFonts w:ascii="Arial" w:eastAsia="宋体" w:hAnsi="Arial" w:cs="Arial"/>
                <w:color w:val="000000"/>
                <w:sz w:val="17"/>
                <w:szCs w:val="17"/>
              </w:rPr>
              <w:t>expense</w:t>
            </w:r>
          </w:p>
        </w:tc>
      </w:tr>
      <w:tr w:rsidR="009C6E2F" w14:paraId="2470CB2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B23" w14:textId="77777777" w:rsidR="009C6E2F" w:rsidRDefault="007972BE">
            <w:pPr>
              <w:textAlignment w:val="bottom"/>
            </w:pPr>
            <w:r>
              <w:rPr>
                <w:rFonts w:ascii="Arial" w:eastAsia="宋体" w:hAnsi="Arial" w:cs="Arial"/>
                <w:color w:val="000000"/>
                <w:sz w:val="17"/>
                <w:szCs w:val="17"/>
              </w:rPr>
              <w:t>Foreign exchange forwards and options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24" w14:textId="77777777" w:rsidR="009C6E2F" w:rsidRDefault="007972BE">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2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26" w14:textId="77777777" w:rsidR="009C6E2F" w:rsidRDefault="007972BE">
            <w:pPr>
              <w:jc w:val="right"/>
              <w:textAlignment w:val="bottom"/>
            </w:pPr>
            <w:r>
              <w:rPr>
                <w:rFonts w:ascii="Arial" w:eastAsia="宋体" w:hAnsi="Arial" w:cs="Arial"/>
                <w:color w:val="000000"/>
                <w:sz w:val="17"/>
                <w:szCs w:val="17"/>
              </w:rPr>
              <w:t>(13)</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2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28"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29"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2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2B" w14:textId="77777777" w:rsidR="009C6E2F" w:rsidRDefault="007972BE">
            <w:pPr>
              <w:jc w:val="right"/>
              <w:textAlignment w:val="bottom"/>
            </w:pPr>
            <w:r>
              <w:rPr>
                <w:rFonts w:ascii="Arial" w:eastAsia="宋体" w:hAnsi="Arial" w:cs="Arial"/>
                <w:color w:val="000000"/>
                <w:sz w:val="17"/>
                <w:szCs w:val="17"/>
              </w:rPr>
              <w:t>(5)</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2C" w14:textId="77777777" w:rsidR="009C6E2F" w:rsidRDefault="009C6E2F">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B2D" w14:textId="77777777" w:rsidR="009C6E2F" w:rsidRDefault="007972BE">
            <w:pPr>
              <w:jc w:val="right"/>
              <w:textAlignment w:val="bottom"/>
            </w:pPr>
            <w:r>
              <w:rPr>
                <w:rFonts w:ascii="Arial" w:eastAsia="宋体" w:hAnsi="Arial" w:cs="Arial"/>
                <w:color w:val="000000"/>
                <w:sz w:val="17"/>
                <w:szCs w:val="17"/>
              </w:rPr>
              <w:t>Other (income) expense, net</w:t>
            </w:r>
          </w:p>
        </w:tc>
      </w:tr>
      <w:tr w:rsidR="009C6E2F" w14:paraId="2470CB3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B2F" w14:textId="77777777" w:rsidR="009C6E2F" w:rsidRDefault="007972BE">
            <w:pPr>
              <w:textAlignment w:val="bottom"/>
            </w:pPr>
            <w:r>
              <w:rPr>
                <w:rFonts w:ascii="Arial" w:eastAsia="宋体" w:hAnsi="Arial" w:cs="Arial"/>
                <w:color w:val="000000"/>
                <w:sz w:val="17"/>
                <w:szCs w:val="17"/>
              </w:rPr>
              <w:t>Interest rate swaps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30"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3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32" w14:textId="77777777" w:rsidR="009C6E2F" w:rsidRDefault="007972BE">
            <w:pPr>
              <w:jc w:val="right"/>
              <w:textAlignment w:val="bottom"/>
            </w:pPr>
            <w:r>
              <w:rPr>
                <w:rFonts w:ascii="Arial" w:eastAsia="宋体" w:hAnsi="Arial" w:cs="Arial"/>
                <w:color w:val="000000"/>
                <w:sz w:val="17"/>
                <w:szCs w:val="17"/>
              </w:rPr>
              <w:t>(1)</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3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3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35"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3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37"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38" w14:textId="77777777" w:rsidR="009C6E2F" w:rsidRDefault="009C6E2F">
            <w:pPr>
              <w:jc w:val="right"/>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B39" w14:textId="77777777" w:rsidR="009C6E2F" w:rsidRDefault="007972BE">
            <w:pPr>
              <w:jc w:val="right"/>
              <w:textAlignment w:val="bottom"/>
            </w:pPr>
            <w:r>
              <w:rPr>
                <w:rFonts w:ascii="Arial" w:eastAsia="宋体" w:hAnsi="Arial" w:cs="Arial"/>
                <w:color w:val="000000"/>
                <w:sz w:val="17"/>
                <w:szCs w:val="17"/>
              </w:rPr>
              <w:t>Interest expense (income), net</w:t>
            </w:r>
          </w:p>
        </w:tc>
      </w:tr>
      <w:tr w:rsidR="009C6E2F" w14:paraId="2470CB4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3B" w14:textId="77777777" w:rsidR="009C6E2F" w:rsidRDefault="007972BE">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3C" w14:textId="77777777" w:rsidR="009C6E2F" w:rsidRDefault="007972BE">
            <w:pPr>
              <w:jc w:val="right"/>
              <w:textAlignment w:val="bottom"/>
            </w:pPr>
            <w:r>
              <w:rPr>
                <w:rFonts w:ascii="Arial" w:eastAsia="宋体" w:hAnsi="Arial" w:cs="Arial"/>
                <w:color w:val="000000"/>
                <w:sz w:val="17"/>
                <w:szCs w:val="17"/>
              </w:rPr>
              <w:t>(31)</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3D"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3E" w14:textId="77777777" w:rsidR="009C6E2F" w:rsidRDefault="007972BE">
            <w:pPr>
              <w:jc w:val="right"/>
              <w:textAlignment w:val="bottom"/>
            </w:pPr>
            <w:r>
              <w:rPr>
                <w:rFonts w:ascii="Arial" w:eastAsia="宋体" w:hAnsi="Arial" w:cs="Arial"/>
                <w:color w:val="000000"/>
                <w:sz w:val="17"/>
                <w:szCs w:val="17"/>
              </w:rPr>
              <w:t>43 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3F"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40"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41" w14:textId="77777777" w:rsidR="009C6E2F" w:rsidRDefault="007972BE">
            <w:pPr>
              <w:jc w:val="right"/>
              <w:textAlignment w:val="bottom"/>
            </w:pPr>
            <w:r>
              <w:rPr>
                <w:rFonts w:ascii="Arial" w:eastAsia="宋体" w:hAnsi="Arial" w:cs="Arial"/>
                <w:color w:val="000000"/>
                <w:sz w:val="17"/>
                <w:szCs w:val="17"/>
              </w:rPr>
              <w:t>(128)</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42"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43" w14:textId="77777777" w:rsidR="009C6E2F" w:rsidRDefault="007972BE">
            <w:pPr>
              <w:jc w:val="right"/>
              <w:textAlignment w:val="bottom"/>
            </w:pPr>
            <w:r>
              <w:rPr>
                <w:rFonts w:ascii="Arial" w:eastAsia="宋体" w:hAnsi="Arial" w:cs="Arial"/>
                <w:color w:val="000000"/>
                <w:sz w:val="17"/>
                <w:szCs w:val="17"/>
              </w:rPr>
              <w:t>178 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44"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45" w14:textId="77777777" w:rsidR="009C6E2F" w:rsidRDefault="009C6E2F">
            <w:pPr>
              <w:rPr>
                <w:rFonts w:ascii="宋体"/>
              </w:rPr>
            </w:pPr>
          </w:p>
        </w:tc>
      </w:tr>
      <w:tr w:rsidR="009C6E2F" w14:paraId="2470CB5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B47" w14:textId="77777777" w:rsidR="009C6E2F" w:rsidRDefault="007972BE">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48"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4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4A" w14:textId="77777777" w:rsidR="009C6E2F" w:rsidRDefault="007972BE">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4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4C"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4D"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4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4F" w14:textId="77777777" w:rsidR="009C6E2F" w:rsidRDefault="007972BE">
            <w:pPr>
              <w:jc w:val="right"/>
              <w:textAlignment w:val="bottom"/>
            </w:pPr>
            <w:r>
              <w:rPr>
                <w:rFonts w:ascii="Arial" w:eastAsia="宋体" w:hAnsi="Arial" w:cs="Arial"/>
                <w:color w:val="000000"/>
                <w:sz w:val="17"/>
                <w:szCs w:val="17"/>
              </w:rPr>
              <w:t>(7)</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5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51" w14:textId="77777777" w:rsidR="009C6E2F" w:rsidRDefault="009C6E2F">
            <w:pPr>
              <w:rPr>
                <w:rFonts w:ascii="宋体"/>
              </w:rPr>
            </w:pPr>
          </w:p>
        </w:tc>
      </w:tr>
      <w:tr w:rsidR="009C6E2F" w14:paraId="2470CB5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53" w14:textId="77777777" w:rsidR="009C6E2F" w:rsidRDefault="007972BE">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54" w14:textId="77777777" w:rsidR="009C6E2F" w:rsidRDefault="007972BE">
            <w:pPr>
              <w:jc w:val="right"/>
              <w:textAlignment w:val="bottom"/>
            </w:pPr>
            <w:r>
              <w:rPr>
                <w:rFonts w:ascii="Arial" w:eastAsia="宋体" w:hAnsi="Arial" w:cs="Arial"/>
                <w:b/>
                <w:bCs/>
                <w:color w:val="000000"/>
                <w:sz w:val="17"/>
                <w:szCs w:val="17"/>
              </w:rPr>
              <w:t>(30)</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5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56" w14:textId="77777777" w:rsidR="009C6E2F" w:rsidRDefault="007972BE">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57"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58"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59" w14:textId="77777777" w:rsidR="009C6E2F" w:rsidRDefault="007972BE">
            <w:pPr>
              <w:jc w:val="right"/>
              <w:textAlignment w:val="bottom"/>
            </w:pPr>
            <w:r>
              <w:rPr>
                <w:rFonts w:ascii="Arial" w:eastAsia="宋体" w:hAnsi="Arial" w:cs="Arial"/>
                <w:b/>
                <w:bCs/>
                <w:color w:val="000000"/>
                <w:sz w:val="17"/>
                <w:szCs w:val="17"/>
              </w:rPr>
              <w:t>(119)</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5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5B" w14:textId="77777777" w:rsidR="009C6E2F" w:rsidRDefault="007972BE">
            <w:pPr>
              <w:jc w:val="right"/>
              <w:textAlignment w:val="bottom"/>
            </w:pPr>
            <w:r>
              <w:rPr>
                <w:rFonts w:ascii="Arial" w:eastAsia="宋体" w:hAnsi="Arial" w:cs="Arial"/>
                <w:b/>
                <w:bCs/>
                <w:color w:val="000000"/>
                <w:sz w:val="17"/>
                <w:szCs w:val="17"/>
              </w:rPr>
              <w:t>171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5C"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5D" w14:textId="77777777" w:rsidR="009C6E2F" w:rsidRDefault="009C6E2F">
            <w:pPr>
              <w:rPr>
                <w:rFonts w:ascii="宋体"/>
              </w:rPr>
            </w:pPr>
          </w:p>
        </w:tc>
      </w:tr>
      <w:tr w:rsidR="009C6E2F" w14:paraId="2470CB6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5F" w14:textId="77777777" w:rsidR="009C6E2F" w:rsidRDefault="007972BE">
            <w:pPr>
              <w:textAlignment w:val="bottom"/>
            </w:pPr>
            <w:r>
              <w:rPr>
                <w:rFonts w:ascii="Arial" w:eastAsia="宋体" w:hAnsi="Arial" w:cs="Arial"/>
                <w:color w:val="000000"/>
                <w:sz w:val="17"/>
                <w:szCs w:val="17"/>
              </w:rPr>
              <w:t>Gains (losses) on other</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60"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6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62"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63"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64"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65"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66"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67" w14:textId="77777777" w:rsidR="009C6E2F" w:rsidRDefault="007972BE">
            <w:pPr>
              <w:jc w:val="right"/>
              <w:textAlignment w:val="bottom"/>
            </w:pPr>
            <w:r>
              <w:rPr>
                <w:rFonts w:ascii="Arial" w:eastAsia="宋体" w:hAnsi="Arial" w:cs="Arial"/>
                <w:color w:val="000000"/>
                <w:sz w:val="17"/>
                <w:szCs w:val="17"/>
              </w:rPr>
              <w:t>(7)</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68" w14:textId="77777777" w:rsidR="009C6E2F" w:rsidRDefault="009C6E2F">
            <w:pPr>
              <w:jc w:val="right"/>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69" w14:textId="77777777" w:rsidR="009C6E2F" w:rsidRDefault="007972BE">
            <w:pPr>
              <w:jc w:val="right"/>
              <w:textAlignment w:val="bottom"/>
            </w:pPr>
            <w:r>
              <w:rPr>
                <w:rFonts w:ascii="Arial" w:eastAsia="宋体" w:hAnsi="Arial" w:cs="Arial"/>
                <w:color w:val="000000"/>
                <w:sz w:val="17"/>
                <w:szCs w:val="17"/>
              </w:rPr>
              <w:t>Other (income) expense, net</w:t>
            </w:r>
          </w:p>
        </w:tc>
      </w:tr>
      <w:tr w:rsidR="009C6E2F" w14:paraId="2470CB7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6B" w14:textId="77777777" w:rsidR="009C6E2F" w:rsidRDefault="007972BE">
            <w:pPr>
              <w:textAlignment w:val="bottom"/>
            </w:pPr>
            <w:r>
              <w:rPr>
                <w:rFonts w:ascii="Arial" w:eastAsia="宋体" w:hAnsi="Arial" w:cs="Arial"/>
                <w:color w:val="000000"/>
                <w:sz w:val="17"/>
                <w:szCs w:val="17"/>
              </w:rPr>
              <w:t>Total before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6C"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6D"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6E"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6F"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70"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71"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72"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73" w14:textId="77777777" w:rsidR="009C6E2F" w:rsidRDefault="007972BE">
            <w:pPr>
              <w:jc w:val="right"/>
              <w:textAlignment w:val="bottom"/>
            </w:pPr>
            <w:r>
              <w:rPr>
                <w:rFonts w:ascii="Arial" w:eastAsia="宋体" w:hAnsi="Arial" w:cs="Arial"/>
                <w:color w:val="000000"/>
                <w:sz w:val="17"/>
                <w:szCs w:val="17"/>
              </w:rPr>
              <w:t>(7)</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74"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75" w14:textId="77777777" w:rsidR="009C6E2F" w:rsidRDefault="009C6E2F">
            <w:pPr>
              <w:rPr>
                <w:rFonts w:ascii="宋体"/>
              </w:rPr>
            </w:pPr>
          </w:p>
        </w:tc>
      </w:tr>
      <w:tr w:rsidR="009C6E2F" w14:paraId="2470CB8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CB77" w14:textId="77777777" w:rsidR="009C6E2F" w:rsidRDefault="007972BE">
            <w:pPr>
              <w:textAlignment w:val="bottom"/>
            </w:pPr>
            <w:r>
              <w:rPr>
                <w:rFonts w:ascii="Arial" w:eastAsia="宋体" w:hAnsi="Arial" w:cs="Arial"/>
                <w:color w:val="000000"/>
                <w:sz w:val="17"/>
                <w:szCs w:val="17"/>
              </w:rPr>
              <w:t>Tax (expense) benefit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78" w14:textId="77777777" w:rsidR="009C6E2F" w:rsidRDefault="007972BE">
            <w:pPr>
              <w:jc w:val="right"/>
              <w:textAlignment w:val="bottom"/>
            </w:pPr>
            <w:r>
              <w:rPr>
                <w:rFonts w:ascii="Arial" w:eastAsia="宋体" w:hAnsi="Arial" w:cs="Arial"/>
                <w:color w:val="000000"/>
                <w:sz w:val="17"/>
                <w:szCs w:val="17"/>
              </w:rPr>
              <w:t>(3)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7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7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7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7C"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B7D" w14:textId="77777777" w:rsidR="009C6E2F" w:rsidRDefault="007972BE">
            <w:pPr>
              <w:jc w:val="right"/>
              <w:textAlignment w:val="bottom"/>
            </w:pPr>
            <w:r>
              <w:rPr>
                <w:rFonts w:ascii="Arial" w:eastAsia="宋体" w:hAnsi="Arial" w:cs="Arial"/>
                <w:color w:val="000000"/>
                <w:sz w:val="17"/>
                <w:szCs w:val="17"/>
              </w:rPr>
              <w:t>(4)</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7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B7F"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B8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CB81" w14:textId="77777777" w:rsidR="009C6E2F" w:rsidRDefault="009C6E2F">
            <w:pPr>
              <w:rPr>
                <w:rFonts w:ascii="宋体"/>
              </w:rPr>
            </w:pPr>
          </w:p>
        </w:tc>
      </w:tr>
      <w:tr w:rsidR="009C6E2F" w14:paraId="2470CB8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83" w14:textId="77777777" w:rsidR="009C6E2F" w:rsidRDefault="007972BE">
            <w:pPr>
              <w:textAlignment w:val="bottom"/>
            </w:pPr>
            <w:r>
              <w:rPr>
                <w:rFonts w:ascii="Arial" w:eastAsia="宋体" w:hAnsi="Arial" w:cs="Arial"/>
                <w:b/>
                <w:bCs/>
                <w:color w:val="000000"/>
                <w:sz w:val="17"/>
                <w:szCs w:val="17"/>
              </w:rPr>
              <w:t>Gain (loss) net of tax</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84" w14:textId="77777777" w:rsidR="009C6E2F" w:rsidRDefault="007972BE">
            <w:pPr>
              <w:jc w:val="right"/>
              <w:textAlignment w:val="bottom"/>
            </w:pPr>
            <w:r>
              <w:rPr>
                <w:rFonts w:ascii="Arial" w:eastAsia="宋体" w:hAnsi="Arial" w:cs="Arial"/>
                <w:b/>
                <w:bCs/>
                <w:color w:val="000000"/>
                <w:sz w:val="17"/>
                <w:szCs w:val="17"/>
              </w:rPr>
              <w:t>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8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86"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87"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88"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CB89" w14:textId="77777777" w:rsidR="009C6E2F" w:rsidRDefault="007972BE">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B8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CB8B" w14:textId="77777777" w:rsidR="009C6E2F" w:rsidRDefault="007972BE">
            <w:pPr>
              <w:jc w:val="right"/>
              <w:textAlignment w:val="bottom"/>
            </w:pPr>
            <w:r>
              <w:rPr>
                <w:rFonts w:ascii="Arial" w:eastAsia="宋体" w:hAnsi="Arial" w:cs="Arial"/>
                <w:b/>
                <w:bCs/>
                <w:color w:val="000000"/>
                <w:sz w:val="17"/>
                <w:szCs w:val="17"/>
              </w:rPr>
              <w:t>(7)</w:t>
            </w:r>
          </w:p>
        </w:tc>
        <w:tc>
          <w:tcPr>
            <w:tcW w:w="0" w:type="auto"/>
            <w:tcBorders>
              <w:top w:val="single" w:sz="8" w:space="0" w:color="E87722"/>
            </w:tcBorders>
            <w:shd w:val="clear" w:color="auto" w:fill="auto"/>
            <w:tcMar>
              <w:top w:w="40" w:type="dxa"/>
              <w:left w:w="0" w:type="dxa"/>
              <w:bottom w:w="40" w:type="dxa"/>
              <w:right w:w="20" w:type="dxa"/>
            </w:tcMar>
            <w:vAlign w:val="bottom"/>
          </w:tcPr>
          <w:p w14:paraId="2470CB8C"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B8D" w14:textId="77777777" w:rsidR="009C6E2F" w:rsidRDefault="009C6E2F">
            <w:pPr>
              <w:rPr>
                <w:rFonts w:ascii="宋体"/>
              </w:rPr>
            </w:pPr>
          </w:p>
        </w:tc>
      </w:tr>
      <w:tr w:rsidR="009C6E2F" w14:paraId="2470CB9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B8F" w14:textId="77777777" w:rsidR="009C6E2F" w:rsidRDefault="007972BE">
            <w:pPr>
              <w:textAlignment w:val="bottom"/>
            </w:pPr>
            <w:r>
              <w:rPr>
                <w:rFonts w:ascii="Arial" w:eastAsia="宋体" w:hAnsi="Arial" w:cs="Arial"/>
                <w:b/>
                <w:bCs/>
                <w:color w:val="000000"/>
                <w:sz w:val="17"/>
                <w:szCs w:val="17"/>
              </w:rPr>
              <w:t>Total net gain (loss) reclassified for the period</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B9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B91" w14:textId="77777777" w:rsidR="009C6E2F" w:rsidRDefault="007972BE">
            <w:pPr>
              <w:jc w:val="right"/>
              <w:textAlignment w:val="bottom"/>
            </w:pPr>
            <w:r>
              <w:rPr>
                <w:rFonts w:ascii="Arial" w:eastAsia="宋体" w:hAnsi="Arial" w:cs="Arial"/>
                <w:b/>
                <w:bCs/>
                <w:color w:val="000000"/>
                <w:sz w:val="17"/>
                <w:szCs w:val="17"/>
              </w:rPr>
              <w:t>(25)</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B9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B9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B94" w14:textId="77777777" w:rsidR="009C6E2F" w:rsidRDefault="007972BE">
            <w:pPr>
              <w:jc w:val="right"/>
              <w:textAlignment w:val="bottom"/>
            </w:pPr>
            <w:r>
              <w:rPr>
                <w:rFonts w:ascii="Arial" w:eastAsia="宋体" w:hAnsi="Arial" w:cs="Arial"/>
                <w:b/>
                <w:bCs/>
                <w:color w:val="000000"/>
                <w:sz w:val="17"/>
                <w:szCs w:val="17"/>
              </w:rPr>
              <w:t>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B95"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B96"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B9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B98" w14:textId="77777777" w:rsidR="009C6E2F" w:rsidRDefault="007972BE">
            <w:pPr>
              <w:jc w:val="right"/>
              <w:textAlignment w:val="bottom"/>
            </w:pPr>
            <w:r>
              <w:rPr>
                <w:rFonts w:ascii="Arial" w:eastAsia="宋体" w:hAnsi="Arial" w:cs="Arial"/>
                <w:b/>
                <w:bCs/>
                <w:color w:val="000000"/>
                <w:sz w:val="17"/>
                <w:szCs w:val="17"/>
              </w:rPr>
              <w:t>(109)</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B9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B9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B9B" w14:textId="77777777" w:rsidR="009C6E2F" w:rsidRDefault="007972BE">
            <w:pPr>
              <w:jc w:val="right"/>
              <w:textAlignment w:val="bottom"/>
            </w:pPr>
            <w:r>
              <w:rPr>
                <w:rFonts w:ascii="Arial" w:eastAsia="宋体" w:hAnsi="Arial" w:cs="Arial"/>
                <w:b/>
                <w:bCs/>
                <w:color w:val="000000"/>
                <w:sz w:val="17"/>
                <w:szCs w:val="17"/>
              </w:rPr>
              <w:t>165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B9C"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CB9D" w14:textId="77777777" w:rsidR="009C6E2F" w:rsidRDefault="009C6E2F">
            <w:pPr>
              <w:rPr>
                <w:rFonts w:ascii="宋体"/>
              </w:rPr>
            </w:pPr>
          </w:p>
        </w:tc>
      </w:tr>
    </w:tbl>
    <w:p w14:paraId="2470CB9F" w14:textId="77777777" w:rsidR="009C6E2F" w:rsidRDefault="007972BE">
      <w:pPr>
        <w:spacing w:before="120" w:after="120"/>
      </w:pPr>
      <w:r>
        <w:rPr>
          <w:rFonts w:ascii="Arial" w:eastAsia="宋体" w:hAnsi="Arial" w:cs="Arial"/>
          <w:color w:val="E87722"/>
          <w:sz w:val="17"/>
          <w:szCs w:val="17"/>
        </w:rPr>
        <w:t>18</w:t>
      </w:r>
      <w:r>
        <w:rPr>
          <w:rFonts w:ascii="sans-serif" w:eastAsia="sans-serif" w:hAnsi="sans-serif" w:cs="sans-serif"/>
          <w:color w:val="000000"/>
          <w:sz w:val="17"/>
          <w:szCs w:val="17"/>
        </w:rPr>
        <w:t xml:space="preserve"> </w:t>
      </w:r>
    </w:p>
    <w:p w14:paraId="2470CBA0" w14:textId="77777777" w:rsidR="009C6E2F" w:rsidRDefault="007972BE">
      <w:r>
        <w:pict w14:anchorId="2470E1F7">
          <v:rect id="_x0000_i1044" style="width:415.3pt;height:1.5pt" o:hralign="center" o:hrstd="t" o:hr="t" fillcolor="#a0a0a0" stroked="f"/>
        </w:pict>
      </w:r>
    </w:p>
    <w:p w14:paraId="2470CBA1" w14:textId="77777777" w:rsidR="009C6E2F" w:rsidRDefault="009C6E2F"/>
    <w:p w14:paraId="2470CBA2" w14:textId="77777777" w:rsidR="009C6E2F" w:rsidRDefault="007972BE">
      <w:hyperlink r:id="rId87" w:anchor="i9e023a7388204bdbacd6aa338988f838_7" w:history="1">
        <w:r>
          <w:rPr>
            <w:rStyle w:val="a5"/>
            <w:rFonts w:ascii="sans-serif" w:eastAsia="sans-serif" w:hAnsi="sans-serif" w:cs="sans-serif"/>
            <w:sz w:val="17"/>
            <w:szCs w:val="17"/>
          </w:rPr>
          <w:t>Table of Contents</w:t>
        </w:r>
      </w:hyperlink>
    </w:p>
    <w:p w14:paraId="2470CBA3" w14:textId="77777777" w:rsidR="009C6E2F" w:rsidRDefault="009C6E2F"/>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CBA7" w14:textId="77777777">
        <w:tc>
          <w:tcPr>
            <w:tcW w:w="50" w:type="pct"/>
            <w:shd w:val="clear" w:color="auto" w:fill="auto"/>
            <w:vAlign w:val="bottom"/>
          </w:tcPr>
          <w:p w14:paraId="2470CBA4" w14:textId="77777777" w:rsidR="009C6E2F" w:rsidRDefault="009C6E2F">
            <w:pPr>
              <w:rPr>
                <w:rFonts w:ascii="宋体"/>
              </w:rPr>
            </w:pPr>
          </w:p>
        </w:tc>
        <w:tc>
          <w:tcPr>
            <w:tcW w:w="4945" w:type="pct"/>
            <w:shd w:val="clear" w:color="auto" w:fill="auto"/>
            <w:vAlign w:val="bottom"/>
          </w:tcPr>
          <w:p w14:paraId="2470CBA5" w14:textId="77777777" w:rsidR="009C6E2F" w:rsidRDefault="009C6E2F">
            <w:pPr>
              <w:rPr>
                <w:rFonts w:ascii="宋体"/>
              </w:rPr>
            </w:pPr>
          </w:p>
        </w:tc>
        <w:tc>
          <w:tcPr>
            <w:tcW w:w="5" w:type="pct"/>
            <w:shd w:val="clear" w:color="auto" w:fill="auto"/>
            <w:vAlign w:val="bottom"/>
          </w:tcPr>
          <w:p w14:paraId="2470CBA6" w14:textId="77777777" w:rsidR="009C6E2F" w:rsidRDefault="009C6E2F">
            <w:pPr>
              <w:rPr>
                <w:rFonts w:ascii="宋体"/>
              </w:rPr>
            </w:pPr>
          </w:p>
        </w:tc>
      </w:tr>
      <w:tr w:rsidR="009C6E2F" w14:paraId="2470CBA9" w14:textId="77777777">
        <w:tc>
          <w:tcPr>
            <w:tcW w:w="0" w:type="auto"/>
            <w:gridSpan w:val="3"/>
            <w:shd w:val="clear" w:color="auto" w:fill="auto"/>
            <w:tcMar>
              <w:top w:w="40" w:type="dxa"/>
              <w:left w:w="20" w:type="dxa"/>
              <w:bottom w:w="40" w:type="dxa"/>
              <w:right w:w="20" w:type="dxa"/>
            </w:tcMar>
            <w:vAlign w:val="bottom"/>
          </w:tcPr>
          <w:p w14:paraId="2470CBA8" w14:textId="77777777" w:rsidR="009C6E2F" w:rsidRDefault="007972BE">
            <w:pPr>
              <w:textAlignment w:val="bottom"/>
            </w:pPr>
            <w:r>
              <w:rPr>
                <w:rFonts w:ascii="sans-serif" w:eastAsia="sans-serif" w:hAnsi="sans-serif" w:cs="sans-serif"/>
                <w:b/>
                <w:bCs/>
                <w:color w:val="E87722"/>
                <w:sz w:val="36"/>
                <w:szCs w:val="36"/>
              </w:rPr>
              <w:t>NOTE 10 — REVENUES</w:t>
            </w:r>
          </w:p>
        </w:tc>
      </w:tr>
    </w:tbl>
    <w:p w14:paraId="2470CBAA" w14:textId="77777777" w:rsidR="009C6E2F" w:rsidRDefault="007972BE">
      <w:pPr>
        <w:spacing w:before="240" w:after="120"/>
      </w:pPr>
      <w:r>
        <w:rPr>
          <w:rFonts w:ascii="sans-serif" w:eastAsia="sans-serif" w:hAnsi="sans-serif" w:cs="sans-serif"/>
          <w:b/>
          <w:bCs/>
          <w:color w:val="000000"/>
          <w:sz w:val="28"/>
          <w:szCs w:val="28"/>
        </w:rPr>
        <w:t>DISAGGREGATION OF REVENUES</w:t>
      </w:r>
    </w:p>
    <w:p w14:paraId="2470CBAB" w14:textId="77777777" w:rsidR="009C6E2F" w:rsidRDefault="007972BE">
      <w:pPr>
        <w:spacing w:before="120" w:after="120"/>
      </w:pPr>
      <w:r>
        <w:rPr>
          <w:rFonts w:ascii="Arial" w:eastAsia="宋体" w:hAnsi="Arial" w:cs="Arial"/>
          <w:color w:val="000000"/>
          <w:sz w:val="17"/>
          <w:szCs w:val="17"/>
        </w:rPr>
        <w:t xml:space="preserve">The following tables </w:t>
      </w:r>
      <w:r>
        <w:rPr>
          <w:rFonts w:ascii="Arial" w:eastAsia="宋体" w:hAnsi="Arial" w:cs="Arial"/>
          <w:color w:val="000000"/>
          <w:sz w:val="17"/>
          <w:szCs w:val="17"/>
        </w:rPr>
        <w:t>present the Company's Revenues disaggregated by reportable operating segment, major product line and distribution channel:</w:t>
      </w: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9C6E2F" w14:paraId="2470CBCA" w14:textId="77777777">
        <w:tc>
          <w:tcPr>
            <w:tcW w:w="50" w:type="pct"/>
            <w:shd w:val="clear" w:color="auto" w:fill="auto"/>
            <w:vAlign w:val="bottom"/>
          </w:tcPr>
          <w:p w14:paraId="2470CBAC" w14:textId="77777777" w:rsidR="009C6E2F" w:rsidRDefault="009C6E2F">
            <w:pPr>
              <w:rPr>
                <w:rFonts w:ascii="宋体"/>
              </w:rPr>
            </w:pPr>
          </w:p>
        </w:tc>
        <w:tc>
          <w:tcPr>
            <w:tcW w:w="1110" w:type="pct"/>
            <w:shd w:val="clear" w:color="auto" w:fill="auto"/>
            <w:vAlign w:val="bottom"/>
          </w:tcPr>
          <w:p w14:paraId="2470CBAD" w14:textId="77777777" w:rsidR="009C6E2F" w:rsidRDefault="009C6E2F">
            <w:pPr>
              <w:rPr>
                <w:rFonts w:ascii="宋体"/>
              </w:rPr>
            </w:pPr>
          </w:p>
        </w:tc>
        <w:tc>
          <w:tcPr>
            <w:tcW w:w="5" w:type="pct"/>
            <w:shd w:val="clear" w:color="auto" w:fill="auto"/>
            <w:vAlign w:val="bottom"/>
          </w:tcPr>
          <w:p w14:paraId="2470CBAE" w14:textId="77777777" w:rsidR="009C6E2F" w:rsidRDefault="009C6E2F">
            <w:pPr>
              <w:rPr>
                <w:rFonts w:ascii="宋体"/>
              </w:rPr>
            </w:pPr>
          </w:p>
        </w:tc>
        <w:tc>
          <w:tcPr>
            <w:tcW w:w="50" w:type="pct"/>
            <w:shd w:val="clear" w:color="auto" w:fill="auto"/>
            <w:vAlign w:val="bottom"/>
          </w:tcPr>
          <w:p w14:paraId="2470CBAF" w14:textId="77777777" w:rsidR="009C6E2F" w:rsidRDefault="009C6E2F">
            <w:pPr>
              <w:rPr>
                <w:rFonts w:ascii="宋体"/>
              </w:rPr>
            </w:pPr>
          </w:p>
        </w:tc>
        <w:tc>
          <w:tcPr>
            <w:tcW w:w="353" w:type="pct"/>
            <w:shd w:val="clear" w:color="auto" w:fill="auto"/>
            <w:vAlign w:val="bottom"/>
          </w:tcPr>
          <w:p w14:paraId="2470CBB0" w14:textId="77777777" w:rsidR="009C6E2F" w:rsidRDefault="009C6E2F">
            <w:pPr>
              <w:rPr>
                <w:rFonts w:ascii="宋体"/>
              </w:rPr>
            </w:pPr>
          </w:p>
        </w:tc>
        <w:tc>
          <w:tcPr>
            <w:tcW w:w="5" w:type="pct"/>
            <w:shd w:val="clear" w:color="auto" w:fill="auto"/>
            <w:vAlign w:val="bottom"/>
          </w:tcPr>
          <w:p w14:paraId="2470CBB1" w14:textId="77777777" w:rsidR="009C6E2F" w:rsidRDefault="009C6E2F">
            <w:pPr>
              <w:rPr>
                <w:rFonts w:ascii="宋体"/>
              </w:rPr>
            </w:pPr>
          </w:p>
        </w:tc>
        <w:tc>
          <w:tcPr>
            <w:tcW w:w="50" w:type="pct"/>
            <w:shd w:val="clear" w:color="auto" w:fill="auto"/>
            <w:vAlign w:val="bottom"/>
          </w:tcPr>
          <w:p w14:paraId="2470CBB2" w14:textId="77777777" w:rsidR="009C6E2F" w:rsidRDefault="009C6E2F">
            <w:pPr>
              <w:rPr>
                <w:rFonts w:ascii="宋体"/>
              </w:rPr>
            </w:pPr>
          </w:p>
        </w:tc>
        <w:tc>
          <w:tcPr>
            <w:tcW w:w="353" w:type="pct"/>
            <w:shd w:val="clear" w:color="auto" w:fill="auto"/>
            <w:vAlign w:val="bottom"/>
          </w:tcPr>
          <w:p w14:paraId="2470CBB3" w14:textId="77777777" w:rsidR="009C6E2F" w:rsidRDefault="009C6E2F">
            <w:pPr>
              <w:rPr>
                <w:rFonts w:ascii="宋体"/>
              </w:rPr>
            </w:pPr>
          </w:p>
        </w:tc>
        <w:tc>
          <w:tcPr>
            <w:tcW w:w="5" w:type="pct"/>
            <w:shd w:val="clear" w:color="auto" w:fill="auto"/>
            <w:vAlign w:val="bottom"/>
          </w:tcPr>
          <w:p w14:paraId="2470CBB4" w14:textId="77777777" w:rsidR="009C6E2F" w:rsidRDefault="009C6E2F">
            <w:pPr>
              <w:rPr>
                <w:rFonts w:ascii="宋体"/>
              </w:rPr>
            </w:pPr>
          </w:p>
        </w:tc>
        <w:tc>
          <w:tcPr>
            <w:tcW w:w="50" w:type="pct"/>
            <w:shd w:val="clear" w:color="auto" w:fill="auto"/>
            <w:vAlign w:val="bottom"/>
          </w:tcPr>
          <w:p w14:paraId="2470CBB5" w14:textId="77777777" w:rsidR="009C6E2F" w:rsidRDefault="009C6E2F">
            <w:pPr>
              <w:rPr>
                <w:rFonts w:ascii="宋体"/>
              </w:rPr>
            </w:pPr>
          </w:p>
        </w:tc>
        <w:tc>
          <w:tcPr>
            <w:tcW w:w="353" w:type="pct"/>
            <w:shd w:val="clear" w:color="auto" w:fill="auto"/>
            <w:vAlign w:val="bottom"/>
          </w:tcPr>
          <w:p w14:paraId="2470CBB6" w14:textId="77777777" w:rsidR="009C6E2F" w:rsidRDefault="009C6E2F">
            <w:pPr>
              <w:rPr>
                <w:rFonts w:ascii="宋体"/>
              </w:rPr>
            </w:pPr>
          </w:p>
        </w:tc>
        <w:tc>
          <w:tcPr>
            <w:tcW w:w="5" w:type="pct"/>
            <w:shd w:val="clear" w:color="auto" w:fill="auto"/>
            <w:vAlign w:val="bottom"/>
          </w:tcPr>
          <w:p w14:paraId="2470CBB7" w14:textId="77777777" w:rsidR="009C6E2F" w:rsidRDefault="009C6E2F">
            <w:pPr>
              <w:rPr>
                <w:rFonts w:ascii="宋体"/>
              </w:rPr>
            </w:pPr>
          </w:p>
        </w:tc>
        <w:tc>
          <w:tcPr>
            <w:tcW w:w="50" w:type="pct"/>
            <w:shd w:val="clear" w:color="auto" w:fill="auto"/>
            <w:vAlign w:val="bottom"/>
          </w:tcPr>
          <w:p w14:paraId="2470CBB8" w14:textId="77777777" w:rsidR="009C6E2F" w:rsidRDefault="009C6E2F">
            <w:pPr>
              <w:rPr>
                <w:rFonts w:ascii="宋体"/>
              </w:rPr>
            </w:pPr>
          </w:p>
        </w:tc>
        <w:tc>
          <w:tcPr>
            <w:tcW w:w="384" w:type="pct"/>
            <w:shd w:val="clear" w:color="auto" w:fill="auto"/>
            <w:vAlign w:val="bottom"/>
          </w:tcPr>
          <w:p w14:paraId="2470CBB9" w14:textId="77777777" w:rsidR="009C6E2F" w:rsidRDefault="009C6E2F">
            <w:pPr>
              <w:rPr>
                <w:rFonts w:ascii="宋体"/>
              </w:rPr>
            </w:pPr>
          </w:p>
        </w:tc>
        <w:tc>
          <w:tcPr>
            <w:tcW w:w="5" w:type="pct"/>
            <w:shd w:val="clear" w:color="auto" w:fill="auto"/>
            <w:vAlign w:val="bottom"/>
          </w:tcPr>
          <w:p w14:paraId="2470CBBA" w14:textId="77777777" w:rsidR="009C6E2F" w:rsidRDefault="009C6E2F">
            <w:pPr>
              <w:rPr>
                <w:rFonts w:ascii="宋体"/>
              </w:rPr>
            </w:pPr>
          </w:p>
        </w:tc>
        <w:tc>
          <w:tcPr>
            <w:tcW w:w="50" w:type="pct"/>
            <w:shd w:val="clear" w:color="auto" w:fill="auto"/>
            <w:vAlign w:val="bottom"/>
          </w:tcPr>
          <w:p w14:paraId="2470CBBB" w14:textId="77777777" w:rsidR="009C6E2F" w:rsidRDefault="009C6E2F">
            <w:pPr>
              <w:rPr>
                <w:rFonts w:ascii="宋体"/>
              </w:rPr>
            </w:pPr>
          </w:p>
        </w:tc>
        <w:tc>
          <w:tcPr>
            <w:tcW w:w="369" w:type="pct"/>
            <w:shd w:val="clear" w:color="auto" w:fill="auto"/>
            <w:vAlign w:val="bottom"/>
          </w:tcPr>
          <w:p w14:paraId="2470CBBC" w14:textId="77777777" w:rsidR="009C6E2F" w:rsidRDefault="009C6E2F">
            <w:pPr>
              <w:rPr>
                <w:rFonts w:ascii="宋体"/>
              </w:rPr>
            </w:pPr>
          </w:p>
        </w:tc>
        <w:tc>
          <w:tcPr>
            <w:tcW w:w="5" w:type="pct"/>
            <w:shd w:val="clear" w:color="auto" w:fill="auto"/>
            <w:vAlign w:val="bottom"/>
          </w:tcPr>
          <w:p w14:paraId="2470CBBD" w14:textId="77777777" w:rsidR="009C6E2F" w:rsidRDefault="009C6E2F">
            <w:pPr>
              <w:rPr>
                <w:rFonts w:ascii="宋体"/>
              </w:rPr>
            </w:pPr>
          </w:p>
        </w:tc>
        <w:tc>
          <w:tcPr>
            <w:tcW w:w="50" w:type="pct"/>
            <w:shd w:val="clear" w:color="auto" w:fill="auto"/>
            <w:vAlign w:val="bottom"/>
          </w:tcPr>
          <w:p w14:paraId="2470CBBE" w14:textId="77777777" w:rsidR="009C6E2F" w:rsidRDefault="009C6E2F">
            <w:pPr>
              <w:rPr>
                <w:rFonts w:ascii="宋体"/>
              </w:rPr>
            </w:pPr>
          </w:p>
        </w:tc>
        <w:tc>
          <w:tcPr>
            <w:tcW w:w="353" w:type="pct"/>
            <w:shd w:val="clear" w:color="auto" w:fill="auto"/>
            <w:vAlign w:val="bottom"/>
          </w:tcPr>
          <w:p w14:paraId="2470CBBF" w14:textId="77777777" w:rsidR="009C6E2F" w:rsidRDefault="009C6E2F">
            <w:pPr>
              <w:rPr>
                <w:rFonts w:ascii="宋体"/>
              </w:rPr>
            </w:pPr>
          </w:p>
        </w:tc>
        <w:tc>
          <w:tcPr>
            <w:tcW w:w="5" w:type="pct"/>
            <w:shd w:val="clear" w:color="auto" w:fill="auto"/>
            <w:vAlign w:val="bottom"/>
          </w:tcPr>
          <w:p w14:paraId="2470CBC0" w14:textId="77777777" w:rsidR="009C6E2F" w:rsidRDefault="009C6E2F">
            <w:pPr>
              <w:rPr>
                <w:rFonts w:ascii="宋体"/>
              </w:rPr>
            </w:pPr>
          </w:p>
        </w:tc>
        <w:tc>
          <w:tcPr>
            <w:tcW w:w="50" w:type="pct"/>
            <w:shd w:val="clear" w:color="auto" w:fill="auto"/>
            <w:vAlign w:val="bottom"/>
          </w:tcPr>
          <w:p w14:paraId="2470CBC1" w14:textId="77777777" w:rsidR="009C6E2F" w:rsidRDefault="009C6E2F">
            <w:pPr>
              <w:rPr>
                <w:rFonts w:ascii="宋体"/>
              </w:rPr>
            </w:pPr>
          </w:p>
        </w:tc>
        <w:tc>
          <w:tcPr>
            <w:tcW w:w="384" w:type="pct"/>
            <w:shd w:val="clear" w:color="auto" w:fill="auto"/>
            <w:vAlign w:val="bottom"/>
          </w:tcPr>
          <w:p w14:paraId="2470CBC2" w14:textId="77777777" w:rsidR="009C6E2F" w:rsidRDefault="009C6E2F">
            <w:pPr>
              <w:rPr>
                <w:rFonts w:ascii="宋体"/>
              </w:rPr>
            </w:pPr>
          </w:p>
        </w:tc>
        <w:tc>
          <w:tcPr>
            <w:tcW w:w="5" w:type="pct"/>
            <w:shd w:val="clear" w:color="auto" w:fill="auto"/>
            <w:vAlign w:val="bottom"/>
          </w:tcPr>
          <w:p w14:paraId="2470CBC3" w14:textId="77777777" w:rsidR="009C6E2F" w:rsidRDefault="009C6E2F">
            <w:pPr>
              <w:rPr>
                <w:rFonts w:ascii="宋体"/>
              </w:rPr>
            </w:pPr>
          </w:p>
        </w:tc>
        <w:tc>
          <w:tcPr>
            <w:tcW w:w="50" w:type="pct"/>
            <w:shd w:val="clear" w:color="auto" w:fill="auto"/>
            <w:vAlign w:val="bottom"/>
          </w:tcPr>
          <w:p w14:paraId="2470CBC4" w14:textId="77777777" w:rsidR="009C6E2F" w:rsidRDefault="009C6E2F">
            <w:pPr>
              <w:rPr>
                <w:rFonts w:ascii="宋体"/>
              </w:rPr>
            </w:pPr>
          </w:p>
        </w:tc>
        <w:tc>
          <w:tcPr>
            <w:tcW w:w="431" w:type="pct"/>
            <w:shd w:val="clear" w:color="auto" w:fill="auto"/>
            <w:vAlign w:val="bottom"/>
          </w:tcPr>
          <w:p w14:paraId="2470CBC5" w14:textId="77777777" w:rsidR="009C6E2F" w:rsidRDefault="009C6E2F">
            <w:pPr>
              <w:rPr>
                <w:rFonts w:ascii="宋体"/>
              </w:rPr>
            </w:pPr>
          </w:p>
        </w:tc>
        <w:tc>
          <w:tcPr>
            <w:tcW w:w="5" w:type="pct"/>
            <w:shd w:val="clear" w:color="auto" w:fill="auto"/>
            <w:vAlign w:val="bottom"/>
          </w:tcPr>
          <w:p w14:paraId="2470CBC6" w14:textId="77777777" w:rsidR="009C6E2F" w:rsidRDefault="009C6E2F">
            <w:pPr>
              <w:rPr>
                <w:rFonts w:ascii="宋体"/>
              </w:rPr>
            </w:pPr>
          </w:p>
        </w:tc>
        <w:tc>
          <w:tcPr>
            <w:tcW w:w="50" w:type="pct"/>
            <w:shd w:val="clear" w:color="auto" w:fill="auto"/>
            <w:vAlign w:val="bottom"/>
          </w:tcPr>
          <w:p w14:paraId="2470CBC7" w14:textId="77777777" w:rsidR="009C6E2F" w:rsidRDefault="009C6E2F">
            <w:pPr>
              <w:rPr>
                <w:rFonts w:ascii="宋体"/>
              </w:rPr>
            </w:pPr>
          </w:p>
        </w:tc>
        <w:tc>
          <w:tcPr>
            <w:tcW w:w="354" w:type="pct"/>
            <w:shd w:val="clear" w:color="auto" w:fill="auto"/>
            <w:vAlign w:val="bottom"/>
          </w:tcPr>
          <w:p w14:paraId="2470CBC8" w14:textId="77777777" w:rsidR="009C6E2F" w:rsidRDefault="009C6E2F">
            <w:pPr>
              <w:rPr>
                <w:rFonts w:ascii="宋体"/>
              </w:rPr>
            </w:pPr>
          </w:p>
        </w:tc>
        <w:tc>
          <w:tcPr>
            <w:tcW w:w="5" w:type="pct"/>
            <w:shd w:val="clear" w:color="auto" w:fill="auto"/>
            <w:vAlign w:val="bottom"/>
          </w:tcPr>
          <w:p w14:paraId="2470CBC9" w14:textId="77777777" w:rsidR="009C6E2F" w:rsidRDefault="009C6E2F">
            <w:pPr>
              <w:rPr>
                <w:rFonts w:ascii="宋体"/>
              </w:rPr>
            </w:pPr>
          </w:p>
        </w:tc>
      </w:tr>
      <w:tr w:rsidR="009C6E2F" w14:paraId="2470CBCD" w14:textId="77777777">
        <w:tc>
          <w:tcPr>
            <w:tcW w:w="0" w:type="auto"/>
            <w:gridSpan w:val="3"/>
            <w:shd w:val="clear" w:color="auto" w:fill="auto"/>
            <w:tcMar>
              <w:top w:w="0" w:type="dxa"/>
              <w:left w:w="20" w:type="dxa"/>
              <w:bottom w:w="0" w:type="dxa"/>
              <w:right w:w="20" w:type="dxa"/>
            </w:tcMar>
            <w:vAlign w:val="bottom"/>
          </w:tcPr>
          <w:p w14:paraId="2470CBCB" w14:textId="77777777" w:rsidR="009C6E2F" w:rsidRDefault="009C6E2F">
            <w:pPr>
              <w:rPr>
                <w:rFonts w:ascii="宋体"/>
              </w:rPr>
            </w:pPr>
          </w:p>
        </w:tc>
        <w:tc>
          <w:tcPr>
            <w:tcW w:w="0" w:type="auto"/>
            <w:gridSpan w:val="27"/>
            <w:shd w:val="clear" w:color="auto" w:fill="auto"/>
            <w:tcMar>
              <w:top w:w="40" w:type="dxa"/>
              <w:left w:w="20" w:type="dxa"/>
              <w:bottom w:w="40" w:type="dxa"/>
              <w:right w:w="20" w:type="dxa"/>
            </w:tcMar>
            <w:vAlign w:val="bottom"/>
          </w:tcPr>
          <w:p w14:paraId="2470CBCC" w14:textId="77777777" w:rsidR="009C6E2F" w:rsidRDefault="007972BE">
            <w:pPr>
              <w:jc w:val="center"/>
              <w:textAlignment w:val="bottom"/>
            </w:pPr>
            <w:r>
              <w:rPr>
                <w:rFonts w:ascii="sans-serif" w:eastAsia="sans-serif" w:hAnsi="sans-serif" w:cs="sans-serif"/>
                <w:b/>
                <w:bCs/>
                <w:color w:val="000000"/>
                <w:sz w:val="17"/>
                <w:szCs w:val="17"/>
              </w:rPr>
              <w:t>THREE MONTHS ENDED NOVEMBER 30, 2021</w:t>
            </w:r>
          </w:p>
        </w:tc>
      </w:tr>
      <w:tr w:rsidR="009C6E2F" w14:paraId="2470CBD8" w14:textId="77777777">
        <w:tc>
          <w:tcPr>
            <w:tcW w:w="0" w:type="auto"/>
            <w:gridSpan w:val="3"/>
            <w:shd w:val="clear" w:color="auto" w:fill="auto"/>
            <w:tcMar>
              <w:top w:w="40" w:type="dxa"/>
              <w:left w:w="20" w:type="dxa"/>
              <w:bottom w:w="40" w:type="dxa"/>
              <w:right w:w="20" w:type="dxa"/>
            </w:tcMar>
            <w:vAlign w:val="bottom"/>
          </w:tcPr>
          <w:p w14:paraId="2470CBCE"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CF" w14:textId="77777777" w:rsidR="009C6E2F" w:rsidRDefault="007972BE">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0" w14:textId="77777777" w:rsidR="009C6E2F" w:rsidRDefault="007972BE">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1" w14:textId="77777777" w:rsidR="009C6E2F" w:rsidRDefault="007972BE">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2" w14:textId="77777777" w:rsidR="009C6E2F" w:rsidRDefault="007972BE">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3" w14:textId="77777777" w:rsidR="009C6E2F" w:rsidRDefault="007972BE">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4" w14:textId="77777777" w:rsidR="009C6E2F" w:rsidRDefault="007972BE">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5" w14:textId="77777777" w:rsidR="009C6E2F" w:rsidRDefault="007972BE">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6" w14:textId="77777777" w:rsidR="009C6E2F" w:rsidRDefault="007972BE">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7" w14:textId="77777777" w:rsidR="009C6E2F" w:rsidRDefault="007972BE">
            <w:pPr>
              <w:jc w:val="right"/>
              <w:textAlignment w:val="bottom"/>
            </w:pPr>
            <w:r>
              <w:rPr>
                <w:rFonts w:ascii="sans-serif" w:eastAsia="sans-serif" w:hAnsi="sans-serif" w:cs="sans-serif"/>
                <w:b/>
                <w:bCs/>
                <w:color w:val="000000"/>
                <w:sz w:val="17"/>
                <w:szCs w:val="17"/>
              </w:rPr>
              <w:t>TOTAL NIKE, INC.</w:t>
            </w:r>
          </w:p>
        </w:tc>
      </w:tr>
      <w:tr w:rsidR="009C6E2F" w14:paraId="2470CBE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BD9"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DA"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DB"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DC"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DD"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DE"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DF"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E0"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E1"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BE2" w14:textId="77777777" w:rsidR="009C6E2F" w:rsidRDefault="009C6E2F">
            <w:pPr>
              <w:rPr>
                <w:rFonts w:ascii="宋体"/>
              </w:rPr>
            </w:pPr>
          </w:p>
        </w:tc>
      </w:tr>
      <w:tr w:rsidR="009C6E2F" w14:paraId="2470CC0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BE4"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BE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E6" w14:textId="77777777" w:rsidR="009C6E2F" w:rsidRDefault="007972BE">
            <w:pPr>
              <w:jc w:val="right"/>
              <w:textAlignment w:val="bottom"/>
            </w:pPr>
            <w:r>
              <w:rPr>
                <w:rFonts w:ascii="Arial" w:eastAsia="宋体" w:hAnsi="Arial" w:cs="Arial"/>
                <w:color w:val="000000"/>
                <w:sz w:val="17"/>
                <w:szCs w:val="17"/>
              </w:rPr>
              <w:t>2,852 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E7"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E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E9" w14:textId="77777777" w:rsidR="009C6E2F" w:rsidRDefault="007972BE">
            <w:pPr>
              <w:jc w:val="right"/>
              <w:textAlignment w:val="bottom"/>
            </w:pPr>
            <w:r>
              <w:rPr>
                <w:rFonts w:ascii="Arial" w:eastAsia="宋体" w:hAnsi="Arial" w:cs="Arial"/>
                <w:color w:val="000000"/>
                <w:sz w:val="17"/>
                <w:szCs w:val="17"/>
              </w:rPr>
              <w:t>1,806 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EA"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E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EC" w14:textId="77777777" w:rsidR="009C6E2F" w:rsidRDefault="007972BE">
            <w:pPr>
              <w:jc w:val="right"/>
              <w:textAlignment w:val="bottom"/>
            </w:pPr>
            <w:r>
              <w:rPr>
                <w:rFonts w:ascii="Arial" w:eastAsia="宋体" w:hAnsi="Arial" w:cs="Arial"/>
                <w:color w:val="000000"/>
                <w:sz w:val="17"/>
                <w:szCs w:val="17"/>
              </w:rPr>
              <w:t>1,235 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ED"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E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EF" w14:textId="77777777" w:rsidR="009C6E2F" w:rsidRDefault="007972BE">
            <w:pPr>
              <w:jc w:val="right"/>
              <w:textAlignment w:val="bottom"/>
            </w:pPr>
            <w:r>
              <w:rPr>
                <w:rFonts w:ascii="Arial" w:eastAsia="宋体" w:hAnsi="Arial" w:cs="Arial"/>
                <w:color w:val="000000"/>
                <w:sz w:val="17"/>
                <w:szCs w:val="17"/>
              </w:rPr>
              <w:t>887 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F0"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F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F2"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F3"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F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F5" w14:textId="77777777" w:rsidR="009C6E2F" w:rsidRDefault="007972BE">
            <w:pPr>
              <w:jc w:val="right"/>
              <w:textAlignment w:val="bottom"/>
            </w:pPr>
            <w:r>
              <w:rPr>
                <w:rFonts w:ascii="Arial" w:eastAsia="宋体" w:hAnsi="Arial" w:cs="Arial"/>
                <w:color w:val="000000"/>
                <w:sz w:val="17"/>
                <w:szCs w:val="17"/>
              </w:rPr>
              <w:t>6,780 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F6"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F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F8" w14:textId="77777777" w:rsidR="009C6E2F" w:rsidRDefault="007972BE">
            <w:pPr>
              <w:jc w:val="right"/>
              <w:textAlignment w:val="bottom"/>
            </w:pPr>
            <w:r>
              <w:rPr>
                <w:rFonts w:ascii="Arial" w:eastAsia="宋体" w:hAnsi="Arial" w:cs="Arial"/>
                <w:color w:val="000000"/>
                <w:sz w:val="17"/>
                <w:szCs w:val="17"/>
              </w:rPr>
              <w:t>485 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F9"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F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F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FC"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BF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BFE" w14:textId="77777777" w:rsidR="009C6E2F" w:rsidRDefault="007972BE">
            <w:pPr>
              <w:jc w:val="right"/>
              <w:textAlignment w:val="bottom"/>
            </w:pPr>
            <w:r>
              <w:rPr>
                <w:rFonts w:ascii="Arial" w:eastAsia="宋体" w:hAnsi="Arial" w:cs="Arial"/>
                <w:color w:val="000000"/>
                <w:sz w:val="17"/>
                <w:szCs w:val="17"/>
              </w:rPr>
              <w:t>7,265 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BFF" w14:textId="77777777" w:rsidR="009C6E2F" w:rsidRDefault="009C6E2F">
            <w:pPr>
              <w:jc w:val="right"/>
              <w:rPr>
                <w:rFonts w:ascii="宋体"/>
              </w:rPr>
            </w:pPr>
          </w:p>
        </w:tc>
      </w:tr>
      <w:tr w:rsidR="009C6E2F" w14:paraId="2470CC1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C01"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02" w14:textId="77777777" w:rsidR="009C6E2F" w:rsidRDefault="007972BE">
            <w:pPr>
              <w:jc w:val="right"/>
              <w:textAlignment w:val="bottom"/>
            </w:pPr>
            <w:r>
              <w:rPr>
                <w:rFonts w:ascii="Arial" w:eastAsia="宋体" w:hAnsi="Arial" w:cs="Arial"/>
                <w:color w:val="000000"/>
                <w:sz w:val="17"/>
                <w:szCs w:val="17"/>
              </w:rPr>
              <w:t>1,480 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0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04" w14:textId="77777777" w:rsidR="009C6E2F" w:rsidRDefault="007972BE">
            <w:pPr>
              <w:jc w:val="right"/>
              <w:textAlignment w:val="bottom"/>
            </w:pPr>
            <w:r>
              <w:rPr>
                <w:rFonts w:ascii="Arial" w:eastAsia="宋体" w:hAnsi="Arial" w:cs="Arial"/>
                <w:color w:val="000000"/>
                <w:sz w:val="17"/>
                <w:szCs w:val="17"/>
              </w:rPr>
              <w:t>1,202 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0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06" w14:textId="77777777" w:rsidR="009C6E2F" w:rsidRDefault="007972BE">
            <w:pPr>
              <w:jc w:val="right"/>
              <w:textAlignment w:val="bottom"/>
            </w:pPr>
            <w:r>
              <w:rPr>
                <w:rFonts w:ascii="Arial" w:eastAsia="宋体" w:hAnsi="Arial" w:cs="Arial"/>
                <w:color w:val="000000"/>
                <w:sz w:val="17"/>
                <w:szCs w:val="17"/>
              </w:rPr>
              <w:t>564 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07"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08" w14:textId="77777777" w:rsidR="009C6E2F" w:rsidRDefault="007972BE">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09"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0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0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0C" w14:textId="77777777" w:rsidR="009C6E2F" w:rsidRDefault="007972BE">
            <w:pPr>
              <w:jc w:val="right"/>
              <w:textAlignment w:val="bottom"/>
            </w:pPr>
            <w:r>
              <w:rPr>
                <w:rFonts w:ascii="Arial" w:eastAsia="宋体" w:hAnsi="Arial" w:cs="Arial"/>
                <w:color w:val="000000"/>
                <w:sz w:val="17"/>
                <w:szCs w:val="17"/>
              </w:rPr>
              <w:t>3,648 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0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0E" w14:textId="77777777" w:rsidR="009C6E2F" w:rsidRDefault="007972BE">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0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1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1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12" w14:textId="77777777" w:rsidR="009C6E2F" w:rsidRDefault="007972BE">
            <w:pPr>
              <w:jc w:val="right"/>
              <w:textAlignment w:val="bottom"/>
            </w:pPr>
            <w:r>
              <w:rPr>
                <w:rFonts w:ascii="Arial" w:eastAsia="宋体" w:hAnsi="Arial" w:cs="Arial"/>
                <w:color w:val="000000"/>
                <w:sz w:val="17"/>
                <w:szCs w:val="17"/>
              </w:rPr>
              <w:t>3,682 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13" w14:textId="77777777" w:rsidR="009C6E2F" w:rsidRDefault="009C6E2F">
            <w:pPr>
              <w:jc w:val="right"/>
              <w:rPr>
                <w:rFonts w:ascii="宋体"/>
              </w:rPr>
            </w:pPr>
          </w:p>
        </w:tc>
      </w:tr>
      <w:tr w:rsidR="009C6E2F" w14:paraId="2470CC2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C15"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16" w14:textId="77777777" w:rsidR="009C6E2F" w:rsidRDefault="007972BE">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17"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18" w14:textId="77777777" w:rsidR="009C6E2F" w:rsidRDefault="007972BE">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19"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1A" w14:textId="77777777" w:rsidR="009C6E2F" w:rsidRDefault="007972BE">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1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1C" w14:textId="77777777" w:rsidR="009C6E2F" w:rsidRDefault="007972BE">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1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1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1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20" w14:textId="77777777" w:rsidR="009C6E2F" w:rsidRDefault="007972BE">
            <w:pPr>
              <w:jc w:val="right"/>
              <w:textAlignment w:val="bottom"/>
            </w:pPr>
            <w:r>
              <w:rPr>
                <w:rFonts w:ascii="Arial" w:eastAsia="宋体" w:hAnsi="Arial" w:cs="Arial"/>
                <w:color w:val="000000"/>
                <w:sz w:val="17"/>
                <w:szCs w:val="17"/>
              </w:rPr>
              <w:t>382 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2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22"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2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2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2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26" w14:textId="77777777" w:rsidR="009C6E2F" w:rsidRDefault="007972BE">
            <w:pPr>
              <w:jc w:val="right"/>
              <w:textAlignment w:val="bottom"/>
            </w:pPr>
            <w:r>
              <w:rPr>
                <w:rFonts w:ascii="Arial" w:eastAsia="宋体" w:hAnsi="Arial" w:cs="Arial"/>
                <w:color w:val="000000"/>
                <w:sz w:val="17"/>
                <w:szCs w:val="17"/>
              </w:rPr>
              <w:t>387 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27" w14:textId="77777777" w:rsidR="009C6E2F" w:rsidRDefault="009C6E2F">
            <w:pPr>
              <w:jc w:val="right"/>
              <w:rPr>
                <w:rFonts w:ascii="宋体"/>
              </w:rPr>
            </w:pPr>
          </w:p>
        </w:tc>
      </w:tr>
      <w:tr w:rsidR="009C6E2F" w14:paraId="2470CC3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C29"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2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2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2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2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2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2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3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3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32"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3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34"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3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36" w14:textId="77777777" w:rsidR="009C6E2F" w:rsidRDefault="007972BE">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37"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38" w14:textId="77777777" w:rsidR="009C6E2F" w:rsidRDefault="007972BE">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39"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3A" w14:textId="77777777" w:rsidR="009C6E2F" w:rsidRDefault="007972BE">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3B" w14:textId="77777777" w:rsidR="009C6E2F" w:rsidRDefault="009C6E2F">
            <w:pPr>
              <w:jc w:val="right"/>
              <w:rPr>
                <w:rFonts w:ascii="宋体"/>
              </w:rPr>
            </w:pPr>
          </w:p>
        </w:tc>
      </w:tr>
      <w:tr w:rsidR="009C6E2F" w14:paraId="2470CC5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3D"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C3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3F" w14:textId="77777777" w:rsidR="009C6E2F" w:rsidRDefault="007972BE">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40"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4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42" w14:textId="77777777" w:rsidR="009C6E2F" w:rsidRDefault="007972BE">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43"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4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45" w14:textId="77777777" w:rsidR="009C6E2F" w:rsidRDefault="007972BE">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46"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4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48" w14:textId="77777777" w:rsidR="009C6E2F" w:rsidRDefault="007972BE">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49"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4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4B"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4C"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4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4E" w14:textId="77777777" w:rsidR="009C6E2F" w:rsidRDefault="007972BE">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4F"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5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51" w14:textId="77777777" w:rsidR="009C6E2F" w:rsidRDefault="007972BE">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52"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5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54" w14:textId="77777777" w:rsidR="009C6E2F" w:rsidRDefault="007972BE">
            <w:pPr>
              <w:jc w:val="right"/>
              <w:textAlignment w:val="bottom"/>
            </w:pPr>
            <w:r>
              <w:rPr>
                <w:rFonts w:ascii="Arial" w:eastAsia="宋体" w:hAnsi="Arial" w:cs="Arial"/>
                <w:b/>
                <w:bCs/>
                <w:color w:val="000000"/>
                <w:sz w:val="17"/>
                <w:szCs w:val="17"/>
              </w:rPr>
              <w:t>(16)</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55"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C5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C57" w14:textId="77777777" w:rsidR="009C6E2F" w:rsidRDefault="007972BE">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C58" w14:textId="77777777" w:rsidR="009C6E2F" w:rsidRDefault="009C6E2F">
            <w:pPr>
              <w:jc w:val="right"/>
              <w:rPr>
                <w:rFonts w:ascii="宋体"/>
              </w:rPr>
            </w:pPr>
          </w:p>
        </w:tc>
      </w:tr>
      <w:tr w:rsidR="009C6E2F" w14:paraId="2470CC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5A"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5B"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5C"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5D"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5E"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5F"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60"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61"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62"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C63" w14:textId="77777777" w:rsidR="009C6E2F" w:rsidRDefault="009C6E2F">
            <w:pPr>
              <w:rPr>
                <w:rFonts w:ascii="宋体"/>
              </w:rPr>
            </w:pPr>
          </w:p>
        </w:tc>
      </w:tr>
      <w:tr w:rsidR="009C6E2F" w14:paraId="2470CC8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C65"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C6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67" w14:textId="77777777" w:rsidR="009C6E2F" w:rsidRDefault="007972BE">
            <w:pPr>
              <w:jc w:val="right"/>
              <w:textAlignment w:val="bottom"/>
            </w:pPr>
            <w:r>
              <w:rPr>
                <w:rFonts w:ascii="Arial" w:eastAsia="宋体" w:hAnsi="Arial" w:cs="Arial"/>
                <w:color w:val="000000"/>
                <w:sz w:val="17"/>
                <w:szCs w:val="17"/>
              </w:rPr>
              <w:t>2,327 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68"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6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6A" w14:textId="77777777" w:rsidR="009C6E2F" w:rsidRDefault="007972BE">
            <w:pPr>
              <w:jc w:val="right"/>
              <w:textAlignment w:val="bottom"/>
            </w:pPr>
            <w:r>
              <w:rPr>
                <w:rFonts w:ascii="Arial" w:eastAsia="宋体" w:hAnsi="Arial" w:cs="Arial"/>
                <w:color w:val="000000"/>
                <w:sz w:val="17"/>
                <w:szCs w:val="17"/>
              </w:rPr>
              <w:t>2,112 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6B"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6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6D" w14:textId="77777777" w:rsidR="009C6E2F" w:rsidRDefault="007972BE">
            <w:pPr>
              <w:jc w:val="right"/>
              <w:textAlignment w:val="bottom"/>
            </w:pPr>
            <w:r>
              <w:rPr>
                <w:rFonts w:ascii="Arial" w:eastAsia="宋体" w:hAnsi="Arial" w:cs="Arial"/>
                <w:color w:val="000000"/>
                <w:sz w:val="17"/>
                <w:szCs w:val="17"/>
              </w:rPr>
              <w:t>896 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6E"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6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70" w14:textId="77777777" w:rsidR="009C6E2F" w:rsidRDefault="007972BE">
            <w:pPr>
              <w:jc w:val="right"/>
              <w:textAlignment w:val="bottom"/>
            </w:pPr>
            <w:r>
              <w:rPr>
                <w:rFonts w:ascii="Arial" w:eastAsia="宋体" w:hAnsi="Arial" w:cs="Arial"/>
                <w:color w:val="000000"/>
                <w:sz w:val="17"/>
                <w:szCs w:val="17"/>
              </w:rPr>
              <w:t>784 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71"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7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73"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74"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7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76" w14:textId="77777777" w:rsidR="009C6E2F" w:rsidRDefault="007972BE">
            <w:pPr>
              <w:jc w:val="right"/>
              <w:textAlignment w:val="bottom"/>
            </w:pPr>
            <w:r>
              <w:rPr>
                <w:rFonts w:ascii="Arial" w:eastAsia="宋体" w:hAnsi="Arial" w:cs="Arial"/>
                <w:color w:val="000000"/>
                <w:sz w:val="17"/>
                <w:szCs w:val="17"/>
              </w:rPr>
              <w:t>6,119 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77"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7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79" w14:textId="77777777" w:rsidR="009C6E2F" w:rsidRDefault="007972BE">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7A"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7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7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7D"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C7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C7F" w14:textId="77777777" w:rsidR="009C6E2F" w:rsidRDefault="007972BE">
            <w:pPr>
              <w:jc w:val="right"/>
              <w:textAlignment w:val="bottom"/>
            </w:pPr>
            <w:r>
              <w:rPr>
                <w:rFonts w:ascii="Arial" w:eastAsia="宋体" w:hAnsi="Arial" w:cs="Arial"/>
                <w:color w:val="000000"/>
                <w:sz w:val="17"/>
                <w:szCs w:val="17"/>
              </w:rPr>
              <w:t>6,422 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80" w14:textId="77777777" w:rsidR="009C6E2F" w:rsidRDefault="009C6E2F">
            <w:pPr>
              <w:jc w:val="right"/>
              <w:rPr>
                <w:rFonts w:ascii="宋体"/>
              </w:rPr>
            </w:pPr>
          </w:p>
        </w:tc>
      </w:tr>
      <w:tr w:rsidR="009C6E2F" w14:paraId="2470CC9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C82" w14:textId="77777777" w:rsidR="009C6E2F" w:rsidRDefault="007972BE">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83" w14:textId="77777777" w:rsidR="009C6E2F" w:rsidRDefault="007972BE">
            <w:pPr>
              <w:jc w:val="right"/>
              <w:textAlignment w:val="bottom"/>
            </w:pPr>
            <w:r>
              <w:rPr>
                <w:rFonts w:ascii="Arial" w:eastAsia="宋体" w:hAnsi="Arial" w:cs="Arial"/>
                <w:color w:val="000000"/>
                <w:sz w:val="17"/>
                <w:szCs w:val="17"/>
              </w:rPr>
              <w:t>2,150 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84"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85" w14:textId="77777777" w:rsidR="009C6E2F" w:rsidRDefault="007972BE">
            <w:pPr>
              <w:jc w:val="right"/>
              <w:textAlignment w:val="bottom"/>
            </w:pPr>
            <w:r>
              <w:rPr>
                <w:rFonts w:ascii="Arial" w:eastAsia="宋体" w:hAnsi="Arial" w:cs="Arial"/>
                <w:color w:val="000000"/>
                <w:sz w:val="17"/>
                <w:szCs w:val="17"/>
              </w:rPr>
              <w:t>1,030 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86"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87" w14:textId="77777777" w:rsidR="009C6E2F" w:rsidRDefault="007972BE">
            <w:pPr>
              <w:jc w:val="right"/>
              <w:textAlignment w:val="bottom"/>
            </w:pPr>
            <w:r>
              <w:rPr>
                <w:rFonts w:ascii="Arial" w:eastAsia="宋体" w:hAnsi="Arial" w:cs="Arial"/>
                <w:color w:val="000000"/>
                <w:sz w:val="17"/>
                <w:szCs w:val="17"/>
              </w:rPr>
              <w:t>948 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8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89" w14:textId="77777777" w:rsidR="009C6E2F" w:rsidRDefault="007972BE">
            <w:pPr>
              <w:jc w:val="right"/>
              <w:textAlignment w:val="bottom"/>
            </w:pPr>
            <w:r>
              <w:rPr>
                <w:rFonts w:ascii="Arial" w:eastAsia="宋体" w:hAnsi="Arial" w:cs="Arial"/>
                <w:color w:val="000000"/>
                <w:sz w:val="17"/>
                <w:szCs w:val="17"/>
              </w:rPr>
              <w:t>563 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8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8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8C"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8D" w14:textId="77777777" w:rsidR="009C6E2F" w:rsidRDefault="007972BE">
            <w:pPr>
              <w:jc w:val="right"/>
              <w:textAlignment w:val="bottom"/>
            </w:pPr>
            <w:r>
              <w:rPr>
                <w:rFonts w:ascii="Arial" w:eastAsia="宋体" w:hAnsi="Arial" w:cs="Arial"/>
                <w:color w:val="000000"/>
                <w:sz w:val="17"/>
                <w:szCs w:val="17"/>
              </w:rPr>
              <w:t>4,691 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8E"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8F" w14:textId="77777777" w:rsidR="009C6E2F" w:rsidRDefault="007972BE">
            <w:pPr>
              <w:jc w:val="right"/>
              <w:textAlignment w:val="bottom"/>
            </w:pPr>
            <w:r>
              <w:rPr>
                <w:rFonts w:ascii="Arial" w:eastAsia="宋体" w:hAnsi="Arial" w:cs="Arial"/>
                <w:color w:val="000000"/>
                <w:sz w:val="17"/>
                <w:szCs w:val="17"/>
              </w:rPr>
              <w:t>221 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9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91"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92"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93" w14:textId="77777777" w:rsidR="009C6E2F" w:rsidRDefault="007972BE">
            <w:pPr>
              <w:jc w:val="right"/>
              <w:textAlignment w:val="bottom"/>
            </w:pPr>
            <w:r>
              <w:rPr>
                <w:rFonts w:ascii="Arial" w:eastAsia="宋体" w:hAnsi="Arial" w:cs="Arial"/>
                <w:color w:val="000000"/>
                <w:sz w:val="17"/>
                <w:szCs w:val="17"/>
              </w:rPr>
              <w:t>4,912 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94" w14:textId="77777777" w:rsidR="009C6E2F" w:rsidRDefault="009C6E2F">
            <w:pPr>
              <w:jc w:val="right"/>
              <w:rPr>
                <w:rFonts w:ascii="宋体"/>
              </w:rPr>
            </w:pPr>
          </w:p>
        </w:tc>
      </w:tr>
      <w:tr w:rsidR="009C6E2F" w14:paraId="2470CCA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C96"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9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9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9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9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9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9C"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9D"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9E"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9F"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A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A1"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A2"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A3" w14:textId="77777777" w:rsidR="009C6E2F" w:rsidRDefault="007972BE">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A4"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A5" w14:textId="77777777" w:rsidR="009C6E2F" w:rsidRDefault="007972BE">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A6"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CA7" w14:textId="77777777" w:rsidR="009C6E2F" w:rsidRDefault="007972BE">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CA8" w14:textId="77777777" w:rsidR="009C6E2F" w:rsidRDefault="009C6E2F">
            <w:pPr>
              <w:jc w:val="right"/>
              <w:rPr>
                <w:rFonts w:ascii="宋体"/>
              </w:rPr>
            </w:pPr>
          </w:p>
        </w:tc>
      </w:tr>
      <w:tr w:rsidR="009C6E2F" w14:paraId="2470CCC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CAA"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A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AC" w14:textId="77777777" w:rsidR="009C6E2F" w:rsidRDefault="007972BE">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AD"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A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AF" w14:textId="77777777" w:rsidR="009C6E2F" w:rsidRDefault="007972BE">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B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B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B2" w14:textId="77777777" w:rsidR="009C6E2F" w:rsidRDefault="007972BE">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B3"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B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B5" w14:textId="77777777" w:rsidR="009C6E2F" w:rsidRDefault="007972BE">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B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B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B8"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B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B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BB" w14:textId="77777777" w:rsidR="009C6E2F" w:rsidRDefault="007972BE">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B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B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BE" w14:textId="77777777" w:rsidR="009C6E2F" w:rsidRDefault="007972BE">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B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C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C1" w14:textId="77777777" w:rsidR="009C6E2F" w:rsidRDefault="007972BE">
            <w:pPr>
              <w:jc w:val="right"/>
              <w:textAlignment w:val="bottom"/>
            </w:pPr>
            <w:r>
              <w:rPr>
                <w:rFonts w:ascii="Arial" w:eastAsia="宋体" w:hAnsi="Arial" w:cs="Arial"/>
                <w:b/>
                <w:bCs/>
                <w:color w:val="000000"/>
                <w:sz w:val="17"/>
                <w:szCs w:val="17"/>
              </w:rPr>
              <w:t>(16)</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C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CC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CC4" w14:textId="77777777" w:rsidR="009C6E2F" w:rsidRDefault="007972BE">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CC5" w14:textId="77777777" w:rsidR="009C6E2F" w:rsidRDefault="009C6E2F">
            <w:pPr>
              <w:jc w:val="right"/>
              <w:rPr>
                <w:rFonts w:ascii="宋体"/>
              </w:rPr>
            </w:pPr>
          </w:p>
        </w:tc>
      </w:tr>
    </w:tbl>
    <w:p w14:paraId="2470CCC7" w14:textId="77777777" w:rsidR="009C6E2F" w:rsidRDefault="009C6E2F">
      <w:pPr>
        <w:pBdr>
          <w:left w:val="none" w:sz="0" w:space="0" w:color="auto"/>
        </w:pBdr>
        <w:spacing w:before="60" w:after="6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9C6E2F" w14:paraId="2470CCE6" w14:textId="77777777">
        <w:tc>
          <w:tcPr>
            <w:tcW w:w="50" w:type="pct"/>
            <w:shd w:val="clear" w:color="auto" w:fill="auto"/>
            <w:vAlign w:val="bottom"/>
          </w:tcPr>
          <w:p w14:paraId="2470CCC8" w14:textId="77777777" w:rsidR="009C6E2F" w:rsidRDefault="009C6E2F">
            <w:pPr>
              <w:rPr>
                <w:rFonts w:ascii="宋体"/>
              </w:rPr>
            </w:pPr>
          </w:p>
        </w:tc>
        <w:tc>
          <w:tcPr>
            <w:tcW w:w="1110" w:type="pct"/>
            <w:shd w:val="clear" w:color="auto" w:fill="auto"/>
            <w:vAlign w:val="bottom"/>
          </w:tcPr>
          <w:p w14:paraId="2470CCC9" w14:textId="77777777" w:rsidR="009C6E2F" w:rsidRDefault="009C6E2F">
            <w:pPr>
              <w:rPr>
                <w:rFonts w:ascii="宋体"/>
              </w:rPr>
            </w:pPr>
          </w:p>
        </w:tc>
        <w:tc>
          <w:tcPr>
            <w:tcW w:w="5" w:type="pct"/>
            <w:shd w:val="clear" w:color="auto" w:fill="auto"/>
            <w:vAlign w:val="bottom"/>
          </w:tcPr>
          <w:p w14:paraId="2470CCCA" w14:textId="77777777" w:rsidR="009C6E2F" w:rsidRDefault="009C6E2F">
            <w:pPr>
              <w:rPr>
                <w:rFonts w:ascii="宋体"/>
              </w:rPr>
            </w:pPr>
          </w:p>
        </w:tc>
        <w:tc>
          <w:tcPr>
            <w:tcW w:w="50" w:type="pct"/>
            <w:shd w:val="clear" w:color="auto" w:fill="auto"/>
            <w:vAlign w:val="bottom"/>
          </w:tcPr>
          <w:p w14:paraId="2470CCCB" w14:textId="77777777" w:rsidR="009C6E2F" w:rsidRDefault="009C6E2F">
            <w:pPr>
              <w:rPr>
                <w:rFonts w:ascii="宋体"/>
              </w:rPr>
            </w:pPr>
          </w:p>
        </w:tc>
        <w:tc>
          <w:tcPr>
            <w:tcW w:w="353" w:type="pct"/>
            <w:shd w:val="clear" w:color="auto" w:fill="auto"/>
            <w:vAlign w:val="bottom"/>
          </w:tcPr>
          <w:p w14:paraId="2470CCCC" w14:textId="77777777" w:rsidR="009C6E2F" w:rsidRDefault="009C6E2F">
            <w:pPr>
              <w:rPr>
                <w:rFonts w:ascii="宋体"/>
              </w:rPr>
            </w:pPr>
          </w:p>
        </w:tc>
        <w:tc>
          <w:tcPr>
            <w:tcW w:w="5" w:type="pct"/>
            <w:shd w:val="clear" w:color="auto" w:fill="auto"/>
            <w:vAlign w:val="bottom"/>
          </w:tcPr>
          <w:p w14:paraId="2470CCCD" w14:textId="77777777" w:rsidR="009C6E2F" w:rsidRDefault="009C6E2F">
            <w:pPr>
              <w:rPr>
                <w:rFonts w:ascii="宋体"/>
              </w:rPr>
            </w:pPr>
          </w:p>
        </w:tc>
        <w:tc>
          <w:tcPr>
            <w:tcW w:w="50" w:type="pct"/>
            <w:shd w:val="clear" w:color="auto" w:fill="auto"/>
            <w:vAlign w:val="bottom"/>
          </w:tcPr>
          <w:p w14:paraId="2470CCCE" w14:textId="77777777" w:rsidR="009C6E2F" w:rsidRDefault="009C6E2F">
            <w:pPr>
              <w:rPr>
                <w:rFonts w:ascii="宋体"/>
              </w:rPr>
            </w:pPr>
          </w:p>
        </w:tc>
        <w:tc>
          <w:tcPr>
            <w:tcW w:w="353" w:type="pct"/>
            <w:shd w:val="clear" w:color="auto" w:fill="auto"/>
            <w:vAlign w:val="bottom"/>
          </w:tcPr>
          <w:p w14:paraId="2470CCCF" w14:textId="77777777" w:rsidR="009C6E2F" w:rsidRDefault="009C6E2F">
            <w:pPr>
              <w:rPr>
                <w:rFonts w:ascii="宋体"/>
              </w:rPr>
            </w:pPr>
          </w:p>
        </w:tc>
        <w:tc>
          <w:tcPr>
            <w:tcW w:w="5" w:type="pct"/>
            <w:shd w:val="clear" w:color="auto" w:fill="auto"/>
            <w:vAlign w:val="bottom"/>
          </w:tcPr>
          <w:p w14:paraId="2470CCD0" w14:textId="77777777" w:rsidR="009C6E2F" w:rsidRDefault="009C6E2F">
            <w:pPr>
              <w:rPr>
                <w:rFonts w:ascii="宋体"/>
              </w:rPr>
            </w:pPr>
          </w:p>
        </w:tc>
        <w:tc>
          <w:tcPr>
            <w:tcW w:w="50" w:type="pct"/>
            <w:shd w:val="clear" w:color="auto" w:fill="auto"/>
            <w:vAlign w:val="bottom"/>
          </w:tcPr>
          <w:p w14:paraId="2470CCD1" w14:textId="77777777" w:rsidR="009C6E2F" w:rsidRDefault="009C6E2F">
            <w:pPr>
              <w:rPr>
                <w:rFonts w:ascii="宋体"/>
              </w:rPr>
            </w:pPr>
          </w:p>
        </w:tc>
        <w:tc>
          <w:tcPr>
            <w:tcW w:w="353" w:type="pct"/>
            <w:shd w:val="clear" w:color="auto" w:fill="auto"/>
            <w:vAlign w:val="bottom"/>
          </w:tcPr>
          <w:p w14:paraId="2470CCD2" w14:textId="77777777" w:rsidR="009C6E2F" w:rsidRDefault="009C6E2F">
            <w:pPr>
              <w:rPr>
                <w:rFonts w:ascii="宋体"/>
              </w:rPr>
            </w:pPr>
          </w:p>
        </w:tc>
        <w:tc>
          <w:tcPr>
            <w:tcW w:w="5" w:type="pct"/>
            <w:shd w:val="clear" w:color="auto" w:fill="auto"/>
            <w:vAlign w:val="bottom"/>
          </w:tcPr>
          <w:p w14:paraId="2470CCD3" w14:textId="77777777" w:rsidR="009C6E2F" w:rsidRDefault="009C6E2F">
            <w:pPr>
              <w:rPr>
                <w:rFonts w:ascii="宋体"/>
              </w:rPr>
            </w:pPr>
          </w:p>
        </w:tc>
        <w:tc>
          <w:tcPr>
            <w:tcW w:w="50" w:type="pct"/>
            <w:shd w:val="clear" w:color="auto" w:fill="auto"/>
            <w:vAlign w:val="bottom"/>
          </w:tcPr>
          <w:p w14:paraId="2470CCD4" w14:textId="77777777" w:rsidR="009C6E2F" w:rsidRDefault="009C6E2F">
            <w:pPr>
              <w:rPr>
                <w:rFonts w:ascii="宋体"/>
              </w:rPr>
            </w:pPr>
          </w:p>
        </w:tc>
        <w:tc>
          <w:tcPr>
            <w:tcW w:w="384" w:type="pct"/>
            <w:shd w:val="clear" w:color="auto" w:fill="auto"/>
            <w:vAlign w:val="bottom"/>
          </w:tcPr>
          <w:p w14:paraId="2470CCD5" w14:textId="77777777" w:rsidR="009C6E2F" w:rsidRDefault="009C6E2F">
            <w:pPr>
              <w:rPr>
                <w:rFonts w:ascii="宋体"/>
              </w:rPr>
            </w:pPr>
          </w:p>
        </w:tc>
        <w:tc>
          <w:tcPr>
            <w:tcW w:w="5" w:type="pct"/>
            <w:shd w:val="clear" w:color="auto" w:fill="auto"/>
            <w:vAlign w:val="bottom"/>
          </w:tcPr>
          <w:p w14:paraId="2470CCD6" w14:textId="77777777" w:rsidR="009C6E2F" w:rsidRDefault="009C6E2F">
            <w:pPr>
              <w:rPr>
                <w:rFonts w:ascii="宋体"/>
              </w:rPr>
            </w:pPr>
          </w:p>
        </w:tc>
        <w:tc>
          <w:tcPr>
            <w:tcW w:w="50" w:type="pct"/>
            <w:shd w:val="clear" w:color="auto" w:fill="auto"/>
            <w:vAlign w:val="bottom"/>
          </w:tcPr>
          <w:p w14:paraId="2470CCD7" w14:textId="77777777" w:rsidR="009C6E2F" w:rsidRDefault="009C6E2F">
            <w:pPr>
              <w:rPr>
                <w:rFonts w:ascii="宋体"/>
              </w:rPr>
            </w:pPr>
          </w:p>
        </w:tc>
        <w:tc>
          <w:tcPr>
            <w:tcW w:w="369" w:type="pct"/>
            <w:shd w:val="clear" w:color="auto" w:fill="auto"/>
            <w:vAlign w:val="bottom"/>
          </w:tcPr>
          <w:p w14:paraId="2470CCD8" w14:textId="77777777" w:rsidR="009C6E2F" w:rsidRDefault="009C6E2F">
            <w:pPr>
              <w:rPr>
                <w:rFonts w:ascii="宋体"/>
              </w:rPr>
            </w:pPr>
          </w:p>
        </w:tc>
        <w:tc>
          <w:tcPr>
            <w:tcW w:w="5" w:type="pct"/>
            <w:shd w:val="clear" w:color="auto" w:fill="auto"/>
            <w:vAlign w:val="bottom"/>
          </w:tcPr>
          <w:p w14:paraId="2470CCD9" w14:textId="77777777" w:rsidR="009C6E2F" w:rsidRDefault="009C6E2F">
            <w:pPr>
              <w:rPr>
                <w:rFonts w:ascii="宋体"/>
              </w:rPr>
            </w:pPr>
          </w:p>
        </w:tc>
        <w:tc>
          <w:tcPr>
            <w:tcW w:w="50" w:type="pct"/>
            <w:shd w:val="clear" w:color="auto" w:fill="auto"/>
            <w:vAlign w:val="bottom"/>
          </w:tcPr>
          <w:p w14:paraId="2470CCDA" w14:textId="77777777" w:rsidR="009C6E2F" w:rsidRDefault="009C6E2F">
            <w:pPr>
              <w:rPr>
                <w:rFonts w:ascii="宋体"/>
              </w:rPr>
            </w:pPr>
          </w:p>
        </w:tc>
        <w:tc>
          <w:tcPr>
            <w:tcW w:w="353" w:type="pct"/>
            <w:shd w:val="clear" w:color="auto" w:fill="auto"/>
            <w:vAlign w:val="bottom"/>
          </w:tcPr>
          <w:p w14:paraId="2470CCDB" w14:textId="77777777" w:rsidR="009C6E2F" w:rsidRDefault="009C6E2F">
            <w:pPr>
              <w:rPr>
                <w:rFonts w:ascii="宋体"/>
              </w:rPr>
            </w:pPr>
          </w:p>
        </w:tc>
        <w:tc>
          <w:tcPr>
            <w:tcW w:w="5" w:type="pct"/>
            <w:shd w:val="clear" w:color="auto" w:fill="auto"/>
            <w:vAlign w:val="bottom"/>
          </w:tcPr>
          <w:p w14:paraId="2470CCDC" w14:textId="77777777" w:rsidR="009C6E2F" w:rsidRDefault="009C6E2F">
            <w:pPr>
              <w:rPr>
                <w:rFonts w:ascii="宋体"/>
              </w:rPr>
            </w:pPr>
          </w:p>
        </w:tc>
        <w:tc>
          <w:tcPr>
            <w:tcW w:w="50" w:type="pct"/>
            <w:shd w:val="clear" w:color="auto" w:fill="auto"/>
            <w:vAlign w:val="bottom"/>
          </w:tcPr>
          <w:p w14:paraId="2470CCDD" w14:textId="77777777" w:rsidR="009C6E2F" w:rsidRDefault="009C6E2F">
            <w:pPr>
              <w:rPr>
                <w:rFonts w:ascii="宋体"/>
              </w:rPr>
            </w:pPr>
          </w:p>
        </w:tc>
        <w:tc>
          <w:tcPr>
            <w:tcW w:w="384" w:type="pct"/>
            <w:shd w:val="clear" w:color="auto" w:fill="auto"/>
            <w:vAlign w:val="bottom"/>
          </w:tcPr>
          <w:p w14:paraId="2470CCDE" w14:textId="77777777" w:rsidR="009C6E2F" w:rsidRDefault="009C6E2F">
            <w:pPr>
              <w:rPr>
                <w:rFonts w:ascii="宋体"/>
              </w:rPr>
            </w:pPr>
          </w:p>
        </w:tc>
        <w:tc>
          <w:tcPr>
            <w:tcW w:w="5" w:type="pct"/>
            <w:shd w:val="clear" w:color="auto" w:fill="auto"/>
            <w:vAlign w:val="bottom"/>
          </w:tcPr>
          <w:p w14:paraId="2470CCDF" w14:textId="77777777" w:rsidR="009C6E2F" w:rsidRDefault="009C6E2F">
            <w:pPr>
              <w:rPr>
                <w:rFonts w:ascii="宋体"/>
              </w:rPr>
            </w:pPr>
          </w:p>
        </w:tc>
        <w:tc>
          <w:tcPr>
            <w:tcW w:w="50" w:type="pct"/>
            <w:shd w:val="clear" w:color="auto" w:fill="auto"/>
            <w:vAlign w:val="bottom"/>
          </w:tcPr>
          <w:p w14:paraId="2470CCE0" w14:textId="77777777" w:rsidR="009C6E2F" w:rsidRDefault="009C6E2F">
            <w:pPr>
              <w:rPr>
                <w:rFonts w:ascii="宋体"/>
              </w:rPr>
            </w:pPr>
          </w:p>
        </w:tc>
        <w:tc>
          <w:tcPr>
            <w:tcW w:w="431" w:type="pct"/>
            <w:shd w:val="clear" w:color="auto" w:fill="auto"/>
            <w:vAlign w:val="bottom"/>
          </w:tcPr>
          <w:p w14:paraId="2470CCE1" w14:textId="77777777" w:rsidR="009C6E2F" w:rsidRDefault="009C6E2F">
            <w:pPr>
              <w:rPr>
                <w:rFonts w:ascii="宋体"/>
              </w:rPr>
            </w:pPr>
          </w:p>
        </w:tc>
        <w:tc>
          <w:tcPr>
            <w:tcW w:w="5" w:type="pct"/>
            <w:shd w:val="clear" w:color="auto" w:fill="auto"/>
            <w:vAlign w:val="bottom"/>
          </w:tcPr>
          <w:p w14:paraId="2470CCE2" w14:textId="77777777" w:rsidR="009C6E2F" w:rsidRDefault="009C6E2F">
            <w:pPr>
              <w:rPr>
                <w:rFonts w:ascii="宋体"/>
              </w:rPr>
            </w:pPr>
          </w:p>
        </w:tc>
        <w:tc>
          <w:tcPr>
            <w:tcW w:w="50" w:type="pct"/>
            <w:shd w:val="clear" w:color="auto" w:fill="auto"/>
            <w:vAlign w:val="bottom"/>
          </w:tcPr>
          <w:p w14:paraId="2470CCE3" w14:textId="77777777" w:rsidR="009C6E2F" w:rsidRDefault="009C6E2F">
            <w:pPr>
              <w:rPr>
                <w:rFonts w:ascii="宋体"/>
              </w:rPr>
            </w:pPr>
          </w:p>
        </w:tc>
        <w:tc>
          <w:tcPr>
            <w:tcW w:w="354" w:type="pct"/>
            <w:shd w:val="clear" w:color="auto" w:fill="auto"/>
            <w:vAlign w:val="bottom"/>
          </w:tcPr>
          <w:p w14:paraId="2470CCE4" w14:textId="77777777" w:rsidR="009C6E2F" w:rsidRDefault="009C6E2F">
            <w:pPr>
              <w:rPr>
                <w:rFonts w:ascii="宋体"/>
              </w:rPr>
            </w:pPr>
          </w:p>
        </w:tc>
        <w:tc>
          <w:tcPr>
            <w:tcW w:w="5" w:type="pct"/>
            <w:shd w:val="clear" w:color="auto" w:fill="auto"/>
            <w:vAlign w:val="bottom"/>
          </w:tcPr>
          <w:p w14:paraId="2470CCE5" w14:textId="77777777" w:rsidR="009C6E2F" w:rsidRDefault="009C6E2F">
            <w:pPr>
              <w:rPr>
                <w:rFonts w:ascii="宋体"/>
              </w:rPr>
            </w:pPr>
          </w:p>
        </w:tc>
      </w:tr>
      <w:tr w:rsidR="009C6E2F" w14:paraId="2470CCE9" w14:textId="77777777">
        <w:tc>
          <w:tcPr>
            <w:tcW w:w="0" w:type="auto"/>
            <w:gridSpan w:val="3"/>
            <w:shd w:val="clear" w:color="auto" w:fill="auto"/>
            <w:tcMar>
              <w:top w:w="0" w:type="dxa"/>
              <w:left w:w="20" w:type="dxa"/>
              <w:bottom w:w="0" w:type="dxa"/>
              <w:right w:w="20" w:type="dxa"/>
            </w:tcMar>
            <w:vAlign w:val="bottom"/>
          </w:tcPr>
          <w:p w14:paraId="2470CCE7" w14:textId="77777777" w:rsidR="009C6E2F" w:rsidRDefault="009C6E2F">
            <w:pPr>
              <w:rPr>
                <w:rFonts w:ascii="宋体"/>
              </w:rPr>
            </w:pPr>
          </w:p>
        </w:tc>
        <w:tc>
          <w:tcPr>
            <w:tcW w:w="0" w:type="auto"/>
            <w:gridSpan w:val="27"/>
            <w:shd w:val="clear" w:color="auto" w:fill="auto"/>
            <w:tcMar>
              <w:top w:w="40" w:type="dxa"/>
              <w:left w:w="20" w:type="dxa"/>
              <w:bottom w:w="40" w:type="dxa"/>
              <w:right w:w="20" w:type="dxa"/>
            </w:tcMar>
            <w:vAlign w:val="bottom"/>
          </w:tcPr>
          <w:p w14:paraId="2470CCE8" w14:textId="77777777" w:rsidR="009C6E2F" w:rsidRDefault="007972BE">
            <w:pPr>
              <w:jc w:val="center"/>
              <w:textAlignment w:val="bottom"/>
            </w:pPr>
            <w:r>
              <w:rPr>
                <w:rFonts w:ascii="sans-serif" w:eastAsia="sans-serif" w:hAnsi="sans-serif" w:cs="sans-serif"/>
                <w:b/>
                <w:bCs/>
                <w:color w:val="000000"/>
                <w:sz w:val="17"/>
                <w:szCs w:val="17"/>
              </w:rPr>
              <w:t>THREE MONTHS ENDED NOVEMBER 30, 2020</w:t>
            </w:r>
          </w:p>
        </w:tc>
      </w:tr>
      <w:tr w:rsidR="009C6E2F" w14:paraId="2470CCF4" w14:textId="77777777">
        <w:tc>
          <w:tcPr>
            <w:tcW w:w="0" w:type="auto"/>
            <w:gridSpan w:val="3"/>
            <w:shd w:val="clear" w:color="auto" w:fill="auto"/>
            <w:tcMar>
              <w:top w:w="40" w:type="dxa"/>
              <w:left w:w="20" w:type="dxa"/>
              <w:bottom w:w="40" w:type="dxa"/>
              <w:right w:w="20" w:type="dxa"/>
            </w:tcMar>
            <w:vAlign w:val="bottom"/>
          </w:tcPr>
          <w:p w14:paraId="2470CCEA"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EB" w14:textId="77777777" w:rsidR="009C6E2F" w:rsidRDefault="007972BE">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EC" w14:textId="77777777" w:rsidR="009C6E2F" w:rsidRDefault="007972BE">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ED" w14:textId="77777777" w:rsidR="009C6E2F" w:rsidRDefault="007972BE">
            <w:pPr>
              <w:jc w:val="right"/>
              <w:textAlignment w:val="bottom"/>
            </w:pPr>
            <w:r>
              <w:rPr>
                <w:rFonts w:ascii="sans-serif" w:eastAsia="sans-serif" w:hAnsi="sans-serif" w:cs="sans-serif"/>
                <w:b/>
                <w:bCs/>
                <w:color w:val="000000"/>
                <w:sz w:val="17"/>
                <w:szCs w:val="17"/>
              </w:rPr>
              <w:t>GREATER 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EE" w14:textId="77777777" w:rsidR="009C6E2F" w:rsidRDefault="007972BE">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EF" w14:textId="77777777" w:rsidR="009C6E2F" w:rsidRDefault="007972BE">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F0" w14:textId="77777777" w:rsidR="009C6E2F" w:rsidRDefault="007972BE">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F1" w14:textId="77777777" w:rsidR="009C6E2F" w:rsidRDefault="007972BE">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F2" w14:textId="77777777" w:rsidR="009C6E2F" w:rsidRDefault="007972BE">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F3" w14:textId="77777777" w:rsidR="009C6E2F" w:rsidRDefault="007972BE">
            <w:pPr>
              <w:jc w:val="right"/>
              <w:textAlignment w:val="bottom"/>
            </w:pPr>
            <w:r>
              <w:rPr>
                <w:rFonts w:ascii="sans-serif" w:eastAsia="sans-serif" w:hAnsi="sans-serif" w:cs="sans-serif"/>
                <w:b/>
                <w:bCs/>
                <w:color w:val="000000"/>
                <w:sz w:val="17"/>
                <w:szCs w:val="17"/>
              </w:rPr>
              <w:t>TOTAL NIKE, INC.</w:t>
            </w:r>
          </w:p>
        </w:tc>
      </w:tr>
      <w:tr w:rsidR="009C6E2F" w14:paraId="2470CCF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CF5"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CFE" w14:textId="77777777" w:rsidR="009C6E2F" w:rsidRDefault="009C6E2F">
            <w:pPr>
              <w:rPr>
                <w:rFonts w:ascii="宋体"/>
              </w:rPr>
            </w:pPr>
          </w:p>
        </w:tc>
      </w:tr>
      <w:tr w:rsidR="009C6E2F" w14:paraId="2470CD1C"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D00"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2470CD0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02" w14:textId="77777777" w:rsidR="009C6E2F" w:rsidRDefault="007972BE">
            <w:pPr>
              <w:jc w:val="right"/>
              <w:textAlignment w:val="bottom"/>
            </w:pPr>
            <w:r>
              <w:rPr>
                <w:rFonts w:ascii="Arial" w:eastAsia="宋体" w:hAnsi="Arial" w:cs="Arial"/>
                <w:color w:val="000000"/>
                <w:sz w:val="17"/>
                <w:szCs w:val="17"/>
              </w:rPr>
              <w:t>2,512 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03"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0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05" w14:textId="77777777" w:rsidR="009C6E2F" w:rsidRDefault="007972BE">
            <w:pPr>
              <w:jc w:val="right"/>
              <w:textAlignment w:val="bottom"/>
            </w:pPr>
            <w:r>
              <w:rPr>
                <w:rFonts w:ascii="Arial" w:eastAsia="宋体" w:hAnsi="Arial" w:cs="Arial"/>
                <w:color w:val="000000"/>
                <w:sz w:val="17"/>
                <w:szCs w:val="17"/>
              </w:rPr>
              <w:t>1,731 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06"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0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08" w14:textId="77777777" w:rsidR="009C6E2F" w:rsidRDefault="007972BE">
            <w:pPr>
              <w:jc w:val="right"/>
              <w:textAlignment w:val="bottom"/>
            </w:pPr>
            <w:r>
              <w:rPr>
                <w:rFonts w:ascii="Arial" w:eastAsia="宋体" w:hAnsi="Arial" w:cs="Arial"/>
                <w:color w:val="000000"/>
                <w:sz w:val="17"/>
                <w:szCs w:val="17"/>
              </w:rPr>
              <w:t>1,567 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09"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0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0B" w14:textId="77777777" w:rsidR="009C6E2F" w:rsidRDefault="007972BE">
            <w:pPr>
              <w:jc w:val="right"/>
              <w:textAlignment w:val="bottom"/>
            </w:pPr>
            <w:r>
              <w:rPr>
                <w:rFonts w:ascii="Arial" w:eastAsia="宋体" w:hAnsi="Arial" w:cs="Arial"/>
                <w:color w:val="000000"/>
                <w:sz w:val="17"/>
                <w:szCs w:val="17"/>
              </w:rPr>
              <w:t>991 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0C"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0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0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0F"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1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11" w14:textId="77777777" w:rsidR="009C6E2F" w:rsidRDefault="007972BE">
            <w:pPr>
              <w:jc w:val="right"/>
              <w:textAlignment w:val="bottom"/>
            </w:pPr>
            <w:r>
              <w:rPr>
                <w:rFonts w:ascii="Arial" w:eastAsia="宋体" w:hAnsi="Arial" w:cs="Arial"/>
                <w:color w:val="000000"/>
                <w:sz w:val="17"/>
                <w:szCs w:val="17"/>
              </w:rPr>
              <w:t>6,801 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12"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1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14" w14:textId="77777777" w:rsidR="009C6E2F" w:rsidRDefault="007972BE">
            <w:pPr>
              <w:jc w:val="right"/>
              <w:textAlignment w:val="bottom"/>
            </w:pPr>
            <w:r>
              <w:rPr>
                <w:rFonts w:ascii="Arial" w:eastAsia="宋体" w:hAnsi="Arial" w:cs="Arial"/>
                <w:color w:val="000000"/>
                <w:sz w:val="17"/>
                <w:szCs w:val="17"/>
              </w:rPr>
              <w:t>416 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15"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1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1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18"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1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1A" w14:textId="77777777" w:rsidR="009C6E2F" w:rsidRDefault="007972BE">
            <w:pPr>
              <w:jc w:val="right"/>
              <w:textAlignment w:val="bottom"/>
            </w:pPr>
            <w:r>
              <w:rPr>
                <w:rFonts w:ascii="Arial" w:eastAsia="宋体" w:hAnsi="Arial" w:cs="Arial"/>
                <w:color w:val="000000"/>
                <w:sz w:val="17"/>
                <w:szCs w:val="17"/>
              </w:rPr>
              <w:t>7,217 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1B" w14:textId="77777777" w:rsidR="009C6E2F" w:rsidRDefault="009C6E2F">
            <w:pPr>
              <w:jc w:val="right"/>
              <w:rPr>
                <w:rFonts w:ascii="宋体"/>
              </w:rPr>
            </w:pPr>
          </w:p>
        </w:tc>
      </w:tr>
      <w:tr w:rsidR="009C6E2F" w14:paraId="2470CD3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D1D"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1E" w14:textId="77777777" w:rsidR="009C6E2F" w:rsidRDefault="007972BE">
            <w:pPr>
              <w:jc w:val="right"/>
              <w:textAlignment w:val="bottom"/>
            </w:pPr>
            <w:r>
              <w:rPr>
                <w:rFonts w:ascii="Arial" w:eastAsia="宋体" w:hAnsi="Arial" w:cs="Arial"/>
                <w:color w:val="000000"/>
                <w:sz w:val="17"/>
                <w:szCs w:val="17"/>
              </w:rPr>
              <w:t>1,368 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1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0" w14:textId="77777777" w:rsidR="009C6E2F" w:rsidRDefault="007972BE">
            <w:pPr>
              <w:jc w:val="right"/>
              <w:textAlignment w:val="bottom"/>
            </w:pPr>
            <w:r>
              <w:rPr>
                <w:rFonts w:ascii="Arial" w:eastAsia="宋体" w:hAnsi="Arial" w:cs="Arial"/>
                <w:color w:val="000000"/>
                <w:sz w:val="17"/>
                <w:szCs w:val="17"/>
              </w:rPr>
              <w:t>1,104 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2" w14:textId="77777777" w:rsidR="009C6E2F" w:rsidRDefault="007972BE">
            <w:pPr>
              <w:jc w:val="right"/>
              <w:textAlignment w:val="bottom"/>
            </w:pPr>
            <w:r>
              <w:rPr>
                <w:rFonts w:ascii="Arial" w:eastAsia="宋体" w:hAnsi="Arial" w:cs="Arial"/>
                <w:color w:val="000000"/>
                <w:sz w:val="17"/>
                <w:szCs w:val="17"/>
              </w:rPr>
              <w:t>681 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4" w14:textId="77777777" w:rsidR="009C6E2F" w:rsidRDefault="007972BE">
            <w:pPr>
              <w:jc w:val="right"/>
              <w:textAlignment w:val="bottom"/>
            </w:pPr>
            <w:r>
              <w:rPr>
                <w:rFonts w:ascii="Arial" w:eastAsia="宋体" w:hAnsi="Arial" w:cs="Arial"/>
                <w:color w:val="000000"/>
                <w:sz w:val="17"/>
                <w:szCs w:val="17"/>
              </w:rPr>
              <w:t>432 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6"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8" w14:textId="77777777" w:rsidR="009C6E2F" w:rsidRDefault="007972BE">
            <w:pPr>
              <w:jc w:val="right"/>
              <w:textAlignment w:val="bottom"/>
            </w:pPr>
            <w:r>
              <w:rPr>
                <w:rFonts w:ascii="Arial" w:eastAsia="宋体" w:hAnsi="Arial" w:cs="Arial"/>
                <w:color w:val="000000"/>
                <w:sz w:val="17"/>
                <w:szCs w:val="17"/>
              </w:rPr>
              <w:t>3,585 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A" w14:textId="77777777" w:rsidR="009C6E2F" w:rsidRDefault="007972BE">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2E" w14:textId="77777777" w:rsidR="009C6E2F" w:rsidRDefault="007972BE">
            <w:pPr>
              <w:jc w:val="right"/>
              <w:textAlignment w:val="bottom"/>
            </w:pPr>
            <w:r>
              <w:rPr>
                <w:rFonts w:ascii="Arial" w:eastAsia="宋体" w:hAnsi="Arial" w:cs="Arial"/>
                <w:color w:val="000000"/>
                <w:sz w:val="17"/>
                <w:szCs w:val="17"/>
              </w:rPr>
              <w:t>3,617 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2F" w14:textId="77777777" w:rsidR="009C6E2F" w:rsidRDefault="009C6E2F">
            <w:pPr>
              <w:jc w:val="right"/>
              <w:rPr>
                <w:rFonts w:ascii="宋体"/>
              </w:rPr>
            </w:pPr>
          </w:p>
        </w:tc>
      </w:tr>
      <w:tr w:rsidR="009C6E2F" w14:paraId="2470CD44"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D31"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32" w14:textId="77777777" w:rsidR="009C6E2F" w:rsidRDefault="007972BE">
            <w:pPr>
              <w:jc w:val="right"/>
              <w:textAlignment w:val="bottom"/>
            </w:pPr>
            <w:r>
              <w:rPr>
                <w:rFonts w:ascii="Arial" w:eastAsia="宋体" w:hAnsi="Arial" w:cs="Arial"/>
                <w:color w:val="000000"/>
                <w:sz w:val="17"/>
                <w:szCs w:val="17"/>
              </w:rPr>
              <w:t>126 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3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34" w14:textId="77777777" w:rsidR="009C6E2F" w:rsidRDefault="007972BE">
            <w:pPr>
              <w:jc w:val="right"/>
              <w:textAlignment w:val="bottom"/>
            </w:pPr>
            <w:r>
              <w:rPr>
                <w:rFonts w:ascii="Arial" w:eastAsia="宋体" w:hAnsi="Arial" w:cs="Arial"/>
                <w:color w:val="000000"/>
                <w:sz w:val="17"/>
                <w:szCs w:val="17"/>
              </w:rPr>
              <w:t>123 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3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36" w14:textId="77777777" w:rsidR="009C6E2F" w:rsidRDefault="007972BE">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3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38" w14:textId="77777777" w:rsidR="009C6E2F" w:rsidRDefault="007972BE">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3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3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3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3C" w14:textId="77777777" w:rsidR="009C6E2F" w:rsidRDefault="007972BE">
            <w:pPr>
              <w:jc w:val="right"/>
              <w:textAlignment w:val="bottom"/>
            </w:pPr>
            <w:r>
              <w:rPr>
                <w:rFonts w:ascii="Arial" w:eastAsia="宋体" w:hAnsi="Arial" w:cs="Arial"/>
                <w:color w:val="000000"/>
                <w:sz w:val="17"/>
                <w:szCs w:val="17"/>
              </w:rPr>
              <w:t>347 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3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3E"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3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4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4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42" w14:textId="77777777" w:rsidR="009C6E2F" w:rsidRDefault="007972BE">
            <w:pPr>
              <w:jc w:val="right"/>
              <w:textAlignment w:val="bottom"/>
            </w:pPr>
            <w:r>
              <w:rPr>
                <w:rFonts w:ascii="Arial" w:eastAsia="宋体" w:hAnsi="Arial" w:cs="Arial"/>
                <w:color w:val="000000"/>
                <w:sz w:val="17"/>
                <w:szCs w:val="17"/>
              </w:rPr>
              <w:t>354 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43" w14:textId="77777777" w:rsidR="009C6E2F" w:rsidRDefault="009C6E2F">
            <w:pPr>
              <w:jc w:val="right"/>
              <w:rPr>
                <w:rFonts w:ascii="宋体"/>
              </w:rPr>
            </w:pPr>
          </w:p>
        </w:tc>
      </w:tr>
      <w:tr w:rsidR="009C6E2F" w14:paraId="2470CD5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D45"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46"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4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4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4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4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4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4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4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4E"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4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50"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5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52"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5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54"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5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56"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57" w14:textId="77777777" w:rsidR="009C6E2F" w:rsidRDefault="009C6E2F">
            <w:pPr>
              <w:jc w:val="right"/>
              <w:rPr>
                <w:rFonts w:ascii="宋体"/>
              </w:rPr>
            </w:pPr>
          </w:p>
        </w:tc>
      </w:tr>
      <w:tr w:rsidR="009C6E2F" w14:paraId="2470CD7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D59"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2470CD5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5B" w14:textId="77777777" w:rsidR="009C6E2F" w:rsidRDefault="007972BE">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5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5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5E" w14:textId="77777777" w:rsidR="009C6E2F" w:rsidRDefault="007972BE">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5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6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61" w14:textId="77777777" w:rsidR="009C6E2F" w:rsidRDefault="007972BE">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6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6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64" w14:textId="77777777" w:rsidR="009C6E2F" w:rsidRDefault="007972BE">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65"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6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67"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68"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6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6A" w14:textId="77777777" w:rsidR="009C6E2F" w:rsidRDefault="007972BE">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6B"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6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6D" w14:textId="77777777" w:rsidR="009C6E2F" w:rsidRDefault="007972BE">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6E"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6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70" w14:textId="77777777" w:rsidR="009C6E2F" w:rsidRDefault="007972BE">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7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D7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D73" w14:textId="77777777" w:rsidR="009C6E2F" w:rsidRDefault="007972BE">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D74" w14:textId="77777777" w:rsidR="009C6E2F" w:rsidRDefault="009C6E2F">
            <w:pPr>
              <w:jc w:val="right"/>
              <w:rPr>
                <w:rFonts w:ascii="宋体"/>
              </w:rPr>
            </w:pPr>
          </w:p>
        </w:tc>
      </w:tr>
      <w:tr w:rsidR="009C6E2F" w14:paraId="2470CD8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D76"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D7F" w14:textId="77777777" w:rsidR="009C6E2F" w:rsidRDefault="009C6E2F">
            <w:pPr>
              <w:rPr>
                <w:rFonts w:ascii="宋体"/>
              </w:rPr>
            </w:pPr>
          </w:p>
        </w:tc>
      </w:tr>
      <w:tr w:rsidR="009C6E2F" w14:paraId="2470CD9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D81"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2470CD8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83" w14:textId="77777777" w:rsidR="009C6E2F" w:rsidRDefault="007972BE">
            <w:pPr>
              <w:jc w:val="right"/>
              <w:textAlignment w:val="bottom"/>
            </w:pPr>
            <w:r>
              <w:rPr>
                <w:rFonts w:ascii="Arial" w:eastAsia="宋体" w:hAnsi="Arial" w:cs="Arial"/>
                <w:color w:val="000000"/>
                <w:sz w:val="17"/>
                <w:szCs w:val="17"/>
              </w:rPr>
              <w:t>2,354 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84"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8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86" w14:textId="77777777" w:rsidR="009C6E2F" w:rsidRDefault="007972BE">
            <w:pPr>
              <w:jc w:val="right"/>
              <w:textAlignment w:val="bottom"/>
            </w:pPr>
            <w:r>
              <w:rPr>
                <w:rFonts w:ascii="Arial" w:eastAsia="宋体" w:hAnsi="Arial" w:cs="Arial"/>
                <w:color w:val="000000"/>
                <w:sz w:val="17"/>
                <w:szCs w:val="17"/>
              </w:rPr>
              <w:t>1,985 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87"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8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89" w14:textId="77777777" w:rsidR="009C6E2F" w:rsidRDefault="007972BE">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8A"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8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8C" w14:textId="77777777" w:rsidR="009C6E2F" w:rsidRDefault="007972BE">
            <w:pPr>
              <w:jc w:val="right"/>
              <w:textAlignment w:val="bottom"/>
            </w:pPr>
            <w:r>
              <w:rPr>
                <w:rFonts w:ascii="Arial" w:eastAsia="宋体" w:hAnsi="Arial" w:cs="Arial"/>
                <w:color w:val="000000"/>
                <w:sz w:val="17"/>
                <w:szCs w:val="17"/>
              </w:rPr>
              <w:t>925 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8D"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8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8F"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90"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9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92" w14:textId="77777777" w:rsidR="009C6E2F" w:rsidRDefault="007972BE">
            <w:pPr>
              <w:jc w:val="right"/>
              <w:textAlignment w:val="bottom"/>
            </w:pPr>
            <w:r>
              <w:rPr>
                <w:rFonts w:ascii="Arial" w:eastAsia="宋体" w:hAnsi="Arial" w:cs="Arial"/>
                <w:color w:val="000000"/>
                <w:sz w:val="17"/>
                <w:szCs w:val="17"/>
              </w:rPr>
              <w:t>6,423 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93"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9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95" w14:textId="77777777" w:rsidR="009C6E2F" w:rsidRDefault="007972BE">
            <w:pPr>
              <w:jc w:val="right"/>
              <w:textAlignment w:val="bottom"/>
            </w:pPr>
            <w:r>
              <w:rPr>
                <w:rFonts w:ascii="Arial" w:eastAsia="宋体" w:hAnsi="Arial" w:cs="Arial"/>
                <w:color w:val="000000"/>
                <w:sz w:val="17"/>
                <w:szCs w:val="17"/>
              </w:rPr>
              <w:t>259 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96"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9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9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99"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D9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D9B" w14:textId="77777777" w:rsidR="009C6E2F" w:rsidRDefault="007972BE">
            <w:pPr>
              <w:jc w:val="right"/>
              <w:textAlignment w:val="bottom"/>
            </w:pPr>
            <w:r>
              <w:rPr>
                <w:rFonts w:ascii="Arial" w:eastAsia="宋体" w:hAnsi="Arial" w:cs="Arial"/>
                <w:color w:val="000000"/>
                <w:sz w:val="17"/>
                <w:szCs w:val="17"/>
              </w:rPr>
              <w:t>6,682 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9C" w14:textId="77777777" w:rsidR="009C6E2F" w:rsidRDefault="009C6E2F">
            <w:pPr>
              <w:jc w:val="right"/>
              <w:rPr>
                <w:rFonts w:ascii="宋体"/>
              </w:rPr>
            </w:pPr>
          </w:p>
        </w:tc>
      </w:tr>
      <w:tr w:rsidR="009C6E2F" w14:paraId="2470CDB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D9E" w14:textId="77777777" w:rsidR="009C6E2F" w:rsidRDefault="007972BE">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9F" w14:textId="77777777" w:rsidR="009C6E2F" w:rsidRDefault="007972BE">
            <w:pPr>
              <w:jc w:val="right"/>
              <w:textAlignment w:val="bottom"/>
            </w:pPr>
            <w:r>
              <w:rPr>
                <w:rFonts w:ascii="Arial" w:eastAsia="宋体" w:hAnsi="Arial" w:cs="Arial"/>
                <w:color w:val="000000"/>
                <w:sz w:val="17"/>
                <w:szCs w:val="17"/>
              </w:rPr>
              <w:t>1,652 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1" w14:textId="77777777" w:rsidR="009C6E2F" w:rsidRDefault="007972BE">
            <w:pPr>
              <w:jc w:val="right"/>
              <w:textAlignment w:val="bottom"/>
            </w:pPr>
            <w:r>
              <w:rPr>
                <w:rFonts w:ascii="Arial" w:eastAsia="宋体" w:hAnsi="Arial" w:cs="Arial"/>
                <w:color w:val="000000"/>
                <w:sz w:val="17"/>
                <w:szCs w:val="17"/>
              </w:rPr>
              <w:t>973 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3" w14:textId="77777777" w:rsidR="009C6E2F" w:rsidRDefault="007972BE">
            <w:pPr>
              <w:jc w:val="right"/>
              <w:textAlignment w:val="bottom"/>
            </w:pPr>
            <w:r>
              <w:rPr>
                <w:rFonts w:ascii="Arial" w:eastAsia="宋体" w:hAnsi="Arial" w:cs="Arial"/>
                <w:color w:val="000000"/>
                <w:sz w:val="17"/>
                <w:szCs w:val="17"/>
              </w:rPr>
              <w:t>1,139 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5" w14:textId="77777777" w:rsidR="009C6E2F" w:rsidRDefault="007972BE">
            <w:pPr>
              <w:jc w:val="right"/>
              <w:textAlignment w:val="bottom"/>
            </w:pPr>
            <w:r>
              <w:rPr>
                <w:rFonts w:ascii="Arial" w:eastAsia="宋体" w:hAnsi="Arial" w:cs="Arial"/>
                <w:color w:val="000000"/>
                <w:sz w:val="17"/>
                <w:szCs w:val="17"/>
              </w:rPr>
              <w:t>546 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9" w14:textId="77777777" w:rsidR="009C6E2F" w:rsidRDefault="007972BE">
            <w:pPr>
              <w:jc w:val="right"/>
              <w:textAlignment w:val="bottom"/>
            </w:pPr>
            <w:r>
              <w:rPr>
                <w:rFonts w:ascii="Arial" w:eastAsia="宋体" w:hAnsi="Arial" w:cs="Arial"/>
                <w:color w:val="000000"/>
                <w:sz w:val="17"/>
                <w:szCs w:val="17"/>
              </w:rPr>
              <w:t>4,310 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B" w14:textId="77777777" w:rsidR="009C6E2F" w:rsidRDefault="007972BE">
            <w:pPr>
              <w:jc w:val="right"/>
              <w:textAlignment w:val="bottom"/>
            </w:pPr>
            <w:r>
              <w:rPr>
                <w:rFonts w:ascii="Arial" w:eastAsia="宋体" w:hAnsi="Arial" w:cs="Arial"/>
                <w:color w:val="000000"/>
                <w:sz w:val="17"/>
                <w:szCs w:val="17"/>
              </w:rPr>
              <w:t>196 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D"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A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AF" w14:textId="77777777" w:rsidR="009C6E2F" w:rsidRDefault="007972BE">
            <w:pPr>
              <w:jc w:val="right"/>
              <w:textAlignment w:val="bottom"/>
            </w:pPr>
            <w:r>
              <w:rPr>
                <w:rFonts w:ascii="Arial" w:eastAsia="宋体" w:hAnsi="Arial" w:cs="Arial"/>
                <w:color w:val="000000"/>
                <w:sz w:val="17"/>
                <w:szCs w:val="17"/>
              </w:rPr>
              <w:t>4,506 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B0" w14:textId="77777777" w:rsidR="009C6E2F" w:rsidRDefault="009C6E2F">
            <w:pPr>
              <w:jc w:val="right"/>
              <w:rPr>
                <w:rFonts w:ascii="宋体"/>
              </w:rPr>
            </w:pPr>
          </w:p>
        </w:tc>
      </w:tr>
      <w:tr w:rsidR="009C6E2F" w14:paraId="2470CDC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DB2"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B3"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B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B5"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B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B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B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B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B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BB"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B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BD"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B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BF"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C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C1"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C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DC3"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DC4" w14:textId="77777777" w:rsidR="009C6E2F" w:rsidRDefault="009C6E2F">
            <w:pPr>
              <w:jc w:val="right"/>
              <w:rPr>
                <w:rFonts w:ascii="宋体"/>
              </w:rPr>
            </w:pPr>
          </w:p>
        </w:tc>
      </w:tr>
      <w:tr w:rsidR="009C6E2F" w14:paraId="2470CDE2"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DC6"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C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C8" w14:textId="77777777" w:rsidR="009C6E2F" w:rsidRDefault="007972BE">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C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C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CB" w14:textId="77777777" w:rsidR="009C6E2F" w:rsidRDefault="007972BE">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C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C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CE" w14:textId="77777777" w:rsidR="009C6E2F" w:rsidRDefault="007972BE">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C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D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D1" w14:textId="77777777" w:rsidR="009C6E2F" w:rsidRDefault="007972BE">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D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D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D4"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D5"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D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D7" w14:textId="77777777" w:rsidR="009C6E2F" w:rsidRDefault="007972BE">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D8"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D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DA" w14:textId="77777777" w:rsidR="009C6E2F" w:rsidRDefault="007972BE">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DB"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D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DD" w14:textId="77777777" w:rsidR="009C6E2F" w:rsidRDefault="007972BE">
            <w:pPr>
              <w:jc w:val="right"/>
              <w:textAlignment w:val="bottom"/>
            </w:pPr>
            <w:r>
              <w:rPr>
                <w:rFonts w:ascii="Arial" w:eastAsia="宋体" w:hAnsi="Arial" w:cs="Arial"/>
                <w:b/>
                <w:bCs/>
                <w:color w:val="000000"/>
                <w:sz w:val="17"/>
                <w:szCs w:val="17"/>
              </w:rPr>
              <w:t>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DE"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CDD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CDE0" w14:textId="77777777" w:rsidR="009C6E2F" w:rsidRDefault="007972BE">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CDE1" w14:textId="77777777" w:rsidR="009C6E2F" w:rsidRDefault="009C6E2F">
            <w:pPr>
              <w:jc w:val="right"/>
              <w:rPr>
                <w:rFonts w:ascii="宋体"/>
              </w:rPr>
            </w:pPr>
          </w:p>
        </w:tc>
      </w:tr>
    </w:tbl>
    <w:p w14:paraId="2470CDE3" w14:textId="77777777" w:rsidR="009C6E2F" w:rsidRDefault="009C6E2F">
      <w:pPr>
        <w:spacing w:before="100"/>
      </w:pPr>
    </w:p>
    <w:p w14:paraId="2470CDE4" w14:textId="77777777" w:rsidR="009C6E2F" w:rsidRDefault="007972BE">
      <w:pPr>
        <w:spacing w:before="120" w:after="120"/>
        <w:jc w:val="right"/>
      </w:pPr>
      <w:r>
        <w:rPr>
          <w:rFonts w:ascii="Arial" w:eastAsia="宋体" w:hAnsi="Arial" w:cs="Arial"/>
          <w:color w:val="E87722"/>
          <w:sz w:val="17"/>
          <w:szCs w:val="17"/>
        </w:rPr>
        <w:t>19</w:t>
      </w:r>
    </w:p>
    <w:p w14:paraId="2470CDE5" w14:textId="77777777" w:rsidR="009C6E2F" w:rsidRDefault="007972BE">
      <w:r>
        <w:pict w14:anchorId="2470E1F8">
          <v:rect id="_x0000_i1045" style="width:415.3pt;height:1.5pt" o:hralign="center" o:hrstd="t" o:hr="t" fillcolor="#a0a0a0" stroked="f"/>
        </w:pict>
      </w:r>
    </w:p>
    <w:p w14:paraId="2470CDE6" w14:textId="77777777" w:rsidR="009C6E2F" w:rsidRDefault="009C6E2F"/>
    <w:p w14:paraId="2470CDE7" w14:textId="77777777" w:rsidR="009C6E2F" w:rsidRDefault="007972BE">
      <w:hyperlink r:id="rId88" w:anchor="i9e023a7388204bdbacd6aa338988f838_7" w:history="1">
        <w:r>
          <w:rPr>
            <w:rStyle w:val="a5"/>
            <w:rFonts w:ascii="sans-serif" w:eastAsia="sans-serif" w:hAnsi="sans-serif" w:cs="sans-serif"/>
            <w:sz w:val="17"/>
            <w:szCs w:val="17"/>
          </w:rPr>
          <w:t>Table of Contents</w:t>
        </w:r>
      </w:hyperlink>
    </w:p>
    <w:p w14:paraId="2470CDE8" w14:textId="77777777" w:rsidR="009C6E2F" w:rsidRDefault="009C6E2F"/>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9C6E2F" w14:paraId="2470CE07" w14:textId="77777777">
        <w:tc>
          <w:tcPr>
            <w:tcW w:w="50" w:type="pct"/>
            <w:shd w:val="clear" w:color="auto" w:fill="auto"/>
            <w:vAlign w:val="bottom"/>
          </w:tcPr>
          <w:p w14:paraId="2470CDE9" w14:textId="77777777" w:rsidR="009C6E2F" w:rsidRDefault="009C6E2F">
            <w:pPr>
              <w:rPr>
                <w:rFonts w:ascii="宋体"/>
              </w:rPr>
            </w:pPr>
          </w:p>
        </w:tc>
        <w:tc>
          <w:tcPr>
            <w:tcW w:w="1110" w:type="pct"/>
            <w:shd w:val="clear" w:color="auto" w:fill="auto"/>
            <w:vAlign w:val="bottom"/>
          </w:tcPr>
          <w:p w14:paraId="2470CDEA" w14:textId="77777777" w:rsidR="009C6E2F" w:rsidRDefault="009C6E2F">
            <w:pPr>
              <w:rPr>
                <w:rFonts w:ascii="宋体"/>
              </w:rPr>
            </w:pPr>
          </w:p>
        </w:tc>
        <w:tc>
          <w:tcPr>
            <w:tcW w:w="5" w:type="pct"/>
            <w:shd w:val="clear" w:color="auto" w:fill="auto"/>
            <w:vAlign w:val="bottom"/>
          </w:tcPr>
          <w:p w14:paraId="2470CDEB" w14:textId="77777777" w:rsidR="009C6E2F" w:rsidRDefault="009C6E2F">
            <w:pPr>
              <w:rPr>
                <w:rFonts w:ascii="宋体"/>
              </w:rPr>
            </w:pPr>
          </w:p>
        </w:tc>
        <w:tc>
          <w:tcPr>
            <w:tcW w:w="50" w:type="pct"/>
            <w:shd w:val="clear" w:color="auto" w:fill="auto"/>
            <w:vAlign w:val="bottom"/>
          </w:tcPr>
          <w:p w14:paraId="2470CDEC" w14:textId="77777777" w:rsidR="009C6E2F" w:rsidRDefault="009C6E2F">
            <w:pPr>
              <w:rPr>
                <w:rFonts w:ascii="宋体"/>
              </w:rPr>
            </w:pPr>
          </w:p>
        </w:tc>
        <w:tc>
          <w:tcPr>
            <w:tcW w:w="353" w:type="pct"/>
            <w:shd w:val="clear" w:color="auto" w:fill="auto"/>
            <w:vAlign w:val="bottom"/>
          </w:tcPr>
          <w:p w14:paraId="2470CDED" w14:textId="77777777" w:rsidR="009C6E2F" w:rsidRDefault="009C6E2F">
            <w:pPr>
              <w:rPr>
                <w:rFonts w:ascii="宋体"/>
              </w:rPr>
            </w:pPr>
          </w:p>
        </w:tc>
        <w:tc>
          <w:tcPr>
            <w:tcW w:w="5" w:type="pct"/>
            <w:shd w:val="clear" w:color="auto" w:fill="auto"/>
            <w:vAlign w:val="bottom"/>
          </w:tcPr>
          <w:p w14:paraId="2470CDEE" w14:textId="77777777" w:rsidR="009C6E2F" w:rsidRDefault="009C6E2F">
            <w:pPr>
              <w:rPr>
                <w:rFonts w:ascii="宋体"/>
              </w:rPr>
            </w:pPr>
          </w:p>
        </w:tc>
        <w:tc>
          <w:tcPr>
            <w:tcW w:w="50" w:type="pct"/>
            <w:shd w:val="clear" w:color="auto" w:fill="auto"/>
            <w:vAlign w:val="bottom"/>
          </w:tcPr>
          <w:p w14:paraId="2470CDEF" w14:textId="77777777" w:rsidR="009C6E2F" w:rsidRDefault="009C6E2F">
            <w:pPr>
              <w:rPr>
                <w:rFonts w:ascii="宋体"/>
              </w:rPr>
            </w:pPr>
          </w:p>
        </w:tc>
        <w:tc>
          <w:tcPr>
            <w:tcW w:w="353" w:type="pct"/>
            <w:shd w:val="clear" w:color="auto" w:fill="auto"/>
            <w:vAlign w:val="bottom"/>
          </w:tcPr>
          <w:p w14:paraId="2470CDF0" w14:textId="77777777" w:rsidR="009C6E2F" w:rsidRDefault="009C6E2F">
            <w:pPr>
              <w:rPr>
                <w:rFonts w:ascii="宋体"/>
              </w:rPr>
            </w:pPr>
          </w:p>
        </w:tc>
        <w:tc>
          <w:tcPr>
            <w:tcW w:w="5" w:type="pct"/>
            <w:shd w:val="clear" w:color="auto" w:fill="auto"/>
            <w:vAlign w:val="bottom"/>
          </w:tcPr>
          <w:p w14:paraId="2470CDF1" w14:textId="77777777" w:rsidR="009C6E2F" w:rsidRDefault="009C6E2F">
            <w:pPr>
              <w:rPr>
                <w:rFonts w:ascii="宋体"/>
              </w:rPr>
            </w:pPr>
          </w:p>
        </w:tc>
        <w:tc>
          <w:tcPr>
            <w:tcW w:w="50" w:type="pct"/>
            <w:shd w:val="clear" w:color="auto" w:fill="auto"/>
            <w:vAlign w:val="bottom"/>
          </w:tcPr>
          <w:p w14:paraId="2470CDF2" w14:textId="77777777" w:rsidR="009C6E2F" w:rsidRDefault="009C6E2F">
            <w:pPr>
              <w:rPr>
                <w:rFonts w:ascii="宋体"/>
              </w:rPr>
            </w:pPr>
          </w:p>
        </w:tc>
        <w:tc>
          <w:tcPr>
            <w:tcW w:w="353" w:type="pct"/>
            <w:shd w:val="clear" w:color="auto" w:fill="auto"/>
            <w:vAlign w:val="bottom"/>
          </w:tcPr>
          <w:p w14:paraId="2470CDF3" w14:textId="77777777" w:rsidR="009C6E2F" w:rsidRDefault="009C6E2F">
            <w:pPr>
              <w:rPr>
                <w:rFonts w:ascii="宋体"/>
              </w:rPr>
            </w:pPr>
          </w:p>
        </w:tc>
        <w:tc>
          <w:tcPr>
            <w:tcW w:w="5" w:type="pct"/>
            <w:shd w:val="clear" w:color="auto" w:fill="auto"/>
            <w:vAlign w:val="bottom"/>
          </w:tcPr>
          <w:p w14:paraId="2470CDF4" w14:textId="77777777" w:rsidR="009C6E2F" w:rsidRDefault="009C6E2F">
            <w:pPr>
              <w:rPr>
                <w:rFonts w:ascii="宋体"/>
              </w:rPr>
            </w:pPr>
          </w:p>
        </w:tc>
        <w:tc>
          <w:tcPr>
            <w:tcW w:w="50" w:type="pct"/>
            <w:shd w:val="clear" w:color="auto" w:fill="auto"/>
            <w:vAlign w:val="bottom"/>
          </w:tcPr>
          <w:p w14:paraId="2470CDF5" w14:textId="77777777" w:rsidR="009C6E2F" w:rsidRDefault="009C6E2F">
            <w:pPr>
              <w:rPr>
                <w:rFonts w:ascii="宋体"/>
              </w:rPr>
            </w:pPr>
          </w:p>
        </w:tc>
        <w:tc>
          <w:tcPr>
            <w:tcW w:w="384" w:type="pct"/>
            <w:shd w:val="clear" w:color="auto" w:fill="auto"/>
            <w:vAlign w:val="bottom"/>
          </w:tcPr>
          <w:p w14:paraId="2470CDF6" w14:textId="77777777" w:rsidR="009C6E2F" w:rsidRDefault="009C6E2F">
            <w:pPr>
              <w:rPr>
                <w:rFonts w:ascii="宋体"/>
              </w:rPr>
            </w:pPr>
          </w:p>
        </w:tc>
        <w:tc>
          <w:tcPr>
            <w:tcW w:w="5" w:type="pct"/>
            <w:shd w:val="clear" w:color="auto" w:fill="auto"/>
            <w:vAlign w:val="bottom"/>
          </w:tcPr>
          <w:p w14:paraId="2470CDF7" w14:textId="77777777" w:rsidR="009C6E2F" w:rsidRDefault="009C6E2F">
            <w:pPr>
              <w:rPr>
                <w:rFonts w:ascii="宋体"/>
              </w:rPr>
            </w:pPr>
          </w:p>
        </w:tc>
        <w:tc>
          <w:tcPr>
            <w:tcW w:w="50" w:type="pct"/>
            <w:shd w:val="clear" w:color="auto" w:fill="auto"/>
            <w:vAlign w:val="bottom"/>
          </w:tcPr>
          <w:p w14:paraId="2470CDF8" w14:textId="77777777" w:rsidR="009C6E2F" w:rsidRDefault="009C6E2F">
            <w:pPr>
              <w:rPr>
                <w:rFonts w:ascii="宋体"/>
              </w:rPr>
            </w:pPr>
          </w:p>
        </w:tc>
        <w:tc>
          <w:tcPr>
            <w:tcW w:w="369" w:type="pct"/>
            <w:shd w:val="clear" w:color="auto" w:fill="auto"/>
            <w:vAlign w:val="bottom"/>
          </w:tcPr>
          <w:p w14:paraId="2470CDF9" w14:textId="77777777" w:rsidR="009C6E2F" w:rsidRDefault="009C6E2F">
            <w:pPr>
              <w:rPr>
                <w:rFonts w:ascii="宋体"/>
              </w:rPr>
            </w:pPr>
          </w:p>
        </w:tc>
        <w:tc>
          <w:tcPr>
            <w:tcW w:w="5" w:type="pct"/>
            <w:shd w:val="clear" w:color="auto" w:fill="auto"/>
            <w:vAlign w:val="bottom"/>
          </w:tcPr>
          <w:p w14:paraId="2470CDFA" w14:textId="77777777" w:rsidR="009C6E2F" w:rsidRDefault="009C6E2F">
            <w:pPr>
              <w:rPr>
                <w:rFonts w:ascii="宋体"/>
              </w:rPr>
            </w:pPr>
          </w:p>
        </w:tc>
        <w:tc>
          <w:tcPr>
            <w:tcW w:w="50" w:type="pct"/>
            <w:shd w:val="clear" w:color="auto" w:fill="auto"/>
            <w:vAlign w:val="bottom"/>
          </w:tcPr>
          <w:p w14:paraId="2470CDFB" w14:textId="77777777" w:rsidR="009C6E2F" w:rsidRDefault="009C6E2F">
            <w:pPr>
              <w:rPr>
                <w:rFonts w:ascii="宋体"/>
              </w:rPr>
            </w:pPr>
          </w:p>
        </w:tc>
        <w:tc>
          <w:tcPr>
            <w:tcW w:w="353" w:type="pct"/>
            <w:shd w:val="clear" w:color="auto" w:fill="auto"/>
            <w:vAlign w:val="bottom"/>
          </w:tcPr>
          <w:p w14:paraId="2470CDFC" w14:textId="77777777" w:rsidR="009C6E2F" w:rsidRDefault="009C6E2F">
            <w:pPr>
              <w:rPr>
                <w:rFonts w:ascii="宋体"/>
              </w:rPr>
            </w:pPr>
          </w:p>
        </w:tc>
        <w:tc>
          <w:tcPr>
            <w:tcW w:w="5" w:type="pct"/>
            <w:shd w:val="clear" w:color="auto" w:fill="auto"/>
            <w:vAlign w:val="bottom"/>
          </w:tcPr>
          <w:p w14:paraId="2470CDFD" w14:textId="77777777" w:rsidR="009C6E2F" w:rsidRDefault="009C6E2F">
            <w:pPr>
              <w:rPr>
                <w:rFonts w:ascii="宋体"/>
              </w:rPr>
            </w:pPr>
          </w:p>
        </w:tc>
        <w:tc>
          <w:tcPr>
            <w:tcW w:w="50" w:type="pct"/>
            <w:shd w:val="clear" w:color="auto" w:fill="auto"/>
            <w:vAlign w:val="bottom"/>
          </w:tcPr>
          <w:p w14:paraId="2470CDFE" w14:textId="77777777" w:rsidR="009C6E2F" w:rsidRDefault="009C6E2F">
            <w:pPr>
              <w:rPr>
                <w:rFonts w:ascii="宋体"/>
              </w:rPr>
            </w:pPr>
          </w:p>
        </w:tc>
        <w:tc>
          <w:tcPr>
            <w:tcW w:w="384" w:type="pct"/>
            <w:shd w:val="clear" w:color="auto" w:fill="auto"/>
            <w:vAlign w:val="bottom"/>
          </w:tcPr>
          <w:p w14:paraId="2470CDFF" w14:textId="77777777" w:rsidR="009C6E2F" w:rsidRDefault="009C6E2F">
            <w:pPr>
              <w:rPr>
                <w:rFonts w:ascii="宋体"/>
              </w:rPr>
            </w:pPr>
          </w:p>
        </w:tc>
        <w:tc>
          <w:tcPr>
            <w:tcW w:w="5" w:type="pct"/>
            <w:shd w:val="clear" w:color="auto" w:fill="auto"/>
            <w:vAlign w:val="bottom"/>
          </w:tcPr>
          <w:p w14:paraId="2470CE00" w14:textId="77777777" w:rsidR="009C6E2F" w:rsidRDefault="009C6E2F">
            <w:pPr>
              <w:rPr>
                <w:rFonts w:ascii="宋体"/>
              </w:rPr>
            </w:pPr>
          </w:p>
        </w:tc>
        <w:tc>
          <w:tcPr>
            <w:tcW w:w="50" w:type="pct"/>
            <w:shd w:val="clear" w:color="auto" w:fill="auto"/>
            <w:vAlign w:val="bottom"/>
          </w:tcPr>
          <w:p w14:paraId="2470CE01" w14:textId="77777777" w:rsidR="009C6E2F" w:rsidRDefault="009C6E2F">
            <w:pPr>
              <w:rPr>
                <w:rFonts w:ascii="宋体"/>
              </w:rPr>
            </w:pPr>
          </w:p>
        </w:tc>
        <w:tc>
          <w:tcPr>
            <w:tcW w:w="431" w:type="pct"/>
            <w:shd w:val="clear" w:color="auto" w:fill="auto"/>
            <w:vAlign w:val="bottom"/>
          </w:tcPr>
          <w:p w14:paraId="2470CE02" w14:textId="77777777" w:rsidR="009C6E2F" w:rsidRDefault="009C6E2F">
            <w:pPr>
              <w:rPr>
                <w:rFonts w:ascii="宋体"/>
              </w:rPr>
            </w:pPr>
          </w:p>
        </w:tc>
        <w:tc>
          <w:tcPr>
            <w:tcW w:w="5" w:type="pct"/>
            <w:shd w:val="clear" w:color="auto" w:fill="auto"/>
            <w:vAlign w:val="bottom"/>
          </w:tcPr>
          <w:p w14:paraId="2470CE03" w14:textId="77777777" w:rsidR="009C6E2F" w:rsidRDefault="009C6E2F">
            <w:pPr>
              <w:rPr>
                <w:rFonts w:ascii="宋体"/>
              </w:rPr>
            </w:pPr>
          </w:p>
        </w:tc>
        <w:tc>
          <w:tcPr>
            <w:tcW w:w="50" w:type="pct"/>
            <w:shd w:val="clear" w:color="auto" w:fill="auto"/>
            <w:vAlign w:val="bottom"/>
          </w:tcPr>
          <w:p w14:paraId="2470CE04" w14:textId="77777777" w:rsidR="009C6E2F" w:rsidRDefault="009C6E2F">
            <w:pPr>
              <w:rPr>
                <w:rFonts w:ascii="宋体"/>
              </w:rPr>
            </w:pPr>
          </w:p>
        </w:tc>
        <w:tc>
          <w:tcPr>
            <w:tcW w:w="354" w:type="pct"/>
            <w:shd w:val="clear" w:color="auto" w:fill="auto"/>
            <w:vAlign w:val="bottom"/>
          </w:tcPr>
          <w:p w14:paraId="2470CE05" w14:textId="77777777" w:rsidR="009C6E2F" w:rsidRDefault="009C6E2F">
            <w:pPr>
              <w:rPr>
                <w:rFonts w:ascii="宋体"/>
              </w:rPr>
            </w:pPr>
          </w:p>
        </w:tc>
        <w:tc>
          <w:tcPr>
            <w:tcW w:w="5" w:type="pct"/>
            <w:shd w:val="clear" w:color="auto" w:fill="auto"/>
            <w:vAlign w:val="bottom"/>
          </w:tcPr>
          <w:p w14:paraId="2470CE06" w14:textId="77777777" w:rsidR="009C6E2F" w:rsidRDefault="009C6E2F">
            <w:pPr>
              <w:rPr>
                <w:rFonts w:ascii="宋体"/>
              </w:rPr>
            </w:pPr>
          </w:p>
        </w:tc>
      </w:tr>
      <w:tr w:rsidR="009C6E2F" w14:paraId="2470CE0A" w14:textId="77777777">
        <w:tc>
          <w:tcPr>
            <w:tcW w:w="0" w:type="auto"/>
            <w:gridSpan w:val="3"/>
            <w:shd w:val="clear" w:color="auto" w:fill="auto"/>
            <w:tcMar>
              <w:top w:w="0" w:type="dxa"/>
              <w:left w:w="20" w:type="dxa"/>
              <w:bottom w:w="0" w:type="dxa"/>
              <w:right w:w="20" w:type="dxa"/>
            </w:tcMar>
            <w:vAlign w:val="bottom"/>
          </w:tcPr>
          <w:p w14:paraId="2470CE08" w14:textId="77777777" w:rsidR="009C6E2F" w:rsidRDefault="009C6E2F">
            <w:pPr>
              <w:rPr>
                <w:rFonts w:ascii="宋体"/>
              </w:rPr>
            </w:pPr>
          </w:p>
        </w:tc>
        <w:tc>
          <w:tcPr>
            <w:tcW w:w="0" w:type="auto"/>
            <w:gridSpan w:val="27"/>
            <w:shd w:val="clear" w:color="auto" w:fill="auto"/>
            <w:tcMar>
              <w:top w:w="40" w:type="dxa"/>
              <w:left w:w="20" w:type="dxa"/>
              <w:bottom w:w="40" w:type="dxa"/>
              <w:right w:w="20" w:type="dxa"/>
            </w:tcMar>
            <w:vAlign w:val="bottom"/>
          </w:tcPr>
          <w:p w14:paraId="2470CE09" w14:textId="77777777" w:rsidR="009C6E2F" w:rsidRDefault="007972BE">
            <w:pPr>
              <w:jc w:val="center"/>
              <w:textAlignment w:val="bottom"/>
            </w:pPr>
            <w:r>
              <w:rPr>
                <w:rFonts w:ascii="sans-serif" w:eastAsia="sans-serif" w:hAnsi="sans-serif" w:cs="sans-serif"/>
                <w:b/>
                <w:bCs/>
                <w:color w:val="000000"/>
                <w:sz w:val="17"/>
                <w:szCs w:val="17"/>
              </w:rPr>
              <w:t>SIX MONTHS ENDED NOVEMBER 30, 2021</w:t>
            </w:r>
          </w:p>
        </w:tc>
      </w:tr>
      <w:tr w:rsidR="009C6E2F" w14:paraId="2470CE15" w14:textId="77777777">
        <w:tc>
          <w:tcPr>
            <w:tcW w:w="0" w:type="auto"/>
            <w:gridSpan w:val="3"/>
            <w:shd w:val="clear" w:color="auto" w:fill="auto"/>
            <w:tcMar>
              <w:top w:w="40" w:type="dxa"/>
              <w:left w:w="20" w:type="dxa"/>
              <w:bottom w:w="40" w:type="dxa"/>
              <w:right w:w="20" w:type="dxa"/>
            </w:tcMar>
            <w:vAlign w:val="bottom"/>
          </w:tcPr>
          <w:p w14:paraId="2470CE0B"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0C" w14:textId="77777777" w:rsidR="009C6E2F" w:rsidRDefault="007972BE">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0D" w14:textId="77777777" w:rsidR="009C6E2F" w:rsidRDefault="007972BE">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0E" w14:textId="77777777" w:rsidR="009C6E2F" w:rsidRDefault="007972BE">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0F" w14:textId="77777777" w:rsidR="009C6E2F" w:rsidRDefault="007972BE">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10" w14:textId="77777777" w:rsidR="009C6E2F" w:rsidRDefault="007972BE">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11" w14:textId="77777777" w:rsidR="009C6E2F" w:rsidRDefault="007972BE">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12" w14:textId="77777777" w:rsidR="009C6E2F" w:rsidRDefault="007972BE">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13" w14:textId="77777777" w:rsidR="009C6E2F" w:rsidRDefault="007972BE">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14" w14:textId="77777777" w:rsidR="009C6E2F" w:rsidRDefault="007972BE">
            <w:pPr>
              <w:jc w:val="right"/>
              <w:textAlignment w:val="bottom"/>
            </w:pPr>
            <w:r>
              <w:rPr>
                <w:rFonts w:ascii="sans-serif" w:eastAsia="sans-serif" w:hAnsi="sans-serif" w:cs="sans-serif"/>
                <w:b/>
                <w:bCs/>
                <w:color w:val="000000"/>
                <w:sz w:val="17"/>
                <w:szCs w:val="17"/>
              </w:rPr>
              <w:t>TOTAL NIKE, INC.</w:t>
            </w:r>
          </w:p>
        </w:tc>
      </w:tr>
      <w:tr w:rsidR="009C6E2F" w14:paraId="2470CE2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16"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7"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8"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9"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A"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B"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C"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D"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E"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1F" w14:textId="77777777" w:rsidR="009C6E2F" w:rsidRDefault="009C6E2F">
            <w:pPr>
              <w:rPr>
                <w:rFonts w:ascii="宋体"/>
              </w:rPr>
            </w:pPr>
          </w:p>
        </w:tc>
      </w:tr>
      <w:tr w:rsidR="009C6E2F" w14:paraId="2470CE3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E21"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E2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23" w14:textId="77777777" w:rsidR="009C6E2F" w:rsidRDefault="007972BE">
            <w:pPr>
              <w:jc w:val="right"/>
              <w:textAlignment w:val="bottom"/>
            </w:pPr>
            <w:r>
              <w:rPr>
                <w:rFonts w:ascii="Arial" w:eastAsia="宋体" w:hAnsi="Arial" w:cs="Arial"/>
                <w:color w:val="000000"/>
                <w:sz w:val="17"/>
                <w:szCs w:val="17"/>
              </w:rPr>
              <w:t>6,116 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24"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2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26" w14:textId="77777777" w:rsidR="009C6E2F" w:rsidRDefault="007972BE">
            <w:pPr>
              <w:jc w:val="right"/>
              <w:textAlignment w:val="bottom"/>
            </w:pPr>
            <w:r>
              <w:rPr>
                <w:rFonts w:ascii="Arial" w:eastAsia="宋体" w:hAnsi="Arial" w:cs="Arial"/>
                <w:color w:val="000000"/>
                <w:sz w:val="17"/>
                <w:szCs w:val="17"/>
              </w:rPr>
              <w:t>3,789 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27"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2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29" w14:textId="77777777" w:rsidR="009C6E2F" w:rsidRDefault="007972BE">
            <w:pPr>
              <w:jc w:val="right"/>
              <w:textAlignment w:val="bottom"/>
            </w:pPr>
            <w:r>
              <w:rPr>
                <w:rFonts w:ascii="Arial" w:eastAsia="宋体" w:hAnsi="Arial" w:cs="Arial"/>
                <w:color w:val="000000"/>
                <w:sz w:val="17"/>
                <w:szCs w:val="17"/>
              </w:rPr>
              <w:t>2,684 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2A"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2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2C" w14:textId="77777777" w:rsidR="009C6E2F" w:rsidRDefault="007972BE">
            <w:pPr>
              <w:jc w:val="right"/>
              <w:textAlignment w:val="bottom"/>
            </w:pPr>
            <w:r>
              <w:rPr>
                <w:rFonts w:ascii="Arial" w:eastAsia="宋体" w:hAnsi="Arial" w:cs="Arial"/>
                <w:color w:val="000000"/>
                <w:sz w:val="17"/>
                <w:szCs w:val="17"/>
              </w:rPr>
              <w:t>1,909 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2D"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2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2F"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30"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3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32" w14:textId="77777777" w:rsidR="009C6E2F" w:rsidRDefault="007972BE">
            <w:pPr>
              <w:jc w:val="right"/>
              <w:textAlignment w:val="bottom"/>
            </w:pPr>
            <w:r>
              <w:rPr>
                <w:rFonts w:ascii="Arial" w:eastAsia="宋体" w:hAnsi="Arial" w:cs="Arial"/>
                <w:color w:val="000000"/>
                <w:sz w:val="17"/>
                <w:szCs w:val="17"/>
              </w:rPr>
              <w:t>14,498 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33"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3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35" w14:textId="77777777" w:rsidR="009C6E2F" w:rsidRDefault="007972BE">
            <w:pPr>
              <w:jc w:val="right"/>
              <w:textAlignment w:val="bottom"/>
            </w:pPr>
            <w:r>
              <w:rPr>
                <w:rFonts w:ascii="Arial" w:eastAsia="宋体" w:hAnsi="Arial" w:cs="Arial"/>
                <w:color w:val="000000"/>
                <w:sz w:val="17"/>
                <w:szCs w:val="17"/>
              </w:rPr>
              <w:t>1,052 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36"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3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3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39"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3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3B" w14:textId="77777777" w:rsidR="009C6E2F" w:rsidRDefault="007972BE">
            <w:pPr>
              <w:jc w:val="right"/>
              <w:textAlignment w:val="bottom"/>
            </w:pPr>
            <w:r>
              <w:rPr>
                <w:rFonts w:ascii="Arial" w:eastAsia="宋体" w:hAnsi="Arial" w:cs="Arial"/>
                <w:color w:val="000000"/>
                <w:sz w:val="17"/>
                <w:szCs w:val="17"/>
              </w:rPr>
              <w:t>15,550 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3C" w14:textId="77777777" w:rsidR="009C6E2F" w:rsidRDefault="009C6E2F">
            <w:pPr>
              <w:jc w:val="right"/>
              <w:rPr>
                <w:rFonts w:ascii="宋体"/>
              </w:rPr>
            </w:pPr>
          </w:p>
        </w:tc>
      </w:tr>
      <w:tr w:rsidR="009C6E2F" w14:paraId="2470CE5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E3E"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3F" w14:textId="77777777" w:rsidR="009C6E2F" w:rsidRDefault="007972BE">
            <w:pPr>
              <w:jc w:val="right"/>
              <w:textAlignment w:val="bottom"/>
            </w:pPr>
            <w:r>
              <w:rPr>
                <w:rFonts w:ascii="Arial" w:eastAsia="宋体" w:hAnsi="Arial" w:cs="Arial"/>
                <w:color w:val="000000"/>
                <w:sz w:val="17"/>
                <w:szCs w:val="17"/>
              </w:rPr>
              <w:t>2,910 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1" w14:textId="77777777" w:rsidR="009C6E2F" w:rsidRDefault="007972BE">
            <w:pPr>
              <w:jc w:val="right"/>
              <w:textAlignment w:val="bottom"/>
            </w:pPr>
            <w:r>
              <w:rPr>
                <w:rFonts w:ascii="Arial" w:eastAsia="宋体" w:hAnsi="Arial" w:cs="Arial"/>
                <w:color w:val="000000"/>
                <w:sz w:val="17"/>
                <w:szCs w:val="17"/>
              </w:rPr>
              <w:t>2,361 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2"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3" w14:textId="77777777" w:rsidR="009C6E2F" w:rsidRDefault="007972BE">
            <w:pPr>
              <w:jc w:val="right"/>
              <w:textAlignment w:val="bottom"/>
            </w:pPr>
            <w:r>
              <w:rPr>
                <w:rFonts w:ascii="Arial" w:eastAsia="宋体" w:hAnsi="Arial" w:cs="Arial"/>
                <w:color w:val="000000"/>
                <w:sz w:val="17"/>
                <w:szCs w:val="17"/>
              </w:rPr>
              <w:t>1,040 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4"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5" w14:textId="77777777" w:rsidR="009C6E2F" w:rsidRDefault="007972BE">
            <w:pPr>
              <w:jc w:val="right"/>
              <w:textAlignment w:val="bottom"/>
            </w:pPr>
            <w:r>
              <w:rPr>
                <w:rFonts w:ascii="Arial" w:eastAsia="宋体" w:hAnsi="Arial" w:cs="Arial"/>
                <w:color w:val="000000"/>
                <w:sz w:val="17"/>
                <w:szCs w:val="17"/>
              </w:rPr>
              <w:t>787 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6"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9" w14:textId="77777777" w:rsidR="009C6E2F" w:rsidRDefault="007972BE">
            <w:pPr>
              <w:jc w:val="right"/>
              <w:textAlignment w:val="bottom"/>
            </w:pPr>
            <w:r>
              <w:rPr>
                <w:rFonts w:ascii="Arial" w:eastAsia="宋体" w:hAnsi="Arial" w:cs="Arial"/>
                <w:color w:val="000000"/>
                <w:sz w:val="17"/>
                <w:szCs w:val="17"/>
              </w:rPr>
              <w:t>7,098 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B" w14:textId="77777777" w:rsidR="009C6E2F" w:rsidRDefault="007972BE">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C"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D"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4E"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4F" w14:textId="77777777" w:rsidR="009C6E2F" w:rsidRDefault="007972BE">
            <w:pPr>
              <w:jc w:val="right"/>
              <w:textAlignment w:val="bottom"/>
            </w:pPr>
            <w:r>
              <w:rPr>
                <w:rFonts w:ascii="Arial" w:eastAsia="宋体" w:hAnsi="Arial" w:cs="Arial"/>
                <w:color w:val="000000"/>
                <w:sz w:val="17"/>
                <w:szCs w:val="17"/>
              </w:rPr>
              <w:t>7,156 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50" w14:textId="77777777" w:rsidR="009C6E2F" w:rsidRDefault="009C6E2F">
            <w:pPr>
              <w:jc w:val="right"/>
              <w:rPr>
                <w:rFonts w:ascii="宋体"/>
              </w:rPr>
            </w:pPr>
          </w:p>
        </w:tc>
      </w:tr>
      <w:tr w:rsidR="009C6E2F" w14:paraId="2470CE6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E52"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53" w14:textId="77777777" w:rsidR="009C6E2F" w:rsidRDefault="007972BE">
            <w:pPr>
              <w:jc w:val="right"/>
              <w:textAlignment w:val="bottom"/>
            </w:pPr>
            <w:r>
              <w:rPr>
                <w:rFonts w:ascii="Arial" w:eastAsia="宋体" w:hAnsi="Arial" w:cs="Arial"/>
                <w:color w:val="000000"/>
                <w:sz w:val="17"/>
                <w:szCs w:val="17"/>
              </w:rPr>
              <w:t>330 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54"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55" w14:textId="77777777" w:rsidR="009C6E2F" w:rsidRDefault="007972BE">
            <w:pPr>
              <w:jc w:val="right"/>
              <w:textAlignment w:val="bottom"/>
            </w:pPr>
            <w:r>
              <w:rPr>
                <w:rFonts w:ascii="Arial" w:eastAsia="宋体" w:hAnsi="Arial" w:cs="Arial"/>
                <w:color w:val="000000"/>
                <w:sz w:val="17"/>
                <w:szCs w:val="17"/>
              </w:rPr>
              <w:t>299 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56"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57" w14:textId="77777777" w:rsidR="009C6E2F" w:rsidRDefault="007972BE">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5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59" w14:textId="77777777" w:rsidR="009C6E2F" w:rsidRDefault="007972BE">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5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5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5C"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5D" w14:textId="77777777" w:rsidR="009C6E2F" w:rsidRDefault="007972BE">
            <w:pPr>
              <w:jc w:val="right"/>
              <w:textAlignment w:val="bottom"/>
            </w:pPr>
            <w:r>
              <w:rPr>
                <w:rFonts w:ascii="Arial" w:eastAsia="宋体" w:hAnsi="Arial" w:cs="Arial"/>
                <w:color w:val="000000"/>
                <w:sz w:val="17"/>
                <w:szCs w:val="17"/>
              </w:rPr>
              <w:t>847 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5E"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5F"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6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61"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62"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63" w14:textId="77777777" w:rsidR="009C6E2F" w:rsidRDefault="007972BE">
            <w:pPr>
              <w:jc w:val="right"/>
              <w:textAlignment w:val="bottom"/>
            </w:pPr>
            <w:r>
              <w:rPr>
                <w:rFonts w:ascii="Arial" w:eastAsia="宋体" w:hAnsi="Arial" w:cs="Arial"/>
                <w:color w:val="000000"/>
                <w:sz w:val="17"/>
                <w:szCs w:val="17"/>
              </w:rPr>
              <w:t>861 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64" w14:textId="77777777" w:rsidR="009C6E2F" w:rsidRDefault="009C6E2F">
            <w:pPr>
              <w:jc w:val="right"/>
              <w:rPr>
                <w:rFonts w:ascii="宋体"/>
              </w:rPr>
            </w:pPr>
          </w:p>
        </w:tc>
      </w:tr>
      <w:tr w:rsidR="009C6E2F" w14:paraId="2470CE7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E66"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6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68"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6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6A"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6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6C"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6D"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6E"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6F"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70"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71"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72"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73" w14:textId="77777777" w:rsidR="009C6E2F" w:rsidRDefault="007972BE">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74"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75"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76"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77" w14:textId="77777777" w:rsidR="009C6E2F" w:rsidRDefault="007972BE">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78" w14:textId="77777777" w:rsidR="009C6E2F" w:rsidRDefault="009C6E2F">
            <w:pPr>
              <w:jc w:val="right"/>
              <w:rPr>
                <w:rFonts w:ascii="宋体"/>
              </w:rPr>
            </w:pPr>
          </w:p>
        </w:tc>
      </w:tr>
      <w:tr w:rsidR="009C6E2F" w14:paraId="2470CE9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7A"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CE7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7C" w14:textId="77777777" w:rsidR="009C6E2F" w:rsidRDefault="007972BE">
            <w:pPr>
              <w:jc w:val="right"/>
              <w:textAlignment w:val="bottom"/>
            </w:pPr>
            <w:r>
              <w:rPr>
                <w:rFonts w:ascii="Arial" w:eastAsia="宋体" w:hAnsi="Arial" w:cs="Arial"/>
                <w:b/>
                <w:bCs/>
                <w:color w:val="000000"/>
                <w:sz w:val="17"/>
                <w:szCs w:val="17"/>
              </w:rPr>
              <w:t>9,356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7D"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7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7F" w14:textId="77777777" w:rsidR="009C6E2F" w:rsidRDefault="007972BE">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80"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8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82" w14:textId="77777777" w:rsidR="009C6E2F" w:rsidRDefault="007972BE">
            <w:pPr>
              <w:jc w:val="right"/>
              <w:textAlignment w:val="bottom"/>
            </w:pPr>
            <w:r>
              <w:rPr>
                <w:rFonts w:ascii="Arial" w:eastAsia="宋体" w:hAnsi="Arial" w:cs="Arial"/>
                <w:b/>
                <w:bCs/>
                <w:color w:val="000000"/>
                <w:sz w:val="17"/>
                <w:szCs w:val="17"/>
              </w:rPr>
              <w:t>3,826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83"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8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85" w14:textId="77777777" w:rsidR="009C6E2F" w:rsidRDefault="007972BE">
            <w:pPr>
              <w:jc w:val="right"/>
              <w:textAlignment w:val="bottom"/>
            </w:pPr>
            <w:r>
              <w:rPr>
                <w:rFonts w:ascii="Arial" w:eastAsia="宋体" w:hAnsi="Arial" w:cs="Arial"/>
                <w:b/>
                <w:bCs/>
                <w:color w:val="000000"/>
                <w:sz w:val="17"/>
                <w:szCs w:val="17"/>
              </w:rPr>
              <w:t>2,812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86"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8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88" w14:textId="77777777" w:rsidR="009C6E2F" w:rsidRDefault="007972BE">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89"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8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8B" w14:textId="77777777" w:rsidR="009C6E2F" w:rsidRDefault="007972BE">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8C"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8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8E" w14:textId="77777777" w:rsidR="009C6E2F" w:rsidRDefault="007972BE">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8F"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9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91" w14:textId="77777777" w:rsidR="009C6E2F" w:rsidRDefault="007972BE">
            <w:pPr>
              <w:jc w:val="right"/>
              <w:textAlignment w:val="bottom"/>
            </w:pPr>
            <w:r>
              <w:rPr>
                <w:rFonts w:ascii="Arial" w:eastAsia="宋体" w:hAnsi="Arial" w:cs="Arial"/>
                <w:b/>
                <w:bCs/>
                <w:color w:val="000000"/>
                <w:sz w:val="17"/>
                <w:szCs w:val="17"/>
              </w:rPr>
              <w:t>(37)</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92"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CE9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CE94" w14:textId="77777777" w:rsidR="009C6E2F" w:rsidRDefault="007972BE">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CE95" w14:textId="77777777" w:rsidR="009C6E2F" w:rsidRDefault="009C6E2F">
            <w:pPr>
              <w:jc w:val="right"/>
              <w:rPr>
                <w:rFonts w:ascii="宋体"/>
              </w:rPr>
            </w:pPr>
          </w:p>
        </w:tc>
      </w:tr>
      <w:tr w:rsidR="009C6E2F" w14:paraId="2470CEA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E97"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8"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9"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A"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B"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C"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D"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E"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9F"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CEA0" w14:textId="77777777" w:rsidR="009C6E2F" w:rsidRDefault="009C6E2F">
            <w:pPr>
              <w:rPr>
                <w:rFonts w:ascii="宋体"/>
              </w:rPr>
            </w:pPr>
          </w:p>
        </w:tc>
      </w:tr>
      <w:tr w:rsidR="009C6E2F" w14:paraId="2470CEB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EA2"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CEA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A4" w14:textId="77777777" w:rsidR="009C6E2F" w:rsidRDefault="007972BE">
            <w:pPr>
              <w:jc w:val="right"/>
              <w:textAlignment w:val="bottom"/>
            </w:pPr>
            <w:r>
              <w:rPr>
                <w:rFonts w:ascii="Arial" w:eastAsia="宋体" w:hAnsi="Arial" w:cs="Arial"/>
                <w:color w:val="000000"/>
                <w:sz w:val="17"/>
                <w:szCs w:val="17"/>
              </w:rPr>
              <w:t>5,005 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A5"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A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A7" w14:textId="77777777" w:rsidR="009C6E2F" w:rsidRDefault="007972BE">
            <w:pPr>
              <w:jc w:val="right"/>
              <w:textAlignment w:val="bottom"/>
            </w:pPr>
            <w:r>
              <w:rPr>
                <w:rFonts w:ascii="Arial" w:eastAsia="宋体" w:hAnsi="Arial" w:cs="Arial"/>
                <w:color w:val="000000"/>
                <w:sz w:val="17"/>
                <w:szCs w:val="17"/>
              </w:rPr>
              <w:t>4,336 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A8"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A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AA" w14:textId="77777777" w:rsidR="009C6E2F" w:rsidRDefault="007972BE">
            <w:pPr>
              <w:jc w:val="right"/>
              <w:textAlignment w:val="bottom"/>
            </w:pPr>
            <w:r>
              <w:rPr>
                <w:rFonts w:ascii="Arial" w:eastAsia="宋体" w:hAnsi="Arial" w:cs="Arial"/>
                <w:color w:val="000000"/>
                <w:sz w:val="17"/>
                <w:szCs w:val="17"/>
              </w:rPr>
              <w:t>2,010 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AB"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A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AD" w14:textId="77777777" w:rsidR="009C6E2F" w:rsidRDefault="007972BE">
            <w:pPr>
              <w:jc w:val="right"/>
              <w:textAlignment w:val="bottom"/>
            </w:pPr>
            <w:r>
              <w:rPr>
                <w:rFonts w:ascii="Arial" w:eastAsia="宋体" w:hAnsi="Arial" w:cs="Arial"/>
                <w:color w:val="000000"/>
                <w:sz w:val="17"/>
                <w:szCs w:val="17"/>
              </w:rPr>
              <w:t>1,711 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AE"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A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B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B1"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B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B3" w14:textId="77777777" w:rsidR="009C6E2F" w:rsidRDefault="007972BE">
            <w:pPr>
              <w:jc w:val="right"/>
              <w:textAlignment w:val="bottom"/>
            </w:pPr>
            <w:r>
              <w:rPr>
                <w:rFonts w:ascii="Arial" w:eastAsia="宋体" w:hAnsi="Arial" w:cs="Arial"/>
                <w:color w:val="000000"/>
                <w:sz w:val="17"/>
                <w:szCs w:val="17"/>
              </w:rPr>
              <w:t>13,062 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B4"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B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B6" w14:textId="77777777" w:rsidR="009C6E2F" w:rsidRDefault="007972BE">
            <w:pPr>
              <w:jc w:val="right"/>
              <w:textAlignment w:val="bottom"/>
            </w:pPr>
            <w:r>
              <w:rPr>
                <w:rFonts w:ascii="Arial" w:eastAsia="宋体" w:hAnsi="Arial" w:cs="Arial"/>
                <w:color w:val="000000"/>
                <w:sz w:val="17"/>
                <w:szCs w:val="17"/>
              </w:rPr>
              <w:t>672 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B7"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B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B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BA"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CEB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CEBC" w14:textId="77777777" w:rsidR="009C6E2F" w:rsidRDefault="007972BE">
            <w:pPr>
              <w:jc w:val="right"/>
              <w:textAlignment w:val="bottom"/>
            </w:pPr>
            <w:r>
              <w:rPr>
                <w:rFonts w:ascii="Arial" w:eastAsia="宋体" w:hAnsi="Arial" w:cs="Arial"/>
                <w:color w:val="000000"/>
                <w:sz w:val="17"/>
                <w:szCs w:val="17"/>
              </w:rPr>
              <w:t>13,734 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BD" w14:textId="77777777" w:rsidR="009C6E2F" w:rsidRDefault="009C6E2F">
            <w:pPr>
              <w:jc w:val="right"/>
              <w:rPr>
                <w:rFonts w:ascii="宋体"/>
              </w:rPr>
            </w:pPr>
          </w:p>
        </w:tc>
      </w:tr>
      <w:tr w:rsidR="009C6E2F" w14:paraId="2470CED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EBF" w14:textId="77777777" w:rsidR="009C6E2F" w:rsidRDefault="007972BE">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0" w14:textId="77777777" w:rsidR="009C6E2F" w:rsidRDefault="007972BE">
            <w:pPr>
              <w:jc w:val="right"/>
              <w:textAlignment w:val="bottom"/>
            </w:pPr>
            <w:r>
              <w:rPr>
                <w:rFonts w:ascii="Arial" w:eastAsia="宋体" w:hAnsi="Arial" w:cs="Arial"/>
                <w:color w:val="000000"/>
                <w:sz w:val="17"/>
                <w:szCs w:val="17"/>
              </w:rPr>
              <w:t>4,351 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2" w14:textId="77777777" w:rsidR="009C6E2F" w:rsidRDefault="007972BE">
            <w:pPr>
              <w:jc w:val="right"/>
              <w:textAlignment w:val="bottom"/>
            </w:pPr>
            <w:r>
              <w:rPr>
                <w:rFonts w:ascii="Arial" w:eastAsia="宋体" w:hAnsi="Arial" w:cs="Arial"/>
                <w:color w:val="000000"/>
                <w:sz w:val="17"/>
                <w:szCs w:val="17"/>
              </w:rPr>
              <w:t>2,113 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4" w14:textId="77777777" w:rsidR="009C6E2F" w:rsidRDefault="007972BE">
            <w:pPr>
              <w:jc w:val="right"/>
              <w:textAlignment w:val="bottom"/>
            </w:pPr>
            <w:r>
              <w:rPr>
                <w:rFonts w:ascii="Arial" w:eastAsia="宋体" w:hAnsi="Arial" w:cs="Arial"/>
                <w:color w:val="000000"/>
                <w:sz w:val="17"/>
                <w:szCs w:val="17"/>
              </w:rPr>
              <w:t>1,816 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6" w14:textId="77777777" w:rsidR="009C6E2F" w:rsidRDefault="007972BE">
            <w:pPr>
              <w:jc w:val="right"/>
              <w:textAlignment w:val="bottom"/>
            </w:pPr>
            <w:r>
              <w:rPr>
                <w:rFonts w:ascii="Arial" w:eastAsia="宋体" w:hAnsi="Arial" w:cs="Arial"/>
                <w:color w:val="000000"/>
                <w:sz w:val="17"/>
                <w:szCs w:val="17"/>
              </w:rPr>
              <w:t>1,101 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7"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9"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A" w14:textId="77777777" w:rsidR="009C6E2F" w:rsidRDefault="007972BE">
            <w:pPr>
              <w:jc w:val="right"/>
              <w:textAlignment w:val="bottom"/>
            </w:pPr>
            <w:r>
              <w:rPr>
                <w:rFonts w:ascii="Arial" w:eastAsia="宋体" w:hAnsi="Arial" w:cs="Arial"/>
                <w:color w:val="000000"/>
                <w:sz w:val="17"/>
                <w:szCs w:val="17"/>
              </w:rPr>
              <w:t>9,381 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C" w14:textId="77777777" w:rsidR="009C6E2F" w:rsidRDefault="007972BE">
            <w:pPr>
              <w:jc w:val="right"/>
              <w:textAlignment w:val="bottom"/>
            </w:pPr>
            <w:r>
              <w:rPr>
                <w:rFonts w:ascii="Arial" w:eastAsia="宋体" w:hAnsi="Arial" w:cs="Arial"/>
                <w:color w:val="000000"/>
                <w:sz w:val="17"/>
                <w:szCs w:val="17"/>
              </w:rPr>
              <w:t>452 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C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C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D0" w14:textId="77777777" w:rsidR="009C6E2F" w:rsidRDefault="007972BE">
            <w:pPr>
              <w:jc w:val="right"/>
              <w:textAlignment w:val="bottom"/>
            </w:pPr>
            <w:r>
              <w:rPr>
                <w:rFonts w:ascii="Arial" w:eastAsia="宋体" w:hAnsi="Arial" w:cs="Arial"/>
                <w:color w:val="000000"/>
                <w:sz w:val="17"/>
                <w:szCs w:val="17"/>
              </w:rPr>
              <w:t>9,833 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D1" w14:textId="77777777" w:rsidR="009C6E2F" w:rsidRDefault="009C6E2F">
            <w:pPr>
              <w:jc w:val="right"/>
              <w:rPr>
                <w:rFonts w:ascii="宋体"/>
              </w:rPr>
            </w:pPr>
          </w:p>
        </w:tc>
      </w:tr>
      <w:tr w:rsidR="009C6E2F" w14:paraId="2470CEE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ED3"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D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D5"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D6"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D7"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D8"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D9"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D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DB"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DC"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DD"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DE"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DF"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E0" w14:textId="77777777" w:rsidR="009C6E2F" w:rsidRDefault="007972BE">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E1"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E2"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E3" w14:textId="77777777" w:rsidR="009C6E2F" w:rsidRDefault="009C6E2F">
            <w:pPr>
              <w:jc w:val="right"/>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CEE4" w14:textId="77777777" w:rsidR="009C6E2F" w:rsidRDefault="007972BE">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CEE5" w14:textId="77777777" w:rsidR="009C6E2F" w:rsidRDefault="009C6E2F">
            <w:pPr>
              <w:jc w:val="right"/>
              <w:rPr>
                <w:rFonts w:ascii="宋体"/>
              </w:rPr>
            </w:pPr>
          </w:p>
        </w:tc>
      </w:tr>
      <w:tr w:rsidR="009C6E2F" w14:paraId="2470CF0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CEE7"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E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E9" w14:textId="77777777" w:rsidR="009C6E2F" w:rsidRDefault="007972BE">
            <w:pPr>
              <w:jc w:val="right"/>
              <w:textAlignment w:val="bottom"/>
            </w:pPr>
            <w:r>
              <w:rPr>
                <w:rFonts w:ascii="Arial" w:eastAsia="宋体" w:hAnsi="Arial" w:cs="Arial"/>
                <w:b/>
                <w:bCs/>
                <w:color w:val="000000"/>
                <w:sz w:val="17"/>
                <w:szCs w:val="17"/>
              </w:rPr>
              <w:t>9,356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EA"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E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EC" w14:textId="77777777" w:rsidR="009C6E2F" w:rsidRDefault="007972BE">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ED"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E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EF" w14:textId="77777777" w:rsidR="009C6E2F" w:rsidRDefault="007972BE">
            <w:pPr>
              <w:jc w:val="right"/>
              <w:textAlignment w:val="bottom"/>
            </w:pPr>
            <w:r>
              <w:rPr>
                <w:rFonts w:ascii="Arial" w:eastAsia="宋体" w:hAnsi="Arial" w:cs="Arial"/>
                <w:b/>
                <w:bCs/>
                <w:color w:val="000000"/>
                <w:sz w:val="17"/>
                <w:szCs w:val="17"/>
              </w:rPr>
              <w:t>3,826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F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F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F2" w14:textId="77777777" w:rsidR="009C6E2F" w:rsidRDefault="007972BE">
            <w:pPr>
              <w:jc w:val="right"/>
              <w:textAlignment w:val="bottom"/>
            </w:pPr>
            <w:r>
              <w:rPr>
                <w:rFonts w:ascii="Arial" w:eastAsia="宋体" w:hAnsi="Arial" w:cs="Arial"/>
                <w:b/>
                <w:bCs/>
                <w:color w:val="000000"/>
                <w:sz w:val="17"/>
                <w:szCs w:val="17"/>
              </w:rPr>
              <w:t>2,812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F3"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F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F5" w14:textId="77777777" w:rsidR="009C6E2F" w:rsidRDefault="007972BE">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F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F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F8" w14:textId="77777777" w:rsidR="009C6E2F" w:rsidRDefault="007972BE">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F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F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FB" w14:textId="77777777" w:rsidR="009C6E2F" w:rsidRDefault="007972BE">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F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EF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EFE" w14:textId="77777777" w:rsidR="009C6E2F" w:rsidRDefault="007972BE">
            <w:pPr>
              <w:jc w:val="right"/>
              <w:textAlignment w:val="bottom"/>
            </w:pPr>
            <w:r>
              <w:rPr>
                <w:rFonts w:ascii="Arial" w:eastAsia="宋体" w:hAnsi="Arial" w:cs="Arial"/>
                <w:b/>
                <w:bCs/>
                <w:color w:val="000000"/>
                <w:sz w:val="17"/>
                <w:szCs w:val="17"/>
              </w:rPr>
              <w:t>(37)</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EF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CF0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CF01" w14:textId="77777777" w:rsidR="009C6E2F" w:rsidRDefault="007972BE">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CF02" w14:textId="77777777" w:rsidR="009C6E2F" w:rsidRDefault="009C6E2F">
            <w:pPr>
              <w:jc w:val="right"/>
              <w:rPr>
                <w:rFonts w:ascii="宋体"/>
              </w:rPr>
            </w:pPr>
          </w:p>
        </w:tc>
      </w:tr>
    </w:tbl>
    <w:p w14:paraId="2470CF04" w14:textId="77777777" w:rsidR="009C6E2F" w:rsidRDefault="009C6E2F">
      <w:pPr>
        <w:pBdr>
          <w:left w:val="none" w:sz="0" w:space="0" w:color="auto"/>
        </w:pBdr>
        <w:spacing w:before="60" w:after="60"/>
        <w:ind w:hanging="360"/>
      </w:pPr>
    </w:p>
    <w:tbl>
      <w:tblPr>
        <w:tblW w:w="5000" w:type="pct"/>
        <w:tblCellMar>
          <w:top w:w="15" w:type="dxa"/>
          <w:left w:w="15" w:type="dxa"/>
          <w:bottom w:w="15" w:type="dxa"/>
          <w:right w:w="15" w:type="dxa"/>
        </w:tblCellMar>
        <w:tblLook w:val="04A0" w:firstRow="1" w:lastRow="0" w:firstColumn="1" w:lastColumn="0" w:noHBand="0" w:noVBand="1"/>
      </w:tblPr>
      <w:tblGrid>
        <w:gridCol w:w="43"/>
        <w:gridCol w:w="1167"/>
        <w:gridCol w:w="39"/>
        <w:gridCol w:w="116"/>
        <w:gridCol w:w="614"/>
        <w:gridCol w:w="36"/>
        <w:gridCol w:w="116"/>
        <w:gridCol w:w="572"/>
        <w:gridCol w:w="36"/>
        <w:gridCol w:w="116"/>
        <w:gridCol w:w="600"/>
        <w:gridCol w:w="36"/>
        <w:gridCol w:w="116"/>
        <w:gridCol w:w="620"/>
        <w:gridCol w:w="36"/>
        <w:gridCol w:w="116"/>
        <w:gridCol w:w="671"/>
        <w:gridCol w:w="36"/>
        <w:gridCol w:w="115"/>
        <w:gridCol w:w="568"/>
        <w:gridCol w:w="36"/>
        <w:gridCol w:w="116"/>
        <w:gridCol w:w="699"/>
        <w:gridCol w:w="36"/>
        <w:gridCol w:w="116"/>
        <w:gridCol w:w="809"/>
        <w:gridCol w:w="36"/>
        <w:gridCol w:w="115"/>
        <w:gridCol w:w="568"/>
        <w:gridCol w:w="36"/>
      </w:tblGrid>
      <w:tr w:rsidR="009C6E2F" w14:paraId="2470CF23" w14:textId="77777777">
        <w:tc>
          <w:tcPr>
            <w:tcW w:w="50" w:type="pct"/>
            <w:shd w:val="clear" w:color="auto" w:fill="auto"/>
            <w:vAlign w:val="bottom"/>
          </w:tcPr>
          <w:p w14:paraId="2470CF05" w14:textId="77777777" w:rsidR="009C6E2F" w:rsidRDefault="009C6E2F">
            <w:pPr>
              <w:rPr>
                <w:rFonts w:ascii="宋体"/>
              </w:rPr>
            </w:pPr>
          </w:p>
        </w:tc>
        <w:tc>
          <w:tcPr>
            <w:tcW w:w="1110" w:type="pct"/>
            <w:shd w:val="clear" w:color="auto" w:fill="auto"/>
            <w:vAlign w:val="bottom"/>
          </w:tcPr>
          <w:p w14:paraId="2470CF06" w14:textId="77777777" w:rsidR="009C6E2F" w:rsidRDefault="009C6E2F">
            <w:pPr>
              <w:rPr>
                <w:rFonts w:ascii="宋体"/>
              </w:rPr>
            </w:pPr>
          </w:p>
        </w:tc>
        <w:tc>
          <w:tcPr>
            <w:tcW w:w="5" w:type="pct"/>
            <w:shd w:val="clear" w:color="auto" w:fill="auto"/>
            <w:vAlign w:val="bottom"/>
          </w:tcPr>
          <w:p w14:paraId="2470CF07" w14:textId="77777777" w:rsidR="009C6E2F" w:rsidRDefault="009C6E2F">
            <w:pPr>
              <w:rPr>
                <w:rFonts w:ascii="宋体"/>
              </w:rPr>
            </w:pPr>
          </w:p>
        </w:tc>
        <w:tc>
          <w:tcPr>
            <w:tcW w:w="50" w:type="pct"/>
            <w:shd w:val="clear" w:color="auto" w:fill="auto"/>
            <w:vAlign w:val="bottom"/>
          </w:tcPr>
          <w:p w14:paraId="2470CF08" w14:textId="77777777" w:rsidR="009C6E2F" w:rsidRDefault="009C6E2F">
            <w:pPr>
              <w:rPr>
                <w:rFonts w:ascii="宋体"/>
              </w:rPr>
            </w:pPr>
          </w:p>
        </w:tc>
        <w:tc>
          <w:tcPr>
            <w:tcW w:w="353" w:type="pct"/>
            <w:shd w:val="clear" w:color="auto" w:fill="auto"/>
            <w:vAlign w:val="bottom"/>
          </w:tcPr>
          <w:p w14:paraId="2470CF09" w14:textId="77777777" w:rsidR="009C6E2F" w:rsidRDefault="009C6E2F">
            <w:pPr>
              <w:rPr>
                <w:rFonts w:ascii="宋体"/>
              </w:rPr>
            </w:pPr>
          </w:p>
        </w:tc>
        <w:tc>
          <w:tcPr>
            <w:tcW w:w="5" w:type="pct"/>
            <w:shd w:val="clear" w:color="auto" w:fill="auto"/>
            <w:vAlign w:val="bottom"/>
          </w:tcPr>
          <w:p w14:paraId="2470CF0A" w14:textId="77777777" w:rsidR="009C6E2F" w:rsidRDefault="009C6E2F">
            <w:pPr>
              <w:rPr>
                <w:rFonts w:ascii="宋体"/>
              </w:rPr>
            </w:pPr>
          </w:p>
        </w:tc>
        <w:tc>
          <w:tcPr>
            <w:tcW w:w="50" w:type="pct"/>
            <w:shd w:val="clear" w:color="auto" w:fill="auto"/>
            <w:vAlign w:val="bottom"/>
          </w:tcPr>
          <w:p w14:paraId="2470CF0B" w14:textId="77777777" w:rsidR="009C6E2F" w:rsidRDefault="009C6E2F">
            <w:pPr>
              <w:rPr>
                <w:rFonts w:ascii="宋体"/>
              </w:rPr>
            </w:pPr>
          </w:p>
        </w:tc>
        <w:tc>
          <w:tcPr>
            <w:tcW w:w="353" w:type="pct"/>
            <w:shd w:val="clear" w:color="auto" w:fill="auto"/>
            <w:vAlign w:val="bottom"/>
          </w:tcPr>
          <w:p w14:paraId="2470CF0C" w14:textId="77777777" w:rsidR="009C6E2F" w:rsidRDefault="009C6E2F">
            <w:pPr>
              <w:rPr>
                <w:rFonts w:ascii="宋体"/>
              </w:rPr>
            </w:pPr>
          </w:p>
        </w:tc>
        <w:tc>
          <w:tcPr>
            <w:tcW w:w="5" w:type="pct"/>
            <w:shd w:val="clear" w:color="auto" w:fill="auto"/>
            <w:vAlign w:val="bottom"/>
          </w:tcPr>
          <w:p w14:paraId="2470CF0D" w14:textId="77777777" w:rsidR="009C6E2F" w:rsidRDefault="009C6E2F">
            <w:pPr>
              <w:rPr>
                <w:rFonts w:ascii="宋体"/>
              </w:rPr>
            </w:pPr>
          </w:p>
        </w:tc>
        <w:tc>
          <w:tcPr>
            <w:tcW w:w="50" w:type="pct"/>
            <w:shd w:val="clear" w:color="auto" w:fill="auto"/>
            <w:vAlign w:val="bottom"/>
          </w:tcPr>
          <w:p w14:paraId="2470CF0E" w14:textId="77777777" w:rsidR="009C6E2F" w:rsidRDefault="009C6E2F">
            <w:pPr>
              <w:rPr>
                <w:rFonts w:ascii="宋体"/>
              </w:rPr>
            </w:pPr>
          </w:p>
        </w:tc>
        <w:tc>
          <w:tcPr>
            <w:tcW w:w="353" w:type="pct"/>
            <w:shd w:val="clear" w:color="auto" w:fill="auto"/>
            <w:vAlign w:val="bottom"/>
          </w:tcPr>
          <w:p w14:paraId="2470CF0F" w14:textId="77777777" w:rsidR="009C6E2F" w:rsidRDefault="009C6E2F">
            <w:pPr>
              <w:rPr>
                <w:rFonts w:ascii="宋体"/>
              </w:rPr>
            </w:pPr>
          </w:p>
        </w:tc>
        <w:tc>
          <w:tcPr>
            <w:tcW w:w="5" w:type="pct"/>
            <w:shd w:val="clear" w:color="auto" w:fill="auto"/>
            <w:vAlign w:val="bottom"/>
          </w:tcPr>
          <w:p w14:paraId="2470CF10" w14:textId="77777777" w:rsidR="009C6E2F" w:rsidRDefault="009C6E2F">
            <w:pPr>
              <w:rPr>
                <w:rFonts w:ascii="宋体"/>
              </w:rPr>
            </w:pPr>
          </w:p>
        </w:tc>
        <w:tc>
          <w:tcPr>
            <w:tcW w:w="50" w:type="pct"/>
            <w:shd w:val="clear" w:color="auto" w:fill="auto"/>
            <w:vAlign w:val="bottom"/>
          </w:tcPr>
          <w:p w14:paraId="2470CF11" w14:textId="77777777" w:rsidR="009C6E2F" w:rsidRDefault="009C6E2F">
            <w:pPr>
              <w:rPr>
                <w:rFonts w:ascii="宋体"/>
              </w:rPr>
            </w:pPr>
          </w:p>
        </w:tc>
        <w:tc>
          <w:tcPr>
            <w:tcW w:w="384" w:type="pct"/>
            <w:shd w:val="clear" w:color="auto" w:fill="auto"/>
            <w:vAlign w:val="bottom"/>
          </w:tcPr>
          <w:p w14:paraId="2470CF12" w14:textId="77777777" w:rsidR="009C6E2F" w:rsidRDefault="009C6E2F">
            <w:pPr>
              <w:rPr>
                <w:rFonts w:ascii="宋体"/>
              </w:rPr>
            </w:pPr>
          </w:p>
        </w:tc>
        <w:tc>
          <w:tcPr>
            <w:tcW w:w="5" w:type="pct"/>
            <w:shd w:val="clear" w:color="auto" w:fill="auto"/>
            <w:vAlign w:val="bottom"/>
          </w:tcPr>
          <w:p w14:paraId="2470CF13" w14:textId="77777777" w:rsidR="009C6E2F" w:rsidRDefault="009C6E2F">
            <w:pPr>
              <w:rPr>
                <w:rFonts w:ascii="宋体"/>
              </w:rPr>
            </w:pPr>
          </w:p>
        </w:tc>
        <w:tc>
          <w:tcPr>
            <w:tcW w:w="50" w:type="pct"/>
            <w:shd w:val="clear" w:color="auto" w:fill="auto"/>
            <w:vAlign w:val="bottom"/>
          </w:tcPr>
          <w:p w14:paraId="2470CF14" w14:textId="77777777" w:rsidR="009C6E2F" w:rsidRDefault="009C6E2F">
            <w:pPr>
              <w:rPr>
                <w:rFonts w:ascii="宋体"/>
              </w:rPr>
            </w:pPr>
          </w:p>
        </w:tc>
        <w:tc>
          <w:tcPr>
            <w:tcW w:w="369" w:type="pct"/>
            <w:shd w:val="clear" w:color="auto" w:fill="auto"/>
            <w:vAlign w:val="bottom"/>
          </w:tcPr>
          <w:p w14:paraId="2470CF15" w14:textId="77777777" w:rsidR="009C6E2F" w:rsidRDefault="009C6E2F">
            <w:pPr>
              <w:rPr>
                <w:rFonts w:ascii="宋体"/>
              </w:rPr>
            </w:pPr>
          </w:p>
        </w:tc>
        <w:tc>
          <w:tcPr>
            <w:tcW w:w="5" w:type="pct"/>
            <w:shd w:val="clear" w:color="auto" w:fill="auto"/>
            <w:vAlign w:val="bottom"/>
          </w:tcPr>
          <w:p w14:paraId="2470CF16" w14:textId="77777777" w:rsidR="009C6E2F" w:rsidRDefault="009C6E2F">
            <w:pPr>
              <w:rPr>
                <w:rFonts w:ascii="宋体"/>
              </w:rPr>
            </w:pPr>
          </w:p>
        </w:tc>
        <w:tc>
          <w:tcPr>
            <w:tcW w:w="50" w:type="pct"/>
            <w:shd w:val="clear" w:color="auto" w:fill="auto"/>
            <w:vAlign w:val="bottom"/>
          </w:tcPr>
          <w:p w14:paraId="2470CF17" w14:textId="77777777" w:rsidR="009C6E2F" w:rsidRDefault="009C6E2F">
            <w:pPr>
              <w:rPr>
                <w:rFonts w:ascii="宋体"/>
              </w:rPr>
            </w:pPr>
          </w:p>
        </w:tc>
        <w:tc>
          <w:tcPr>
            <w:tcW w:w="353" w:type="pct"/>
            <w:shd w:val="clear" w:color="auto" w:fill="auto"/>
            <w:vAlign w:val="bottom"/>
          </w:tcPr>
          <w:p w14:paraId="2470CF18" w14:textId="77777777" w:rsidR="009C6E2F" w:rsidRDefault="009C6E2F">
            <w:pPr>
              <w:rPr>
                <w:rFonts w:ascii="宋体"/>
              </w:rPr>
            </w:pPr>
          </w:p>
        </w:tc>
        <w:tc>
          <w:tcPr>
            <w:tcW w:w="5" w:type="pct"/>
            <w:shd w:val="clear" w:color="auto" w:fill="auto"/>
            <w:vAlign w:val="bottom"/>
          </w:tcPr>
          <w:p w14:paraId="2470CF19" w14:textId="77777777" w:rsidR="009C6E2F" w:rsidRDefault="009C6E2F">
            <w:pPr>
              <w:rPr>
                <w:rFonts w:ascii="宋体"/>
              </w:rPr>
            </w:pPr>
          </w:p>
        </w:tc>
        <w:tc>
          <w:tcPr>
            <w:tcW w:w="50" w:type="pct"/>
            <w:shd w:val="clear" w:color="auto" w:fill="auto"/>
            <w:vAlign w:val="bottom"/>
          </w:tcPr>
          <w:p w14:paraId="2470CF1A" w14:textId="77777777" w:rsidR="009C6E2F" w:rsidRDefault="009C6E2F">
            <w:pPr>
              <w:rPr>
                <w:rFonts w:ascii="宋体"/>
              </w:rPr>
            </w:pPr>
          </w:p>
        </w:tc>
        <w:tc>
          <w:tcPr>
            <w:tcW w:w="384" w:type="pct"/>
            <w:shd w:val="clear" w:color="auto" w:fill="auto"/>
            <w:vAlign w:val="bottom"/>
          </w:tcPr>
          <w:p w14:paraId="2470CF1B" w14:textId="77777777" w:rsidR="009C6E2F" w:rsidRDefault="009C6E2F">
            <w:pPr>
              <w:rPr>
                <w:rFonts w:ascii="宋体"/>
              </w:rPr>
            </w:pPr>
          </w:p>
        </w:tc>
        <w:tc>
          <w:tcPr>
            <w:tcW w:w="5" w:type="pct"/>
            <w:shd w:val="clear" w:color="auto" w:fill="auto"/>
            <w:vAlign w:val="bottom"/>
          </w:tcPr>
          <w:p w14:paraId="2470CF1C" w14:textId="77777777" w:rsidR="009C6E2F" w:rsidRDefault="009C6E2F">
            <w:pPr>
              <w:rPr>
                <w:rFonts w:ascii="宋体"/>
              </w:rPr>
            </w:pPr>
          </w:p>
        </w:tc>
        <w:tc>
          <w:tcPr>
            <w:tcW w:w="50" w:type="pct"/>
            <w:shd w:val="clear" w:color="auto" w:fill="auto"/>
            <w:vAlign w:val="bottom"/>
          </w:tcPr>
          <w:p w14:paraId="2470CF1D" w14:textId="77777777" w:rsidR="009C6E2F" w:rsidRDefault="009C6E2F">
            <w:pPr>
              <w:rPr>
                <w:rFonts w:ascii="宋体"/>
              </w:rPr>
            </w:pPr>
          </w:p>
        </w:tc>
        <w:tc>
          <w:tcPr>
            <w:tcW w:w="431" w:type="pct"/>
            <w:shd w:val="clear" w:color="auto" w:fill="auto"/>
            <w:vAlign w:val="bottom"/>
          </w:tcPr>
          <w:p w14:paraId="2470CF1E" w14:textId="77777777" w:rsidR="009C6E2F" w:rsidRDefault="009C6E2F">
            <w:pPr>
              <w:rPr>
                <w:rFonts w:ascii="宋体"/>
              </w:rPr>
            </w:pPr>
          </w:p>
        </w:tc>
        <w:tc>
          <w:tcPr>
            <w:tcW w:w="5" w:type="pct"/>
            <w:shd w:val="clear" w:color="auto" w:fill="auto"/>
            <w:vAlign w:val="bottom"/>
          </w:tcPr>
          <w:p w14:paraId="2470CF1F" w14:textId="77777777" w:rsidR="009C6E2F" w:rsidRDefault="009C6E2F">
            <w:pPr>
              <w:rPr>
                <w:rFonts w:ascii="宋体"/>
              </w:rPr>
            </w:pPr>
          </w:p>
        </w:tc>
        <w:tc>
          <w:tcPr>
            <w:tcW w:w="50" w:type="pct"/>
            <w:shd w:val="clear" w:color="auto" w:fill="auto"/>
            <w:vAlign w:val="bottom"/>
          </w:tcPr>
          <w:p w14:paraId="2470CF20" w14:textId="77777777" w:rsidR="009C6E2F" w:rsidRDefault="009C6E2F">
            <w:pPr>
              <w:rPr>
                <w:rFonts w:ascii="宋体"/>
              </w:rPr>
            </w:pPr>
          </w:p>
        </w:tc>
        <w:tc>
          <w:tcPr>
            <w:tcW w:w="354" w:type="pct"/>
            <w:shd w:val="clear" w:color="auto" w:fill="auto"/>
            <w:vAlign w:val="bottom"/>
          </w:tcPr>
          <w:p w14:paraId="2470CF21" w14:textId="77777777" w:rsidR="009C6E2F" w:rsidRDefault="009C6E2F">
            <w:pPr>
              <w:rPr>
                <w:rFonts w:ascii="宋体"/>
              </w:rPr>
            </w:pPr>
          </w:p>
        </w:tc>
        <w:tc>
          <w:tcPr>
            <w:tcW w:w="5" w:type="pct"/>
            <w:shd w:val="clear" w:color="auto" w:fill="auto"/>
            <w:vAlign w:val="bottom"/>
          </w:tcPr>
          <w:p w14:paraId="2470CF22" w14:textId="77777777" w:rsidR="009C6E2F" w:rsidRDefault="009C6E2F">
            <w:pPr>
              <w:rPr>
                <w:rFonts w:ascii="宋体"/>
              </w:rPr>
            </w:pPr>
          </w:p>
        </w:tc>
      </w:tr>
      <w:tr w:rsidR="009C6E2F" w14:paraId="2470CF26" w14:textId="77777777">
        <w:tc>
          <w:tcPr>
            <w:tcW w:w="0" w:type="auto"/>
            <w:gridSpan w:val="3"/>
            <w:shd w:val="clear" w:color="auto" w:fill="auto"/>
            <w:tcMar>
              <w:top w:w="0" w:type="dxa"/>
              <w:left w:w="20" w:type="dxa"/>
              <w:bottom w:w="0" w:type="dxa"/>
              <w:right w:w="20" w:type="dxa"/>
            </w:tcMar>
            <w:vAlign w:val="bottom"/>
          </w:tcPr>
          <w:p w14:paraId="2470CF24" w14:textId="77777777" w:rsidR="009C6E2F" w:rsidRDefault="009C6E2F">
            <w:pPr>
              <w:rPr>
                <w:rFonts w:ascii="宋体"/>
              </w:rPr>
            </w:pPr>
          </w:p>
        </w:tc>
        <w:tc>
          <w:tcPr>
            <w:tcW w:w="0" w:type="auto"/>
            <w:gridSpan w:val="27"/>
            <w:shd w:val="clear" w:color="auto" w:fill="auto"/>
            <w:tcMar>
              <w:top w:w="40" w:type="dxa"/>
              <w:left w:w="20" w:type="dxa"/>
              <w:bottom w:w="40" w:type="dxa"/>
              <w:right w:w="20" w:type="dxa"/>
            </w:tcMar>
            <w:vAlign w:val="bottom"/>
          </w:tcPr>
          <w:p w14:paraId="2470CF25" w14:textId="77777777" w:rsidR="009C6E2F" w:rsidRDefault="007972BE">
            <w:pPr>
              <w:jc w:val="center"/>
              <w:textAlignment w:val="bottom"/>
            </w:pPr>
            <w:r>
              <w:rPr>
                <w:rFonts w:ascii="sans-serif" w:eastAsia="sans-serif" w:hAnsi="sans-serif" w:cs="sans-serif"/>
                <w:b/>
                <w:bCs/>
                <w:color w:val="000000"/>
                <w:sz w:val="17"/>
                <w:szCs w:val="17"/>
              </w:rPr>
              <w:t>SIX MONTHS ENDED NOVEMBER 30, 2020</w:t>
            </w:r>
          </w:p>
        </w:tc>
      </w:tr>
      <w:tr w:rsidR="009C6E2F" w14:paraId="2470CF31" w14:textId="77777777">
        <w:tc>
          <w:tcPr>
            <w:tcW w:w="0" w:type="auto"/>
            <w:gridSpan w:val="3"/>
            <w:shd w:val="clear" w:color="auto" w:fill="auto"/>
            <w:tcMar>
              <w:top w:w="40" w:type="dxa"/>
              <w:left w:w="20" w:type="dxa"/>
              <w:bottom w:w="40" w:type="dxa"/>
              <w:right w:w="20" w:type="dxa"/>
            </w:tcMar>
            <w:vAlign w:val="bottom"/>
          </w:tcPr>
          <w:p w14:paraId="2470CF27"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8" w14:textId="77777777" w:rsidR="009C6E2F" w:rsidRDefault="007972BE">
            <w:pPr>
              <w:jc w:val="right"/>
              <w:textAlignment w:val="bottom"/>
            </w:pPr>
            <w:r>
              <w:rPr>
                <w:rFonts w:ascii="sans-serif" w:eastAsia="sans-serif" w:hAnsi="sans-serif" w:cs="sans-serif"/>
                <w:b/>
                <w:bCs/>
                <w:color w:val="000000"/>
                <w:sz w:val="17"/>
                <w:szCs w:val="17"/>
              </w:rPr>
              <w:t>NORTH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9" w14:textId="77777777" w:rsidR="009C6E2F" w:rsidRDefault="007972BE">
            <w:pPr>
              <w:jc w:val="right"/>
              <w:textAlignment w:val="bottom"/>
            </w:pPr>
            <w:r>
              <w:rPr>
                <w:rFonts w:ascii="sans-serif" w:eastAsia="sans-serif" w:hAnsi="sans-serif" w:cs="sans-serif"/>
                <w:b/>
                <w:bCs/>
                <w:color w:val="000000"/>
                <w:sz w:val="17"/>
                <w:szCs w:val="17"/>
              </w:rPr>
              <w:t>EUROPE, MIDDLE EAST &amp; AFRICA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A" w14:textId="77777777" w:rsidR="009C6E2F" w:rsidRDefault="007972BE">
            <w:pPr>
              <w:jc w:val="right"/>
              <w:textAlignment w:val="bottom"/>
            </w:pPr>
            <w:r>
              <w:rPr>
                <w:rFonts w:ascii="sans-serif" w:eastAsia="sans-serif" w:hAnsi="sans-serif" w:cs="sans-serif"/>
                <w:b/>
                <w:bCs/>
                <w:color w:val="000000"/>
                <w:sz w:val="17"/>
                <w:szCs w:val="17"/>
              </w:rPr>
              <w:t xml:space="preserve">GREATER </w:t>
            </w:r>
            <w:r>
              <w:rPr>
                <w:rFonts w:ascii="sans-serif" w:eastAsia="sans-serif" w:hAnsi="sans-serif" w:cs="sans-serif"/>
                <w:b/>
                <w:bCs/>
                <w:color w:val="000000"/>
                <w:sz w:val="17"/>
                <w:szCs w:val="17"/>
              </w:rPr>
              <w:t>CHINA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B" w14:textId="77777777" w:rsidR="009C6E2F" w:rsidRDefault="007972BE">
            <w:pPr>
              <w:jc w:val="right"/>
              <w:textAlignment w:val="bottom"/>
            </w:pPr>
            <w:r>
              <w:rPr>
                <w:rFonts w:ascii="sans-serif" w:eastAsia="sans-serif" w:hAnsi="sans-serif" w:cs="sans-serif"/>
                <w:b/>
                <w:bCs/>
                <w:color w:val="000000"/>
                <w:sz w:val="17"/>
                <w:szCs w:val="17"/>
              </w:rPr>
              <w:t>ASIA PACIFIC &amp; LATIN AMERICA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C" w14:textId="77777777" w:rsidR="009C6E2F" w:rsidRDefault="007972BE">
            <w:pPr>
              <w:jc w:val="right"/>
              <w:textAlignment w:val="bottom"/>
            </w:pPr>
            <w:r>
              <w:rPr>
                <w:rFonts w:ascii="sans-serif" w:eastAsia="sans-serif" w:hAnsi="sans-serif" w:cs="sans-serif"/>
                <w:b/>
                <w:bCs/>
                <w:color w:val="000000"/>
                <w:sz w:val="17"/>
                <w:szCs w:val="17"/>
              </w:rPr>
              <w:t>GLOBAL BRAND DIVISIONS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D" w14:textId="77777777" w:rsidR="009C6E2F" w:rsidRDefault="007972BE">
            <w:pPr>
              <w:jc w:val="right"/>
              <w:textAlignment w:val="bottom"/>
            </w:pPr>
            <w:r>
              <w:rPr>
                <w:rFonts w:ascii="sans-serif" w:eastAsia="sans-serif" w:hAnsi="sans-serif" w:cs="sans-serif"/>
                <w:b/>
                <w:bCs/>
                <w:color w:val="000000"/>
                <w:sz w:val="17"/>
                <w:szCs w:val="17"/>
              </w:rPr>
              <w:t>TOTAL NIKE BRAND</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E" w14:textId="77777777" w:rsidR="009C6E2F" w:rsidRDefault="007972BE">
            <w:pPr>
              <w:jc w:val="right"/>
              <w:textAlignment w:val="bottom"/>
            </w:pPr>
            <w:r>
              <w:rPr>
                <w:rFonts w:ascii="sans-serif" w:eastAsia="sans-serif" w:hAnsi="sans-serif" w:cs="sans-serif"/>
                <w:b/>
                <w:bCs/>
                <w:color w:val="000000"/>
                <w:sz w:val="17"/>
                <w:szCs w:val="17"/>
              </w:rPr>
              <w:t>CONVERSE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2F" w14:textId="77777777" w:rsidR="009C6E2F" w:rsidRDefault="007972BE">
            <w:pPr>
              <w:jc w:val="right"/>
              <w:textAlignment w:val="bottom"/>
            </w:pPr>
            <w:r>
              <w:rPr>
                <w:rFonts w:ascii="sans-serif" w:eastAsia="sans-serif" w:hAnsi="sans-serif" w:cs="sans-serif"/>
                <w:b/>
                <w:bCs/>
                <w:color w:val="000000"/>
                <w:sz w:val="17"/>
                <w:szCs w:val="17"/>
              </w:rPr>
              <w:t>CORPORATE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30" w14:textId="77777777" w:rsidR="009C6E2F" w:rsidRDefault="007972BE">
            <w:pPr>
              <w:jc w:val="right"/>
              <w:textAlignment w:val="bottom"/>
            </w:pPr>
            <w:r>
              <w:rPr>
                <w:rFonts w:ascii="sans-serif" w:eastAsia="sans-serif" w:hAnsi="sans-serif" w:cs="sans-serif"/>
                <w:b/>
                <w:bCs/>
                <w:color w:val="000000"/>
                <w:sz w:val="17"/>
                <w:szCs w:val="17"/>
              </w:rPr>
              <w:t>TOTAL NIKE, INC.</w:t>
            </w:r>
          </w:p>
        </w:tc>
      </w:tr>
      <w:tr w:rsidR="009C6E2F" w14:paraId="2470CF3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32"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3B" w14:textId="77777777" w:rsidR="009C6E2F" w:rsidRDefault="009C6E2F">
            <w:pPr>
              <w:rPr>
                <w:rFonts w:ascii="宋体"/>
              </w:rPr>
            </w:pPr>
          </w:p>
        </w:tc>
      </w:tr>
      <w:tr w:rsidR="009C6E2F" w14:paraId="2470CF5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F3D"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auto"/>
            <w:tcMar>
              <w:top w:w="40" w:type="dxa"/>
              <w:left w:w="20" w:type="dxa"/>
              <w:bottom w:w="40" w:type="dxa"/>
              <w:right w:w="0" w:type="dxa"/>
            </w:tcMar>
            <w:vAlign w:val="bottom"/>
          </w:tcPr>
          <w:p w14:paraId="2470CF3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3F" w14:textId="77777777" w:rsidR="009C6E2F" w:rsidRDefault="007972BE">
            <w:pPr>
              <w:jc w:val="right"/>
              <w:textAlignment w:val="bottom"/>
            </w:pPr>
            <w:r>
              <w:rPr>
                <w:rFonts w:ascii="Arial" w:eastAsia="宋体" w:hAnsi="Arial" w:cs="Arial"/>
                <w:color w:val="000000"/>
                <w:sz w:val="17"/>
                <w:szCs w:val="17"/>
              </w:rPr>
              <w:t>5,469 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40"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4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42" w14:textId="77777777" w:rsidR="009C6E2F" w:rsidRDefault="007972BE">
            <w:pPr>
              <w:jc w:val="right"/>
              <w:textAlignment w:val="bottom"/>
            </w:pPr>
            <w:r>
              <w:rPr>
                <w:rFonts w:ascii="Arial" w:eastAsia="宋体" w:hAnsi="Arial" w:cs="Arial"/>
                <w:color w:val="000000"/>
                <w:sz w:val="17"/>
                <w:szCs w:val="17"/>
              </w:rPr>
              <w:t>3,533 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43"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4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45" w14:textId="77777777" w:rsidR="009C6E2F" w:rsidRDefault="007972BE">
            <w:pPr>
              <w:jc w:val="right"/>
              <w:textAlignment w:val="bottom"/>
            </w:pPr>
            <w:r>
              <w:rPr>
                <w:rFonts w:ascii="Arial" w:eastAsia="宋体" w:hAnsi="Arial" w:cs="Arial"/>
                <w:color w:val="000000"/>
                <w:sz w:val="17"/>
                <w:szCs w:val="17"/>
              </w:rPr>
              <w:t>2,818 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46"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4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48" w14:textId="77777777" w:rsidR="009C6E2F" w:rsidRDefault="007972BE">
            <w:pPr>
              <w:jc w:val="right"/>
              <w:textAlignment w:val="bottom"/>
            </w:pPr>
            <w:r>
              <w:rPr>
                <w:rFonts w:ascii="Arial" w:eastAsia="宋体" w:hAnsi="Arial" w:cs="Arial"/>
                <w:color w:val="000000"/>
                <w:sz w:val="17"/>
                <w:szCs w:val="17"/>
              </w:rPr>
              <w:t>1,749 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49"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4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4B"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4C"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4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4E" w14:textId="77777777" w:rsidR="009C6E2F" w:rsidRDefault="007972BE">
            <w:pPr>
              <w:jc w:val="right"/>
              <w:textAlignment w:val="bottom"/>
            </w:pPr>
            <w:r>
              <w:rPr>
                <w:rFonts w:ascii="Arial" w:eastAsia="宋体" w:hAnsi="Arial" w:cs="Arial"/>
                <w:color w:val="000000"/>
                <w:sz w:val="17"/>
                <w:szCs w:val="17"/>
              </w:rPr>
              <w:t>13,569 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4F"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5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51" w14:textId="77777777" w:rsidR="009C6E2F" w:rsidRDefault="007972BE">
            <w:pPr>
              <w:jc w:val="right"/>
              <w:textAlignment w:val="bottom"/>
            </w:pPr>
            <w:r>
              <w:rPr>
                <w:rFonts w:ascii="Arial" w:eastAsia="宋体" w:hAnsi="Arial" w:cs="Arial"/>
                <w:color w:val="000000"/>
                <w:sz w:val="17"/>
                <w:szCs w:val="17"/>
              </w:rPr>
              <w:t>929 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52"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5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5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55"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5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57" w14:textId="77777777" w:rsidR="009C6E2F" w:rsidRDefault="007972BE">
            <w:pPr>
              <w:jc w:val="right"/>
              <w:textAlignment w:val="bottom"/>
            </w:pPr>
            <w:r>
              <w:rPr>
                <w:rFonts w:ascii="Arial" w:eastAsia="宋体" w:hAnsi="Arial" w:cs="Arial"/>
                <w:color w:val="000000"/>
                <w:sz w:val="17"/>
                <w:szCs w:val="17"/>
              </w:rPr>
              <w:t>14,498 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58" w14:textId="77777777" w:rsidR="009C6E2F" w:rsidRDefault="009C6E2F">
            <w:pPr>
              <w:jc w:val="right"/>
              <w:rPr>
                <w:rFonts w:ascii="宋体"/>
              </w:rPr>
            </w:pPr>
          </w:p>
        </w:tc>
      </w:tr>
      <w:tr w:rsidR="009C6E2F" w14:paraId="2470CF6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F5A"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5B" w14:textId="77777777" w:rsidR="009C6E2F" w:rsidRDefault="007972BE">
            <w:pPr>
              <w:jc w:val="right"/>
              <w:textAlignment w:val="bottom"/>
            </w:pPr>
            <w:r>
              <w:rPr>
                <w:rFonts w:ascii="Arial" w:eastAsia="宋体" w:hAnsi="Arial" w:cs="Arial"/>
                <w:color w:val="000000"/>
                <w:sz w:val="17"/>
                <w:szCs w:val="17"/>
              </w:rPr>
              <w:t>2,493 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5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5D" w14:textId="77777777" w:rsidR="009C6E2F" w:rsidRDefault="007972BE">
            <w:pPr>
              <w:jc w:val="right"/>
              <w:textAlignment w:val="bottom"/>
            </w:pPr>
            <w:r>
              <w:rPr>
                <w:rFonts w:ascii="Arial" w:eastAsia="宋体" w:hAnsi="Arial" w:cs="Arial"/>
                <w:color w:val="000000"/>
                <w:sz w:val="17"/>
                <w:szCs w:val="17"/>
              </w:rPr>
              <w:t>2,075 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5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5F" w14:textId="77777777" w:rsidR="009C6E2F" w:rsidRDefault="007972BE">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6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61" w14:textId="77777777" w:rsidR="009C6E2F" w:rsidRDefault="007972BE">
            <w:pPr>
              <w:jc w:val="right"/>
              <w:textAlignment w:val="bottom"/>
            </w:pPr>
            <w:r>
              <w:rPr>
                <w:rFonts w:ascii="Arial" w:eastAsia="宋体" w:hAnsi="Arial" w:cs="Arial"/>
                <w:color w:val="000000"/>
                <w:sz w:val="17"/>
                <w:szCs w:val="17"/>
              </w:rPr>
              <w:t>733 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6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63"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6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65" w14:textId="77777777" w:rsidR="009C6E2F" w:rsidRDefault="007972BE">
            <w:pPr>
              <w:jc w:val="right"/>
              <w:textAlignment w:val="bottom"/>
            </w:pPr>
            <w:r>
              <w:rPr>
                <w:rFonts w:ascii="Arial" w:eastAsia="宋体" w:hAnsi="Arial" w:cs="Arial"/>
                <w:color w:val="000000"/>
                <w:sz w:val="17"/>
                <w:szCs w:val="17"/>
              </w:rPr>
              <w:t>6,460 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6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67"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6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6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6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6B" w14:textId="77777777" w:rsidR="009C6E2F" w:rsidRDefault="007972BE">
            <w:pPr>
              <w:jc w:val="right"/>
              <w:textAlignment w:val="bottom"/>
            </w:pPr>
            <w:r>
              <w:rPr>
                <w:rFonts w:ascii="Arial" w:eastAsia="宋体" w:hAnsi="Arial" w:cs="Arial"/>
                <w:color w:val="000000"/>
                <w:sz w:val="17"/>
                <w:szCs w:val="17"/>
              </w:rPr>
              <w:t>6,514 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6C" w14:textId="77777777" w:rsidR="009C6E2F" w:rsidRDefault="009C6E2F">
            <w:pPr>
              <w:jc w:val="right"/>
              <w:rPr>
                <w:rFonts w:ascii="宋体"/>
              </w:rPr>
            </w:pPr>
          </w:p>
        </w:tc>
      </w:tr>
      <w:tr w:rsidR="009C6E2F" w14:paraId="2470CF81"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F6E"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6F" w14:textId="77777777" w:rsidR="009C6E2F" w:rsidRDefault="007972BE">
            <w:pPr>
              <w:jc w:val="right"/>
              <w:textAlignment w:val="bottom"/>
            </w:pPr>
            <w:r>
              <w:rPr>
                <w:rFonts w:ascii="Arial" w:eastAsia="宋体" w:hAnsi="Arial" w:cs="Arial"/>
                <w:color w:val="000000"/>
                <w:sz w:val="17"/>
                <w:szCs w:val="17"/>
              </w:rPr>
              <w:t>269 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1" w14:textId="77777777" w:rsidR="009C6E2F" w:rsidRDefault="007972BE">
            <w:pPr>
              <w:jc w:val="right"/>
              <w:textAlignment w:val="bottom"/>
            </w:pPr>
            <w:r>
              <w:rPr>
                <w:rFonts w:ascii="Arial" w:eastAsia="宋体" w:hAnsi="Arial" w:cs="Arial"/>
                <w:color w:val="000000"/>
                <w:sz w:val="17"/>
                <w:szCs w:val="17"/>
              </w:rPr>
              <w:t>260 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3" w14:textId="77777777" w:rsidR="009C6E2F" w:rsidRDefault="007972BE">
            <w:pPr>
              <w:jc w:val="right"/>
              <w:textAlignment w:val="bottom"/>
            </w:pPr>
            <w:r>
              <w:rPr>
                <w:rFonts w:ascii="Arial" w:eastAsia="宋体" w:hAnsi="Arial" w:cs="Arial"/>
                <w:color w:val="000000"/>
                <w:sz w:val="17"/>
                <w:szCs w:val="17"/>
              </w:rPr>
              <w:t>101 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5" w14:textId="77777777" w:rsidR="009C6E2F" w:rsidRDefault="007972BE">
            <w:pPr>
              <w:jc w:val="right"/>
              <w:textAlignment w:val="bottom"/>
            </w:pPr>
            <w:r>
              <w:rPr>
                <w:rFonts w:ascii="Arial" w:eastAsia="宋体" w:hAnsi="Arial" w:cs="Arial"/>
                <w:color w:val="000000"/>
                <w:sz w:val="17"/>
                <w:szCs w:val="17"/>
              </w:rPr>
              <w:t>88 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9" w14:textId="77777777" w:rsidR="009C6E2F" w:rsidRDefault="007972BE">
            <w:pPr>
              <w:jc w:val="right"/>
              <w:textAlignment w:val="bottom"/>
            </w:pPr>
            <w:r>
              <w:rPr>
                <w:rFonts w:ascii="Arial" w:eastAsia="宋体" w:hAnsi="Arial" w:cs="Arial"/>
                <w:color w:val="000000"/>
                <w:sz w:val="17"/>
                <w:szCs w:val="17"/>
              </w:rPr>
              <w:t>718 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B"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D"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7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7F" w14:textId="77777777" w:rsidR="009C6E2F" w:rsidRDefault="007972BE">
            <w:pPr>
              <w:jc w:val="right"/>
              <w:textAlignment w:val="bottom"/>
            </w:pPr>
            <w:r>
              <w:rPr>
                <w:rFonts w:ascii="Arial" w:eastAsia="宋体" w:hAnsi="Arial" w:cs="Arial"/>
                <w:color w:val="000000"/>
                <w:sz w:val="17"/>
                <w:szCs w:val="17"/>
              </w:rPr>
              <w:t>734 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80" w14:textId="77777777" w:rsidR="009C6E2F" w:rsidRDefault="009C6E2F">
            <w:pPr>
              <w:jc w:val="right"/>
              <w:rPr>
                <w:rFonts w:ascii="宋体"/>
              </w:rPr>
            </w:pPr>
          </w:p>
        </w:tc>
      </w:tr>
      <w:tr w:rsidR="009C6E2F" w14:paraId="2470CF9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F82"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83"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8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85"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8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8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8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89"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8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8B"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8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8D"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8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8F"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9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91" w14:textId="77777777" w:rsidR="009C6E2F" w:rsidRDefault="007972BE">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9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93" w14:textId="77777777" w:rsidR="009C6E2F" w:rsidRDefault="007972BE">
            <w:pPr>
              <w:jc w:val="right"/>
              <w:textAlignment w:val="bottom"/>
            </w:pPr>
            <w:r>
              <w:rPr>
                <w:rFonts w:ascii="Arial" w:eastAsia="宋体" w:hAnsi="Arial" w:cs="Arial"/>
                <w:color w:val="000000"/>
                <w:sz w:val="17"/>
                <w:szCs w:val="17"/>
              </w:rPr>
              <w:t>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94" w14:textId="77777777" w:rsidR="009C6E2F" w:rsidRDefault="009C6E2F">
            <w:pPr>
              <w:jc w:val="right"/>
              <w:rPr>
                <w:rFonts w:ascii="宋体"/>
              </w:rPr>
            </w:pPr>
          </w:p>
        </w:tc>
      </w:tr>
      <w:tr w:rsidR="009C6E2F" w14:paraId="2470CFB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96"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auto"/>
            <w:tcMar>
              <w:top w:w="40" w:type="dxa"/>
              <w:left w:w="20" w:type="dxa"/>
              <w:bottom w:w="40" w:type="dxa"/>
              <w:right w:w="0" w:type="dxa"/>
            </w:tcMar>
            <w:vAlign w:val="bottom"/>
          </w:tcPr>
          <w:p w14:paraId="2470CF9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98" w14:textId="77777777" w:rsidR="009C6E2F" w:rsidRDefault="007972BE">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9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9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9B" w14:textId="77777777" w:rsidR="009C6E2F" w:rsidRDefault="007972BE">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9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9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9E" w14:textId="77777777" w:rsidR="009C6E2F" w:rsidRDefault="007972BE">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9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A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A1" w14:textId="77777777" w:rsidR="009C6E2F" w:rsidRDefault="007972BE">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A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A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A4" w14:textId="77777777" w:rsidR="009C6E2F" w:rsidRDefault="007972BE">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A5"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A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A7" w14:textId="77777777" w:rsidR="009C6E2F" w:rsidRDefault="007972BE">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A8"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A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AA" w14:textId="77777777" w:rsidR="009C6E2F" w:rsidRDefault="007972BE">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AB"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A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AD" w14:textId="77777777" w:rsidR="009C6E2F" w:rsidRDefault="007972BE">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AE"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CFA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CFB0" w14:textId="77777777" w:rsidR="009C6E2F" w:rsidRDefault="007972BE">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CFB1" w14:textId="77777777" w:rsidR="009C6E2F" w:rsidRDefault="009C6E2F">
            <w:pPr>
              <w:jc w:val="right"/>
              <w:rPr>
                <w:rFonts w:ascii="宋体"/>
              </w:rPr>
            </w:pPr>
          </w:p>
        </w:tc>
      </w:tr>
      <w:tr w:rsidR="009C6E2F" w14:paraId="2470CFB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CFB3"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CFBC" w14:textId="77777777" w:rsidR="009C6E2F" w:rsidRDefault="009C6E2F">
            <w:pPr>
              <w:rPr>
                <w:rFonts w:ascii="宋体"/>
              </w:rPr>
            </w:pPr>
          </w:p>
        </w:tc>
      </w:tr>
      <w:tr w:rsidR="009C6E2F" w14:paraId="2470CFD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FBE"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auto"/>
            <w:tcMar>
              <w:top w:w="40" w:type="dxa"/>
              <w:left w:w="20" w:type="dxa"/>
              <w:bottom w:w="40" w:type="dxa"/>
              <w:right w:w="0" w:type="dxa"/>
            </w:tcMar>
            <w:vAlign w:val="bottom"/>
          </w:tcPr>
          <w:p w14:paraId="2470CFB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C0" w14:textId="77777777" w:rsidR="009C6E2F" w:rsidRDefault="007972BE">
            <w:pPr>
              <w:jc w:val="right"/>
              <w:textAlignment w:val="bottom"/>
            </w:pPr>
            <w:r>
              <w:rPr>
                <w:rFonts w:ascii="Arial" w:eastAsia="宋体" w:hAnsi="Arial" w:cs="Arial"/>
                <w:color w:val="000000"/>
                <w:sz w:val="17"/>
                <w:szCs w:val="17"/>
              </w:rPr>
              <w:t>5,073 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C1"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C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C3" w14:textId="77777777" w:rsidR="009C6E2F" w:rsidRDefault="007972BE">
            <w:pPr>
              <w:jc w:val="right"/>
              <w:textAlignment w:val="bottom"/>
            </w:pPr>
            <w:r>
              <w:rPr>
                <w:rFonts w:ascii="Arial" w:eastAsia="宋体" w:hAnsi="Arial" w:cs="Arial"/>
                <w:color w:val="000000"/>
                <w:sz w:val="17"/>
                <w:szCs w:val="17"/>
              </w:rPr>
              <w:t>3,958 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C4"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C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C6" w14:textId="77777777" w:rsidR="009C6E2F" w:rsidRDefault="007972BE">
            <w:pPr>
              <w:jc w:val="right"/>
              <w:textAlignment w:val="bottom"/>
            </w:pPr>
            <w:r>
              <w:rPr>
                <w:rFonts w:ascii="Arial" w:eastAsia="宋体" w:hAnsi="Arial" w:cs="Arial"/>
                <w:color w:val="000000"/>
                <w:sz w:val="17"/>
                <w:szCs w:val="17"/>
              </w:rPr>
              <w:t>2,123 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C7"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C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C9" w14:textId="77777777" w:rsidR="009C6E2F" w:rsidRDefault="007972BE">
            <w:pPr>
              <w:jc w:val="right"/>
              <w:textAlignment w:val="bottom"/>
            </w:pPr>
            <w:r>
              <w:rPr>
                <w:rFonts w:ascii="Arial" w:eastAsia="宋体" w:hAnsi="Arial" w:cs="Arial"/>
                <w:color w:val="000000"/>
                <w:sz w:val="17"/>
                <w:szCs w:val="17"/>
              </w:rPr>
              <w:t>1,633 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CA"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C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C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CD"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C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CF" w14:textId="77777777" w:rsidR="009C6E2F" w:rsidRDefault="007972BE">
            <w:pPr>
              <w:jc w:val="right"/>
              <w:textAlignment w:val="bottom"/>
            </w:pPr>
            <w:r>
              <w:rPr>
                <w:rFonts w:ascii="Arial" w:eastAsia="宋体" w:hAnsi="Arial" w:cs="Arial"/>
                <w:color w:val="000000"/>
                <w:sz w:val="17"/>
                <w:szCs w:val="17"/>
              </w:rPr>
              <w:t>12,787 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D0"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D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D2" w14:textId="77777777" w:rsidR="009C6E2F" w:rsidRDefault="007972BE">
            <w:pPr>
              <w:jc w:val="right"/>
              <w:textAlignment w:val="bottom"/>
            </w:pPr>
            <w:r>
              <w:rPr>
                <w:rFonts w:ascii="Arial" w:eastAsia="宋体" w:hAnsi="Arial" w:cs="Arial"/>
                <w:color w:val="000000"/>
                <w:sz w:val="17"/>
                <w:szCs w:val="17"/>
              </w:rPr>
              <w:t>632 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D3"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D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D5"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D6"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CFD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CFD8" w14:textId="77777777" w:rsidR="009C6E2F" w:rsidRDefault="007972BE">
            <w:pPr>
              <w:jc w:val="right"/>
              <w:textAlignment w:val="bottom"/>
            </w:pPr>
            <w:r>
              <w:rPr>
                <w:rFonts w:ascii="Arial" w:eastAsia="宋体" w:hAnsi="Arial" w:cs="Arial"/>
                <w:color w:val="000000"/>
                <w:sz w:val="17"/>
                <w:szCs w:val="17"/>
              </w:rPr>
              <w:t>13,419 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D9" w14:textId="77777777" w:rsidR="009C6E2F" w:rsidRDefault="009C6E2F">
            <w:pPr>
              <w:jc w:val="right"/>
              <w:rPr>
                <w:rFonts w:ascii="宋体"/>
              </w:rPr>
            </w:pPr>
          </w:p>
        </w:tc>
      </w:tr>
      <w:tr w:rsidR="009C6E2F" w14:paraId="2470CFEE"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FDB" w14:textId="77777777" w:rsidR="009C6E2F" w:rsidRDefault="007972BE">
            <w:pPr>
              <w:textAlignment w:val="bottom"/>
            </w:pPr>
            <w:r>
              <w:rPr>
                <w:rFonts w:ascii="Arial" w:eastAsia="宋体" w:hAnsi="Arial" w:cs="Arial"/>
                <w:color w:val="000000"/>
                <w:sz w:val="17"/>
                <w:szCs w:val="17"/>
              </w:rPr>
              <w:t>Sales through Direct to Consumer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DC" w14:textId="77777777" w:rsidR="009C6E2F" w:rsidRDefault="007972BE">
            <w:pPr>
              <w:jc w:val="right"/>
              <w:textAlignment w:val="bottom"/>
            </w:pPr>
            <w:r>
              <w:rPr>
                <w:rFonts w:ascii="Arial" w:eastAsia="宋体" w:hAnsi="Arial" w:cs="Arial"/>
                <w:color w:val="000000"/>
                <w:sz w:val="17"/>
                <w:szCs w:val="17"/>
              </w:rPr>
              <w:t>3,158 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D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DE" w14:textId="77777777" w:rsidR="009C6E2F" w:rsidRDefault="007972BE">
            <w:pPr>
              <w:jc w:val="right"/>
              <w:textAlignment w:val="bottom"/>
            </w:pPr>
            <w:r>
              <w:rPr>
                <w:rFonts w:ascii="Arial" w:eastAsia="宋体" w:hAnsi="Arial" w:cs="Arial"/>
                <w:color w:val="000000"/>
                <w:sz w:val="17"/>
                <w:szCs w:val="17"/>
              </w:rPr>
              <w:t>1,910 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D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E0" w14:textId="77777777" w:rsidR="009C6E2F" w:rsidRDefault="007972BE">
            <w:pPr>
              <w:jc w:val="right"/>
              <w:textAlignment w:val="bottom"/>
            </w:pPr>
            <w:r>
              <w:rPr>
                <w:rFonts w:ascii="Arial" w:eastAsia="宋体" w:hAnsi="Arial" w:cs="Arial"/>
                <w:color w:val="000000"/>
                <w:sz w:val="17"/>
                <w:szCs w:val="17"/>
              </w:rPr>
              <w:t>1,955 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E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E2" w14:textId="77777777" w:rsidR="009C6E2F" w:rsidRDefault="007972BE">
            <w:pPr>
              <w:jc w:val="right"/>
              <w:textAlignment w:val="bottom"/>
            </w:pPr>
            <w:r>
              <w:rPr>
                <w:rFonts w:ascii="Arial" w:eastAsia="宋体" w:hAnsi="Arial" w:cs="Arial"/>
                <w:color w:val="000000"/>
                <w:sz w:val="17"/>
                <w:szCs w:val="17"/>
              </w:rPr>
              <w:t>937 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E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E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E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E6" w14:textId="77777777" w:rsidR="009C6E2F" w:rsidRDefault="007972BE">
            <w:pPr>
              <w:jc w:val="right"/>
              <w:textAlignment w:val="bottom"/>
            </w:pPr>
            <w:r>
              <w:rPr>
                <w:rFonts w:ascii="Arial" w:eastAsia="宋体" w:hAnsi="Arial" w:cs="Arial"/>
                <w:color w:val="000000"/>
                <w:sz w:val="17"/>
                <w:szCs w:val="17"/>
              </w:rPr>
              <w:t>7,960 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E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E8" w14:textId="77777777" w:rsidR="009C6E2F" w:rsidRDefault="007972BE">
            <w:pPr>
              <w:jc w:val="right"/>
              <w:textAlignment w:val="bottom"/>
            </w:pPr>
            <w:r>
              <w:rPr>
                <w:rFonts w:ascii="Arial" w:eastAsia="宋体" w:hAnsi="Arial" w:cs="Arial"/>
                <w:color w:val="000000"/>
                <w:sz w:val="17"/>
                <w:szCs w:val="17"/>
              </w:rPr>
              <w:t>367 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E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E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E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EC" w14:textId="77777777" w:rsidR="009C6E2F" w:rsidRDefault="007972BE">
            <w:pPr>
              <w:jc w:val="right"/>
              <w:textAlignment w:val="bottom"/>
            </w:pPr>
            <w:r>
              <w:rPr>
                <w:rFonts w:ascii="Arial" w:eastAsia="宋体" w:hAnsi="Arial" w:cs="Arial"/>
                <w:color w:val="000000"/>
                <w:sz w:val="17"/>
                <w:szCs w:val="17"/>
              </w:rPr>
              <w:t>8,327 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ED" w14:textId="77777777" w:rsidR="009C6E2F" w:rsidRDefault="009C6E2F">
            <w:pPr>
              <w:jc w:val="right"/>
              <w:rPr>
                <w:rFonts w:ascii="宋体"/>
              </w:rPr>
            </w:pPr>
          </w:p>
        </w:tc>
      </w:tr>
      <w:tr w:rsidR="009C6E2F" w14:paraId="2470D002"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CFEF" w14:textId="77777777" w:rsidR="009C6E2F" w:rsidRDefault="007972BE">
            <w:pPr>
              <w:textAlignment w:val="bottom"/>
            </w:pPr>
            <w:r>
              <w:rPr>
                <w:rFonts w:ascii="Arial" w:eastAsia="宋体" w:hAnsi="Arial" w:cs="Arial"/>
                <w:color w:val="000000"/>
                <w:sz w:val="17"/>
                <w:szCs w:val="17"/>
              </w:rPr>
              <w:t>Other</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0"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2"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4"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6"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8"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A"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C"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CFFE" w14:textId="77777777" w:rsidR="009C6E2F" w:rsidRDefault="007972BE">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CFF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00" w14:textId="77777777" w:rsidR="009C6E2F" w:rsidRDefault="007972BE">
            <w:pPr>
              <w:jc w:val="right"/>
              <w:textAlignment w:val="bottom"/>
            </w:pPr>
            <w:r>
              <w:rPr>
                <w:rFonts w:ascii="Arial" w:eastAsia="宋体" w:hAnsi="Arial" w:cs="Arial"/>
                <w:color w:val="000000"/>
                <w:sz w:val="17"/>
                <w:szCs w:val="17"/>
              </w:rPr>
              <w:t>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01" w14:textId="77777777" w:rsidR="009C6E2F" w:rsidRDefault="009C6E2F">
            <w:pPr>
              <w:jc w:val="right"/>
              <w:rPr>
                <w:rFonts w:ascii="宋体"/>
              </w:rPr>
            </w:pPr>
          </w:p>
        </w:tc>
      </w:tr>
      <w:tr w:rsidR="009C6E2F" w14:paraId="2470D01F"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003"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0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05" w14:textId="77777777" w:rsidR="009C6E2F" w:rsidRDefault="007972BE">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0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0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08" w14:textId="77777777" w:rsidR="009C6E2F" w:rsidRDefault="007972BE">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0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0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0B" w14:textId="77777777" w:rsidR="009C6E2F" w:rsidRDefault="007972BE">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0C"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0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0E" w14:textId="77777777" w:rsidR="009C6E2F" w:rsidRDefault="007972BE">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0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1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11" w14:textId="77777777" w:rsidR="009C6E2F" w:rsidRDefault="007972BE">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1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1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14" w14:textId="77777777" w:rsidR="009C6E2F" w:rsidRDefault="007972BE">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15"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1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17" w14:textId="77777777" w:rsidR="009C6E2F" w:rsidRDefault="007972BE">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18"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1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1A" w14:textId="77777777" w:rsidR="009C6E2F" w:rsidRDefault="007972BE">
            <w:pPr>
              <w:jc w:val="right"/>
              <w:textAlignment w:val="bottom"/>
            </w:pPr>
            <w:r>
              <w:rPr>
                <w:rFonts w:ascii="Arial" w:eastAsia="宋体" w:hAnsi="Arial" w:cs="Arial"/>
                <w:b/>
                <w:bCs/>
                <w:color w:val="000000"/>
                <w:sz w:val="17"/>
                <w:szCs w:val="17"/>
              </w:rPr>
              <w:t>39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1B"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01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01D" w14:textId="77777777" w:rsidR="009C6E2F" w:rsidRDefault="007972BE">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01E" w14:textId="77777777" w:rsidR="009C6E2F" w:rsidRDefault="009C6E2F">
            <w:pPr>
              <w:jc w:val="right"/>
              <w:rPr>
                <w:rFonts w:ascii="宋体"/>
              </w:rPr>
            </w:pPr>
          </w:p>
        </w:tc>
      </w:tr>
    </w:tbl>
    <w:p w14:paraId="2470D020" w14:textId="77777777" w:rsidR="009C6E2F" w:rsidRDefault="007972BE">
      <w:pPr>
        <w:spacing w:before="120" w:after="120"/>
      </w:pPr>
      <w:r>
        <w:rPr>
          <w:rFonts w:ascii="Arial" w:eastAsia="宋体" w:hAnsi="Arial" w:cs="Arial"/>
          <w:color w:val="000000"/>
          <w:sz w:val="17"/>
          <w:szCs w:val="17"/>
        </w:rPr>
        <w:t xml:space="preserve">For the three and six months ended November 30, 2021 and 2020, Global Brand Divisions revenues include NIKE Brand </w:t>
      </w:r>
      <w:r>
        <w:rPr>
          <w:rFonts w:ascii="Arial" w:eastAsia="宋体" w:hAnsi="Arial" w:cs="Arial"/>
          <w:color w:val="000000"/>
          <w:sz w:val="17"/>
          <w:szCs w:val="17"/>
        </w:rPr>
        <w:t>licensing and other miscellaneous revenues that are not part of a geographic operating segment. Converse Other revenues were primarily attributable to licensing businesses. Corporate revenues primarily consisted of foreign currency hedge gains and losses r</w:t>
      </w:r>
      <w:r>
        <w:rPr>
          <w:rFonts w:ascii="Arial" w:eastAsia="宋体" w:hAnsi="Arial" w:cs="Arial"/>
          <w:color w:val="000000"/>
          <w:sz w:val="17"/>
          <w:szCs w:val="17"/>
        </w:rPr>
        <w:t>elated to revenues generated by entities within the NIKE Brand geographic operating segments and Converse, but managed through the Company's central foreign exchange risk management program.</w:t>
      </w:r>
    </w:p>
    <w:p w14:paraId="2470D021" w14:textId="77777777" w:rsidR="009C6E2F" w:rsidRDefault="007972BE">
      <w:pPr>
        <w:spacing w:before="120" w:after="120"/>
      </w:pPr>
      <w:r>
        <w:rPr>
          <w:rFonts w:ascii="Arial" w:eastAsia="宋体" w:hAnsi="Arial" w:cs="Arial"/>
          <w:color w:val="000000"/>
          <w:sz w:val="17"/>
          <w:szCs w:val="17"/>
        </w:rPr>
        <w:t>As of November 30, 2021 and May 31, 2021, the Company did not hav</w:t>
      </w:r>
      <w:r>
        <w:rPr>
          <w:rFonts w:ascii="Arial" w:eastAsia="宋体" w:hAnsi="Arial" w:cs="Arial"/>
          <w:color w:val="000000"/>
          <w:sz w:val="17"/>
          <w:szCs w:val="17"/>
        </w:rPr>
        <w:t>e any contract assets and had an immaterial amount of contract liabilities recorded in Accrued liabilities on the Unaudited Condensed Consolidated Balance Sheets.</w:t>
      </w:r>
    </w:p>
    <w:p w14:paraId="2470D022" w14:textId="77777777" w:rsidR="009C6E2F" w:rsidRDefault="007972BE">
      <w:pPr>
        <w:spacing w:before="120" w:after="120"/>
      </w:pPr>
      <w:r>
        <w:rPr>
          <w:rFonts w:ascii="Arial" w:eastAsia="宋体" w:hAnsi="Arial" w:cs="Arial"/>
          <w:color w:val="E87722"/>
          <w:sz w:val="17"/>
          <w:szCs w:val="17"/>
        </w:rPr>
        <w:t>20</w:t>
      </w:r>
      <w:r>
        <w:rPr>
          <w:rFonts w:ascii="sans-serif" w:eastAsia="sans-serif" w:hAnsi="sans-serif" w:cs="sans-serif"/>
          <w:color w:val="000000"/>
          <w:sz w:val="17"/>
          <w:szCs w:val="17"/>
        </w:rPr>
        <w:t xml:space="preserve"> </w:t>
      </w:r>
    </w:p>
    <w:p w14:paraId="2470D023" w14:textId="77777777" w:rsidR="009C6E2F" w:rsidRDefault="007972BE">
      <w:r>
        <w:pict w14:anchorId="2470E1F9">
          <v:rect id="_x0000_i1046" style="width:415.3pt;height:1.5pt" o:hralign="center" o:hrstd="t" o:hr="t" fillcolor="#a0a0a0" stroked="f"/>
        </w:pict>
      </w:r>
    </w:p>
    <w:p w14:paraId="2470D024" w14:textId="77777777" w:rsidR="009C6E2F" w:rsidRDefault="009C6E2F"/>
    <w:p w14:paraId="2470D025" w14:textId="77777777" w:rsidR="009C6E2F" w:rsidRDefault="007972BE">
      <w:hyperlink r:id="rId89" w:anchor="i9e023a7388204bdbacd6aa338988f838_7" w:history="1">
        <w:r>
          <w:rPr>
            <w:rStyle w:val="a5"/>
            <w:rFonts w:ascii="sans-serif" w:eastAsia="sans-serif" w:hAnsi="sans-serif" w:cs="sans-serif"/>
            <w:sz w:val="17"/>
            <w:szCs w:val="17"/>
          </w:rPr>
          <w:t>Table of Contents</w:t>
        </w:r>
      </w:hyperlink>
    </w:p>
    <w:p w14:paraId="2470D026" w14:textId="77777777" w:rsidR="009C6E2F" w:rsidRDefault="009C6E2F"/>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D02A" w14:textId="77777777">
        <w:tc>
          <w:tcPr>
            <w:tcW w:w="50" w:type="pct"/>
            <w:shd w:val="clear" w:color="auto" w:fill="auto"/>
            <w:vAlign w:val="bottom"/>
          </w:tcPr>
          <w:p w14:paraId="2470D027" w14:textId="77777777" w:rsidR="009C6E2F" w:rsidRDefault="009C6E2F">
            <w:pPr>
              <w:rPr>
                <w:rFonts w:ascii="宋体"/>
              </w:rPr>
            </w:pPr>
          </w:p>
        </w:tc>
        <w:tc>
          <w:tcPr>
            <w:tcW w:w="4945" w:type="pct"/>
            <w:shd w:val="clear" w:color="auto" w:fill="auto"/>
            <w:vAlign w:val="bottom"/>
          </w:tcPr>
          <w:p w14:paraId="2470D028" w14:textId="77777777" w:rsidR="009C6E2F" w:rsidRDefault="009C6E2F">
            <w:pPr>
              <w:rPr>
                <w:rFonts w:ascii="宋体"/>
              </w:rPr>
            </w:pPr>
          </w:p>
        </w:tc>
        <w:tc>
          <w:tcPr>
            <w:tcW w:w="5" w:type="pct"/>
            <w:shd w:val="clear" w:color="auto" w:fill="auto"/>
            <w:vAlign w:val="bottom"/>
          </w:tcPr>
          <w:p w14:paraId="2470D029" w14:textId="77777777" w:rsidR="009C6E2F" w:rsidRDefault="009C6E2F">
            <w:pPr>
              <w:rPr>
                <w:rFonts w:ascii="宋体"/>
              </w:rPr>
            </w:pPr>
          </w:p>
        </w:tc>
      </w:tr>
      <w:tr w:rsidR="009C6E2F" w14:paraId="2470D02C" w14:textId="77777777">
        <w:tc>
          <w:tcPr>
            <w:tcW w:w="0" w:type="auto"/>
            <w:gridSpan w:val="3"/>
            <w:shd w:val="clear" w:color="auto" w:fill="auto"/>
            <w:tcMar>
              <w:top w:w="40" w:type="dxa"/>
              <w:left w:w="20" w:type="dxa"/>
              <w:bottom w:w="40" w:type="dxa"/>
              <w:right w:w="20" w:type="dxa"/>
            </w:tcMar>
            <w:vAlign w:val="bottom"/>
          </w:tcPr>
          <w:p w14:paraId="2470D02B" w14:textId="77777777" w:rsidR="009C6E2F" w:rsidRDefault="007972BE">
            <w:pPr>
              <w:textAlignment w:val="bottom"/>
            </w:pPr>
            <w:r>
              <w:rPr>
                <w:rFonts w:ascii="sans-serif" w:eastAsia="sans-serif" w:hAnsi="sans-serif" w:cs="sans-serif"/>
                <w:b/>
                <w:bCs/>
                <w:color w:val="E87722"/>
                <w:sz w:val="36"/>
                <w:szCs w:val="36"/>
              </w:rPr>
              <w:t>NOTE 11 — OPERATING SEGMENTS</w:t>
            </w:r>
          </w:p>
        </w:tc>
      </w:tr>
    </w:tbl>
    <w:p w14:paraId="2470D02D" w14:textId="77777777" w:rsidR="009C6E2F" w:rsidRDefault="007972BE">
      <w:pPr>
        <w:spacing w:before="120" w:after="120"/>
      </w:pPr>
      <w:r>
        <w:rPr>
          <w:rFonts w:ascii="Arial" w:eastAsia="宋体" w:hAnsi="Arial" w:cs="Arial"/>
          <w:color w:val="000000"/>
          <w:sz w:val="17"/>
          <w:szCs w:val="17"/>
        </w:rPr>
        <w:t xml:space="preserve">The Company's operating segments are </w:t>
      </w:r>
      <w:r>
        <w:rPr>
          <w:rFonts w:ascii="Arial" w:eastAsia="宋体" w:hAnsi="Arial" w:cs="Arial"/>
          <w:color w:val="000000"/>
          <w:sz w:val="17"/>
          <w:szCs w:val="17"/>
        </w:rPr>
        <w:t>evidence of the structure of the Company's internal organization. The NIKE Brand segments are defined by geographic regions for operations participating in NIKE Brand sales activity.</w:t>
      </w:r>
    </w:p>
    <w:p w14:paraId="2470D02E" w14:textId="77777777" w:rsidR="009C6E2F" w:rsidRDefault="007972BE">
      <w:pPr>
        <w:spacing w:before="120" w:after="120"/>
      </w:pPr>
      <w:r>
        <w:rPr>
          <w:rFonts w:ascii="Arial" w:eastAsia="宋体" w:hAnsi="Arial" w:cs="Arial"/>
          <w:color w:val="000000"/>
          <w:sz w:val="17"/>
          <w:szCs w:val="17"/>
        </w:rPr>
        <w:t>Each NIKE Brand geographic segment operates predominantly in one industry</w:t>
      </w:r>
      <w:r>
        <w:rPr>
          <w:rFonts w:ascii="Arial" w:eastAsia="宋体" w:hAnsi="Arial" w:cs="Arial"/>
          <w:color w:val="000000"/>
          <w:sz w:val="17"/>
          <w:szCs w:val="17"/>
        </w:rPr>
        <w:t>: the design, development, marketing and selling of athletic footwear, apparel and equipment. The Company's reportable operating segments for the NIKE Brand are: North America; Europe, Middle East &amp; Africa (EMEA); Greater China; and Asia Pacific &amp; Latin Am</w:t>
      </w:r>
      <w:r>
        <w:rPr>
          <w:rFonts w:ascii="Arial" w:eastAsia="宋体" w:hAnsi="Arial" w:cs="Arial"/>
          <w:color w:val="000000"/>
          <w:sz w:val="17"/>
          <w:szCs w:val="17"/>
        </w:rPr>
        <w:t xml:space="preserve">erica (APLA), and include results for the NIKE and Jordan brands. </w:t>
      </w:r>
    </w:p>
    <w:p w14:paraId="2470D02F" w14:textId="77777777" w:rsidR="009C6E2F" w:rsidRDefault="007972BE">
      <w:pPr>
        <w:spacing w:before="120" w:after="120"/>
      </w:pPr>
      <w:r>
        <w:rPr>
          <w:rFonts w:ascii="Arial" w:eastAsia="宋体" w:hAnsi="Arial" w:cs="Arial"/>
          <w:color w:val="000000"/>
          <w:sz w:val="17"/>
          <w:szCs w:val="17"/>
        </w:rPr>
        <w:t>The Company's NIKE Direct operations are managed within each NIKE Brand geographic operating segment. Converse is also a reportable segment for the Company and operates in one industry: the</w:t>
      </w:r>
      <w:r>
        <w:rPr>
          <w:rFonts w:ascii="Arial" w:eastAsia="宋体" w:hAnsi="Arial" w:cs="Arial"/>
          <w:color w:val="000000"/>
          <w:sz w:val="17"/>
          <w:szCs w:val="17"/>
        </w:rPr>
        <w:t xml:space="preserve"> design, marketing, licensing and selling of athletic lifestyle sneakers, apparel and accessories.</w:t>
      </w:r>
    </w:p>
    <w:p w14:paraId="2470D030" w14:textId="77777777" w:rsidR="009C6E2F" w:rsidRDefault="007972BE">
      <w:pPr>
        <w:spacing w:before="120" w:after="120"/>
      </w:pPr>
      <w:r>
        <w:rPr>
          <w:rFonts w:ascii="Arial" w:eastAsia="宋体" w:hAnsi="Arial" w:cs="Arial"/>
          <w:color w:val="000000"/>
          <w:sz w:val="17"/>
          <w:szCs w:val="17"/>
        </w:rPr>
        <w:t>Global Brand Divisions is included within the NIKE Brand for presentation purposes to align with the way management views the Company. Global Brand Divisions</w:t>
      </w:r>
      <w:r>
        <w:rPr>
          <w:rFonts w:ascii="Arial" w:eastAsia="宋体" w:hAnsi="Arial" w:cs="Arial"/>
          <w:color w:val="000000"/>
          <w:sz w:val="17"/>
          <w:szCs w:val="17"/>
        </w:rPr>
        <w:t xml:space="preserve"> revenues include NIKE Brand licensing and other miscellaneous revenues that are not part of a geographic operating segment. Global Brand Divisions costs represent demand creation and operating overhead expense that include product creation and design expe</w:t>
      </w:r>
      <w:r>
        <w:rPr>
          <w:rFonts w:ascii="Arial" w:eastAsia="宋体" w:hAnsi="Arial" w:cs="Arial"/>
          <w:color w:val="000000"/>
          <w:sz w:val="17"/>
          <w:szCs w:val="17"/>
        </w:rPr>
        <w:t xml:space="preserve">nses centrally managed for the NIKE Brand, as well as costs associated with NIKE Direct global digital operations and enterprise technology. </w:t>
      </w:r>
    </w:p>
    <w:p w14:paraId="2470D031" w14:textId="77777777" w:rsidR="009C6E2F" w:rsidRDefault="007972BE">
      <w:pPr>
        <w:spacing w:before="120" w:after="120"/>
      </w:pPr>
      <w:r>
        <w:rPr>
          <w:rFonts w:ascii="Arial" w:eastAsia="宋体" w:hAnsi="Arial" w:cs="Arial"/>
          <w:color w:val="000000"/>
          <w:sz w:val="17"/>
          <w:szCs w:val="17"/>
        </w:rPr>
        <w:t>Corporate consists primarily of unallocated general and administrative expenses, including expenses associated wit</w:t>
      </w:r>
      <w:r>
        <w:rPr>
          <w:rFonts w:ascii="Arial" w:eastAsia="宋体" w:hAnsi="Arial" w:cs="Arial"/>
          <w:color w:val="000000"/>
          <w:sz w:val="17"/>
          <w:szCs w:val="17"/>
        </w:rPr>
        <w:t>h centrally managed departments; depreciation and amortization related to the Company's headquarters; unallocated insurance, benefit and compensation programs, including stock-based compensation; and certain foreign currency gains and losses, including cer</w:t>
      </w:r>
      <w:r>
        <w:rPr>
          <w:rFonts w:ascii="Arial" w:eastAsia="宋体" w:hAnsi="Arial" w:cs="Arial"/>
          <w:color w:val="000000"/>
          <w:sz w:val="17"/>
          <w:szCs w:val="17"/>
        </w:rPr>
        <w:t>tain hedge gains and losses.</w:t>
      </w:r>
    </w:p>
    <w:p w14:paraId="2470D032" w14:textId="77777777" w:rsidR="009C6E2F" w:rsidRDefault="007972BE">
      <w:pPr>
        <w:spacing w:before="120" w:after="120"/>
      </w:pPr>
      <w:r>
        <w:rPr>
          <w:rFonts w:ascii="Arial" w:eastAsia="宋体" w:hAnsi="Arial" w:cs="Arial"/>
          <w:color w:val="000000"/>
          <w:sz w:val="17"/>
          <w:szCs w:val="17"/>
        </w:rPr>
        <w:t>The primary financial measure used by the Company to evaluate performance of individual operating segments is earnings before interest and taxes (EBIT), which represents Net income before Interest expense (income), net and Inco</w:t>
      </w:r>
      <w:r>
        <w:rPr>
          <w:rFonts w:ascii="Arial" w:eastAsia="宋体" w:hAnsi="Arial" w:cs="Arial"/>
          <w:color w:val="000000"/>
          <w:sz w:val="17"/>
          <w:szCs w:val="17"/>
        </w:rPr>
        <w:t>me tax expense in the Unaudited Condensed Consolidated Statements of Income.</w:t>
      </w:r>
    </w:p>
    <w:p w14:paraId="2470D033" w14:textId="77777777" w:rsidR="009C6E2F" w:rsidRDefault="007972BE">
      <w:pPr>
        <w:spacing w:before="120" w:after="120"/>
      </w:pPr>
      <w:r>
        <w:rPr>
          <w:rFonts w:ascii="Arial" w:eastAsia="宋体" w:hAnsi="Arial" w:cs="Arial"/>
          <w:color w:val="000000"/>
          <w:sz w:val="17"/>
          <w:szCs w:val="17"/>
        </w:rPr>
        <w:t>As part of the Company's centrally managed foreign exchange risk management program, standard foreign currency rates are assigned twice per year to each NIKE Brand entity in the C</w:t>
      </w:r>
      <w:r>
        <w:rPr>
          <w:rFonts w:ascii="Arial" w:eastAsia="宋体" w:hAnsi="Arial" w:cs="Arial"/>
          <w:color w:val="000000"/>
          <w:sz w:val="17"/>
          <w:szCs w:val="17"/>
        </w:rPr>
        <w:t>ompany's geographic operating segments and to Converse. These rates are set approximately nine and twelve months in advance of the future selling seasons to which they relate (specifically, for each currency, one standard rate applies to the fall and holid</w:t>
      </w:r>
      <w:r>
        <w:rPr>
          <w:rFonts w:ascii="Arial" w:eastAsia="宋体" w:hAnsi="Arial" w:cs="Arial"/>
          <w:color w:val="000000"/>
          <w:sz w:val="17"/>
          <w:szCs w:val="17"/>
        </w:rPr>
        <w:t>ay selling seasons and one standard rate applies to the spring and summer selling seasons) based on average market spot rates in the calendar month preceding the date they are established. Inventories and Cost of sales for geographic operating segments and</w:t>
      </w:r>
      <w:r>
        <w:rPr>
          <w:rFonts w:ascii="Arial" w:eastAsia="宋体" w:hAnsi="Arial" w:cs="Arial"/>
          <w:color w:val="000000"/>
          <w:sz w:val="17"/>
          <w:szCs w:val="17"/>
        </w:rPr>
        <w:t xml:space="preserve"> Converse reflect the use of these standard rates to record non-functional currency product purchases in the entity's functional currency. Differences between assigned standard foreign currency rates and actual market rates are included in Corporate, toget</w:t>
      </w:r>
      <w:r>
        <w:rPr>
          <w:rFonts w:ascii="Arial" w:eastAsia="宋体" w:hAnsi="Arial" w:cs="Arial"/>
          <w:color w:val="000000"/>
          <w:sz w:val="17"/>
          <w:szCs w:val="17"/>
        </w:rPr>
        <w:t>her with foreign currency hedge gains and losses generated from the Company's centrally managed foreign exchange risk management program and other conversion gains and losses.</w:t>
      </w:r>
    </w:p>
    <w:p w14:paraId="2470D034" w14:textId="77777777" w:rsidR="009C6E2F" w:rsidRDefault="007972BE">
      <w:pPr>
        <w:spacing w:before="120" w:after="120"/>
      </w:pPr>
      <w:r>
        <w:rPr>
          <w:rFonts w:ascii="Arial" w:eastAsia="宋体" w:hAnsi="Arial" w:cs="Arial"/>
          <w:color w:val="000000"/>
          <w:sz w:val="17"/>
          <w:szCs w:val="17"/>
        </w:rPr>
        <w:t>Accounts receivable, net, Inventories and Property, plant and equipment, net for</w:t>
      </w:r>
      <w:r>
        <w:rPr>
          <w:rFonts w:ascii="Arial" w:eastAsia="宋体" w:hAnsi="Arial" w:cs="Arial"/>
          <w:color w:val="000000"/>
          <w:sz w:val="17"/>
          <w:szCs w:val="17"/>
        </w:rPr>
        <w:t xml:space="preserve"> operating segments are regularly reviewed by management and are therefore provided below.</w:t>
      </w:r>
    </w:p>
    <w:p w14:paraId="2470D035" w14:textId="77777777" w:rsidR="009C6E2F" w:rsidRDefault="007972BE">
      <w:pPr>
        <w:spacing w:before="120" w:after="120"/>
        <w:jc w:val="right"/>
      </w:pPr>
      <w:r>
        <w:rPr>
          <w:rFonts w:ascii="Arial" w:eastAsia="宋体" w:hAnsi="Arial" w:cs="Arial"/>
          <w:color w:val="E87722"/>
          <w:sz w:val="17"/>
          <w:szCs w:val="17"/>
        </w:rPr>
        <w:t>21</w:t>
      </w:r>
    </w:p>
    <w:p w14:paraId="2470D036" w14:textId="77777777" w:rsidR="009C6E2F" w:rsidRDefault="007972BE">
      <w:r>
        <w:pict w14:anchorId="2470E1FA">
          <v:rect id="_x0000_i1047" style="width:415.3pt;height:1.5pt" o:hralign="center" o:hrstd="t" o:hr="t" fillcolor="#a0a0a0" stroked="f"/>
        </w:pict>
      </w:r>
    </w:p>
    <w:p w14:paraId="2470D037" w14:textId="77777777" w:rsidR="009C6E2F" w:rsidRDefault="009C6E2F"/>
    <w:p w14:paraId="2470D038" w14:textId="77777777" w:rsidR="009C6E2F" w:rsidRDefault="007972BE">
      <w:hyperlink r:id="rId90" w:anchor="i9e023a7388204bdbacd6aa338988f838_7" w:history="1">
        <w:r>
          <w:rPr>
            <w:rStyle w:val="a5"/>
            <w:rFonts w:ascii="sans-serif" w:eastAsia="sans-serif" w:hAnsi="sans-serif" w:cs="sans-serif"/>
            <w:sz w:val="17"/>
            <w:szCs w:val="17"/>
          </w:rPr>
          <w:t>Table of C</w:t>
        </w:r>
        <w:r>
          <w:rPr>
            <w:rStyle w:val="a5"/>
            <w:rFonts w:ascii="sans-serif" w:eastAsia="sans-serif" w:hAnsi="sans-serif" w:cs="sans-serif"/>
            <w:sz w:val="17"/>
            <w:szCs w:val="17"/>
          </w:rPr>
          <w:t>ontents</w:t>
        </w:r>
      </w:hyperlink>
    </w:p>
    <w:p w14:paraId="2470D039" w14:textId="77777777" w:rsidR="009C6E2F" w:rsidRDefault="009C6E2F"/>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512"/>
        <w:gridCol w:w="37"/>
        <w:gridCol w:w="115"/>
        <w:gridCol w:w="726"/>
        <w:gridCol w:w="36"/>
        <w:gridCol w:w="36"/>
        <w:gridCol w:w="36"/>
        <w:gridCol w:w="36"/>
        <w:gridCol w:w="115"/>
        <w:gridCol w:w="683"/>
        <w:gridCol w:w="36"/>
        <w:gridCol w:w="36"/>
        <w:gridCol w:w="36"/>
        <w:gridCol w:w="36"/>
        <w:gridCol w:w="115"/>
        <w:gridCol w:w="726"/>
        <w:gridCol w:w="36"/>
        <w:gridCol w:w="36"/>
        <w:gridCol w:w="36"/>
        <w:gridCol w:w="36"/>
        <w:gridCol w:w="115"/>
        <w:gridCol w:w="686"/>
        <w:gridCol w:w="36"/>
      </w:tblGrid>
      <w:tr w:rsidR="009C6E2F" w14:paraId="2470D052" w14:textId="77777777">
        <w:trPr>
          <w:jc w:val="center"/>
        </w:trPr>
        <w:tc>
          <w:tcPr>
            <w:tcW w:w="50" w:type="pct"/>
            <w:shd w:val="clear" w:color="auto" w:fill="auto"/>
            <w:vAlign w:val="bottom"/>
          </w:tcPr>
          <w:p w14:paraId="2470D03A" w14:textId="77777777" w:rsidR="009C6E2F" w:rsidRDefault="009C6E2F">
            <w:pPr>
              <w:rPr>
                <w:rFonts w:ascii="宋体"/>
              </w:rPr>
            </w:pPr>
          </w:p>
        </w:tc>
        <w:tc>
          <w:tcPr>
            <w:tcW w:w="2741" w:type="pct"/>
            <w:shd w:val="clear" w:color="auto" w:fill="auto"/>
            <w:vAlign w:val="bottom"/>
          </w:tcPr>
          <w:p w14:paraId="2470D03B" w14:textId="77777777" w:rsidR="009C6E2F" w:rsidRDefault="009C6E2F">
            <w:pPr>
              <w:rPr>
                <w:rFonts w:ascii="宋体"/>
              </w:rPr>
            </w:pPr>
          </w:p>
        </w:tc>
        <w:tc>
          <w:tcPr>
            <w:tcW w:w="5" w:type="pct"/>
            <w:shd w:val="clear" w:color="auto" w:fill="auto"/>
            <w:vAlign w:val="bottom"/>
          </w:tcPr>
          <w:p w14:paraId="2470D03C" w14:textId="77777777" w:rsidR="009C6E2F" w:rsidRDefault="009C6E2F">
            <w:pPr>
              <w:rPr>
                <w:rFonts w:ascii="宋体"/>
              </w:rPr>
            </w:pPr>
          </w:p>
        </w:tc>
        <w:tc>
          <w:tcPr>
            <w:tcW w:w="50" w:type="pct"/>
            <w:shd w:val="clear" w:color="auto" w:fill="auto"/>
            <w:vAlign w:val="bottom"/>
          </w:tcPr>
          <w:p w14:paraId="2470D03D" w14:textId="77777777" w:rsidR="009C6E2F" w:rsidRDefault="009C6E2F">
            <w:pPr>
              <w:rPr>
                <w:rFonts w:ascii="宋体"/>
              </w:rPr>
            </w:pPr>
          </w:p>
        </w:tc>
        <w:tc>
          <w:tcPr>
            <w:tcW w:w="468" w:type="pct"/>
            <w:shd w:val="clear" w:color="auto" w:fill="auto"/>
            <w:vAlign w:val="bottom"/>
          </w:tcPr>
          <w:p w14:paraId="2470D03E" w14:textId="77777777" w:rsidR="009C6E2F" w:rsidRDefault="009C6E2F">
            <w:pPr>
              <w:rPr>
                <w:rFonts w:ascii="宋体"/>
              </w:rPr>
            </w:pPr>
          </w:p>
        </w:tc>
        <w:tc>
          <w:tcPr>
            <w:tcW w:w="5" w:type="pct"/>
            <w:shd w:val="clear" w:color="auto" w:fill="auto"/>
            <w:vAlign w:val="bottom"/>
          </w:tcPr>
          <w:p w14:paraId="2470D03F" w14:textId="77777777" w:rsidR="009C6E2F" w:rsidRDefault="009C6E2F">
            <w:pPr>
              <w:rPr>
                <w:rFonts w:ascii="宋体"/>
              </w:rPr>
            </w:pPr>
          </w:p>
        </w:tc>
        <w:tc>
          <w:tcPr>
            <w:tcW w:w="5" w:type="pct"/>
            <w:shd w:val="clear" w:color="auto" w:fill="auto"/>
            <w:vAlign w:val="bottom"/>
          </w:tcPr>
          <w:p w14:paraId="2470D040" w14:textId="77777777" w:rsidR="009C6E2F" w:rsidRDefault="009C6E2F">
            <w:pPr>
              <w:rPr>
                <w:rFonts w:ascii="宋体"/>
              </w:rPr>
            </w:pPr>
          </w:p>
        </w:tc>
        <w:tc>
          <w:tcPr>
            <w:tcW w:w="28" w:type="pct"/>
            <w:shd w:val="clear" w:color="auto" w:fill="auto"/>
            <w:vAlign w:val="bottom"/>
          </w:tcPr>
          <w:p w14:paraId="2470D041" w14:textId="77777777" w:rsidR="009C6E2F" w:rsidRDefault="009C6E2F">
            <w:pPr>
              <w:rPr>
                <w:rFonts w:ascii="宋体"/>
              </w:rPr>
            </w:pPr>
          </w:p>
        </w:tc>
        <w:tc>
          <w:tcPr>
            <w:tcW w:w="5" w:type="pct"/>
            <w:shd w:val="clear" w:color="auto" w:fill="auto"/>
            <w:vAlign w:val="bottom"/>
          </w:tcPr>
          <w:p w14:paraId="2470D042" w14:textId="77777777" w:rsidR="009C6E2F" w:rsidRDefault="009C6E2F">
            <w:pPr>
              <w:rPr>
                <w:rFonts w:ascii="宋体"/>
              </w:rPr>
            </w:pPr>
          </w:p>
        </w:tc>
        <w:tc>
          <w:tcPr>
            <w:tcW w:w="50" w:type="pct"/>
            <w:shd w:val="clear" w:color="auto" w:fill="auto"/>
            <w:vAlign w:val="bottom"/>
          </w:tcPr>
          <w:p w14:paraId="2470D043" w14:textId="77777777" w:rsidR="009C6E2F" w:rsidRDefault="009C6E2F">
            <w:pPr>
              <w:rPr>
                <w:rFonts w:ascii="宋体"/>
              </w:rPr>
            </w:pPr>
          </w:p>
        </w:tc>
        <w:tc>
          <w:tcPr>
            <w:tcW w:w="468" w:type="pct"/>
            <w:shd w:val="clear" w:color="auto" w:fill="auto"/>
            <w:vAlign w:val="bottom"/>
          </w:tcPr>
          <w:p w14:paraId="2470D044" w14:textId="77777777" w:rsidR="009C6E2F" w:rsidRDefault="009C6E2F">
            <w:pPr>
              <w:rPr>
                <w:rFonts w:ascii="宋体"/>
              </w:rPr>
            </w:pPr>
          </w:p>
        </w:tc>
        <w:tc>
          <w:tcPr>
            <w:tcW w:w="5" w:type="pct"/>
            <w:shd w:val="clear" w:color="auto" w:fill="auto"/>
            <w:vAlign w:val="bottom"/>
          </w:tcPr>
          <w:p w14:paraId="2470D045" w14:textId="77777777" w:rsidR="009C6E2F" w:rsidRDefault="009C6E2F">
            <w:pPr>
              <w:rPr>
                <w:rFonts w:ascii="宋体"/>
              </w:rPr>
            </w:pPr>
          </w:p>
        </w:tc>
        <w:tc>
          <w:tcPr>
            <w:tcW w:w="5" w:type="pct"/>
            <w:shd w:val="clear" w:color="auto" w:fill="auto"/>
            <w:vAlign w:val="bottom"/>
          </w:tcPr>
          <w:p w14:paraId="2470D046" w14:textId="77777777" w:rsidR="009C6E2F" w:rsidRDefault="009C6E2F">
            <w:pPr>
              <w:rPr>
                <w:rFonts w:ascii="宋体"/>
              </w:rPr>
            </w:pPr>
          </w:p>
        </w:tc>
        <w:tc>
          <w:tcPr>
            <w:tcW w:w="20" w:type="pct"/>
            <w:shd w:val="clear" w:color="auto" w:fill="auto"/>
            <w:vAlign w:val="bottom"/>
          </w:tcPr>
          <w:p w14:paraId="2470D047" w14:textId="77777777" w:rsidR="009C6E2F" w:rsidRDefault="009C6E2F">
            <w:pPr>
              <w:rPr>
                <w:rFonts w:ascii="宋体"/>
              </w:rPr>
            </w:pPr>
          </w:p>
        </w:tc>
        <w:tc>
          <w:tcPr>
            <w:tcW w:w="5" w:type="pct"/>
            <w:shd w:val="clear" w:color="auto" w:fill="auto"/>
            <w:vAlign w:val="bottom"/>
          </w:tcPr>
          <w:p w14:paraId="2470D048" w14:textId="77777777" w:rsidR="009C6E2F" w:rsidRDefault="009C6E2F">
            <w:pPr>
              <w:rPr>
                <w:rFonts w:ascii="宋体"/>
              </w:rPr>
            </w:pPr>
          </w:p>
        </w:tc>
        <w:tc>
          <w:tcPr>
            <w:tcW w:w="50" w:type="pct"/>
            <w:shd w:val="clear" w:color="auto" w:fill="auto"/>
            <w:vAlign w:val="bottom"/>
          </w:tcPr>
          <w:p w14:paraId="2470D049" w14:textId="77777777" w:rsidR="009C6E2F" w:rsidRDefault="009C6E2F">
            <w:pPr>
              <w:rPr>
                <w:rFonts w:ascii="宋体"/>
              </w:rPr>
            </w:pPr>
          </w:p>
        </w:tc>
        <w:tc>
          <w:tcPr>
            <w:tcW w:w="468" w:type="pct"/>
            <w:shd w:val="clear" w:color="auto" w:fill="auto"/>
            <w:vAlign w:val="bottom"/>
          </w:tcPr>
          <w:p w14:paraId="2470D04A" w14:textId="77777777" w:rsidR="009C6E2F" w:rsidRDefault="009C6E2F">
            <w:pPr>
              <w:rPr>
                <w:rFonts w:ascii="宋体"/>
              </w:rPr>
            </w:pPr>
          </w:p>
        </w:tc>
        <w:tc>
          <w:tcPr>
            <w:tcW w:w="5" w:type="pct"/>
            <w:shd w:val="clear" w:color="auto" w:fill="auto"/>
            <w:vAlign w:val="bottom"/>
          </w:tcPr>
          <w:p w14:paraId="2470D04B" w14:textId="77777777" w:rsidR="009C6E2F" w:rsidRDefault="009C6E2F">
            <w:pPr>
              <w:rPr>
                <w:rFonts w:ascii="宋体"/>
              </w:rPr>
            </w:pPr>
          </w:p>
        </w:tc>
        <w:tc>
          <w:tcPr>
            <w:tcW w:w="5" w:type="pct"/>
            <w:shd w:val="clear" w:color="auto" w:fill="auto"/>
            <w:vAlign w:val="bottom"/>
          </w:tcPr>
          <w:p w14:paraId="2470D04C" w14:textId="77777777" w:rsidR="009C6E2F" w:rsidRDefault="009C6E2F">
            <w:pPr>
              <w:rPr>
                <w:rFonts w:ascii="宋体"/>
              </w:rPr>
            </w:pPr>
          </w:p>
        </w:tc>
        <w:tc>
          <w:tcPr>
            <w:tcW w:w="28" w:type="pct"/>
            <w:shd w:val="clear" w:color="auto" w:fill="auto"/>
            <w:vAlign w:val="bottom"/>
          </w:tcPr>
          <w:p w14:paraId="2470D04D" w14:textId="77777777" w:rsidR="009C6E2F" w:rsidRDefault="009C6E2F">
            <w:pPr>
              <w:rPr>
                <w:rFonts w:ascii="宋体"/>
              </w:rPr>
            </w:pPr>
          </w:p>
        </w:tc>
        <w:tc>
          <w:tcPr>
            <w:tcW w:w="5" w:type="pct"/>
            <w:shd w:val="clear" w:color="auto" w:fill="auto"/>
            <w:vAlign w:val="bottom"/>
          </w:tcPr>
          <w:p w14:paraId="2470D04E" w14:textId="77777777" w:rsidR="009C6E2F" w:rsidRDefault="009C6E2F">
            <w:pPr>
              <w:rPr>
                <w:rFonts w:ascii="宋体"/>
              </w:rPr>
            </w:pPr>
          </w:p>
        </w:tc>
        <w:tc>
          <w:tcPr>
            <w:tcW w:w="50" w:type="pct"/>
            <w:shd w:val="clear" w:color="auto" w:fill="auto"/>
            <w:vAlign w:val="bottom"/>
          </w:tcPr>
          <w:p w14:paraId="2470D04F" w14:textId="77777777" w:rsidR="009C6E2F" w:rsidRDefault="009C6E2F">
            <w:pPr>
              <w:rPr>
                <w:rFonts w:ascii="宋体"/>
              </w:rPr>
            </w:pPr>
          </w:p>
        </w:tc>
        <w:tc>
          <w:tcPr>
            <w:tcW w:w="469" w:type="pct"/>
            <w:shd w:val="clear" w:color="auto" w:fill="auto"/>
            <w:vAlign w:val="bottom"/>
          </w:tcPr>
          <w:p w14:paraId="2470D050" w14:textId="77777777" w:rsidR="009C6E2F" w:rsidRDefault="009C6E2F">
            <w:pPr>
              <w:rPr>
                <w:rFonts w:ascii="宋体"/>
              </w:rPr>
            </w:pPr>
          </w:p>
        </w:tc>
        <w:tc>
          <w:tcPr>
            <w:tcW w:w="5" w:type="pct"/>
            <w:shd w:val="clear" w:color="auto" w:fill="auto"/>
            <w:vAlign w:val="bottom"/>
          </w:tcPr>
          <w:p w14:paraId="2470D051" w14:textId="77777777" w:rsidR="009C6E2F" w:rsidRDefault="009C6E2F">
            <w:pPr>
              <w:rPr>
                <w:rFonts w:ascii="宋体"/>
              </w:rPr>
            </w:pPr>
          </w:p>
        </w:tc>
      </w:tr>
      <w:tr w:rsidR="009C6E2F" w14:paraId="2470D057" w14:textId="77777777">
        <w:trPr>
          <w:jc w:val="center"/>
        </w:trPr>
        <w:tc>
          <w:tcPr>
            <w:tcW w:w="0" w:type="auto"/>
            <w:gridSpan w:val="3"/>
            <w:shd w:val="clear" w:color="auto" w:fill="auto"/>
            <w:tcMar>
              <w:top w:w="40" w:type="dxa"/>
              <w:left w:w="20" w:type="dxa"/>
              <w:bottom w:w="40" w:type="dxa"/>
              <w:right w:w="20" w:type="dxa"/>
            </w:tcMar>
            <w:vAlign w:val="bottom"/>
          </w:tcPr>
          <w:p w14:paraId="2470D053" w14:textId="77777777" w:rsidR="009C6E2F" w:rsidRDefault="007972BE">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2470D054"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055"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056"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D060" w14:textId="77777777">
        <w:trPr>
          <w:jc w:val="center"/>
        </w:trPr>
        <w:tc>
          <w:tcPr>
            <w:tcW w:w="0" w:type="auto"/>
            <w:gridSpan w:val="3"/>
            <w:shd w:val="clear" w:color="auto" w:fill="auto"/>
            <w:tcMar>
              <w:top w:w="40" w:type="dxa"/>
              <w:left w:w="20" w:type="dxa"/>
              <w:bottom w:w="40" w:type="dxa"/>
              <w:right w:w="20" w:type="dxa"/>
            </w:tcMar>
            <w:vAlign w:val="bottom"/>
          </w:tcPr>
          <w:p w14:paraId="2470D05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59"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5A"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5B"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D05C"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5D"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5E"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5F" w14:textId="77777777" w:rsidR="009C6E2F" w:rsidRDefault="007972BE">
            <w:pPr>
              <w:jc w:val="center"/>
              <w:textAlignment w:val="bottom"/>
            </w:pPr>
            <w:r>
              <w:rPr>
                <w:rFonts w:ascii="sans-serif" w:eastAsia="sans-serif" w:hAnsi="sans-serif" w:cs="sans-serif"/>
                <w:b/>
                <w:bCs/>
                <w:color w:val="000000"/>
                <w:sz w:val="17"/>
                <w:szCs w:val="17"/>
              </w:rPr>
              <w:t>2020</w:t>
            </w:r>
          </w:p>
        </w:tc>
      </w:tr>
      <w:tr w:rsidR="009C6E2F" w14:paraId="2470D069"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61" w14:textId="77777777" w:rsidR="009C6E2F" w:rsidRDefault="007972BE">
            <w:pPr>
              <w:textAlignment w:val="bottom"/>
            </w:pPr>
            <w:r>
              <w:rPr>
                <w:rFonts w:ascii="Arial" w:eastAsia="宋体" w:hAnsi="Arial" w:cs="Arial"/>
                <w:b/>
                <w:bCs/>
                <w:color w:val="000000"/>
                <w:sz w:val="17"/>
                <w:szCs w:val="17"/>
              </w:rPr>
              <w:t>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06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6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6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65"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06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6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68" w14:textId="77777777" w:rsidR="009C6E2F" w:rsidRDefault="009C6E2F">
            <w:pPr>
              <w:rPr>
                <w:rFonts w:ascii="宋体"/>
              </w:rPr>
            </w:pPr>
          </w:p>
        </w:tc>
      </w:tr>
      <w:tr w:rsidR="009C6E2F" w14:paraId="2470D07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6A" w14:textId="77777777" w:rsidR="009C6E2F" w:rsidRDefault="007972BE">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06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06C" w14:textId="77777777" w:rsidR="009C6E2F" w:rsidRDefault="007972BE">
            <w:pPr>
              <w:jc w:val="right"/>
              <w:textAlignment w:val="bottom"/>
            </w:pPr>
            <w:r>
              <w:rPr>
                <w:rFonts w:ascii="Arial" w:eastAsia="宋体" w:hAnsi="Arial" w:cs="Arial"/>
                <w:color w:val="000000"/>
                <w:sz w:val="17"/>
                <w:szCs w:val="17"/>
              </w:rPr>
              <w:t>4,477 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6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6E"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06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070" w14:textId="77777777" w:rsidR="009C6E2F" w:rsidRDefault="007972BE">
            <w:pPr>
              <w:jc w:val="right"/>
              <w:textAlignment w:val="bottom"/>
            </w:pPr>
            <w:r>
              <w:rPr>
                <w:rFonts w:ascii="Arial" w:eastAsia="宋体" w:hAnsi="Arial" w:cs="Arial"/>
                <w:color w:val="000000"/>
                <w:sz w:val="17"/>
                <w:szCs w:val="17"/>
              </w:rPr>
              <w:t>4,006 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71"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72"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07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074" w14:textId="77777777" w:rsidR="009C6E2F" w:rsidRDefault="007972BE">
            <w:pPr>
              <w:jc w:val="right"/>
              <w:textAlignment w:val="bottom"/>
            </w:pPr>
            <w:r>
              <w:rPr>
                <w:rFonts w:ascii="Arial" w:eastAsia="宋体" w:hAnsi="Arial" w:cs="Arial"/>
                <w:color w:val="000000"/>
                <w:sz w:val="17"/>
                <w:szCs w:val="17"/>
              </w:rPr>
              <w:t>9,356 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7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76"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07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078" w14:textId="77777777" w:rsidR="009C6E2F" w:rsidRDefault="007972BE">
            <w:pPr>
              <w:jc w:val="right"/>
              <w:textAlignment w:val="bottom"/>
            </w:pPr>
            <w:r>
              <w:rPr>
                <w:rFonts w:ascii="Arial" w:eastAsia="宋体" w:hAnsi="Arial" w:cs="Arial"/>
                <w:color w:val="000000"/>
                <w:sz w:val="17"/>
                <w:szCs w:val="17"/>
              </w:rPr>
              <w:t>8,231 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79" w14:textId="77777777" w:rsidR="009C6E2F" w:rsidRDefault="009C6E2F">
            <w:pPr>
              <w:jc w:val="right"/>
              <w:rPr>
                <w:rFonts w:ascii="宋体"/>
              </w:rPr>
            </w:pPr>
          </w:p>
        </w:tc>
      </w:tr>
      <w:tr w:rsidR="009C6E2F" w14:paraId="2470D08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7B" w14:textId="77777777" w:rsidR="009C6E2F" w:rsidRDefault="007972BE">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7C" w14:textId="77777777" w:rsidR="009C6E2F" w:rsidRDefault="007972BE">
            <w:pPr>
              <w:jc w:val="right"/>
              <w:textAlignment w:val="bottom"/>
            </w:pPr>
            <w:r>
              <w:rPr>
                <w:rFonts w:ascii="Arial" w:eastAsia="宋体" w:hAnsi="Arial" w:cs="Arial"/>
                <w:color w:val="000000"/>
                <w:sz w:val="17"/>
                <w:szCs w:val="17"/>
              </w:rPr>
              <w:t>3,142 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7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7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7F" w14:textId="77777777" w:rsidR="009C6E2F" w:rsidRDefault="007972BE">
            <w:pPr>
              <w:jc w:val="right"/>
              <w:textAlignment w:val="bottom"/>
            </w:pPr>
            <w:r>
              <w:rPr>
                <w:rFonts w:ascii="Arial" w:eastAsia="宋体" w:hAnsi="Arial" w:cs="Arial"/>
                <w:color w:val="000000"/>
                <w:sz w:val="17"/>
                <w:szCs w:val="17"/>
              </w:rPr>
              <w:t>2,958 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80"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8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82" w14:textId="77777777" w:rsidR="009C6E2F" w:rsidRDefault="007972BE">
            <w:pPr>
              <w:jc w:val="right"/>
              <w:textAlignment w:val="bottom"/>
            </w:pPr>
            <w:r>
              <w:rPr>
                <w:rFonts w:ascii="Arial" w:eastAsia="宋体" w:hAnsi="Arial" w:cs="Arial"/>
                <w:color w:val="000000"/>
                <w:sz w:val="17"/>
                <w:szCs w:val="17"/>
              </w:rPr>
              <w:t>6,449 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8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84"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85" w14:textId="77777777" w:rsidR="009C6E2F" w:rsidRDefault="007972BE">
            <w:pPr>
              <w:jc w:val="right"/>
              <w:textAlignment w:val="bottom"/>
            </w:pPr>
            <w:r>
              <w:rPr>
                <w:rFonts w:ascii="Arial" w:eastAsia="宋体" w:hAnsi="Arial" w:cs="Arial"/>
                <w:color w:val="000000"/>
                <w:sz w:val="17"/>
                <w:szCs w:val="17"/>
              </w:rPr>
              <w:t>5,868 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86" w14:textId="77777777" w:rsidR="009C6E2F" w:rsidRDefault="009C6E2F">
            <w:pPr>
              <w:jc w:val="right"/>
              <w:rPr>
                <w:rFonts w:ascii="宋体"/>
              </w:rPr>
            </w:pPr>
          </w:p>
        </w:tc>
      </w:tr>
      <w:tr w:rsidR="009C6E2F" w14:paraId="2470D09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88" w14:textId="77777777" w:rsidR="009C6E2F" w:rsidRDefault="007972BE">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89" w14:textId="77777777" w:rsidR="009C6E2F" w:rsidRDefault="007972BE">
            <w:pPr>
              <w:jc w:val="right"/>
              <w:textAlignment w:val="bottom"/>
            </w:pPr>
            <w:r>
              <w:rPr>
                <w:rFonts w:ascii="Arial" w:eastAsia="宋体" w:hAnsi="Arial" w:cs="Arial"/>
                <w:color w:val="000000"/>
                <w:sz w:val="17"/>
                <w:szCs w:val="17"/>
              </w:rPr>
              <w:t>1,844 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8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8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8C" w14:textId="77777777" w:rsidR="009C6E2F" w:rsidRDefault="007972BE">
            <w:pPr>
              <w:jc w:val="right"/>
              <w:textAlignment w:val="bottom"/>
            </w:pPr>
            <w:r>
              <w:rPr>
                <w:rFonts w:ascii="Arial" w:eastAsia="宋体" w:hAnsi="Arial" w:cs="Arial"/>
                <w:color w:val="000000"/>
                <w:sz w:val="17"/>
                <w:szCs w:val="17"/>
              </w:rPr>
              <w:t>2,298 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8D"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8E"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8F" w14:textId="77777777" w:rsidR="009C6E2F" w:rsidRDefault="007972BE">
            <w:pPr>
              <w:jc w:val="right"/>
              <w:textAlignment w:val="bottom"/>
            </w:pPr>
            <w:r>
              <w:rPr>
                <w:rFonts w:ascii="Arial" w:eastAsia="宋体" w:hAnsi="Arial" w:cs="Arial"/>
                <w:color w:val="000000"/>
                <w:sz w:val="17"/>
                <w:szCs w:val="17"/>
              </w:rPr>
              <w:t>3,826 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9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9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92" w14:textId="77777777" w:rsidR="009C6E2F" w:rsidRDefault="007972BE">
            <w:pPr>
              <w:jc w:val="right"/>
              <w:textAlignment w:val="bottom"/>
            </w:pPr>
            <w:r>
              <w:rPr>
                <w:rFonts w:ascii="Arial" w:eastAsia="宋体" w:hAnsi="Arial" w:cs="Arial"/>
                <w:color w:val="000000"/>
                <w:sz w:val="17"/>
                <w:szCs w:val="17"/>
              </w:rPr>
              <w:t>4,078 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93" w14:textId="77777777" w:rsidR="009C6E2F" w:rsidRDefault="009C6E2F">
            <w:pPr>
              <w:jc w:val="right"/>
              <w:rPr>
                <w:rFonts w:ascii="宋体"/>
              </w:rPr>
            </w:pPr>
          </w:p>
        </w:tc>
      </w:tr>
      <w:tr w:rsidR="009C6E2F" w14:paraId="2470D0A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95" w14:textId="77777777" w:rsidR="009C6E2F" w:rsidRDefault="007972BE">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96" w14:textId="77777777" w:rsidR="009C6E2F" w:rsidRDefault="007972BE">
            <w:pPr>
              <w:jc w:val="right"/>
              <w:textAlignment w:val="bottom"/>
            </w:pPr>
            <w:r>
              <w:rPr>
                <w:rFonts w:ascii="Arial" w:eastAsia="宋体" w:hAnsi="Arial" w:cs="Arial"/>
                <w:color w:val="000000"/>
                <w:sz w:val="17"/>
                <w:szCs w:val="17"/>
              </w:rPr>
              <w:t>1,347 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9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98"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99" w14:textId="77777777" w:rsidR="009C6E2F" w:rsidRDefault="007972BE">
            <w:pPr>
              <w:jc w:val="right"/>
              <w:textAlignment w:val="bottom"/>
            </w:pPr>
            <w:r>
              <w:rPr>
                <w:rFonts w:ascii="Arial" w:eastAsia="宋体" w:hAnsi="Arial" w:cs="Arial"/>
                <w:color w:val="000000"/>
                <w:sz w:val="17"/>
                <w:szCs w:val="17"/>
              </w:rPr>
              <w:t>1,471 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9A"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9B"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9C" w14:textId="77777777" w:rsidR="009C6E2F" w:rsidRDefault="007972BE">
            <w:pPr>
              <w:jc w:val="right"/>
              <w:textAlignment w:val="bottom"/>
            </w:pPr>
            <w:r>
              <w:rPr>
                <w:rFonts w:ascii="Arial" w:eastAsia="宋体" w:hAnsi="Arial" w:cs="Arial"/>
                <w:color w:val="000000"/>
                <w:sz w:val="17"/>
                <w:szCs w:val="17"/>
              </w:rPr>
              <w:t>2,812 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9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9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9F" w14:textId="77777777" w:rsidR="009C6E2F" w:rsidRDefault="007972BE">
            <w:pPr>
              <w:jc w:val="right"/>
              <w:textAlignment w:val="bottom"/>
            </w:pPr>
            <w:r>
              <w:rPr>
                <w:rFonts w:ascii="Arial" w:eastAsia="宋体" w:hAnsi="Arial" w:cs="Arial"/>
                <w:color w:val="000000"/>
                <w:sz w:val="17"/>
                <w:szCs w:val="17"/>
              </w:rPr>
              <w:t>2,570 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A0" w14:textId="77777777" w:rsidR="009C6E2F" w:rsidRDefault="009C6E2F">
            <w:pPr>
              <w:jc w:val="right"/>
              <w:rPr>
                <w:rFonts w:ascii="宋体"/>
              </w:rPr>
            </w:pPr>
          </w:p>
        </w:tc>
      </w:tr>
      <w:tr w:rsidR="009C6E2F" w14:paraId="2470D0A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A2" w14:textId="77777777" w:rsidR="009C6E2F" w:rsidRDefault="007972BE">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A3"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A4"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A5"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A6"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A7"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A8"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A9"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A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A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AC"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AD" w14:textId="77777777" w:rsidR="009C6E2F" w:rsidRDefault="009C6E2F">
            <w:pPr>
              <w:jc w:val="right"/>
              <w:rPr>
                <w:rFonts w:ascii="宋体"/>
              </w:rPr>
            </w:pPr>
          </w:p>
        </w:tc>
      </w:tr>
      <w:tr w:rsidR="009C6E2F" w14:paraId="2470D0BB"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AF" w14:textId="77777777" w:rsidR="009C6E2F" w:rsidRDefault="007972BE">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0B0" w14:textId="77777777" w:rsidR="009C6E2F" w:rsidRDefault="007972BE">
            <w:pPr>
              <w:jc w:val="right"/>
              <w:textAlignment w:val="bottom"/>
            </w:pPr>
            <w:r>
              <w:rPr>
                <w:rFonts w:ascii="Arial" w:eastAsia="宋体" w:hAnsi="Arial" w:cs="Arial"/>
                <w:color w:val="000000"/>
                <w:sz w:val="17"/>
                <w:szCs w:val="17"/>
              </w:rPr>
              <w:t>10,816 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0B1"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B2"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0B3" w14:textId="77777777" w:rsidR="009C6E2F" w:rsidRDefault="007972BE">
            <w:pPr>
              <w:jc w:val="right"/>
              <w:textAlignment w:val="bottom"/>
            </w:pPr>
            <w:r>
              <w:rPr>
                <w:rFonts w:ascii="Arial" w:eastAsia="宋体" w:hAnsi="Arial" w:cs="Arial"/>
                <w:color w:val="000000"/>
                <w:sz w:val="17"/>
                <w:szCs w:val="17"/>
              </w:rPr>
              <w:t>10,741 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0B4"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B5"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0B6" w14:textId="77777777" w:rsidR="009C6E2F" w:rsidRDefault="007972BE">
            <w:pPr>
              <w:jc w:val="right"/>
              <w:textAlignment w:val="bottom"/>
            </w:pPr>
            <w:r>
              <w:rPr>
                <w:rFonts w:ascii="Arial" w:eastAsia="宋体" w:hAnsi="Arial" w:cs="Arial"/>
                <w:color w:val="000000"/>
                <w:sz w:val="17"/>
                <w:szCs w:val="17"/>
              </w:rPr>
              <w:t>22,456 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0B7"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B8"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0B9" w14:textId="77777777" w:rsidR="009C6E2F" w:rsidRDefault="007972BE">
            <w:pPr>
              <w:jc w:val="right"/>
              <w:textAlignment w:val="bottom"/>
            </w:pPr>
            <w:r>
              <w:rPr>
                <w:rFonts w:ascii="Arial" w:eastAsia="宋体" w:hAnsi="Arial" w:cs="Arial"/>
                <w:color w:val="000000"/>
                <w:sz w:val="17"/>
                <w:szCs w:val="17"/>
              </w:rPr>
              <w:t>20,759 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0BA" w14:textId="77777777" w:rsidR="009C6E2F" w:rsidRDefault="009C6E2F">
            <w:pPr>
              <w:jc w:val="right"/>
              <w:rPr>
                <w:rFonts w:ascii="宋体"/>
              </w:rPr>
            </w:pPr>
          </w:p>
        </w:tc>
      </w:tr>
      <w:tr w:rsidR="009C6E2F" w14:paraId="2470D0C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BC"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BD" w14:textId="77777777" w:rsidR="009C6E2F" w:rsidRDefault="007972BE">
            <w:pPr>
              <w:jc w:val="right"/>
              <w:textAlignment w:val="bottom"/>
            </w:pPr>
            <w:r>
              <w:rPr>
                <w:rFonts w:ascii="Arial" w:eastAsia="宋体" w:hAnsi="Arial" w:cs="Arial"/>
                <w:color w:val="000000"/>
                <w:sz w:val="17"/>
                <w:szCs w:val="17"/>
              </w:rPr>
              <w:t>557 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BE"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BF"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C0" w14:textId="77777777" w:rsidR="009C6E2F" w:rsidRDefault="007972BE">
            <w:pPr>
              <w:jc w:val="right"/>
              <w:textAlignment w:val="bottom"/>
            </w:pPr>
            <w:r>
              <w:rPr>
                <w:rFonts w:ascii="Arial" w:eastAsia="宋体" w:hAnsi="Arial" w:cs="Arial"/>
                <w:color w:val="000000"/>
                <w:sz w:val="17"/>
                <w:szCs w:val="17"/>
              </w:rPr>
              <w:t>476 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C1"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C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C3" w14:textId="77777777" w:rsidR="009C6E2F" w:rsidRDefault="007972BE">
            <w:pPr>
              <w:jc w:val="right"/>
              <w:textAlignment w:val="bottom"/>
            </w:pPr>
            <w:r>
              <w:rPr>
                <w:rFonts w:ascii="Arial" w:eastAsia="宋体" w:hAnsi="Arial" w:cs="Arial"/>
                <w:color w:val="000000"/>
                <w:sz w:val="17"/>
                <w:szCs w:val="17"/>
              </w:rPr>
              <w:t>1,186 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C4"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C5"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C6" w14:textId="77777777" w:rsidR="009C6E2F" w:rsidRDefault="007972BE">
            <w:pPr>
              <w:jc w:val="right"/>
              <w:textAlignment w:val="bottom"/>
            </w:pPr>
            <w:r>
              <w:rPr>
                <w:rFonts w:ascii="Arial" w:eastAsia="宋体" w:hAnsi="Arial" w:cs="Arial"/>
                <w:color w:val="000000"/>
                <w:sz w:val="17"/>
                <w:szCs w:val="17"/>
              </w:rPr>
              <w:t>1,039 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C7" w14:textId="77777777" w:rsidR="009C6E2F" w:rsidRDefault="009C6E2F">
            <w:pPr>
              <w:jc w:val="right"/>
              <w:rPr>
                <w:rFonts w:ascii="宋体"/>
              </w:rPr>
            </w:pPr>
          </w:p>
        </w:tc>
      </w:tr>
      <w:tr w:rsidR="009C6E2F" w14:paraId="2470D0D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C9" w14:textId="77777777" w:rsidR="009C6E2F" w:rsidRDefault="007972BE">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CA" w14:textId="77777777" w:rsidR="009C6E2F" w:rsidRDefault="007972BE">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C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CC"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CD"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CE"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C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0D0"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D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D2"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0D3" w14:textId="77777777" w:rsidR="009C6E2F" w:rsidRDefault="007972BE">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D4" w14:textId="77777777" w:rsidR="009C6E2F" w:rsidRDefault="009C6E2F">
            <w:pPr>
              <w:jc w:val="right"/>
              <w:rPr>
                <w:rFonts w:ascii="宋体"/>
              </w:rPr>
            </w:pPr>
          </w:p>
        </w:tc>
      </w:tr>
      <w:tr w:rsidR="009C6E2F" w14:paraId="2470D0E6"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D6" w14:textId="77777777" w:rsidR="009C6E2F" w:rsidRDefault="007972BE">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0D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0D8" w14:textId="77777777" w:rsidR="009C6E2F" w:rsidRDefault="007972BE">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0D9"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DA"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0D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0DC" w14:textId="77777777" w:rsidR="009C6E2F" w:rsidRDefault="007972BE">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0DD"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DE"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0D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0E0" w14:textId="77777777" w:rsidR="009C6E2F" w:rsidRDefault="007972BE">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0E1"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E2"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0E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0E4" w14:textId="77777777" w:rsidR="009C6E2F" w:rsidRDefault="007972BE">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0E5" w14:textId="77777777" w:rsidR="009C6E2F" w:rsidRDefault="009C6E2F">
            <w:pPr>
              <w:jc w:val="right"/>
              <w:rPr>
                <w:rFonts w:ascii="宋体"/>
              </w:rPr>
            </w:pPr>
          </w:p>
        </w:tc>
      </w:tr>
      <w:tr w:rsidR="009C6E2F" w14:paraId="2470D0EF"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0E7" w14:textId="77777777" w:rsidR="009C6E2F" w:rsidRDefault="007972BE">
            <w:pPr>
              <w:textAlignment w:val="bottom"/>
            </w:pPr>
            <w:r>
              <w:rPr>
                <w:rFonts w:ascii="Arial" w:eastAsia="宋体" w:hAnsi="Arial" w:cs="Arial"/>
                <w:b/>
                <w:bCs/>
                <w:color w:val="000000"/>
                <w:sz w:val="17"/>
                <w:szCs w:val="17"/>
              </w:rPr>
              <w:t>EARNINGS BEFORE INTEREST AND TAXES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0E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E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E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EB"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0E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E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0EE" w14:textId="77777777" w:rsidR="009C6E2F" w:rsidRDefault="009C6E2F">
            <w:pPr>
              <w:rPr>
                <w:rFonts w:ascii="宋体"/>
              </w:rPr>
            </w:pPr>
          </w:p>
        </w:tc>
      </w:tr>
      <w:tr w:rsidR="009C6E2F" w14:paraId="2470D10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0F0" w14:textId="77777777" w:rsidR="009C6E2F" w:rsidRDefault="007972BE">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0F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0F2" w14:textId="77777777" w:rsidR="009C6E2F" w:rsidRDefault="007972BE">
            <w:pPr>
              <w:jc w:val="right"/>
              <w:textAlignment w:val="bottom"/>
            </w:pPr>
            <w:r>
              <w:rPr>
                <w:rFonts w:ascii="Arial" w:eastAsia="宋体" w:hAnsi="Arial" w:cs="Arial"/>
                <w:color w:val="000000"/>
                <w:sz w:val="17"/>
                <w:szCs w:val="17"/>
              </w:rPr>
              <w:t>1,235 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F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F4"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0F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0F6" w14:textId="77777777" w:rsidR="009C6E2F" w:rsidRDefault="007972BE">
            <w:pPr>
              <w:jc w:val="right"/>
              <w:textAlignment w:val="bottom"/>
            </w:pPr>
            <w:r>
              <w:rPr>
                <w:rFonts w:ascii="Arial" w:eastAsia="宋体" w:hAnsi="Arial" w:cs="Arial"/>
                <w:color w:val="000000"/>
                <w:sz w:val="17"/>
                <w:szCs w:val="17"/>
              </w:rPr>
              <w:t>1,023 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F7"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0F8"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0F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0FA" w14:textId="77777777" w:rsidR="009C6E2F" w:rsidRDefault="007972BE">
            <w:pPr>
              <w:jc w:val="right"/>
              <w:textAlignment w:val="bottom"/>
            </w:pPr>
            <w:r>
              <w:rPr>
                <w:rFonts w:ascii="Arial" w:eastAsia="宋体" w:hAnsi="Arial" w:cs="Arial"/>
                <w:color w:val="000000"/>
                <w:sz w:val="17"/>
                <w:szCs w:val="17"/>
              </w:rPr>
              <w:t>2,669 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0F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0FC"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0F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0FE" w14:textId="77777777" w:rsidR="009C6E2F" w:rsidRDefault="007972BE">
            <w:pPr>
              <w:jc w:val="right"/>
              <w:textAlignment w:val="bottom"/>
            </w:pPr>
            <w:r>
              <w:rPr>
                <w:rFonts w:ascii="Arial" w:eastAsia="宋体" w:hAnsi="Arial" w:cs="Arial"/>
                <w:color w:val="000000"/>
                <w:sz w:val="17"/>
                <w:szCs w:val="17"/>
              </w:rPr>
              <w:t>2,325 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0FF" w14:textId="77777777" w:rsidR="009C6E2F" w:rsidRDefault="009C6E2F">
            <w:pPr>
              <w:jc w:val="right"/>
              <w:rPr>
                <w:rFonts w:ascii="宋体"/>
              </w:rPr>
            </w:pPr>
          </w:p>
        </w:tc>
      </w:tr>
      <w:tr w:rsidR="009C6E2F" w14:paraId="2470D10D"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01" w14:textId="77777777" w:rsidR="009C6E2F" w:rsidRDefault="007972BE">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02" w14:textId="77777777" w:rsidR="009C6E2F" w:rsidRDefault="007972BE">
            <w:pPr>
              <w:jc w:val="right"/>
              <w:textAlignment w:val="bottom"/>
            </w:pPr>
            <w:r>
              <w:rPr>
                <w:rFonts w:ascii="Arial" w:eastAsia="宋体" w:hAnsi="Arial" w:cs="Arial"/>
                <w:color w:val="000000"/>
                <w:sz w:val="17"/>
                <w:szCs w:val="17"/>
              </w:rPr>
              <w:t>806 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0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04"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05" w14:textId="77777777" w:rsidR="009C6E2F" w:rsidRDefault="007972BE">
            <w:pPr>
              <w:jc w:val="right"/>
              <w:textAlignment w:val="bottom"/>
            </w:pPr>
            <w:r>
              <w:rPr>
                <w:rFonts w:ascii="Arial" w:eastAsia="宋体" w:hAnsi="Arial" w:cs="Arial"/>
                <w:color w:val="000000"/>
                <w:sz w:val="17"/>
                <w:szCs w:val="17"/>
              </w:rPr>
              <w:t>660 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06"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10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08" w14:textId="77777777" w:rsidR="009C6E2F" w:rsidRDefault="007972BE">
            <w:pPr>
              <w:jc w:val="right"/>
              <w:textAlignment w:val="bottom"/>
            </w:pPr>
            <w:r>
              <w:rPr>
                <w:rFonts w:ascii="Arial" w:eastAsia="宋体" w:hAnsi="Arial" w:cs="Arial"/>
                <w:color w:val="000000"/>
                <w:sz w:val="17"/>
                <w:szCs w:val="17"/>
              </w:rPr>
              <w:t>1,681 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09"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0A"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0B" w14:textId="77777777" w:rsidR="009C6E2F" w:rsidRDefault="007972BE">
            <w:pPr>
              <w:jc w:val="right"/>
              <w:textAlignment w:val="bottom"/>
            </w:pPr>
            <w:r>
              <w:rPr>
                <w:rFonts w:ascii="Arial" w:eastAsia="宋体" w:hAnsi="Arial" w:cs="Arial"/>
                <w:color w:val="000000"/>
                <w:sz w:val="17"/>
                <w:szCs w:val="17"/>
              </w:rPr>
              <w:t>1,352 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0C" w14:textId="77777777" w:rsidR="009C6E2F" w:rsidRDefault="009C6E2F">
            <w:pPr>
              <w:jc w:val="right"/>
              <w:rPr>
                <w:rFonts w:ascii="宋体"/>
              </w:rPr>
            </w:pPr>
          </w:p>
        </w:tc>
      </w:tr>
      <w:tr w:rsidR="009C6E2F" w14:paraId="2470D11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0E" w14:textId="77777777" w:rsidR="009C6E2F" w:rsidRDefault="007972BE">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0F" w14:textId="77777777" w:rsidR="009C6E2F" w:rsidRDefault="007972BE">
            <w:pPr>
              <w:jc w:val="right"/>
              <w:textAlignment w:val="bottom"/>
            </w:pPr>
            <w:r>
              <w:rPr>
                <w:rFonts w:ascii="Arial" w:eastAsia="宋体" w:hAnsi="Arial" w:cs="Arial"/>
                <w:color w:val="000000"/>
                <w:sz w:val="17"/>
                <w:szCs w:val="17"/>
              </w:rPr>
              <w:t>569 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1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1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12" w14:textId="77777777" w:rsidR="009C6E2F" w:rsidRDefault="007972BE">
            <w:pPr>
              <w:jc w:val="right"/>
              <w:textAlignment w:val="bottom"/>
            </w:pPr>
            <w:r>
              <w:rPr>
                <w:rFonts w:ascii="Arial" w:eastAsia="宋体" w:hAnsi="Arial" w:cs="Arial"/>
                <w:color w:val="000000"/>
                <w:sz w:val="17"/>
                <w:szCs w:val="17"/>
              </w:rPr>
              <w:t>891 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13"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11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15" w14:textId="77777777" w:rsidR="009C6E2F" w:rsidRDefault="007972BE">
            <w:pPr>
              <w:jc w:val="right"/>
              <w:textAlignment w:val="bottom"/>
            </w:pPr>
            <w:r>
              <w:rPr>
                <w:rFonts w:ascii="Arial" w:eastAsia="宋体" w:hAnsi="Arial" w:cs="Arial"/>
                <w:color w:val="000000"/>
                <w:sz w:val="17"/>
                <w:szCs w:val="17"/>
              </w:rPr>
              <w:t>1,270 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16"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17"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18" w14:textId="77777777" w:rsidR="009C6E2F" w:rsidRDefault="007972BE">
            <w:pPr>
              <w:jc w:val="right"/>
              <w:textAlignment w:val="bottom"/>
            </w:pPr>
            <w:r>
              <w:rPr>
                <w:rFonts w:ascii="Arial" w:eastAsia="宋体" w:hAnsi="Arial" w:cs="Arial"/>
                <w:color w:val="000000"/>
                <w:sz w:val="17"/>
                <w:szCs w:val="17"/>
              </w:rPr>
              <w:t>1,579 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19" w14:textId="77777777" w:rsidR="009C6E2F" w:rsidRDefault="009C6E2F">
            <w:pPr>
              <w:jc w:val="right"/>
              <w:rPr>
                <w:rFonts w:ascii="宋体"/>
              </w:rPr>
            </w:pPr>
          </w:p>
        </w:tc>
      </w:tr>
      <w:tr w:rsidR="009C6E2F" w14:paraId="2470D127"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1B" w14:textId="77777777" w:rsidR="009C6E2F" w:rsidRDefault="007972BE">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1C" w14:textId="77777777" w:rsidR="009C6E2F" w:rsidRDefault="007972BE">
            <w:pPr>
              <w:jc w:val="right"/>
              <w:textAlignment w:val="bottom"/>
            </w:pPr>
            <w:r>
              <w:rPr>
                <w:rFonts w:ascii="Arial" w:eastAsia="宋体" w:hAnsi="Arial" w:cs="Arial"/>
                <w:color w:val="000000"/>
                <w:sz w:val="17"/>
                <w:szCs w:val="17"/>
              </w:rPr>
              <w:t>388 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1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1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1F" w14:textId="77777777" w:rsidR="009C6E2F" w:rsidRDefault="007972BE">
            <w:pPr>
              <w:jc w:val="right"/>
              <w:textAlignment w:val="bottom"/>
            </w:pPr>
            <w:r>
              <w:rPr>
                <w:rFonts w:ascii="Arial" w:eastAsia="宋体" w:hAnsi="Arial" w:cs="Arial"/>
                <w:color w:val="000000"/>
                <w:sz w:val="17"/>
                <w:szCs w:val="17"/>
              </w:rPr>
              <w:t>424 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20"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12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22" w14:textId="77777777" w:rsidR="009C6E2F" w:rsidRDefault="007972BE">
            <w:pPr>
              <w:jc w:val="right"/>
              <w:textAlignment w:val="bottom"/>
            </w:pPr>
            <w:r>
              <w:rPr>
                <w:rFonts w:ascii="Arial" w:eastAsia="宋体" w:hAnsi="Arial" w:cs="Arial"/>
                <w:color w:val="000000"/>
                <w:sz w:val="17"/>
                <w:szCs w:val="17"/>
              </w:rPr>
              <w:t>869 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2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24"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25" w14:textId="77777777" w:rsidR="009C6E2F" w:rsidRDefault="007972BE">
            <w:pPr>
              <w:jc w:val="right"/>
              <w:textAlignment w:val="bottom"/>
            </w:pPr>
            <w:r>
              <w:rPr>
                <w:rFonts w:ascii="Arial" w:eastAsia="宋体" w:hAnsi="Arial" w:cs="Arial"/>
                <w:color w:val="000000"/>
                <w:sz w:val="17"/>
                <w:szCs w:val="17"/>
              </w:rPr>
              <w:t>704 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26" w14:textId="77777777" w:rsidR="009C6E2F" w:rsidRDefault="009C6E2F">
            <w:pPr>
              <w:jc w:val="right"/>
              <w:rPr>
                <w:rFonts w:ascii="宋体"/>
              </w:rPr>
            </w:pPr>
          </w:p>
        </w:tc>
      </w:tr>
      <w:tr w:rsidR="009C6E2F" w14:paraId="2470D13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28" w14:textId="77777777" w:rsidR="009C6E2F" w:rsidRDefault="007972BE">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29" w14:textId="77777777" w:rsidR="009C6E2F" w:rsidRDefault="007972BE">
            <w:pPr>
              <w:jc w:val="right"/>
              <w:textAlignment w:val="bottom"/>
            </w:pPr>
            <w:r>
              <w:rPr>
                <w:rFonts w:ascii="Arial" w:eastAsia="宋体" w:hAnsi="Arial" w:cs="Arial"/>
                <w:color w:val="000000"/>
                <w:sz w:val="17"/>
                <w:szCs w:val="17"/>
              </w:rPr>
              <w:t>(1,071)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2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2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2C" w14:textId="77777777" w:rsidR="009C6E2F" w:rsidRDefault="007972BE">
            <w:pPr>
              <w:jc w:val="right"/>
              <w:textAlignment w:val="bottom"/>
            </w:pPr>
            <w:r>
              <w:rPr>
                <w:rFonts w:ascii="Arial" w:eastAsia="宋体" w:hAnsi="Arial" w:cs="Arial"/>
                <w:color w:val="000000"/>
                <w:sz w:val="17"/>
                <w:szCs w:val="17"/>
              </w:rPr>
              <w:t>(841)</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2D"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12E"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2F" w14:textId="77777777" w:rsidR="009C6E2F" w:rsidRDefault="007972BE">
            <w:pPr>
              <w:jc w:val="right"/>
              <w:textAlignment w:val="bottom"/>
            </w:pPr>
            <w:r>
              <w:rPr>
                <w:rFonts w:ascii="Arial" w:eastAsia="宋体" w:hAnsi="Arial" w:cs="Arial"/>
                <w:color w:val="000000"/>
                <w:sz w:val="17"/>
                <w:szCs w:val="17"/>
              </w:rPr>
              <w:t>(2,058)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3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3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32" w14:textId="77777777" w:rsidR="009C6E2F" w:rsidRDefault="007972BE">
            <w:pPr>
              <w:jc w:val="right"/>
              <w:textAlignment w:val="bottom"/>
            </w:pPr>
            <w:r>
              <w:rPr>
                <w:rFonts w:ascii="Arial" w:eastAsia="宋体" w:hAnsi="Arial" w:cs="Arial"/>
                <w:color w:val="000000"/>
                <w:sz w:val="17"/>
                <w:szCs w:val="17"/>
              </w:rPr>
              <w:t>(1,694)</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33" w14:textId="77777777" w:rsidR="009C6E2F" w:rsidRDefault="009C6E2F">
            <w:pPr>
              <w:jc w:val="right"/>
              <w:rPr>
                <w:rFonts w:ascii="宋体"/>
              </w:rPr>
            </w:pPr>
          </w:p>
        </w:tc>
      </w:tr>
      <w:tr w:rsidR="009C6E2F" w14:paraId="2470D14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35"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36" w14:textId="77777777" w:rsidR="009C6E2F" w:rsidRDefault="007972BE">
            <w:pPr>
              <w:jc w:val="right"/>
              <w:textAlignment w:val="bottom"/>
            </w:pPr>
            <w:r>
              <w:rPr>
                <w:rFonts w:ascii="Arial" w:eastAsia="宋体" w:hAnsi="Arial" w:cs="Arial"/>
                <w:color w:val="000000"/>
                <w:sz w:val="17"/>
                <w:szCs w:val="17"/>
              </w:rPr>
              <w:t>132 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3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38"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39" w14:textId="77777777" w:rsidR="009C6E2F" w:rsidRDefault="007972BE">
            <w:pPr>
              <w:jc w:val="right"/>
              <w:textAlignment w:val="bottom"/>
            </w:pPr>
            <w:r>
              <w:rPr>
                <w:rFonts w:ascii="Arial" w:eastAsia="宋体" w:hAnsi="Arial" w:cs="Arial"/>
                <w:color w:val="000000"/>
                <w:sz w:val="17"/>
                <w:szCs w:val="17"/>
              </w:rPr>
              <w:t>87 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3A"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13B"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3C" w14:textId="77777777" w:rsidR="009C6E2F" w:rsidRDefault="007972BE">
            <w:pPr>
              <w:jc w:val="right"/>
              <w:textAlignment w:val="bottom"/>
            </w:pPr>
            <w:r>
              <w:rPr>
                <w:rFonts w:ascii="Arial" w:eastAsia="宋体" w:hAnsi="Arial" w:cs="Arial"/>
                <w:color w:val="000000"/>
                <w:sz w:val="17"/>
                <w:szCs w:val="17"/>
              </w:rPr>
              <w:t>336 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3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3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3F" w14:textId="77777777" w:rsidR="009C6E2F" w:rsidRDefault="007972BE">
            <w:pPr>
              <w:jc w:val="right"/>
              <w:textAlignment w:val="bottom"/>
            </w:pPr>
            <w:r>
              <w:rPr>
                <w:rFonts w:ascii="Arial" w:eastAsia="宋体" w:hAnsi="Arial" w:cs="Arial"/>
                <w:color w:val="000000"/>
                <w:sz w:val="17"/>
                <w:szCs w:val="17"/>
              </w:rPr>
              <w:t>255 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40" w14:textId="77777777" w:rsidR="009C6E2F" w:rsidRDefault="009C6E2F">
            <w:pPr>
              <w:jc w:val="right"/>
              <w:rPr>
                <w:rFonts w:ascii="宋体"/>
              </w:rPr>
            </w:pPr>
          </w:p>
        </w:tc>
      </w:tr>
      <w:tr w:rsidR="009C6E2F" w14:paraId="2470D14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42" w14:textId="77777777" w:rsidR="009C6E2F" w:rsidRDefault="007972BE">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43" w14:textId="77777777" w:rsidR="009C6E2F" w:rsidRDefault="007972BE">
            <w:pPr>
              <w:jc w:val="right"/>
              <w:textAlignment w:val="bottom"/>
            </w:pPr>
            <w:r>
              <w:rPr>
                <w:rFonts w:ascii="Arial" w:eastAsia="宋体" w:hAnsi="Arial" w:cs="Arial"/>
                <w:color w:val="000000"/>
                <w:sz w:val="17"/>
                <w:szCs w:val="17"/>
              </w:rPr>
              <w:t>(503)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44"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45"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46" w14:textId="77777777" w:rsidR="009C6E2F" w:rsidRDefault="007972BE">
            <w:pPr>
              <w:jc w:val="right"/>
              <w:textAlignment w:val="bottom"/>
            </w:pPr>
            <w:r>
              <w:rPr>
                <w:rFonts w:ascii="Arial" w:eastAsia="宋体" w:hAnsi="Arial" w:cs="Arial"/>
                <w:color w:val="000000"/>
                <w:sz w:val="17"/>
                <w:szCs w:val="17"/>
              </w:rPr>
              <w:t>(718)</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47"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148"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49" w14:textId="77777777" w:rsidR="009C6E2F" w:rsidRDefault="007972BE">
            <w:pPr>
              <w:jc w:val="right"/>
              <w:textAlignment w:val="bottom"/>
            </w:pPr>
            <w:r>
              <w:rPr>
                <w:rFonts w:ascii="Arial" w:eastAsia="宋体" w:hAnsi="Arial" w:cs="Arial"/>
                <w:color w:val="000000"/>
                <w:sz w:val="17"/>
                <w:szCs w:val="17"/>
              </w:rPr>
              <w:t>(1,048)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4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4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4C" w14:textId="77777777" w:rsidR="009C6E2F" w:rsidRDefault="007972BE">
            <w:pPr>
              <w:jc w:val="right"/>
              <w:textAlignment w:val="bottom"/>
            </w:pPr>
            <w:r>
              <w:rPr>
                <w:rFonts w:ascii="Arial" w:eastAsia="宋体" w:hAnsi="Arial" w:cs="Arial"/>
                <w:color w:val="000000"/>
                <w:sz w:val="17"/>
                <w:szCs w:val="17"/>
              </w:rPr>
              <w:t>(1,215)</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4D" w14:textId="77777777" w:rsidR="009C6E2F" w:rsidRDefault="009C6E2F">
            <w:pPr>
              <w:jc w:val="right"/>
              <w:rPr>
                <w:rFonts w:ascii="宋体"/>
              </w:rPr>
            </w:pPr>
          </w:p>
        </w:tc>
      </w:tr>
      <w:tr w:rsidR="009C6E2F" w14:paraId="2470D15B"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14F" w14:textId="77777777" w:rsidR="009C6E2F" w:rsidRDefault="007972BE">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50"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5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52"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53" w14:textId="77777777" w:rsidR="009C6E2F" w:rsidRDefault="007972BE">
            <w:pPr>
              <w:jc w:val="right"/>
              <w:textAlignment w:val="bottom"/>
            </w:pPr>
            <w:r>
              <w:rPr>
                <w:rFonts w:ascii="Arial" w:eastAsia="宋体" w:hAnsi="Arial" w:cs="Arial"/>
                <w:color w:val="000000"/>
                <w:sz w:val="17"/>
                <w:szCs w:val="17"/>
              </w:rPr>
              <w:t>70 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54" w14:textId="77777777" w:rsidR="009C6E2F" w:rsidRDefault="009C6E2F">
            <w:pPr>
              <w:jc w:val="right"/>
              <w:rPr>
                <w:rFonts w:ascii="宋体"/>
              </w:rPr>
            </w:pPr>
          </w:p>
        </w:tc>
        <w:tc>
          <w:tcPr>
            <w:tcW w:w="0" w:type="auto"/>
            <w:gridSpan w:val="3"/>
            <w:shd w:val="clear" w:color="auto" w:fill="auto"/>
            <w:tcMar>
              <w:top w:w="0" w:type="dxa"/>
              <w:left w:w="20" w:type="dxa"/>
              <w:bottom w:w="0" w:type="dxa"/>
              <w:right w:w="20" w:type="dxa"/>
            </w:tcMar>
            <w:vAlign w:val="bottom"/>
          </w:tcPr>
          <w:p w14:paraId="2470D155"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56" w14:textId="77777777" w:rsidR="009C6E2F" w:rsidRDefault="007972BE">
            <w:pPr>
              <w:jc w:val="right"/>
              <w:textAlignment w:val="bottom"/>
            </w:pPr>
            <w:r>
              <w:rPr>
                <w:rFonts w:ascii="Arial" w:eastAsia="宋体" w:hAnsi="Arial" w:cs="Arial"/>
                <w:color w:val="000000"/>
                <w:sz w:val="17"/>
                <w:szCs w:val="17"/>
              </w:rPr>
              <w:t>112 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5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58"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59" w14:textId="77777777" w:rsidR="009C6E2F" w:rsidRDefault="007972BE">
            <w:pPr>
              <w:jc w:val="right"/>
              <w:textAlignment w:val="bottom"/>
            </w:pPr>
            <w:r>
              <w:rPr>
                <w:rFonts w:ascii="Arial" w:eastAsia="宋体" w:hAnsi="Arial" w:cs="Arial"/>
                <w:color w:val="000000"/>
                <w:sz w:val="17"/>
                <w:szCs w:val="17"/>
              </w:rPr>
              <w:t>135 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5A" w14:textId="77777777" w:rsidR="009C6E2F" w:rsidRDefault="009C6E2F">
            <w:pPr>
              <w:jc w:val="right"/>
              <w:rPr>
                <w:rFonts w:ascii="宋体"/>
              </w:rPr>
            </w:pPr>
          </w:p>
        </w:tc>
      </w:tr>
      <w:tr w:rsidR="009C6E2F" w14:paraId="2470D16C"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15C" w14:textId="77777777" w:rsidR="009C6E2F" w:rsidRDefault="007972BE">
            <w:pPr>
              <w:textAlignment w:val="bottom"/>
            </w:pPr>
            <w:r>
              <w:rPr>
                <w:rFonts w:ascii="Arial" w:eastAsia="宋体" w:hAnsi="Arial" w:cs="Arial"/>
                <w:b/>
                <w:bCs/>
                <w:color w:val="000000"/>
                <w:sz w:val="17"/>
                <w:szCs w:val="17"/>
              </w:rPr>
              <w:t>TOTAL NIKE, INC. INCOME BEFORE 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15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15E" w14:textId="77777777" w:rsidR="009C6E2F" w:rsidRDefault="007972BE">
            <w:pPr>
              <w:jc w:val="right"/>
              <w:textAlignment w:val="bottom"/>
            </w:pPr>
            <w:r>
              <w:rPr>
                <w:rFonts w:ascii="Arial" w:eastAsia="宋体" w:hAnsi="Arial" w:cs="Arial"/>
                <w:b/>
                <w:bCs/>
                <w:color w:val="000000"/>
                <w:sz w:val="17"/>
                <w:szCs w:val="17"/>
              </w:rPr>
              <w:t>1,501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15F"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160"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16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162" w14:textId="77777777" w:rsidR="009C6E2F" w:rsidRDefault="007972BE">
            <w:pPr>
              <w:jc w:val="right"/>
              <w:textAlignment w:val="bottom"/>
            </w:pPr>
            <w:r>
              <w:rPr>
                <w:rFonts w:ascii="Arial" w:eastAsia="宋体" w:hAnsi="Arial" w:cs="Arial"/>
                <w:b/>
                <w:bCs/>
                <w:color w:val="000000"/>
                <w:sz w:val="17"/>
                <w:szCs w:val="17"/>
              </w:rPr>
              <w:t>1,456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163"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164"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16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166" w14:textId="77777777" w:rsidR="009C6E2F" w:rsidRDefault="007972BE">
            <w:pPr>
              <w:jc w:val="right"/>
              <w:textAlignment w:val="bottom"/>
            </w:pPr>
            <w:r>
              <w:rPr>
                <w:rFonts w:ascii="Arial" w:eastAsia="宋体" w:hAnsi="Arial" w:cs="Arial"/>
                <w:b/>
                <w:bCs/>
                <w:color w:val="000000"/>
                <w:sz w:val="17"/>
                <w:szCs w:val="17"/>
              </w:rPr>
              <w:t>3,607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167"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168"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16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16A" w14:textId="77777777" w:rsidR="009C6E2F" w:rsidRDefault="007972BE">
            <w:pPr>
              <w:jc w:val="right"/>
              <w:textAlignment w:val="bottom"/>
            </w:pPr>
            <w:r>
              <w:rPr>
                <w:rFonts w:ascii="Arial" w:eastAsia="宋体" w:hAnsi="Arial" w:cs="Arial"/>
                <w:b/>
                <w:bCs/>
                <w:color w:val="000000"/>
                <w:sz w:val="17"/>
                <w:szCs w:val="17"/>
              </w:rPr>
              <w:t>3,171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16B" w14:textId="77777777" w:rsidR="009C6E2F" w:rsidRDefault="009C6E2F">
            <w:pPr>
              <w:jc w:val="right"/>
              <w:rPr>
                <w:rFonts w:ascii="宋体"/>
              </w:rPr>
            </w:pPr>
          </w:p>
        </w:tc>
      </w:tr>
    </w:tbl>
    <w:p w14:paraId="2470D16D" w14:textId="77777777" w:rsidR="009C6E2F" w:rsidRDefault="009C6E2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9C6E2F" w14:paraId="2470D17A" w14:textId="77777777">
        <w:trPr>
          <w:jc w:val="center"/>
        </w:trPr>
        <w:tc>
          <w:tcPr>
            <w:tcW w:w="50" w:type="pct"/>
            <w:shd w:val="clear" w:color="auto" w:fill="auto"/>
            <w:vAlign w:val="bottom"/>
          </w:tcPr>
          <w:p w14:paraId="2470D16E" w14:textId="77777777" w:rsidR="009C6E2F" w:rsidRDefault="009C6E2F">
            <w:pPr>
              <w:rPr>
                <w:rFonts w:ascii="宋体"/>
              </w:rPr>
            </w:pPr>
          </w:p>
        </w:tc>
        <w:tc>
          <w:tcPr>
            <w:tcW w:w="3255" w:type="pct"/>
            <w:shd w:val="clear" w:color="auto" w:fill="auto"/>
            <w:vAlign w:val="bottom"/>
          </w:tcPr>
          <w:p w14:paraId="2470D16F" w14:textId="77777777" w:rsidR="009C6E2F" w:rsidRDefault="009C6E2F">
            <w:pPr>
              <w:rPr>
                <w:rFonts w:ascii="宋体"/>
              </w:rPr>
            </w:pPr>
          </w:p>
        </w:tc>
        <w:tc>
          <w:tcPr>
            <w:tcW w:w="5" w:type="pct"/>
            <w:shd w:val="clear" w:color="auto" w:fill="auto"/>
            <w:vAlign w:val="bottom"/>
          </w:tcPr>
          <w:p w14:paraId="2470D170" w14:textId="77777777" w:rsidR="009C6E2F" w:rsidRDefault="009C6E2F">
            <w:pPr>
              <w:rPr>
                <w:rFonts w:ascii="宋体"/>
              </w:rPr>
            </w:pPr>
          </w:p>
        </w:tc>
        <w:tc>
          <w:tcPr>
            <w:tcW w:w="50" w:type="pct"/>
            <w:shd w:val="clear" w:color="auto" w:fill="auto"/>
            <w:vAlign w:val="bottom"/>
          </w:tcPr>
          <w:p w14:paraId="2470D171" w14:textId="77777777" w:rsidR="009C6E2F" w:rsidRDefault="009C6E2F">
            <w:pPr>
              <w:rPr>
                <w:rFonts w:ascii="宋体"/>
              </w:rPr>
            </w:pPr>
          </w:p>
        </w:tc>
        <w:tc>
          <w:tcPr>
            <w:tcW w:w="770" w:type="pct"/>
            <w:shd w:val="clear" w:color="auto" w:fill="auto"/>
            <w:vAlign w:val="bottom"/>
          </w:tcPr>
          <w:p w14:paraId="2470D172" w14:textId="77777777" w:rsidR="009C6E2F" w:rsidRDefault="009C6E2F">
            <w:pPr>
              <w:rPr>
                <w:rFonts w:ascii="宋体"/>
              </w:rPr>
            </w:pPr>
          </w:p>
        </w:tc>
        <w:tc>
          <w:tcPr>
            <w:tcW w:w="5" w:type="pct"/>
            <w:shd w:val="clear" w:color="auto" w:fill="auto"/>
            <w:vAlign w:val="bottom"/>
          </w:tcPr>
          <w:p w14:paraId="2470D173" w14:textId="77777777" w:rsidR="009C6E2F" w:rsidRDefault="009C6E2F">
            <w:pPr>
              <w:rPr>
                <w:rFonts w:ascii="宋体"/>
              </w:rPr>
            </w:pPr>
          </w:p>
        </w:tc>
        <w:tc>
          <w:tcPr>
            <w:tcW w:w="5" w:type="pct"/>
            <w:shd w:val="clear" w:color="auto" w:fill="auto"/>
            <w:vAlign w:val="bottom"/>
          </w:tcPr>
          <w:p w14:paraId="2470D174" w14:textId="77777777" w:rsidR="009C6E2F" w:rsidRDefault="009C6E2F">
            <w:pPr>
              <w:rPr>
                <w:rFonts w:ascii="宋体"/>
              </w:rPr>
            </w:pPr>
          </w:p>
        </w:tc>
        <w:tc>
          <w:tcPr>
            <w:tcW w:w="28" w:type="pct"/>
            <w:shd w:val="clear" w:color="auto" w:fill="auto"/>
            <w:vAlign w:val="bottom"/>
          </w:tcPr>
          <w:p w14:paraId="2470D175" w14:textId="77777777" w:rsidR="009C6E2F" w:rsidRDefault="009C6E2F">
            <w:pPr>
              <w:rPr>
                <w:rFonts w:ascii="宋体"/>
              </w:rPr>
            </w:pPr>
          </w:p>
        </w:tc>
        <w:tc>
          <w:tcPr>
            <w:tcW w:w="5" w:type="pct"/>
            <w:shd w:val="clear" w:color="auto" w:fill="auto"/>
            <w:vAlign w:val="bottom"/>
          </w:tcPr>
          <w:p w14:paraId="2470D176" w14:textId="77777777" w:rsidR="009C6E2F" w:rsidRDefault="009C6E2F">
            <w:pPr>
              <w:rPr>
                <w:rFonts w:ascii="宋体"/>
              </w:rPr>
            </w:pPr>
          </w:p>
        </w:tc>
        <w:tc>
          <w:tcPr>
            <w:tcW w:w="50" w:type="pct"/>
            <w:shd w:val="clear" w:color="auto" w:fill="auto"/>
            <w:vAlign w:val="bottom"/>
          </w:tcPr>
          <w:p w14:paraId="2470D177" w14:textId="77777777" w:rsidR="009C6E2F" w:rsidRDefault="009C6E2F">
            <w:pPr>
              <w:rPr>
                <w:rFonts w:ascii="宋体"/>
              </w:rPr>
            </w:pPr>
          </w:p>
        </w:tc>
        <w:tc>
          <w:tcPr>
            <w:tcW w:w="770" w:type="pct"/>
            <w:shd w:val="clear" w:color="auto" w:fill="auto"/>
            <w:vAlign w:val="bottom"/>
          </w:tcPr>
          <w:p w14:paraId="2470D178" w14:textId="77777777" w:rsidR="009C6E2F" w:rsidRDefault="009C6E2F">
            <w:pPr>
              <w:rPr>
                <w:rFonts w:ascii="宋体"/>
              </w:rPr>
            </w:pPr>
          </w:p>
        </w:tc>
        <w:tc>
          <w:tcPr>
            <w:tcW w:w="5" w:type="pct"/>
            <w:shd w:val="clear" w:color="auto" w:fill="auto"/>
            <w:vAlign w:val="bottom"/>
          </w:tcPr>
          <w:p w14:paraId="2470D179" w14:textId="77777777" w:rsidR="009C6E2F" w:rsidRDefault="009C6E2F">
            <w:pPr>
              <w:rPr>
                <w:rFonts w:ascii="宋体"/>
              </w:rPr>
            </w:pPr>
          </w:p>
        </w:tc>
      </w:tr>
      <w:tr w:rsidR="009C6E2F" w14:paraId="2470D17F" w14:textId="77777777">
        <w:trPr>
          <w:jc w:val="center"/>
        </w:trPr>
        <w:tc>
          <w:tcPr>
            <w:tcW w:w="0" w:type="auto"/>
            <w:gridSpan w:val="3"/>
            <w:shd w:val="clear" w:color="auto" w:fill="auto"/>
            <w:tcMar>
              <w:top w:w="0" w:type="dxa"/>
              <w:left w:w="20" w:type="dxa"/>
              <w:bottom w:w="0" w:type="dxa"/>
              <w:right w:w="20" w:type="dxa"/>
            </w:tcMar>
            <w:vAlign w:val="bottom"/>
          </w:tcPr>
          <w:p w14:paraId="2470D17B"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D17C" w14:textId="77777777" w:rsidR="009C6E2F" w:rsidRDefault="007972BE">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470D17D"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D17E" w14:textId="77777777" w:rsidR="009C6E2F" w:rsidRDefault="007972BE">
            <w:pPr>
              <w:jc w:val="center"/>
              <w:textAlignment w:val="bottom"/>
            </w:pPr>
            <w:r>
              <w:rPr>
                <w:rFonts w:ascii="sans-serif" w:eastAsia="sans-serif" w:hAnsi="sans-serif" w:cs="sans-serif"/>
                <w:b/>
                <w:bCs/>
                <w:color w:val="000000"/>
                <w:sz w:val="17"/>
                <w:szCs w:val="17"/>
              </w:rPr>
              <w:t>MAY 31,</w:t>
            </w:r>
          </w:p>
        </w:tc>
      </w:tr>
      <w:tr w:rsidR="009C6E2F" w14:paraId="2470D184" w14:textId="77777777">
        <w:trPr>
          <w:jc w:val="center"/>
        </w:trPr>
        <w:tc>
          <w:tcPr>
            <w:tcW w:w="0" w:type="auto"/>
            <w:gridSpan w:val="3"/>
            <w:shd w:val="clear" w:color="auto" w:fill="auto"/>
            <w:tcMar>
              <w:top w:w="40" w:type="dxa"/>
              <w:left w:w="20" w:type="dxa"/>
              <w:bottom w:w="40" w:type="dxa"/>
              <w:right w:w="20" w:type="dxa"/>
            </w:tcMar>
            <w:vAlign w:val="bottom"/>
          </w:tcPr>
          <w:p w14:paraId="2470D180"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181"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470D182"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183" w14:textId="77777777" w:rsidR="009C6E2F" w:rsidRDefault="007972BE">
            <w:pPr>
              <w:jc w:val="center"/>
              <w:textAlignment w:val="bottom"/>
            </w:pPr>
            <w:r>
              <w:rPr>
                <w:rFonts w:ascii="sans-serif" w:eastAsia="sans-serif" w:hAnsi="sans-serif" w:cs="sans-serif"/>
                <w:b/>
                <w:bCs/>
                <w:color w:val="000000"/>
                <w:sz w:val="17"/>
                <w:szCs w:val="17"/>
              </w:rPr>
              <w:t>2021</w:t>
            </w:r>
          </w:p>
        </w:tc>
      </w:tr>
      <w:tr w:rsidR="009C6E2F" w14:paraId="2470D189"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185" w14:textId="77777777" w:rsidR="009C6E2F" w:rsidRDefault="007972BE">
            <w:pPr>
              <w:textAlignment w:val="bottom"/>
            </w:pPr>
            <w:r>
              <w:rPr>
                <w:rFonts w:ascii="Arial" w:eastAsia="宋体" w:hAnsi="Arial" w:cs="Arial"/>
                <w:b/>
                <w:bCs/>
                <w:color w:val="000000"/>
                <w:sz w:val="17"/>
                <w:szCs w:val="17"/>
              </w:rPr>
              <w:t>ACCOUNTS RECEIVABLE,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18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18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188" w14:textId="77777777" w:rsidR="009C6E2F" w:rsidRDefault="009C6E2F">
            <w:pPr>
              <w:rPr>
                <w:rFonts w:ascii="宋体"/>
              </w:rPr>
            </w:pPr>
          </w:p>
        </w:tc>
      </w:tr>
      <w:tr w:rsidR="009C6E2F" w14:paraId="2470D192"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8A" w14:textId="77777777" w:rsidR="009C6E2F" w:rsidRDefault="007972BE">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18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18C" w14:textId="77777777" w:rsidR="009C6E2F" w:rsidRDefault="007972BE">
            <w:pPr>
              <w:jc w:val="right"/>
              <w:textAlignment w:val="bottom"/>
            </w:pPr>
            <w:r>
              <w:rPr>
                <w:rFonts w:ascii="Arial" w:eastAsia="宋体" w:hAnsi="Arial" w:cs="Arial"/>
                <w:color w:val="000000"/>
                <w:sz w:val="17"/>
                <w:szCs w:val="17"/>
              </w:rPr>
              <w:t>1,469 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8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8E"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18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190" w14:textId="77777777" w:rsidR="009C6E2F" w:rsidRDefault="007972BE">
            <w:pPr>
              <w:jc w:val="right"/>
              <w:textAlignment w:val="bottom"/>
            </w:pPr>
            <w:r>
              <w:rPr>
                <w:rFonts w:ascii="Arial" w:eastAsia="宋体" w:hAnsi="Arial" w:cs="Arial"/>
                <w:color w:val="000000"/>
                <w:sz w:val="17"/>
                <w:szCs w:val="17"/>
              </w:rPr>
              <w:t>1,777 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91" w14:textId="77777777" w:rsidR="009C6E2F" w:rsidRDefault="009C6E2F">
            <w:pPr>
              <w:jc w:val="right"/>
              <w:rPr>
                <w:rFonts w:ascii="宋体"/>
              </w:rPr>
            </w:pPr>
          </w:p>
        </w:tc>
      </w:tr>
      <w:tr w:rsidR="009C6E2F" w14:paraId="2470D199"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93" w14:textId="77777777" w:rsidR="009C6E2F" w:rsidRDefault="007972BE">
            <w:pPr>
              <w:textAlignment w:val="bottom"/>
            </w:pPr>
            <w:r>
              <w:rPr>
                <w:rFonts w:ascii="Arial" w:eastAsia="宋体" w:hAnsi="Arial" w:cs="Arial"/>
                <w:color w:val="000000"/>
                <w:sz w:val="17"/>
                <w:szCs w:val="17"/>
              </w:rPr>
              <w:t xml:space="preserve">Europe, Middle </w:t>
            </w:r>
            <w:r>
              <w:rPr>
                <w:rFonts w:ascii="Arial" w:eastAsia="宋体" w:hAnsi="Arial" w:cs="Arial"/>
                <w:color w:val="000000"/>
                <w:sz w:val="17"/>
                <w:szCs w:val="17"/>
              </w:rPr>
              <w:t>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94" w14:textId="77777777" w:rsidR="009C6E2F" w:rsidRDefault="007972BE">
            <w:pPr>
              <w:jc w:val="right"/>
              <w:textAlignment w:val="bottom"/>
            </w:pPr>
            <w:r>
              <w:rPr>
                <w:rFonts w:ascii="Arial" w:eastAsia="宋体" w:hAnsi="Arial" w:cs="Arial"/>
                <w:color w:val="000000"/>
                <w:sz w:val="17"/>
                <w:szCs w:val="17"/>
              </w:rPr>
              <w:t>1,176 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9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96"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97" w14:textId="77777777" w:rsidR="009C6E2F" w:rsidRDefault="007972BE">
            <w:pPr>
              <w:jc w:val="right"/>
              <w:textAlignment w:val="bottom"/>
            </w:pPr>
            <w:r>
              <w:rPr>
                <w:rFonts w:ascii="Arial" w:eastAsia="宋体" w:hAnsi="Arial" w:cs="Arial"/>
                <w:color w:val="000000"/>
                <w:sz w:val="17"/>
                <w:szCs w:val="17"/>
              </w:rPr>
              <w:t>1,349 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98" w14:textId="77777777" w:rsidR="009C6E2F" w:rsidRDefault="009C6E2F">
            <w:pPr>
              <w:jc w:val="right"/>
              <w:rPr>
                <w:rFonts w:ascii="宋体"/>
              </w:rPr>
            </w:pPr>
          </w:p>
        </w:tc>
      </w:tr>
      <w:tr w:rsidR="009C6E2F" w14:paraId="2470D1A0"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9A" w14:textId="77777777" w:rsidR="009C6E2F" w:rsidRDefault="007972BE">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9B" w14:textId="77777777" w:rsidR="009C6E2F" w:rsidRDefault="007972BE">
            <w:pPr>
              <w:jc w:val="right"/>
              <w:textAlignment w:val="bottom"/>
            </w:pPr>
            <w:r>
              <w:rPr>
                <w:rFonts w:ascii="Arial" w:eastAsia="宋体" w:hAnsi="Arial" w:cs="Arial"/>
                <w:color w:val="000000"/>
                <w:sz w:val="17"/>
                <w:szCs w:val="17"/>
              </w:rPr>
              <w:t>217 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9C"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9D"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9E" w14:textId="77777777" w:rsidR="009C6E2F" w:rsidRDefault="007972BE">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9F" w14:textId="77777777" w:rsidR="009C6E2F" w:rsidRDefault="009C6E2F">
            <w:pPr>
              <w:jc w:val="right"/>
              <w:rPr>
                <w:rFonts w:ascii="宋体"/>
              </w:rPr>
            </w:pPr>
          </w:p>
        </w:tc>
      </w:tr>
      <w:tr w:rsidR="009C6E2F" w14:paraId="2470D1A7"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1A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A2" w14:textId="77777777" w:rsidR="009C6E2F" w:rsidRDefault="007972BE">
            <w:pPr>
              <w:jc w:val="right"/>
              <w:textAlignment w:val="bottom"/>
            </w:pPr>
            <w:r>
              <w:rPr>
                <w:rFonts w:ascii="Arial" w:eastAsia="宋体" w:hAnsi="Arial" w:cs="Arial"/>
                <w:color w:val="000000"/>
                <w:sz w:val="17"/>
                <w:szCs w:val="17"/>
              </w:rPr>
              <w:t>532 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A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A4"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A5" w14:textId="77777777" w:rsidR="009C6E2F" w:rsidRDefault="007972BE">
            <w:pPr>
              <w:jc w:val="right"/>
              <w:textAlignment w:val="bottom"/>
            </w:pPr>
            <w:r>
              <w:rPr>
                <w:rFonts w:ascii="Arial" w:eastAsia="宋体" w:hAnsi="Arial" w:cs="Arial"/>
                <w:color w:val="000000"/>
                <w:sz w:val="17"/>
                <w:szCs w:val="17"/>
              </w:rPr>
              <w:t>643 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A6" w14:textId="77777777" w:rsidR="009C6E2F" w:rsidRDefault="009C6E2F">
            <w:pPr>
              <w:jc w:val="right"/>
              <w:rPr>
                <w:rFonts w:ascii="宋体"/>
              </w:rPr>
            </w:pPr>
          </w:p>
        </w:tc>
      </w:tr>
      <w:tr w:rsidR="009C6E2F" w14:paraId="2470D1A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A8" w14:textId="77777777" w:rsidR="009C6E2F" w:rsidRDefault="007972BE">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A9" w14:textId="77777777" w:rsidR="009C6E2F" w:rsidRDefault="007972BE">
            <w:pPr>
              <w:jc w:val="right"/>
              <w:textAlignment w:val="bottom"/>
            </w:pPr>
            <w:r>
              <w:rPr>
                <w:rFonts w:ascii="Arial" w:eastAsia="宋体" w:hAnsi="Arial" w:cs="Arial"/>
                <w:color w:val="000000"/>
                <w:sz w:val="17"/>
                <w:szCs w:val="17"/>
              </w:rPr>
              <w:t>76 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AA"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AB"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AC" w14:textId="77777777" w:rsidR="009C6E2F" w:rsidRDefault="007972BE">
            <w:pPr>
              <w:jc w:val="right"/>
              <w:textAlignment w:val="bottom"/>
            </w:pPr>
            <w:r>
              <w:rPr>
                <w:rFonts w:ascii="Arial" w:eastAsia="宋体" w:hAnsi="Arial" w:cs="Arial"/>
                <w:color w:val="000000"/>
                <w:sz w:val="17"/>
                <w:szCs w:val="17"/>
              </w:rPr>
              <w:t>128 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AD" w14:textId="77777777" w:rsidR="009C6E2F" w:rsidRDefault="009C6E2F">
            <w:pPr>
              <w:jc w:val="right"/>
              <w:rPr>
                <w:rFonts w:ascii="宋体"/>
              </w:rPr>
            </w:pPr>
          </w:p>
        </w:tc>
      </w:tr>
      <w:tr w:rsidR="009C6E2F" w14:paraId="2470D1B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1AF" w14:textId="77777777" w:rsidR="009C6E2F" w:rsidRDefault="007972BE">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1B0" w14:textId="77777777" w:rsidR="009C6E2F" w:rsidRDefault="007972BE">
            <w:pPr>
              <w:jc w:val="right"/>
              <w:textAlignment w:val="bottom"/>
            </w:pPr>
            <w:r>
              <w:rPr>
                <w:rFonts w:ascii="Arial" w:eastAsia="宋体" w:hAnsi="Arial" w:cs="Arial"/>
                <w:color w:val="000000"/>
                <w:sz w:val="17"/>
                <w:szCs w:val="17"/>
              </w:rPr>
              <w:t>3,470 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1B1"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1B2"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1B3" w14:textId="77777777" w:rsidR="009C6E2F" w:rsidRDefault="007972BE">
            <w:pPr>
              <w:jc w:val="right"/>
              <w:textAlignment w:val="bottom"/>
            </w:pPr>
            <w:r>
              <w:rPr>
                <w:rFonts w:ascii="Arial" w:eastAsia="宋体" w:hAnsi="Arial" w:cs="Arial"/>
                <w:color w:val="000000"/>
                <w:sz w:val="17"/>
                <w:szCs w:val="17"/>
              </w:rPr>
              <w:t>4,185 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1B4" w14:textId="77777777" w:rsidR="009C6E2F" w:rsidRDefault="009C6E2F">
            <w:pPr>
              <w:jc w:val="right"/>
              <w:rPr>
                <w:rFonts w:ascii="宋体"/>
              </w:rPr>
            </w:pPr>
          </w:p>
        </w:tc>
      </w:tr>
      <w:tr w:rsidR="009C6E2F" w14:paraId="2470D1B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B6"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B7" w14:textId="77777777" w:rsidR="009C6E2F" w:rsidRDefault="007972BE">
            <w:pPr>
              <w:jc w:val="right"/>
              <w:textAlignment w:val="bottom"/>
            </w:pPr>
            <w:r>
              <w:rPr>
                <w:rFonts w:ascii="Arial" w:eastAsia="宋体" w:hAnsi="Arial" w:cs="Arial"/>
                <w:color w:val="000000"/>
                <w:sz w:val="17"/>
                <w:szCs w:val="17"/>
              </w:rPr>
              <w:t>218 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B8"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B9"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BA" w14:textId="77777777" w:rsidR="009C6E2F" w:rsidRDefault="007972BE">
            <w:pPr>
              <w:jc w:val="right"/>
              <w:textAlignment w:val="bottom"/>
            </w:pPr>
            <w:r>
              <w:rPr>
                <w:rFonts w:ascii="Arial" w:eastAsia="宋体" w:hAnsi="Arial" w:cs="Arial"/>
                <w:color w:val="000000"/>
                <w:sz w:val="17"/>
                <w:szCs w:val="17"/>
              </w:rPr>
              <w:t>225 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BB" w14:textId="77777777" w:rsidR="009C6E2F" w:rsidRDefault="009C6E2F">
            <w:pPr>
              <w:jc w:val="right"/>
              <w:rPr>
                <w:rFonts w:ascii="宋体"/>
              </w:rPr>
            </w:pPr>
          </w:p>
        </w:tc>
      </w:tr>
      <w:tr w:rsidR="009C6E2F" w14:paraId="2470D1C3"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BD" w14:textId="77777777" w:rsidR="009C6E2F" w:rsidRDefault="007972BE">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BE" w14:textId="77777777" w:rsidR="009C6E2F" w:rsidRDefault="007972BE">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B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C0"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C1" w14:textId="77777777" w:rsidR="009C6E2F" w:rsidRDefault="007972BE">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C2" w14:textId="77777777" w:rsidR="009C6E2F" w:rsidRDefault="009C6E2F">
            <w:pPr>
              <w:jc w:val="right"/>
              <w:rPr>
                <w:rFonts w:ascii="宋体"/>
              </w:rPr>
            </w:pPr>
          </w:p>
        </w:tc>
      </w:tr>
      <w:tr w:rsidR="009C6E2F" w14:paraId="2470D1CC"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1C4" w14:textId="77777777" w:rsidR="009C6E2F" w:rsidRDefault="007972BE">
            <w:pPr>
              <w:textAlignment w:val="bottom"/>
            </w:pPr>
            <w:r>
              <w:rPr>
                <w:rFonts w:ascii="Arial" w:eastAsia="宋体" w:hAnsi="Arial" w:cs="Arial"/>
                <w:b/>
                <w:bCs/>
                <w:color w:val="000000"/>
                <w:sz w:val="17"/>
                <w:szCs w:val="17"/>
              </w:rPr>
              <w:t xml:space="preserve">TOTAL ACCOUNTS </w:t>
            </w:r>
            <w:r>
              <w:rPr>
                <w:rFonts w:ascii="Arial" w:eastAsia="宋体" w:hAnsi="Arial" w:cs="Arial"/>
                <w:b/>
                <w:bCs/>
                <w:color w:val="000000"/>
                <w:sz w:val="17"/>
                <w:szCs w:val="17"/>
              </w:rPr>
              <w:t>RECEIVABLE, NET</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1C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1C6" w14:textId="77777777" w:rsidR="009C6E2F" w:rsidRDefault="007972BE">
            <w:pPr>
              <w:jc w:val="right"/>
              <w:textAlignment w:val="bottom"/>
            </w:pPr>
            <w:r>
              <w:rPr>
                <w:rFonts w:ascii="Arial" w:eastAsia="宋体" w:hAnsi="Arial" w:cs="Arial"/>
                <w:b/>
                <w:bCs/>
                <w:color w:val="000000"/>
                <w:sz w:val="17"/>
                <w:szCs w:val="17"/>
              </w:rPr>
              <w:t>3,746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1C7"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1C8" w14:textId="77777777" w:rsidR="009C6E2F" w:rsidRDefault="009C6E2F">
            <w:pPr>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1C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1CA" w14:textId="77777777" w:rsidR="009C6E2F" w:rsidRDefault="007972BE">
            <w:pPr>
              <w:jc w:val="right"/>
              <w:textAlignment w:val="bottom"/>
            </w:pPr>
            <w:r>
              <w:rPr>
                <w:rFonts w:ascii="Arial" w:eastAsia="宋体" w:hAnsi="Arial" w:cs="Arial"/>
                <w:b/>
                <w:bCs/>
                <w:color w:val="000000"/>
                <w:sz w:val="17"/>
                <w:szCs w:val="17"/>
              </w:rPr>
              <w:t>4,463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1CB" w14:textId="77777777" w:rsidR="009C6E2F" w:rsidRDefault="009C6E2F">
            <w:pPr>
              <w:jc w:val="right"/>
              <w:rPr>
                <w:rFonts w:ascii="宋体"/>
              </w:rPr>
            </w:pPr>
          </w:p>
        </w:tc>
      </w:tr>
      <w:tr w:rsidR="009C6E2F" w14:paraId="2470D1D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1CD" w14:textId="77777777" w:rsidR="009C6E2F" w:rsidRDefault="007972BE">
            <w:pPr>
              <w:textAlignment w:val="bottom"/>
            </w:pPr>
            <w:r>
              <w:rPr>
                <w:rFonts w:ascii="Arial" w:eastAsia="宋体" w:hAnsi="Arial" w:cs="Arial"/>
                <w:b/>
                <w:bCs/>
                <w:color w:val="000000"/>
                <w:sz w:val="17"/>
                <w:szCs w:val="17"/>
              </w:rPr>
              <w:t>INVENTORIES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1C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1CF"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1D0" w14:textId="77777777" w:rsidR="009C6E2F" w:rsidRDefault="009C6E2F">
            <w:pPr>
              <w:rPr>
                <w:rFonts w:ascii="宋体"/>
              </w:rPr>
            </w:pPr>
          </w:p>
        </w:tc>
      </w:tr>
      <w:tr w:rsidR="009C6E2F" w14:paraId="2470D1D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D2" w14:textId="77777777" w:rsidR="009C6E2F" w:rsidRDefault="007972BE">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1D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1D4" w14:textId="77777777" w:rsidR="009C6E2F" w:rsidRDefault="007972BE">
            <w:pPr>
              <w:jc w:val="right"/>
              <w:textAlignment w:val="bottom"/>
            </w:pPr>
            <w:r>
              <w:rPr>
                <w:rFonts w:ascii="Arial" w:eastAsia="宋体" w:hAnsi="Arial" w:cs="Arial"/>
                <w:color w:val="000000"/>
                <w:sz w:val="17"/>
                <w:szCs w:val="17"/>
              </w:rPr>
              <w:t>2,796 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D5"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D6"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1D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1D8" w14:textId="77777777" w:rsidR="009C6E2F" w:rsidRDefault="007972BE">
            <w:pPr>
              <w:jc w:val="right"/>
              <w:textAlignment w:val="bottom"/>
            </w:pPr>
            <w:r>
              <w:rPr>
                <w:rFonts w:ascii="Arial" w:eastAsia="宋体" w:hAnsi="Arial" w:cs="Arial"/>
                <w:color w:val="000000"/>
                <w:sz w:val="17"/>
                <w:szCs w:val="17"/>
              </w:rPr>
              <w:t>2,851 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D9" w14:textId="77777777" w:rsidR="009C6E2F" w:rsidRDefault="009C6E2F">
            <w:pPr>
              <w:jc w:val="right"/>
              <w:rPr>
                <w:rFonts w:ascii="宋体"/>
              </w:rPr>
            </w:pPr>
          </w:p>
        </w:tc>
      </w:tr>
      <w:tr w:rsidR="009C6E2F" w14:paraId="2470D1E1"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DB" w14:textId="77777777" w:rsidR="009C6E2F" w:rsidRDefault="007972BE">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DC" w14:textId="77777777" w:rsidR="009C6E2F" w:rsidRDefault="007972BE">
            <w:pPr>
              <w:jc w:val="right"/>
              <w:textAlignment w:val="bottom"/>
            </w:pPr>
            <w:r>
              <w:rPr>
                <w:rFonts w:ascii="Arial" w:eastAsia="宋体" w:hAnsi="Arial" w:cs="Arial"/>
                <w:color w:val="000000"/>
                <w:sz w:val="17"/>
                <w:szCs w:val="17"/>
              </w:rPr>
              <w:t>1,426 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DD"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DE"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DF" w14:textId="77777777" w:rsidR="009C6E2F" w:rsidRDefault="007972BE">
            <w:pPr>
              <w:jc w:val="right"/>
              <w:textAlignment w:val="bottom"/>
            </w:pPr>
            <w:r>
              <w:rPr>
                <w:rFonts w:ascii="Arial" w:eastAsia="宋体" w:hAnsi="Arial" w:cs="Arial"/>
                <w:color w:val="000000"/>
                <w:sz w:val="17"/>
                <w:szCs w:val="17"/>
              </w:rPr>
              <w:t>1,821 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E0" w14:textId="77777777" w:rsidR="009C6E2F" w:rsidRDefault="009C6E2F">
            <w:pPr>
              <w:jc w:val="right"/>
              <w:rPr>
                <w:rFonts w:ascii="宋体"/>
              </w:rPr>
            </w:pPr>
          </w:p>
        </w:tc>
      </w:tr>
      <w:tr w:rsidR="009C6E2F" w14:paraId="2470D1E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E2" w14:textId="77777777" w:rsidR="009C6E2F" w:rsidRDefault="007972BE">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E3" w14:textId="77777777" w:rsidR="009C6E2F" w:rsidRDefault="007972BE">
            <w:pPr>
              <w:jc w:val="right"/>
              <w:textAlignment w:val="bottom"/>
            </w:pPr>
            <w:r>
              <w:rPr>
                <w:rFonts w:ascii="Arial" w:eastAsia="宋体" w:hAnsi="Arial" w:cs="Arial"/>
                <w:color w:val="000000"/>
                <w:sz w:val="17"/>
                <w:szCs w:val="17"/>
              </w:rPr>
              <w:t>1,120 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E4"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E5"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E6" w14:textId="77777777" w:rsidR="009C6E2F" w:rsidRDefault="007972BE">
            <w:pPr>
              <w:jc w:val="right"/>
              <w:textAlignment w:val="bottom"/>
            </w:pPr>
            <w:r>
              <w:rPr>
                <w:rFonts w:ascii="Arial" w:eastAsia="宋体" w:hAnsi="Arial" w:cs="Arial"/>
                <w:color w:val="000000"/>
                <w:sz w:val="17"/>
                <w:szCs w:val="17"/>
              </w:rPr>
              <w:t>1,247 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E7" w14:textId="77777777" w:rsidR="009C6E2F" w:rsidRDefault="009C6E2F">
            <w:pPr>
              <w:jc w:val="right"/>
              <w:rPr>
                <w:rFonts w:ascii="宋体"/>
              </w:rPr>
            </w:pPr>
          </w:p>
        </w:tc>
      </w:tr>
      <w:tr w:rsidR="009C6E2F" w14:paraId="2470D1EF"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1E9"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EA" w14:textId="77777777" w:rsidR="009C6E2F" w:rsidRDefault="007972BE">
            <w:pPr>
              <w:jc w:val="right"/>
              <w:textAlignment w:val="bottom"/>
            </w:pPr>
            <w:r>
              <w:rPr>
                <w:rFonts w:ascii="Arial" w:eastAsia="宋体" w:hAnsi="Arial" w:cs="Arial"/>
                <w:color w:val="000000"/>
                <w:sz w:val="17"/>
                <w:szCs w:val="17"/>
              </w:rPr>
              <w:t>636 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E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EC"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ED" w14:textId="77777777" w:rsidR="009C6E2F" w:rsidRDefault="007972BE">
            <w:pPr>
              <w:jc w:val="right"/>
              <w:textAlignment w:val="bottom"/>
            </w:pPr>
            <w:r>
              <w:rPr>
                <w:rFonts w:ascii="Arial" w:eastAsia="宋体" w:hAnsi="Arial" w:cs="Arial"/>
                <w:color w:val="000000"/>
                <w:sz w:val="17"/>
                <w:szCs w:val="17"/>
              </w:rPr>
              <w:t>667 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EE" w14:textId="77777777" w:rsidR="009C6E2F" w:rsidRDefault="009C6E2F">
            <w:pPr>
              <w:jc w:val="right"/>
              <w:rPr>
                <w:rFonts w:ascii="宋体"/>
              </w:rPr>
            </w:pPr>
          </w:p>
        </w:tc>
      </w:tr>
      <w:tr w:rsidR="009C6E2F" w14:paraId="2470D1F6"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F0" w14:textId="77777777" w:rsidR="009C6E2F" w:rsidRDefault="007972BE">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F1" w14:textId="77777777" w:rsidR="009C6E2F" w:rsidRDefault="007972BE">
            <w:pPr>
              <w:jc w:val="right"/>
              <w:textAlignment w:val="bottom"/>
            </w:pPr>
            <w:r>
              <w:rPr>
                <w:rFonts w:ascii="Arial" w:eastAsia="宋体" w:hAnsi="Arial" w:cs="Arial"/>
                <w:color w:val="000000"/>
                <w:sz w:val="17"/>
                <w:szCs w:val="17"/>
              </w:rPr>
              <w:t>236 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1F2"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1F3"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1F4" w14:textId="77777777" w:rsidR="009C6E2F" w:rsidRDefault="007972BE">
            <w:pPr>
              <w:jc w:val="right"/>
              <w:textAlignment w:val="bottom"/>
            </w:pPr>
            <w:r>
              <w:rPr>
                <w:rFonts w:ascii="Arial" w:eastAsia="宋体" w:hAnsi="Arial" w:cs="Arial"/>
                <w:color w:val="000000"/>
                <w:sz w:val="17"/>
                <w:szCs w:val="17"/>
              </w:rPr>
              <w:t>153 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1F5" w14:textId="77777777" w:rsidR="009C6E2F" w:rsidRDefault="009C6E2F">
            <w:pPr>
              <w:jc w:val="right"/>
              <w:rPr>
                <w:rFonts w:ascii="宋体"/>
              </w:rPr>
            </w:pPr>
          </w:p>
        </w:tc>
      </w:tr>
      <w:tr w:rsidR="009C6E2F" w14:paraId="2470D1FD"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1F7" w14:textId="77777777" w:rsidR="009C6E2F" w:rsidRDefault="007972BE">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1F8" w14:textId="77777777" w:rsidR="009C6E2F" w:rsidRDefault="007972BE">
            <w:pPr>
              <w:jc w:val="right"/>
              <w:textAlignment w:val="bottom"/>
            </w:pPr>
            <w:r>
              <w:rPr>
                <w:rFonts w:ascii="Arial" w:eastAsia="宋体" w:hAnsi="Arial" w:cs="Arial"/>
                <w:color w:val="000000"/>
                <w:sz w:val="17"/>
                <w:szCs w:val="17"/>
              </w:rPr>
              <w:t>6,214 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1F9"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1FA"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1FB" w14:textId="77777777" w:rsidR="009C6E2F" w:rsidRDefault="007972BE">
            <w:pPr>
              <w:jc w:val="right"/>
              <w:textAlignment w:val="bottom"/>
            </w:pPr>
            <w:r>
              <w:rPr>
                <w:rFonts w:ascii="Arial" w:eastAsia="宋体" w:hAnsi="Arial" w:cs="Arial"/>
                <w:color w:val="000000"/>
                <w:sz w:val="17"/>
                <w:szCs w:val="17"/>
              </w:rPr>
              <w:t>6,739 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1FC" w14:textId="77777777" w:rsidR="009C6E2F" w:rsidRDefault="009C6E2F">
            <w:pPr>
              <w:jc w:val="right"/>
              <w:rPr>
                <w:rFonts w:ascii="宋体"/>
              </w:rPr>
            </w:pPr>
          </w:p>
        </w:tc>
      </w:tr>
      <w:tr w:rsidR="009C6E2F" w14:paraId="2470D204"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1FE"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1FF" w14:textId="77777777" w:rsidR="009C6E2F" w:rsidRDefault="007972BE">
            <w:pPr>
              <w:jc w:val="right"/>
              <w:textAlignment w:val="bottom"/>
            </w:pPr>
            <w:r>
              <w:rPr>
                <w:rFonts w:ascii="Arial" w:eastAsia="宋体" w:hAnsi="Arial" w:cs="Arial"/>
                <w:color w:val="000000"/>
                <w:sz w:val="17"/>
                <w:szCs w:val="17"/>
              </w:rPr>
              <w:t>256 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0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01"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02" w14:textId="77777777" w:rsidR="009C6E2F" w:rsidRDefault="007972BE">
            <w:pPr>
              <w:jc w:val="right"/>
              <w:textAlignment w:val="bottom"/>
            </w:pPr>
            <w:r>
              <w:rPr>
                <w:rFonts w:ascii="Arial" w:eastAsia="宋体" w:hAnsi="Arial" w:cs="Arial"/>
                <w:color w:val="000000"/>
                <w:sz w:val="17"/>
                <w:szCs w:val="17"/>
              </w:rPr>
              <w:t>290 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03" w14:textId="77777777" w:rsidR="009C6E2F" w:rsidRDefault="009C6E2F">
            <w:pPr>
              <w:jc w:val="right"/>
              <w:rPr>
                <w:rFonts w:ascii="宋体"/>
              </w:rPr>
            </w:pPr>
          </w:p>
        </w:tc>
      </w:tr>
      <w:tr w:rsidR="009C6E2F" w14:paraId="2470D20B"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205" w14:textId="77777777" w:rsidR="009C6E2F" w:rsidRDefault="007972BE">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206" w14:textId="77777777" w:rsidR="009C6E2F" w:rsidRDefault="007972BE">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07"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08"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09" w14:textId="77777777" w:rsidR="009C6E2F" w:rsidRDefault="007972BE">
            <w:pPr>
              <w:jc w:val="right"/>
              <w:textAlignment w:val="bottom"/>
            </w:pPr>
            <w:r>
              <w:rPr>
                <w:rFonts w:ascii="Arial" w:eastAsia="宋体" w:hAnsi="Arial" w:cs="Arial"/>
                <w:color w:val="000000"/>
                <w:sz w:val="17"/>
                <w:szCs w:val="17"/>
              </w:rPr>
              <w:t>(175)</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0A" w14:textId="77777777" w:rsidR="009C6E2F" w:rsidRDefault="009C6E2F">
            <w:pPr>
              <w:jc w:val="right"/>
              <w:rPr>
                <w:rFonts w:ascii="宋体"/>
              </w:rPr>
            </w:pPr>
          </w:p>
        </w:tc>
      </w:tr>
      <w:tr w:rsidR="009C6E2F" w14:paraId="2470D214"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20C" w14:textId="77777777" w:rsidR="009C6E2F" w:rsidRDefault="007972BE">
            <w:pPr>
              <w:textAlignment w:val="bottom"/>
            </w:pPr>
            <w:r>
              <w:rPr>
                <w:rFonts w:ascii="Arial" w:eastAsia="宋体" w:hAnsi="Arial" w:cs="Arial"/>
                <w:b/>
                <w:bCs/>
                <w:color w:val="000000"/>
                <w:sz w:val="17"/>
                <w:szCs w:val="17"/>
              </w:rPr>
              <w:t>TOTAL INVENTORIES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20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20E" w14:textId="77777777" w:rsidR="009C6E2F" w:rsidRDefault="007972BE">
            <w:pPr>
              <w:jc w:val="right"/>
              <w:textAlignment w:val="bottom"/>
            </w:pPr>
            <w:r>
              <w:rPr>
                <w:rFonts w:ascii="Arial" w:eastAsia="宋体" w:hAnsi="Arial" w:cs="Arial"/>
                <w:b/>
                <w:bCs/>
                <w:color w:val="000000"/>
                <w:sz w:val="17"/>
                <w:szCs w:val="17"/>
              </w:rPr>
              <w:t>6,506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20F"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210"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21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212" w14:textId="77777777" w:rsidR="009C6E2F" w:rsidRDefault="007972BE">
            <w:pPr>
              <w:jc w:val="right"/>
              <w:textAlignment w:val="bottom"/>
            </w:pPr>
            <w:r>
              <w:rPr>
                <w:rFonts w:ascii="Arial" w:eastAsia="宋体" w:hAnsi="Arial" w:cs="Arial"/>
                <w:b/>
                <w:bCs/>
                <w:color w:val="000000"/>
                <w:sz w:val="17"/>
                <w:szCs w:val="17"/>
              </w:rPr>
              <w:t>6,854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213" w14:textId="77777777" w:rsidR="009C6E2F" w:rsidRDefault="009C6E2F">
            <w:pPr>
              <w:jc w:val="right"/>
              <w:rPr>
                <w:rFonts w:ascii="宋体"/>
              </w:rPr>
            </w:pPr>
          </w:p>
        </w:tc>
      </w:tr>
    </w:tbl>
    <w:p w14:paraId="2470D215" w14:textId="77777777" w:rsidR="009C6E2F" w:rsidRDefault="007972BE">
      <w:pPr>
        <w:spacing w:before="120" w:after="120"/>
      </w:pPr>
      <w:r>
        <w:rPr>
          <w:rFonts w:ascii="Arial" w:eastAsia="宋体" w:hAnsi="Arial" w:cs="Arial"/>
          <w:color w:val="E87722"/>
          <w:sz w:val="17"/>
          <w:szCs w:val="17"/>
        </w:rPr>
        <w:t>22</w:t>
      </w:r>
      <w:r>
        <w:rPr>
          <w:rFonts w:ascii="sans-serif" w:eastAsia="sans-serif" w:hAnsi="sans-serif" w:cs="sans-serif"/>
          <w:color w:val="000000"/>
          <w:sz w:val="17"/>
          <w:szCs w:val="17"/>
        </w:rPr>
        <w:t xml:space="preserve"> </w:t>
      </w:r>
    </w:p>
    <w:p w14:paraId="2470D216" w14:textId="77777777" w:rsidR="009C6E2F" w:rsidRDefault="007972BE">
      <w:r>
        <w:pict w14:anchorId="2470E1FB">
          <v:rect id="_x0000_i1048" style="width:415.3pt;height:1.5pt" o:hralign="center" o:hrstd="t" o:hr="t" fillcolor="#a0a0a0" stroked="f"/>
        </w:pict>
      </w:r>
    </w:p>
    <w:p w14:paraId="2470D217" w14:textId="77777777" w:rsidR="009C6E2F" w:rsidRDefault="009C6E2F"/>
    <w:p w14:paraId="2470D218" w14:textId="77777777" w:rsidR="009C6E2F" w:rsidRDefault="007972BE">
      <w:hyperlink r:id="rId91" w:anchor="i9e023a7388204bdbacd6aa338988f838_7" w:history="1">
        <w:r>
          <w:rPr>
            <w:rStyle w:val="a5"/>
            <w:rFonts w:ascii="sans-serif" w:eastAsia="sans-serif" w:hAnsi="sans-serif" w:cs="sans-serif"/>
            <w:sz w:val="17"/>
            <w:szCs w:val="17"/>
          </w:rPr>
          <w:t>Table of Contents</w:t>
        </w:r>
      </w:hyperlink>
    </w:p>
    <w:p w14:paraId="2470D219" w14:textId="77777777" w:rsidR="009C6E2F" w:rsidRDefault="009C6E2F"/>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387"/>
        <w:gridCol w:w="37"/>
        <w:gridCol w:w="116"/>
        <w:gridCol w:w="1244"/>
        <w:gridCol w:w="36"/>
        <w:gridCol w:w="36"/>
        <w:gridCol w:w="36"/>
        <w:gridCol w:w="36"/>
        <w:gridCol w:w="115"/>
        <w:gridCol w:w="1215"/>
        <w:gridCol w:w="36"/>
      </w:tblGrid>
      <w:tr w:rsidR="009C6E2F" w14:paraId="2470D226" w14:textId="77777777">
        <w:trPr>
          <w:jc w:val="center"/>
        </w:trPr>
        <w:tc>
          <w:tcPr>
            <w:tcW w:w="50" w:type="pct"/>
            <w:shd w:val="clear" w:color="auto" w:fill="auto"/>
            <w:vAlign w:val="bottom"/>
          </w:tcPr>
          <w:p w14:paraId="2470D21A" w14:textId="77777777" w:rsidR="009C6E2F" w:rsidRDefault="009C6E2F">
            <w:pPr>
              <w:rPr>
                <w:rFonts w:ascii="宋体"/>
              </w:rPr>
            </w:pPr>
          </w:p>
        </w:tc>
        <w:tc>
          <w:tcPr>
            <w:tcW w:w="3255" w:type="pct"/>
            <w:shd w:val="clear" w:color="auto" w:fill="auto"/>
            <w:vAlign w:val="bottom"/>
          </w:tcPr>
          <w:p w14:paraId="2470D21B" w14:textId="77777777" w:rsidR="009C6E2F" w:rsidRDefault="009C6E2F">
            <w:pPr>
              <w:rPr>
                <w:rFonts w:ascii="宋体"/>
              </w:rPr>
            </w:pPr>
          </w:p>
        </w:tc>
        <w:tc>
          <w:tcPr>
            <w:tcW w:w="5" w:type="pct"/>
            <w:shd w:val="clear" w:color="auto" w:fill="auto"/>
            <w:vAlign w:val="bottom"/>
          </w:tcPr>
          <w:p w14:paraId="2470D21C" w14:textId="77777777" w:rsidR="009C6E2F" w:rsidRDefault="009C6E2F">
            <w:pPr>
              <w:rPr>
                <w:rFonts w:ascii="宋体"/>
              </w:rPr>
            </w:pPr>
          </w:p>
        </w:tc>
        <w:tc>
          <w:tcPr>
            <w:tcW w:w="50" w:type="pct"/>
            <w:shd w:val="clear" w:color="auto" w:fill="auto"/>
            <w:vAlign w:val="bottom"/>
          </w:tcPr>
          <w:p w14:paraId="2470D21D" w14:textId="77777777" w:rsidR="009C6E2F" w:rsidRDefault="009C6E2F">
            <w:pPr>
              <w:rPr>
                <w:rFonts w:ascii="宋体"/>
              </w:rPr>
            </w:pPr>
          </w:p>
        </w:tc>
        <w:tc>
          <w:tcPr>
            <w:tcW w:w="770" w:type="pct"/>
            <w:shd w:val="clear" w:color="auto" w:fill="auto"/>
            <w:vAlign w:val="bottom"/>
          </w:tcPr>
          <w:p w14:paraId="2470D21E" w14:textId="77777777" w:rsidR="009C6E2F" w:rsidRDefault="009C6E2F">
            <w:pPr>
              <w:rPr>
                <w:rFonts w:ascii="宋体"/>
              </w:rPr>
            </w:pPr>
          </w:p>
        </w:tc>
        <w:tc>
          <w:tcPr>
            <w:tcW w:w="5" w:type="pct"/>
            <w:shd w:val="clear" w:color="auto" w:fill="auto"/>
            <w:vAlign w:val="bottom"/>
          </w:tcPr>
          <w:p w14:paraId="2470D21F" w14:textId="77777777" w:rsidR="009C6E2F" w:rsidRDefault="009C6E2F">
            <w:pPr>
              <w:rPr>
                <w:rFonts w:ascii="宋体"/>
              </w:rPr>
            </w:pPr>
          </w:p>
        </w:tc>
        <w:tc>
          <w:tcPr>
            <w:tcW w:w="5" w:type="pct"/>
            <w:shd w:val="clear" w:color="auto" w:fill="auto"/>
            <w:vAlign w:val="bottom"/>
          </w:tcPr>
          <w:p w14:paraId="2470D220" w14:textId="77777777" w:rsidR="009C6E2F" w:rsidRDefault="009C6E2F">
            <w:pPr>
              <w:rPr>
                <w:rFonts w:ascii="宋体"/>
              </w:rPr>
            </w:pPr>
          </w:p>
        </w:tc>
        <w:tc>
          <w:tcPr>
            <w:tcW w:w="28" w:type="pct"/>
            <w:shd w:val="clear" w:color="auto" w:fill="auto"/>
            <w:vAlign w:val="bottom"/>
          </w:tcPr>
          <w:p w14:paraId="2470D221" w14:textId="77777777" w:rsidR="009C6E2F" w:rsidRDefault="009C6E2F">
            <w:pPr>
              <w:rPr>
                <w:rFonts w:ascii="宋体"/>
              </w:rPr>
            </w:pPr>
          </w:p>
        </w:tc>
        <w:tc>
          <w:tcPr>
            <w:tcW w:w="5" w:type="pct"/>
            <w:shd w:val="clear" w:color="auto" w:fill="auto"/>
            <w:vAlign w:val="bottom"/>
          </w:tcPr>
          <w:p w14:paraId="2470D222" w14:textId="77777777" w:rsidR="009C6E2F" w:rsidRDefault="009C6E2F">
            <w:pPr>
              <w:rPr>
                <w:rFonts w:ascii="宋体"/>
              </w:rPr>
            </w:pPr>
          </w:p>
        </w:tc>
        <w:tc>
          <w:tcPr>
            <w:tcW w:w="50" w:type="pct"/>
            <w:shd w:val="clear" w:color="auto" w:fill="auto"/>
            <w:vAlign w:val="bottom"/>
          </w:tcPr>
          <w:p w14:paraId="2470D223" w14:textId="77777777" w:rsidR="009C6E2F" w:rsidRDefault="009C6E2F">
            <w:pPr>
              <w:rPr>
                <w:rFonts w:ascii="宋体"/>
              </w:rPr>
            </w:pPr>
          </w:p>
        </w:tc>
        <w:tc>
          <w:tcPr>
            <w:tcW w:w="770" w:type="pct"/>
            <w:shd w:val="clear" w:color="auto" w:fill="auto"/>
            <w:vAlign w:val="bottom"/>
          </w:tcPr>
          <w:p w14:paraId="2470D224" w14:textId="77777777" w:rsidR="009C6E2F" w:rsidRDefault="009C6E2F">
            <w:pPr>
              <w:rPr>
                <w:rFonts w:ascii="宋体"/>
              </w:rPr>
            </w:pPr>
          </w:p>
        </w:tc>
        <w:tc>
          <w:tcPr>
            <w:tcW w:w="5" w:type="pct"/>
            <w:shd w:val="clear" w:color="auto" w:fill="auto"/>
            <w:vAlign w:val="bottom"/>
          </w:tcPr>
          <w:p w14:paraId="2470D225" w14:textId="77777777" w:rsidR="009C6E2F" w:rsidRDefault="009C6E2F">
            <w:pPr>
              <w:rPr>
                <w:rFonts w:ascii="宋体"/>
              </w:rPr>
            </w:pPr>
          </w:p>
        </w:tc>
      </w:tr>
      <w:tr w:rsidR="009C6E2F" w14:paraId="2470D22B" w14:textId="77777777">
        <w:trPr>
          <w:jc w:val="center"/>
        </w:trPr>
        <w:tc>
          <w:tcPr>
            <w:tcW w:w="0" w:type="auto"/>
            <w:gridSpan w:val="3"/>
            <w:shd w:val="clear" w:color="auto" w:fill="auto"/>
            <w:tcMar>
              <w:top w:w="0" w:type="dxa"/>
              <w:left w:w="20" w:type="dxa"/>
              <w:bottom w:w="0" w:type="dxa"/>
              <w:right w:w="20" w:type="dxa"/>
            </w:tcMar>
            <w:vAlign w:val="bottom"/>
          </w:tcPr>
          <w:p w14:paraId="2470D227"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D228" w14:textId="77777777" w:rsidR="009C6E2F" w:rsidRDefault="007972BE">
            <w:pPr>
              <w:jc w:val="center"/>
              <w:textAlignment w:val="bottom"/>
            </w:pPr>
            <w:r>
              <w:rPr>
                <w:rFonts w:ascii="sans-serif" w:eastAsia="sans-serif" w:hAnsi="sans-serif" w:cs="sans-serif"/>
                <w:b/>
                <w:bCs/>
                <w:color w:val="000000"/>
                <w:sz w:val="17"/>
                <w:szCs w:val="17"/>
              </w:rPr>
              <w:t>NOVEMBER 30,</w:t>
            </w:r>
          </w:p>
        </w:tc>
        <w:tc>
          <w:tcPr>
            <w:tcW w:w="0" w:type="auto"/>
            <w:gridSpan w:val="3"/>
            <w:shd w:val="clear" w:color="auto" w:fill="auto"/>
            <w:tcMar>
              <w:top w:w="0" w:type="dxa"/>
              <w:left w:w="20" w:type="dxa"/>
              <w:bottom w:w="0" w:type="dxa"/>
              <w:right w:w="20" w:type="dxa"/>
            </w:tcMar>
            <w:vAlign w:val="bottom"/>
          </w:tcPr>
          <w:p w14:paraId="2470D229" w14:textId="77777777" w:rsidR="009C6E2F" w:rsidRDefault="009C6E2F">
            <w:pPr>
              <w:rPr>
                <w:rFonts w:ascii="宋体"/>
              </w:rPr>
            </w:pPr>
          </w:p>
        </w:tc>
        <w:tc>
          <w:tcPr>
            <w:tcW w:w="0" w:type="auto"/>
            <w:gridSpan w:val="3"/>
            <w:shd w:val="clear" w:color="auto" w:fill="auto"/>
            <w:tcMar>
              <w:top w:w="40" w:type="dxa"/>
              <w:left w:w="20" w:type="dxa"/>
              <w:bottom w:w="40" w:type="dxa"/>
              <w:right w:w="20" w:type="dxa"/>
            </w:tcMar>
            <w:vAlign w:val="bottom"/>
          </w:tcPr>
          <w:p w14:paraId="2470D22A" w14:textId="77777777" w:rsidR="009C6E2F" w:rsidRDefault="007972BE">
            <w:pPr>
              <w:jc w:val="center"/>
              <w:textAlignment w:val="bottom"/>
            </w:pPr>
            <w:r>
              <w:rPr>
                <w:rFonts w:ascii="sans-serif" w:eastAsia="sans-serif" w:hAnsi="sans-serif" w:cs="sans-serif"/>
                <w:b/>
                <w:bCs/>
                <w:color w:val="000000"/>
                <w:sz w:val="17"/>
                <w:szCs w:val="17"/>
              </w:rPr>
              <w:t>MAY 31,</w:t>
            </w:r>
          </w:p>
        </w:tc>
      </w:tr>
      <w:tr w:rsidR="009C6E2F" w14:paraId="2470D230" w14:textId="77777777">
        <w:trPr>
          <w:jc w:val="center"/>
        </w:trPr>
        <w:tc>
          <w:tcPr>
            <w:tcW w:w="0" w:type="auto"/>
            <w:gridSpan w:val="3"/>
            <w:shd w:val="clear" w:color="auto" w:fill="auto"/>
            <w:tcMar>
              <w:top w:w="40" w:type="dxa"/>
              <w:left w:w="20" w:type="dxa"/>
              <w:bottom w:w="40" w:type="dxa"/>
              <w:right w:w="20" w:type="dxa"/>
            </w:tcMar>
            <w:vAlign w:val="bottom"/>
          </w:tcPr>
          <w:p w14:paraId="2470D22C"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2D"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2470D22E"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2F" w14:textId="77777777" w:rsidR="009C6E2F" w:rsidRDefault="007972BE">
            <w:pPr>
              <w:jc w:val="center"/>
              <w:textAlignment w:val="bottom"/>
            </w:pPr>
            <w:r>
              <w:rPr>
                <w:rFonts w:ascii="sans-serif" w:eastAsia="sans-serif" w:hAnsi="sans-serif" w:cs="sans-serif"/>
                <w:b/>
                <w:bCs/>
                <w:color w:val="000000"/>
                <w:sz w:val="17"/>
                <w:szCs w:val="17"/>
              </w:rPr>
              <w:t>2021</w:t>
            </w:r>
          </w:p>
        </w:tc>
      </w:tr>
      <w:tr w:rsidR="009C6E2F" w14:paraId="2470D235"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31" w14:textId="77777777" w:rsidR="009C6E2F" w:rsidRDefault="007972BE">
            <w:pPr>
              <w:textAlignment w:val="bottom"/>
            </w:pPr>
            <w:r>
              <w:rPr>
                <w:rFonts w:ascii="Arial" w:eastAsia="宋体" w:hAnsi="Arial" w:cs="Arial"/>
                <w:b/>
                <w:bCs/>
                <w:color w:val="000000"/>
                <w:sz w:val="17"/>
                <w:szCs w:val="17"/>
              </w:rPr>
              <w:t>PROPERTY, PLANT AND EQUIPMENT, NET</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23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23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234" w14:textId="77777777" w:rsidR="009C6E2F" w:rsidRDefault="009C6E2F">
            <w:pPr>
              <w:rPr>
                <w:rFonts w:ascii="宋体"/>
              </w:rPr>
            </w:pPr>
          </w:p>
        </w:tc>
      </w:tr>
      <w:tr w:rsidR="009C6E2F" w14:paraId="2470D23E"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236" w14:textId="77777777" w:rsidR="009C6E2F" w:rsidRDefault="007972BE">
            <w:pPr>
              <w:textAlignment w:val="bottom"/>
            </w:pPr>
            <w:r>
              <w:rPr>
                <w:rFonts w:ascii="Arial" w:eastAsia="宋体" w:hAnsi="Arial" w:cs="Arial"/>
                <w:color w:val="000000"/>
                <w:sz w:val="17"/>
                <w:szCs w:val="17"/>
              </w:rPr>
              <w:t>North America</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23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238" w14:textId="77777777" w:rsidR="009C6E2F" w:rsidRDefault="007972BE">
            <w:pPr>
              <w:jc w:val="right"/>
              <w:textAlignment w:val="bottom"/>
            </w:pPr>
            <w:r>
              <w:rPr>
                <w:rFonts w:ascii="Arial" w:eastAsia="宋体" w:hAnsi="Arial" w:cs="Arial"/>
                <w:color w:val="000000"/>
                <w:sz w:val="17"/>
                <w:szCs w:val="17"/>
              </w:rPr>
              <w:t>616 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39"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3A" w14:textId="77777777" w:rsidR="009C6E2F" w:rsidRDefault="009C6E2F">
            <w:pPr>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23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23C" w14:textId="77777777" w:rsidR="009C6E2F" w:rsidRDefault="007972BE">
            <w:pPr>
              <w:jc w:val="right"/>
              <w:textAlignment w:val="bottom"/>
            </w:pPr>
            <w:r>
              <w:rPr>
                <w:rFonts w:ascii="Arial" w:eastAsia="宋体" w:hAnsi="Arial" w:cs="Arial"/>
                <w:color w:val="000000"/>
                <w:sz w:val="17"/>
                <w:szCs w:val="17"/>
              </w:rPr>
              <w:t>617 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3D" w14:textId="77777777" w:rsidR="009C6E2F" w:rsidRDefault="009C6E2F">
            <w:pPr>
              <w:jc w:val="right"/>
              <w:rPr>
                <w:rFonts w:ascii="宋体"/>
              </w:rPr>
            </w:pPr>
          </w:p>
        </w:tc>
      </w:tr>
      <w:tr w:rsidR="009C6E2F" w14:paraId="2470D245"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23F" w14:textId="77777777" w:rsidR="009C6E2F" w:rsidRDefault="007972BE">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240" w14:textId="77777777" w:rsidR="009C6E2F" w:rsidRDefault="007972BE">
            <w:pPr>
              <w:jc w:val="right"/>
              <w:textAlignment w:val="bottom"/>
            </w:pPr>
            <w:r>
              <w:rPr>
                <w:rFonts w:ascii="Arial" w:eastAsia="宋体" w:hAnsi="Arial" w:cs="Arial"/>
                <w:color w:val="000000"/>
                <w:sz w:val="17"/>
                <w:szCs w:val="17"/>
              </w:rPr>
              <w:t>935 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41"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42"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43" w14:textId="77777777" w:rsidR="009C6E2F" w:rsidRDefault="007972BE">
            <w:pPr>
              <w:jc w:val="right"/>
              <w:textAlignment w:val="bottom"/>
            </w:pPr>
            <w:r>
              <w:rPr>
                <w:rFonts w:ascii="Arial" w:eastAsia="宋体" w:hAnsi="Arial" w:cs="Arial"/>
                <w:color w:val="000000"/>
                <w:sz w:val="17"/>
                <w:szCs w:val="17"/>
              </w:rPr>
              <w:t>982 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44" w14:textId="77777777" w:rsidR="009C6E2F" w:rsidRDefault="009C6E2F">
            <w:pPr>
              <w:jc w:val="right"/>
              <w:rPr>
                <w:rFonts w:ascii="宋体"/>
              </w:rPr>
            </w:pPr>
          </w:p>
        </w:tc>
      </w:tr>
      <w:tr w:rsidR="009C6E2F" w14:paraId="2470D24C"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246" w14:textId="77777777" w:rsidR="009C6E2F" w:rsidRDefault="007972BE">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247" w14:textId="77777777" w:rsidR="009C6E2F" w:rsidRDefault="007972BE">
            <w:pPr>
              <w:jc w:val="right"/>
              <w:textAlignment w:val="bottom"/>
            </w:pPr>
            <w:r>
              <w:rPr>
                <w:rFonts w:ascii="Arial" w:eastAsia="宋体" w:hAnsi="Arial" w:cs="Arial"/>
                <w:color w:val="000000"/>
                <w:sz w:val="17"/>
                <w:szCs w:val="17"/>
              </w:rPr>
              <w:t>302 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48"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49"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4A" w14:textId="77777777" w:rsidR="009C6E2F" w:rsidRDefault="007972BE">
            <w:pPr>
              <w:jc w:val="right"/>
              <w:textAlignment w:val="bottom"/>
            </w:pPr>
            <w:r>
              <w:rPr>
                <w:rFonts w:ascii="Arial" w:eastAsia="宋体" w:hAnsi="Arial" w:cs="Arial"/>
                <w:color w:val="000000"/>
                <w:sz w:val="17"/>
                <w:szCs w:val="17"/>
              </w:rPr>
              <w:t>288 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4B" w14:textId="77777777" w:rsidR="009C6E2F" w:rsidRDefault="009C6E2F">
            <w:pPr>
              <w:jc w:val="right"/>
              <w:rPr>
                <w:rFonts w:ascii="宋体"/>
              </w:rPr>
            </w:pPr>
          </w:p>
        </w:tc>
      </w:tr>
      <w:tr w:rsidR="009C6E2F" w14:paraId="2470D253" w14:textId="77777777">
        <w:trPr>
          <w:jc w:val="center"/>
        </w:trPr>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24D"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Asia Pacific &amp; Latin America</w:t>
            </w:r>
            <w:r>
              <w:rPr>
                <w:rFonts w:ascii="Arial" w:eastAsia="宋体" w:hAnsi="Arial" w:cs="Arial"/>
                <w:color w:val="000000"/>
                <w:sz w:val="11"/>
                <w:szCs w:val="11"/>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24E" w14:textId="77777777" w:rsidR="009C6E2F" w:rsidRDefault="007972BE">
            <w:pPr>
              <w:jc w:val="right"/>
              <w:textAlignment w:val="bottom"/>
            </w:pPr>
            <w:r>
              <w:rPr>
                <w:rFonts w:ascii="Arial" w:eastAsia="宋体" w:hAnsi="Arial" w:cs="Arial"/>
                <w:color w:val="000000"/>
                <w:sz w:val="17"/>
                <w:szCs w:val="17"/>
              </w:rPr>
              <w:t>295 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4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50"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51" w14:textId="77777777" w:rsidR="009C6E2F" w:rsidRDefault="007972BE">
            <w:pPr>
              <w:jc w:val="right"/>
              <w:textAlignment w:val="bottom"/>
            </w:pPr>
            <w:r>
              <w:rPr>
                <w:rFonts w:ascii="Arial" w:eastAsia="宋体" w:hAnsi="Arial" w:cs="Arial"/>
                <w:color w:val="000000"/>
                <w:sz w:val="17"/>
                <w:szCs w:val="17"/>
              </w:rPr>
              <w:t>304 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52" w14:textId="77777777" w:rsidR="009C6E2F" w:rsidRDefault="009C6E2F">
            <w:pPr>
              <w:jc w:val="right"/>
              <w:rPr>
                <w:rFonts w:ascii="宋体"/>
              </w:rPr>
            </w:pPr>
          </w:p>
        </w:tc>
      </w:tr>
      <w:tr w:rsidR="009C6E2F" w14:paraId="2470D25A"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254" w14:textId="77777777" w:rsidR="009C6E2F" w:rsidRDefault="007972BE">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255" w14:textId="77777777" w:rsidR="009C6E2F" w:rsidRDefault="007972BE">
            <w:pPr>
              <w:jc w:val="right"/>
              <w:textAlignment w:val="bottom"/>
            </w:pPr>
            <w:r>
              <w:rPr>
                <w:rFonts w:ascii="Arial" w:eastAsia="宋体" w:hAnsi="Arial" w:cs="Arial"/>
                <w:color w:val="000000"/>
                <w:sz w:val="17"/>
                <w:szCs w:val="17"/>
              </w:rPr>
              <w:t>791 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56"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57"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58" w14:textId="77777777" w:rsidR="009C6E2F" w:rsidRDefault="007972BE">
            <w:pPr>
              <w:jc w:val="right"/>
              <w:textAlignment w:val="bottom"/>
            </w:pPr>
            <w:r>
              <w:rPr>
                <w:rFonts w:ascii="Arial" w:eastAsia="宋体" w:hAnsi="Arial" w:cs="Arial"/>
                <w:color w:val="000000"/>
                <w:sz w:val="17"/>
                <w:szCs w:val="17"/>
              </w:rPr>
              <w:t>780 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59" w14:textId="77777777" w:rsidR="009C6E2F" w:rsidRDefault="009C6E2F">
            <w:pPr>
              <w:jc w:val="right"/>
              <w:rPr>
                <w:rFonts w:ascii="宋体"/>
              </w:rPr>
            </w:pPr>
          </w:p>
        </w:tc>
      </w:tr>
      <w:tr w:rsidR="009C6E2F" w14:paraId="2470D261"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5B" w14:textId="77777777" w:rsidR="009C6E2F" w:rsidRDefault="007972BE">
            <w:pPr>
              <w:textAlignment w:val="bottom"/>
            </w:pPr>
            <w:r>
              <w:rPr>
                <w:rFonts w:ascii="Arial" w:eastAsia="宋体" w:hAnsi="Arial" w:cs="Arial"/>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25C" w14:textId="77777777" w:rsidR="009C6E2F" w:rsidRDefault="007972BE">
            <w:pPr>
              <w:jc w:val="right"/>
              <w:textAlignment w:val="bottom"/>
            </w:pPr>
            <w:r>
              <w:rPr>
                <w:rFonts w:ascii="Arial" w:eastAsia="宋体" w:hAnsi="Arial" w:cs="Arial"/>
                <w:color w:val="000000"/>
                <w:sz w:val="17"/>
                <w:szCs w:val="17"/>
              </w:rPr>
              <w:t>2,939 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25D"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25E" w14:textId="77777777" w:rsidR="009C6E2F" w:rsidRDefault="009C6E2F">
            <w:pPr>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25F" w14:textId="77777777" w:rsidR="009C6E2F" w:rsidRDefault="007972BE">
            <w:pPr>
              <w:jc w:val="right"/>
              <w:textAlignment w:val="bottom"/>
            </w:pPr>
            <w:r>
              <w:rPr>
                <w:rFonts w:ascii="Arial" w:eastAsia="宋体" w:hAnsi="Arial" w:cs="Arial"/>
                <w:color w:val="000000"/>
                <w:sz w:val="17"/>
                <w:szCs w:val="17"/>
              </w:rPr>
              <w:t>2,971 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260" w14:textId="77777777" w:rsidR="009C6E2F" w:rsidRDefault="009C6E2F">
            <w:pPr>
              <w:jc w:val="right"/>
              <w:rPr>
                <w:rFonts w:ascii="宋体"/>
              </w:rPr>
            </w:pPr>
          </w:p>
        </w:tc>
      </w:tr>
      <w:tr w:rsidR="009C6E2F" w14:paraId="2470D268"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262"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263"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64"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65"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66" w14:textId="77777777" w:rsidR="009C6E2F" w:rsidRDefault="007972BE">
            <w:pPr>
              <w:jc w:val="right"/>
              <w:textAlignment w:val="bottom"/>
            </w:pPr>
            <w:r>
              <w:rPr>
                <w:rFonts w:ascii="Arial" w:eastAsia="宋体" w:hAnsi="Arial" w:cs="Arial"/>
                <w:color w:val="000000"/>
                <w:sz w:val="17"/>
                <w:szCs w:val="17"/>
              </w:rPr>
              <w:t>63 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67" w14:textId="77777777" w:rsidR="009C6E2F" w:rsidRDefault="009C6E2F">
            <w:pPr>
              <w:jc w:val="right"/>
              <w:rPr>
                <w:rFonts w:ascii="宋体"/>
              </w:rPr>
            </w:pPr>
          </w:p>
        </w:tc>
      </w:tr>
      <w:tr w:rsidR="009C6E2F" w14:paraId="2470D26F" w14:textId="77777777">
        <w:trPr>
          <w:jc w:val="center"/>
        </w:trPr>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269" w14:textId="77777777" w:rsidR="009C6E2F" w:rsidRDefault="007972BE">
            <w:pP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26A" w14:textId="77777777" w:rsidR="009C6E2F" w:rsidRDefault="007972BE">
            <w:pPr>
              <w:jc w:val="right"/>
              <w:textAlignment w:val="bottom"/>
            </w:pPr>
            <w:r>
              <w:rPr>
                <w:rFonts w:ascii="Arial" w:eastAsia="宋体" w:hAnsi="Arial" w:cs="Arial"/>
                <w:color w:val="000000"/>
                <w:sz w:val="17"/>
                <w:szCs w:val="17"/>
              </w:rPr>
              <w:t>1,818 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26B"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26C" w14:textId="77777777" w:rsidR="009C6E2F" w:rsidRDefault="009C6E2F">
            <w:pPr>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26D" w14:textId="77777777" w:rsidR="009C6E2F" w:rsidRDefault="007972BE">
            <w:pPr>
              <w:jc w:val="right"/>
              <w:textAlignment w:val="bottom"/>
            </w:pPr>
            <w:r>
              <w:rPr>
                <w:rFonts w:ascii="Arial" w:eastAsia="宋体" w:hAnsi="Arial" w:cs="Arial"/>
                <w:color w:val="000000"/>
                <w:sz w:val="17"/>
                <w:szCs w:val="17"/>
              </w:rPr>
              <w:t>1,870 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26E" w14:textId="77777777" w:rsidR="009C6E2F" w:rsidRDefault="009C6E2F">
            <w:pPr>
              <w:jc w:val="right"/>
              <w:rPr>
                <w:rFonts w:ascii="宋体"/>
              </w:rPr>
            </w:pPr>
          </w:p>
        </w:tc>
      </w:tr>
      <w:tr w:rsidR="009C6E2F" w14:paraId="2470D278" w14:textId="77777777">
        <w:trPr>
          <w:jc w:val="center"/>
        </w:trPr>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270" w14:textId="77777777" w:rsidR="009C6E2F" w:rsidRDefault="007972BE">
            <w:pPr>
              <w:textAlignment w:val="bottom"/>
            </w:pPr>
            <w:r>
              <w:rPr>
                <w:rFonts w:ascii="Arial" w:eastAsia="宋体" w:hAnsi="Arial" w:cs="Arial"/>
                <w:b/>
                <w:bCs/>
                <w:color w:val="000000"/>
                <w:sz w:val="17"/>
                <w:szCs w:val="17"/>
              </w:rPr>
              <w:t>TOTAL PROPERTY, PLANT AND EQUIPMENT,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27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272" w14:textId="77777777" w:rsidR="009C6E2F" w:rsidRDefault="007972BE">
            <w:pPr>
              <w:jc w:val="right"/>
              <w:textAlignment w:val="bottom"/>
            </w:pPr>
            <w:r>
              <w:rPr>
                <w:rFonts w:ascii="Arial" w:eastAsia="宋体" w:hAnsi="Arial" w:cs="Arial"/>
                <w:b/>
                <w:bCs/>
                <w:color w:val="000000"/>
                <w:sz w:val="17"/>
                <w:szCs w:val="17"/>
              </w:rPr>
              <w:t>4,812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273"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274" w14:textId="77777777" w:rsidR="009C6E2F" w:rsidRDefault="009C6E2F">
            <w:pPr>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27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276" w14:textId="77777777" w:rsidR="009C6E2F" w:rsidRDefault="007972BE">
            <w:pPr>
              <w:jc w:val="right"/>
              <w:textAlignment w:val="bottom"/>
            </w:pPr>
            <w:r>
              <w:rPr>
                <w:rFonts w:ascii="Arial" w:eastAsia="宋体" w:hAnsi="Arial" w:cs="Arial"/>
                <w:b/>
                <w:bCs/>
                <w:color w:val="000000"/>
                <w:sz w:val="17"/>
                <w:szCs w:val="17"/>
              </w:rPr>
              <w:t>4,904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277" w14:textId="77777777" w:rsidR="009C6E2F" w:rsidRDefault="009C6E2F">
            <w:pPr>
              <w:jc w:val="right"/>
              <w:rPr>
                <w:rFonts w:ascii="宋体"/>
              </w:rPr>
            </w:pPr>
          </w:p>
        </w:tc>
      </w:tr>
    </w:tbl>
    <w:p w14:paraId="2470D279"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 xml:space="preserve">(1)Excludes assets held-for-sale as of November 30, 2021 and May 31, 2021. See Note 12 — Acquisitions and Divestitures for </w:t>
      </w:r>
      <w:r>
        <w:rPr>
          <w:rFonts w:ascii="Arial" w:eastAsia="宋体" w:hAnsi="Arial" w:cs="Arial"/>
          <w:i/>
          <w:iCs/>
          <w:color w:val="000000"/>
          <w:sz w:val="14"/>
          <w:szCs w:val="14"/>
        </w:rPr>
        <w:t>additional information.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D27D" w14:textId="77777777">
        <w:tc>
          <w:tcPr>
            <w:tcW w:w="50" w:type="pct"/>
            <w:shd w:val="clear" w:color="auto" w:fill="auto"/>
            <w:vAlign w:val="bottom"/>
          </w:tcPr>
          <w:p w14:paraId="2470D27A" w14:textId="77777777" w:rsidR="009C6E2F" w:rsidRDefault="009C6E2F">
            <w:pPr>
              <w:rPr>
                <w:rFonts w:ascii="宋体"/>
              </w:rPr>
            </w:pPr>
          </w:p>
        </w:tc>
        <w:tc>
          <w:tcPr>
            <w:tcW w:w="4945" w:type="pct"/>
            <w:shd w:val="clear" w:color="auto" w:fill="auto"/>
            <w:vAlign w:val="bottom"/>
          </w:tcPr>
          <w:p w14:paraId="2470D27B" w14:textId="77777777" w:rsidR="009C6E2F" w:rsidRDefault="009C6E2F">
            <w:pPr>
              <w:rPr>
                <w:rFonts w:ascii="宋体"/>
              </w:rPr>
            </w:pPr>
          </w:p>
        </w:tc>
        <w:tc>
          <w:tcPr>
            <w:tcW w:w="5" w:type="pct"/>
            <w:shd w:val="clear" w:color="auto" w:fill="auto"/>
            <w:vAlign w:val="bottom"/>
          </w:tcPr>
          <w:p w14:paraId="2470D27C" w14:textId="77777777" w:rsidR="009C6E2F" w:rsidRDefault="009C6E2F">
            <w:pPr>
              <w:rPr>
                <w:rFonts w:ascii="宋体"/>
              </w:rPr>
            </w:pPr>
          </w:p>
        </w:tc>
      </w:tr>
      <w:tr w:rsidR="009C6E2F" w14:paraId="2470D27F" w14:textId="77777777">
        <w:tc>
          <w:tcPr>
            <w:tcW w:w="0" w:type="auto"/>
            <w:gridSpan w:val="3"/>
            <w:shd w:val="clear" w:color="auto" w:fill="auto"/>
            <w:tcMar>
              <w:top w:w="40" w:type="dxa"/>
              <w:left w:w="20" w:type="dxa"/>
              <w:bottom w:w="40" w:type="dxa"/>
              <w:right w:w="20" w:type="dxa"/>
            </w:tcMar>
            <w:vAlign w:val="bottom"/>
          </w:tcPr>
          <w:p w14:paraId="2470D27E" w14:textId="77777777" w:rsidR="009C6E2F" w:rsidRDefault="007972BE">
            <w:pPr>
              <w:textAlignment w:val="bottom"/>
            </w:pPr>
            <w:r>
              <w:rPr>
                <w:rFonts w:ascii="sans-serif" w:eastAsia="sans-serif" w:hAnsi="sans-serif" w:cs="sans-serif"/>
                <w:b/>
                <w:bCs/>
                <w:color w:val="E87722"/>
                <w:sz w:val="36"/>
                <w:szCs w:val="36"/>
              </w:rPr>
              <w:t>NOTE 12 — ACQUISITIONS AND DIVESTITURES</w:t>
            </w:r>
          </w:p>
        </w:tc>
      </w:tr>
    </w:tbl>
    <w:p w14:paraId="2470D280" w14:textId="77777777" w:rsidR="009C6E2F" w:rsidRDefault="007972BE">
      <w:pPr>
        <w:spacing w:before="60" w:after="60"/>
      </w:pPr>
      <w:r>
        <w:rPr>
          <w:rFonts w:ascii="Arial" w:eastAsia="宋体" w:hAnsi="Arial" w:cs="Arial"/>
          <w:color w:val="000000"/>
          <w:sz w:val="17"/>
          <w:szCs w:val="17"/>
        </w:rPr>
        <w:t>As previously disclosed in the Annual Report on Form 10-K for the fiscal year ended May 31, 2021, the Company remains committed to selling its legal entities in Argentina, Chile and Uruguay and granting distribution rights to third-party distributors. As s</w:t>
      </w:r>
      <w:r>
        <w:rPr>
          <w:rFonts w:ascii="Arial" w:eastAsia="宋体" w:hAnsi="Arial" w:cs="Arial"/>
          <w:color w:val="000000"/>
          <w:sz w:val="17"/>
          <w:szCs w:val="17"/>
        </w:rPr>
        <w:t xml:space="preserve">uch, the assets and liabilities of the entities have remained classified as held-for-sale on the Unaudited Condensed Consolidated Balance Sheets. </w:t>
      </w:r>
    </w:p>
    <w:p w14:paraId="2470D281" w14:textId="77777777" w:rsidR="009C6E2F" w:rsidRDefault="007972BE">
      <w:pPr>
        <w:spacing w:before="120" w:after="120"/>
      </w:pPr>
      <w:r>
        <w:rPr>
          <w:rFonts w:ascii="Arial" w:eastAsia="宋体" w:hAnsi="Arial" w:cs="Arial"/>
          <w:color w:val="000000"/>
          <w:sz w:val="17"/>
          <w:szCs w:val="17"/>
        </w:rPr>
        <w:t>As of November 30, 2021, held-for-sale assets were $209 million, primarily consisting of $86 million of Accou</w:t>
      </w:r>
      <w:r>
        <w:rPr>
          <w:rFonts w:ascii="Arial" w:eastAsia="宋体" w:hAnsi="Arial" w:cs="Arial"/>
          <w:color w:val="000000"/>
          <w:sz w:val="17"/>
          <w:szCs w:val="17"/>
        </w:rPr>
        <w:t>nts receivable, net and $61 million of Inventories; held-for-sale liabilities were $76 million, primarily consisting of $29 million of Accrued liabilities and $26 million of Accounts payable.</w:t>
      </w:r>
    </w:p>
    <w:p w14:paraId="2470D282" w14:textId="77777777" w:rsidR="009C6E2F" w:rsidRDefault="007972BE">
      <w:pPr>
        <w:spacing w:before="120" w:after="120"/>
      </w:pPr>
      <w:r>
        <w:rPr>
          <w:rFonts w:ascii="Arial" w:eastAsia="宋体" w:hAnsi="Arial" w:cs="Arial"/>
          <w:color w:val="000000"/>
          <w:sz w:val="17"/>
          <w:szCs w:val="17"/>
        </w:rPr>
        <w:t>As of May 31, 2021, held-for-sale assets were $175 million, prim</w:t>
      </w:r>
      <w:r>
        <w:rPr>
          <w:rFonts w:ascii="Arial" w:eastAsia="宋体" w:hAnsi="Arial" w:cs="Arial"/>
          <w:color w:val="000000"/>
          <w:sz w:val="17"/>
          <w:szCs w:val="17"/>
        </w:rPr>
        <w:t>arily consisting of $76 million of Inventories and $59 million of Accounts receivable, net; held-for-sale liabilities were $72 million, primarily consisting of $25 million of Accounts payable and $22 million of Accrued liabilities.</w:t>
      </w:r>
    </w:p>
    <w:p w14:paraId="2470D283" w14:textId="77777777" w:rsidR="009C6E2F" w:rsidRDefault="007972BE">
      <w:pPr>
        <w:spacing w:before="120" w:after="120"/>
      </w:pPr>
      <w:r>
        <w:rPr>
          <w:rFonts w:ascii="Arial" w:eastAsia="宋体" w:hAnsi="Arial" w:cs="Arial"/>
          <w:color w:val="000000"/>
          <w:sz w:val="17"/>
          <w:szCs w:val="17"/>
        </w:rPr>
        <w:t>As of November 30, 2021,</w:t>
      </w:r>
      <w:r>
        <w:rPr>
          <w:rFonts w:ascii="Arial" w:eastAsia="宋体" w:hAnsi="Arial" w:cs="Arial"/>
          <w:color w:val="000000"/>
          <w:sz w:val="17"/>
          <w:szCs w:val="17"/>
        </w:rPr>
        <w:t xml:space="preserve"> the Company has recognized a total expected net loss related to the Argentina, Chile and Uruguay transaction of $344 million within Other (income) expense, net, classified within Corporate, and a corresponding allowance within Accrued liabilities on the U</w:t>
      </w:r>
      <w:r>
        <w:rPr>
          <w:rFonts w:ascii="Arial" w:eastAsia="宋体" w:hAnsi="Arial" w:cs="Arial"/>
          <w:color w:val="000000"/>
          <w:sz w:val="17"/>
          <w:szCs w:val="17"/>
        </w:rPr>
        <w:t>naudited Condensed Consolidated Balance Sheets. The initial expected loss of $405 million recognized in fiscal 2020 and the subsequent adjustments for changes in fair value are largely due to the anticipated release of the cumulative foreign currency trans</w:t>
      </w:r>
      <w:r>
        <w:rPr>
          <w:rFonts w:ascii="Arial" w:eastAsia="宋体" w:hAnsi="Arial" w:cs="Arial"/>
          <w:color w:val="000000"/>
          <w:sz w:val="17"/>
          <w:szCs w:val="17"/>
        </w:rPr>
        <w:t>lation losses. These losses will be reclassified from Accumulated other comprehensive income (loss) to Net income upon sale of the legal entities.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9C6E2F" w14:paraId="2470D287" w14:textId="77777777">
        <w:trPr>
          <w:jc w:val="center"/>
        </w:trPr>
        <w:tc>
          <w:tcPr>
            <w:tcW w:w="50" w:type="pct"/>
            <w:shd w:val="clear" w:color="auto" w:fill="auto"/>
            <w:vAlign w:val="bottom"/>
          </w:tcPr>
          <w:p w14:paraId="2470D284" w14:textId="77777777" w:rsidR="009C6E2F" w:rsidRDefault="009C6E2F">
            <w:pPr>
              <w:rPr>
                <w:rFonts w:ascii="宋体"/>
              </w:rPr>
            </w:pPr>
          </w:p>
        </w:tc>
        <w:tc>
          <w:tcPr>
            <w:tcW w:w="4945" w:type="pct"/>
            <w:shd w:val="clear" w:color="auto" w:fill="auto"/>
            <w:vAlign w:val="bottom"/>
          </w:tcPr>
          <w:p w14:paraId="2470D285" w14:textId="77777777" w:rsidR="009C6E2F" w:rsidRDefault="009C6E2F">
            <w:pPr>
              <w:rPr>
                <w:rFonts w:ascii="宋体"/>
              </w:rPr>
            </w:pPr>
          </w:p>
        </w:tc>
        <w:tc>
          <w:tcPr>
            <w:tcW w:w="5" w:type="pct"/>
            <w:shd w:val="clear" w:color="auto" w:fill="auto"/>
            <w:vAlign w:val="bottom"/>
          </w:tcPr>
          <w:p w14:paraId="2470D286" w14:textId="77777777" w:rsidR="009C6E2F" w:rsidRDefault="009C6E2F">
            <w:pPr>
              <w:rPr>
                <w:rFonts w:ascii="宋体"/>
              </w:rPr>
            </w:pPr>
          </w:p>
        </w:tc>
      </w:tr>
      <w:tr w:rsidR="009C6E2F" w14:paraId="2470D289" w14:textId="77777777">
        <w:trPr>
          <w:jc w:val="center"/>
        </w:trPr>
        <w:tc>
          <w:tcPr>
            <w:tcW w:w="0" w:type="auto"/>
            <w:gridSpan w:val="3"/>
            <w:shd w:val="clear" w:color="auto" w:fill="auto"/>
            <w:tcMar>
              <w:top w:w="40" w:type="dxa"/>
              <w:left w:w="20" w:type="dxa"/>
              <w:bottom w:w="40" w:type="dxa"/>
              <w:right w:w="20" w:type="dxa"/>
            </w:tcMar>
            <w:vAlign w:val="bottom"/>
          </w:tcPr>
          <w:p w14:paraId="2470D288" w14:textId="77777777" w:rsidR="009C6E2F" w:rsidRDefault="007972BE">
            <w:pPr>
              <w:textAlignment w:val="bottom"/>
            </w:pPr>
            <w:r>
              <w:rPr>
                <w:rFonts w:ascii="sans-serif" w:eastAsia="sans-serif" w:hAnsi="sans-serif" w:cs="sans-serif"/>
                <w:b/>
                <w:bCs/>
                <w:color w:val="E87722"/>
                <w:sz w:val="36"/>
                <w:szCs w:val="36"/>
              </w:rPr>
              <w:t>NOTE 13 — RESTRUCTURING</w:t>
            </w:r>
          </w:p>
        </w:tc>
      </w:tr>
    </w:tbl>
    <w:p w14:paraId="2470D28A" w14:textId="77777777" w:rsidR="009C6E2F" w:rsidRDefault="007972BE">
      <w:pPr>
        <w:spacing w:before="120" w:after="120"/>
      </w:pPr>
      <w:r>
        <w:rPr>
          <w:rFonts w:ascii="Arial" w:eastAsia="宋体" w:hAnsi="Arial" w:cs="Arial"/>
          <w:color w:val="000000"/>
          <w:sz w:val="17"/>
          <w:szCs w:val="17"/>
        </w:rPr>
        <w:t xml:space="preserve">In fiscal 2021, the Company announced a new digitally empowered phase of its Consumer Direct Offense strategy: Consumer Direct Acceleration. </w:t>
      </w:r>
      <w:r>
        <w:rPr>
          <w:rFonts w:ascii="Arial" w:eastAsia="宋体" w:hAnsi="Arial" w:cs="Arial"/>
          <w:color w:val="212529"/>
          <w:sz w:val="17"/>
          <w:szCs w:val="17"/>
        </w:rPr>
        <w:t>During fiscal 2021, the Company substantially completed a series of leadership and operating model changes to strea</w:t>
      </w:r>
      <w:r>
        <w:rPr>
          <w:rFonts w:ascii="Arial" w:eastAsia="宋体" w:hAnsi="Arial" w:cs="Arial"/>
          <w:color w:val="212529"/>
          <w:sz w:val="17"/>
          <w:szCs w:val="17"/>
        </w:rPr>
        <w:t xml:space="preserve">mline and speed up strategic execution of the Consumer Direct Acceleration. For the </w:t>
      </w:r>
      <w:r>
        <w:rPr>
          <w:rFonts w:ascii="Arial" w:eastAsia="宋体" w:hAnsi="Arial" w:cs="Arial"/>
          <w:color w:val="000000"/>
          <w:sz w:val="17"/>
          <w:szCs w:val="17"/>
        </w:rPr>
        <w:t>three and six months ended November 30, 2021</w:t>
      </w:r>
      <w:r>
        <w:rPr>
          <w:rFonts w:ascii="Arial" w:eastAsia="宋体" w:hAnsi="Arial" w:cs="Arial"/>
          <w:color w:val="212529"/>
          <w:sz w:val="17"/>
          <w:szCs w:val="17"/>
        </w:rPr>
        <w:t>, the Co</w:t>
      </w:r>
      <w:r>
        <w:rPr>
          <w:rFonts w:ascii="Arial" w:eastAsia="宋体" w:hAnsi="Arial" w:cs="Arial"/>
          <w:color w:val="000000"/>
          <w:sz w:val="17"/>
          <w:szCs w:val="17"/>
        </w:rPr>
        <w:t>mpany recognized an immaterial amount of related employee termination costs and, to a lesser extent, stock-based compens</w:t>
      </w:r>
      <w:r>
        <w:rPr>
          <w:rFonts w:ascii="Arial" w:eastAsia="宋体" w:hAnsi="Arial" w:cs="Arial"/>
          <w:color w:val="000000"/>
          <w:sz w:val="17"/>
          <w:szCs w:val="17"/>
        </w:rPr>
        <w:t>ation expense.</w:t>
      </w:r>
    </w:p>
    <w:p w14:paraId="2470D28B" w14:textId="77777777" w:rsidR="009C6E2F" w:rsidRDefault="007972BE">
      <w:pPr>
        <w:spacing w:before="120" w:after="120"/>
      </w:pPr>
      <w:r>
        <w:rPr>
          <w:rFonts w:ascii="Arial" w:eastAsia="宋体" w:hAnsi="Arial" w:cs="Arial"/>
          <w:color w:val="000000"/>
          <w:sz w:val="17"/>
          <w:szCs w:val="17"/>
        </w:rPr>
        <w:t xml:space="preserve">During the three months ended November 30, 2020, the Company recognized employee termination costs of $107 million and $30 million within Operating overhead expense and Cost of sales, respectively, and made cash payments of $67 million. For </w:t>
      </w:r>
      <w:r>
        <w:rPr>
          <w:rFonts w:ascii="Arial" w:eastAsia="宋体" w:hAnsi="Arial" w:cs="Arial"/>
          <w:color w:val="000000"/>
          <w:sz w:val="17"/>
          <w:szCs w:val="17"/>
        </w:rPr>
        <w:t>the six months ended November 30, 2020, the Company recognized employee termination costs of $145 million and $30 million within Operating overhead expense and Cost of sales, respectively, and made cash payments of $71 million. For all periods presented th</w:t>
      </w:r>
      <w:r>
        <w:rPr>
          <w:rFonts w:ascii="Arial" w:eastAsia="宋体" w:hAnsi="Arial" w:cs="Arial"/>
          <w:color w:val="000000"/>
          <w:sz w:val="17"/>
          <w:szCs w:val="17"/>
        </w:rPr>
        <w:t>ese costs were classified within Corporate.</w:t>
      </w:r>
    </w:p>
    <w:p w14:paraId="2470D28C" w14:textId="77777777" w:rsidR="009C6E2F" w:rsidRDefault="007972BE">
      <w:pPr>
        <w:spacing w:before="120" w:after="120"/>
      </w:pPr>
      <w:r>
        <w:rPr>
          <w:rFonts w:ascii="Arial" w:eastAsia="宋体" w:hAnsi="Arial" w:cs="Arial"/>
          <w:color w:val="000000"/>
          <w:sz w:val="17"/>
          <w:szCs w:val="17"/>
        </w:rPr>
        <w:t xml:space="preserve">Additionally, the related stock-based compensation expense recorded within Operating overhead expense and Cost of sales was $30 million and $4 million, respectively, for the three months ended November 30, 2020, </w:t>
      </w:r>
      <w:r>
        <w:rPr>
          <w:rFonts w:ascii="Arial" w:eastAsia="宋体" w:hAnsi="Arial" w:cs="Arial"/>
          <w:color w:val="000000"/>
          <w:sz w:val="17"/>
          <w:szCs w:val="17"/>
        </w:rPr>
        <w:t>and $39 million and $4 million, respectively, for the six months ended November 30, 2</w:t>
      </w:r>
      <w:r>
        <w:rPr>
          <w:rFonts w:ascii="Arial" w:eastAsia="宋体" w:hAnsi="Arial" w:cs="Arial"/>
          <w:color w:val="212529"/>
          <w:sz w:val="17"/>
          <w:szCs w:val="17"/>
        </w:rPr>
        <w:t>020.</w:t>
      </w:r>
    </w:p>
    <w:p w14:paraId="2470D28D" w14:textId="77777777" w:rsidR="009C6E2F" w:rsidRDefault="007972BE">
      <w:pPr>
        <w:spacing w:before="120" w:after="120"/>
        <w:jc w:val="right"/>
      </w:pPr>
      <w:r>
        <w:rPr>
          <w:rFonts w:ascii="Arial" w:eastAsia="宋体" w:hAnsi="Arial" w:cs="Arial"/>
          <w:color w:val="E87722"/>
          <w:sz w:val="17"/>
          <w:szCs w:val="17"/>
        </w:rPr>
        <w:t>23</w:t>
      </w:r>
    </w:p>
    <w:p w14:paraId="2470D28E" w14:textId="77777777" w:rsidR="009C6E2F" w:rsidRDefault="007972BE">
      <w:r>
        <w:pict w14:anchorId="2470E1FC">
          <v:rect id="_x0000_i1049" style="width:415.3pt;height:1.5pt" o:hralign="center" o:hrstd="t" o:hr="t" fillcolor="#a0a0a0" stroked="f"/>
        </w:pict>
      </w:r>
    </w:p>
    <w:p w14:paraId="2470D28F" w14:textId="77777777" w:rsidR="009C6E2F" w:rsidRDefault="009C6E2F"/>
    <w:p w14:paraId="2470D290" w14:textId="77777777" w:rsidR="009C6E2F" w:rsidRDefault="007972BE">
      <w:hyperlink r:id="rId92" w:anchor="i9e023a7388204bdbacd6aa338988f838_7" w:history="1">
        <w:r>
          <w:rPr>
            <w:rStyle w:val="a5"/>
            <w:rFonts w:ascii="sans-serif" w:eastAsia="sans-serif" w:hAnsi="sans-serif" w:cs="sans-serif"/>
            <w:sz w:val="17"/>
            <w:szCs w:val="17"/>
          </w:rPr>
          <w:t>Table of Contents</w:t>
        </w:r>
      </w:hyperlink>
    </w:p>
    <w:p w14:paraId="2470D291" w14:textId="77777777" w:rsidR="009C6E2F" w:rsidRDefault="009C6E2F"/>
    <w:p w14:paraId="2470D292" w14:textId="77777777" w:rsidR="009C6E2F" w:rsidRDefault="007972BE">
      <w:pPr>
        <w:spacing w:before="360" w:after="180"/>
      </w:pPr>
      <w:r>
        <w:rPr>
          <w:rFonts w:ascii="sans-serif" w:eastAsia="sans-serif" w:hAnsi="sans-serif" w:cs="sans-serif"/>
          <w:color w:val="000000"/>
          <w:sz w:val="44"/>
          <w:szCs w:val="44"/>
        </w:rPr>
        <w:t xml:space="preserve">ITEM 2. MANAGEMENT'S DISCUSSION AND ANALYSIS OF FINANCIAL CONDITION AND </w:t>
      </w:r>
      <w:r>
        <w:rPr>
          <w:rFonts w:ascii="sans-serif" w:eastAsia="sans-serif" w:hAnsi="sans-serif" w:cs="sans-serif"/>
          <w:color w:val="000000"/>
          <w:sz w:val="44"/>
          <w:szCs w:val="44"/>
        </w:rPr>
        <w:t>RESULTS OF OPERATIONS</w:t>
      </w:r>
    </w:p>
    <w:p w14:paraId="2470D293" w14:textId="77777777" w:rsidR="009C6E2F" w:rsidRDefault="007972BE">
      <w:pPr>
        <w:spacing w:before="240" w:after="120"/>
      </w:pPr>
      <w:r>
        <w:rPr>
          <w:rFonts w:ascii="sans-serif" w:eastAsia="sans-serif" w:hAnsi="sans-serif" w:cs="sans-serif"/>
          <w:b/>
          <w:bCs/>
          <w:color w:val="000000"/>
          <w:sz w:val="28"/>
          <w:szCs w:val="28"/>
        </w:rPr>
        <w:t>OVERVIEW</w:t>
      </w:r>
    </w:p>
    <w:p w14:paraId="2470D294" w14:textId="77777777" w:rsidR="009C6E2F" w:rsidRDefault="007972BE">
      <w:pPr>
        <w:spacing w:before="120" w:after="120"/>
      </w:pPr>
      <w:r>
        <w:rPr>
          <w:rFonts w:ascii="Arial" w:eastAsia="宋体" w:hAnsi="Arial" w:cs="Arial"/>
          <w:color w:val="000000"/>
          <w:sz w:val="17"/>
          <w:szCs w:val="17"/>
        </w:rPr>
        <w:t>NIKE designs, develops, markets and sells athletic footwear, apparel, equipment, accessories and services worldwide. We are the largest seller of athletic footwear and apparel in the world. We sell our products through NIKE-o</w:t>
      </w:r>
      <w:r>
        <w:rPr>
          <w:rFonts w:ascii="Arial" w:eastAsia="宋体" w:hAnsi="Arial" w:cs="Arial"/>
          <w:color w:val="000000"/>
          <w:sz w:val="17"/>
          <w:szCs w:val="17"/>
        </w:rPr>
        <w:t>wned retail stores and through digital platforms (which we refer to collectively as our “NIKE Direct” operations), to retail accounts and to a mix of independent distributors, licensees and sales representatives in virtually all countries around the world.</w:t>
      </w:r>
      <w:r>
        <w:rPr>
          <w:rFonts w:ascii="Arial" w:eastAsia="宋体" w:hAnsi="Arial" w:cs="Arial"/>
          <w:color w:val="000000"/>
          <w:sz w:val="17"/>
          <w:szCs w:val="17"/>
        </w:rPr>
        <w:t xml:space="preserve"> Our goal is to deliver value to our shareholders by building a profitable global portfolio of branded footwear, apparel, equipment and accessories businesses. Our strategy is to achieve long-term revenue growth by creating innovative, “must-have” products</w:t>
      </w:r>
      <w:r>
        <w:rPr>
          <w:rFonts w:ascii="Arial" w:eastAsia="宋体" w:hAnsi="Arial" w:cs="Arial"/>
          <w:color w:val="000000"/>
          <w:sz w:val="17"/>
          <w:szCs w:val="17"/>
        </w:rPr>
        <w:t xml:space="preserve">, building deep personal consumer connections with our brands and delivering compelling consumer experiences through digital platforms and at retail. </w:t>
      </w:r>
    </w:p>
    <w:p w14:paraId="2470D295" w14:textId="77777777" w:rsidR="009C6E2F" w:rsidRDefault="007972BE">
      <w:pPr>
        <w:spacing w:before="120" w:after="120"/>
      </w:pPr>
      <w:r>
        <w:rPr>
          <w:rFonts w:ascii="Arial" w:eastAsia="宋体" w:hAnsi="Arial" w:cs="Arial"/>
          <w:color w:val="000000"/>
          <w:sz w:val="17"/>
          <w:szCs w:val="17"/>
        </w:rPr>
        <w:t xml:space="preserve">Through the Consumer Direct Acceleration we are focusing on creating the marketplace of the future </w:t>
      </w:r>
      <w:r>
        <w:rPr>
          <w:rFonts w:ascii="Arial" w:eastAsia="宋体" w:hAnsi="Arial" w:cs="Arial"/>
          <w:color w:val="212529"/>
          <w:sz w:val="17"/>
          <w:szCs w:val="17"/>
        </w:rPr>
        <w:t>throug</w:t>
      </w:r>
      <w:r>
        <w:rPr>
          <w:rFonts w:ascii="Arial" w:eastAsia="宋体" w:hAnsi="Arial" w:cs="Arial"/>
          <w:color w:val="212529"/>
          <w:sz w:val="17"/>
          <w:szCs w:val="17"/>
        </w:rPr>
        <w:t>h more premium, consistent and seamless consumer experiences, leading with NIKE Digital and our owned stores, as well as select strategic partners who share our marketplace vision. We have aligned our product creation and category organizations around a ne</w:t>
      </w:r>
      <w:r>
        <w:rPr>
          <w:rFonts w:ascii="Arial" w:eastAsia="宋体" w:hAnsi="Arial" w:cs="Arial"/>
          <w:color w:val="212529"/>
          <w:sz w:val="17"/>
          <w:szCs w:val="17"/>
        </w:rPr>
        <w:t>w consumer construct focused on Men’s, Women's, Kids' and the Jordan Brand and continue to invest in data and analytics, demand sensing, insight gathering, inventory management and other areas to create an end-to-end technology foundation, which will furth</w:t>
      </w:r>
      <w:r>
        <w:rPr>
          <w:rFonts w:ascii="Arial" w:eastAsia="宋体" w:hAnsi="Arial" w:cs="Arial"/>
          <w:color w:val="212529"/>
          <w:sz w:val="17"/>
          <w:szCs w:val="17"/>
        </w:rPr>
        <w:t xml:space="preserve">er accelerate our digital transformation. </w:t>
      </w:r>
    </w:p>
    <w:p w14:paraId="2470D296" w14:textId="77777777" w:rsidR="009C6E2F" w:rsidRDefault="007972BE">
      <w:pPr>
        <w:spacing w:before="120" w:after="120"/>
      </w:pPr>
      <w:r>
        <w:rPr>
          <w:rFonts w:ascii="Arial" w:eastAsia="宋体" w:hAnsi="Arial" w:cs="Arial"/>
          <w:color w:val="212529"/>
          <w:sz w:val="17"/>
          <w:szCs w:val="17"/>
        </w:rPr>
        <w:t xml:space="preserve">During fiscal 2021, we substantially completed a series of leadership and operating model changes to streamline and speed up strategic execution of the Consumer Direct Acceleration. For the </w:t>
      </w:r>
      <w:r>
        <w:rPr>
          <w:rFonts w:ascii="Arial" w:eastAsia="宋体" w:hAnsi="Arial" w:cs="Arial"/>
          <w:color w:val="000000"/>
          <w:sz w:val="17"/>
          <w:szCs w:val="17"/>
        </w:rPr>
        <w:t>three and six months en</w:t>
      </w:r>
      <w:r>
        <w:rPr>
          <w:rFonts w:ascii="Arial" w:eastAsia="宋体" w:hAnsi="Arial" w:cs="Arial"/>
          <w:color w:val="000000"/>
          <w:sz w:val="17"/>
          <w:szCs w:val="17"/>
        </w:rPr>
        <w:t>ded November 30, 2021</w:t>
      </w:r>
      <w:r>
        <w:rPr>
          <w:rFonts w:ascii="Arial" w:eastAsia="宋体" w:hAnsi="Arial" w:cs="Arial"/>
          <w:color w:val="212529"/>
          <w:sz w:val="17"/>
          <w:szCs w:val="17"/>
        </w:rPr>
        <w:t>, we recognized an immaterial amount of related employee termination costs and, to a lesser extent, stock-based compensation expense</w:t>
      </w:r>
      <w:r>
        <w:rPr>
          <w:rFonts w:ascii="Arial" w:eastAsia="宋体" w:hAnsi="Arial" w:cs="Arial"/>
          <w:color w:val="000000"/>
          <w:sz w:val="17"/>
          <w:szCs w:val="17"/>
        </w:rPr>
        <w:t>. During the three months ended November 30, 2020, we recognized employee termination costs of $107 mil</w:t>
      </w:r>
      <w:r>
        <w:rPr>
          <w:rFonts w:ascii="Arial" w:eastAsia="宋体" w:hAnsi="Arial" w:cs="Arial"/>
          <w:color w:val="000000"/>
          <w:sz w:val="17"/>
          <w:szCs w:val="17"/>
        </w:rPr>
        <w:t>lion and $30 million within Operating overhead expense and Cost of sales, respectively, and made cash payments of $67 million. For the six months ended November 30, 2020, we recognized employee termination costs of $145 million and $30 million within Opera</w:t>
      </w:r>
      <w:r>
        <w:rPr>
          <w:rFonts w:ascii="Arial" w:eastAsia="宋体" w:hAnsi="Arial" w:cs="Arial"/>
          <w:color w:val="000000"/>
          <w:sz w:val="17"/>
          <w:szCs w:val="17"/>
        </w:rPr>
        <w:t>ting overhead expense and Cost of sales, respectively, and made cash payments of $71 million. For all periods presented these costs were classified within Corporate. Additionally, the related stock-based compensation expense recorded within Operating overh</w:t>
      </w:r>
      <w:r>
        <w:rPr>
          <w:rFonts w:ascii="Arial" w:eastAsia="宋体" w:hAnsi="Arial" w:cs="Arial"/>
          <w:color w:val="000000"/>
          <w:sz w:val="17"/>
          <w:szCs w:val="17"/>
        </w:rPr>
        <w:t>ead expense and Cost of sales was $30 million and $4 million, respectively, for the three months ended November 30, 2020, and $39 million and $4 million, respectively, for the six months ended November 30, 2</w:t>
      </w:r>
      <w:r>
        <w:rPr>
          <w:rFonts w:ascii="Arial" w:eastAsia="宋体" w:hAnsi="Arial" w:cs="Arial"/>
          <w:color w:val="212529"/>
          <w:sz w:val="17"/>
          <w:szCs w:val="17"/>
        </w:rPr>
        <w:t>020.</w:t>
      </w:r>
    </w:p>
    <w:p w14:paraId="2470D297" w14:textId="77777777" w:rsidR="009C6E2F" w:rsidRDefault="007972BE">
      <w:pPr>
        <w:spacing w:before="120" w:after="120"/>
      </w:pPr>
      <w:r>
        <w:rPr>
          <w:rFonts w:ascii="Arial" w:eastAsia="宋体" w:hAnsi="Arial" w:cs="Arial"/>
          <w:color w:val="000000"/>
          <w:sz w:val="17"/>
          <w:szCs w:val="17"/>
        </w:rPr>
        <w:t>For more information, see Note 13 — Restruct</w:t>
      </w:r>
      <w:r>
        <w:rPr>
          <w:rFonts w:ascii="Arial" w:eastAsia="宋体" w:hAnsi="Arial" w:cs="Arial"/>
          <w:color w:val="000000"/>
          <w:sz w:val="17"/>
          <w:szCs w:val="17"/>
        </w:rPr>
        <w:t>uring within the accompanying Notes to the Unaudited Condensed Consolidated Financial Statements.</w:t>
      </w:r>
    </w:p>
    <w:p w14:paraId="2470D298" w14:textId="77777777" w:rsidR="009C6E2F" w:rsidRDefault="007972BE">
      <w:pPr>
        <w:spacing w:before="120"/>
      </w:pPr>
      <w:r>
        <w:rPr>
          <w:rFonts w:ascii="sans-serif" w:eastAsia="sans-serif" w:hAnsi="sans-serif" w:cs="sans-serif"/>
          <w:b/>
          <w:bCs/>
          <w:color w:val="808080"/>
          <w:sz w:val="22"/>
          <w:szCs w:val="22"/>
        </w:rPr>
        <w:t>COVID-19 UPDATE</w:t>
      </w:r>
    </w:p>
    <w:p w14:paraId="2470D299" w14:textId="77777777" w:rsidR="009C6E2F" w:rsidRDefault="007972BE">
      <w:pPr>
        <w:spacing w:before="120" w:after="120"/>
      </w:pPr>
      <w:r>
        <w:rPr>
          <w:rFonts w:ascii="Arial" w:eastAsia="宋体" w:hAnsi="Arial" w:cs="Arial"/>
          <w:color w:val="000000"/>
          <w:sz w:val="17"/>
          <w:szCs w:val="17"/>
        </w:rPr>
        <w:t>The COVID-19 pandemic continues to create volatility in our business results and operations globally, causing us to transform the way we opera</w:t>
      </w:r>
      <w:r>
        <w:rPr>
          <w:rFonts w:ascii="Arial" w:eastAsia="宋体" w:hAnsi="Arial" w:cs="Arial"/>
          <w:color w:val="000000"/>
          <w:sz w:val="17"/>
          <w:szCs w:val="17"/>
        </w:rPr>
        <w:t>te in order to better serve our consumers. Our second quarter and first six months of fiscal 2022 Revenues grew 1% and 8%, respectively, as we continued to manage the ongoing impacts of supply chain challenges across each of our geographies and Converse.</w:t>
      </w:r>
    </w:p>
    <w:p w14:paraId="2470D29A" w14:textId="77777777" w:rsidR="009C6E2F" w:rsidRDefault="007972BE">
      <w:pPr>
        <w:spacing w:before="120" w:after="120"/>
      </w:pPr>
      <w:r>
        <w:rPr>
          <w:rFonts w:ascii="Arial" w:eastAsia="宋体" w:hAnsi="Arial" w:cs="Arial"/>
          <w:color w:val="000000"/>
          <w:sz w:val="17"/>
          <w:szCs w:val="17"/>
        </w:rPr>
        <w:t>D</w:t>
      </w:r>
      <w:r>
        <w:rPr>
          <w:rFonts w:ascii="Arial" w:eastAsia="宋体" w:hAnsi="Arial" w:cs="Arial"/>
          <w:color w:val="000000"/>
          <w:sz w:val="17"/>
          <w:szCs w:val="17"/>
        </w:rPr>
        <w:t>uring the first quarter of fiscal 2022, the majority of NIKE Brand and Converse contract manufacturers in Vietnam and Indonesia were subject to government mandated shutdowns due to COVID-19. These closures have significantly impacted, and are expected to c</w:t>
      </w:r>
      <w:r>
        <w:rPr>
          <w:rFonts w:ascii="Arial" w:eastAsia="宋体" w:hAnsi="Arial" w:cs="Arial"/>
          <w:color w:val="000000"/>
          <w:sz w:val="17"/>
          <w:szCs w:val="17"/>
        </w:rPr>
        <w:t>ontinue to significantly impact, our previously planned inventory production. As a result of these closures, we have lost approximately three months of production, impacting available product supply for this fiscal year. All impacted factories began re-ope</w:t>
      </w:r>
      <w:r>
        <w:rPr>
          <w:rFonts w:ascii="Arial" w:eastAsia="宋体" w:hAnsi="Arial" w:cs="Arial"/>
          <w:color w:val="000000"/>
          <w:sz w:val="17"/>
          <w:szCs w:val="17"/>
        </w:rPr>
        <w:t>ning in October and are currently operational. We expect it will take several months from re-opening for the factories to return to pre-closure production volumes, and there could be further impacts, including additional closures or employee absences, as a</w:t>
      </w:r>
      <w:r>
        <w:rPr>
          <w:rFonts w:ascii="Arial" w:eastAsia="宋体" w:hAnsi="Arial" w:cs="Arial"/>
          <w:color w:val="000000"/>
          <w:sz w:val="17"/>
          <w:szCs w:val="17"/>
        </w:rPr>
        <w:t xml:space="preserve"> result of the emergence and spread of COVID-19 variants, as well as other factors outside of our control that could continue to cause further disruption to our planned inventory production. For fiscal 2021, 51% of NIKE Brand footwear and 30% of NIKE Brand</w:t>
      </w:r>
      <w:r>
        <w:rPr>
          <w:rFonts w:ascii="Arial" w:eastAsia="宋体" w:hAnsi="Arial" w:cs="Arial"/>
          <w:color w:val="000000"/>
          <w:sz w:val="17"/>
          <w:szCs w:val="17"/>
        </w:rPr>
        <w:t xml:space="preserve"> apparel was manufactured in Vietnam, and 24% of NIKE Brand footwear and less than 12% of NIKE Brand apparel was manufactured in Indonesia.</w:t>
      </w:r>
    </w:p>
    <w:p w14:paraId="2470D29B" w14:textId="77777777" w:rsidR="009C6E2F" w:rsidRDefault="007972BE">
      <w:pPr>
        <w:spacing w:before="120" w:after="120"/>
      </w:pPr>
      <w:r>
        <w:rPr>
          <w:rFonts w:ascii="Arial" w:eastAsia="宋体" w:hAnsi="Arial" w:cs="Arial"/>
          <w:color w:val="000000"/>
          <w:sz w:val="17"/>
          <w:szCs w:val="17"/>
        </w:rPr>
        <w:t>In addition, our product availability was also impacted by extended inventory transit times in the second quarter an</w:t>
      </w:r>
      <w:r>
        <w:rPr>
          <w:rFonts w:ascii="Arial" w:eastAsia="宋体" w:hAnsi="Arial" w:cs="Arial"/>
          <w:color w:val="000000"/>
          <w:sz w:val="17"/>
          <w:szCs w:val="17"/>
        </w:rPr>
        <w:t>d first six months of fiscal 2022, due primarily to port congestion, transportation delays as well as labor and container shortages. Our product availability was impacted most significantly in our wholesale channel. We also experienced higher transportatio</w:t>
      </w:r>
      <w:r>
        <w:rPr>
          <w:rFonts w:ascii="Arial" w:eastAsia="宋体" w:hAnsi="Arial" w:cs="Arial"/>
          <w:color w:val="000000"/>
          <w:sz w:val="17"/>
          <w:szCs w:val="17"/>
        </w:rPr>
        <w:t xml:space="preserve">n, logistics and fulfillment costs as a result of this dynamic environment, which partially offset gross margin expansion in the second quarter and first six months of fiscal 2022. </w:t>
      </w:r>
    </w:p>
    <w:p w14:paraId="2470D29C" w14:textId="77777777" w:rsidR="009C6E2F" w:rsidRDefault="007972BE">
      <w:pPr>
        <w:spacing w:before="120" w:after="120"/>
      </w:pPr>
      <w:r>
        <w:rPr>
          <w:rFonts w:ascii="Arial" w:eastAsia="宋体" w:hAnsi="Arial" w:cs="Arial"/>
          <w:color w:val="000000"/>
          <w:sz w:val="17"/>
          <w:szCs w:val="17"/>
        </w:rPr>
        <w:t>The combined impact of factory closures and extended inventory transit tim</w:t>
      </w:r>
      <w:r>
        <w:rPr>
          <w:rFonts w:ascii="Arial" w:eastAsia="宋体" w:hAnsi="Arial" w:cs="Arial"/>
          <w:color w:val="000000"/>
          <w:sz w:val="17"/>
          <w:szCs w:val="17"/>
        </w:rPr>
        <w:t>es disproportionately impacted our geographies during the second quarter of fiscal 2022. North America and EMEA, located further away from our sourcing base with longer transit times, entered the second quarter with elevated levels of inventory available t</w:t>
      </w:r>
      <w:r>
        <w:rPr>
          <w:rFonts w:ascii="Arial" w:eastAsia="宋体" w:hAnsi="Arial" w:cs="Arial"/>
          <w:color w:val="000000"/>
          <w:sz w:val="17"/>
          <w:szCs w:val="17"/>
        </w:rPr>
        <w:t xml:space="preserve">o meet consumer demand as revenues grew 12% and 6% on a currency-neutral basis, respectively. By contrast, Greater China and APLA, located closer to our sourcing base </w:t>
      </w:r>
    </w:p>
    <w:p w14:paraId="2470D29D" w14:textId="77777777" w:rsidR="009C6E2F" w:rsidRDefault="007972BE">
      <w:pPr>
        <w:spacing w:before="120" w:after="120"/>
      </w:pPr>
      <w:r>
        <w:rPr>
          <w:rFonts w:ascii="Arial" w:eastAsia="宋体" w:hAnsi="Arial" w:cs="Arial"/>
          <w:color w:val="E87722"/>
          <w:sz w:val="17"/>
          <w:szCs w:val="17"/>
        </w:rPr>
        <w:t>24</w:t>
      </w:r>
      <w:r>
        <w:rPr>
          <w:rFonts w:ascii="sans-serif" w:eastAsia="sans-serif" w:hAnsi="sans-serif" w:cs="sans-serif"/>
          <w:color w:val="000000"/>
          <w:sz w:val="17"/>
          <w:szCs w:val="17"/>
        </w:rPr>
        <w:t xml:space="preserve"> </w:t>
      </w:r>
    </w:p>
    <w:p w14:paraId="2470D29E" w14:textId="77777777" w:rsidR="009C6E2F" w:rsidRDefault="007972BE">
      <w:r>
        <w:pict w14:anchorId="2470E1FD">
          <v:rect id="_x0000_i1050" style="width:415.3pt;height:1.5pt" o:hralign="center" o:hrstd="t" o:hr="t" fillcolor="#a0a0a0" stroked="f"/>
        </w:pict>
      </w:r>
    </w:p>
    <w:p w14:paraId="2470D29F" w14:textId="77777777" w:rsidR="009C6E2F" w:rsidRDefault="009C6E2F"/>
    <w:p w14:paraId="2470D2A0" w14:textId="77777777" w:rsidR="009C6E2F" w:rsidRDefault="007972BE">
      <w:hyperlink r:id="rId93" w:anchor="i9e023a7388204bdbacd6aa338988f838_7" w:history="1">
        <w:r>
          <w:rPr>
            <w:rStyle w:val="a5"/>
            <w:rFonts w:ascii="sans-serif" w:eastAsia="sans-serif" w:hAnsi="sans-serif" w:cs="sans-serif"/>
            <w:sz w:val="17"/>
            <w:szCs w:val="17"/>
          </w:rPr>
          <w:t>Table of Contents</w:t>
        </w:r>
      </w:hyperlink>
    </w:p>
    <w:p w14:paraId="2470D2A1" w14:textId="77777777" w:rsidR="009C6E2F" w:rsidRDefault="009C6E2F"/>
    <w:p w14:paraId="2470D2A2" w14:textId="77777777" w:rsidR="009C6E2F" w:rsidRDefault="007972BE">
      <w:pPr>
        <w:spacing w:before="120" w:after="120"/>
      </w:pPr>
      <w:r>
        <w:rPr>
          <w:rFonts w:ascii="Arial" w:eastAsia="宋体" w:hAnsi="Arial" w:cs="Arial"/>
          <w:color w:val="000000"/>
          <w:sz w:val="17"/>
          <w:szCs w:val="17"/>
        </w:rPr>
        <w:t>with shorter transit times, entered the second quarter with a lower supply of availab</w:t>
      </w:r>
      <w:r>
        <w:rPr>
          <w:rFonts w:ascii="Arial" w:eastAsia="宋体" w:hAnsi="Arial" w:cs="Arial"/>
          <w:color w:val="000000"/>
          <w:sz w:val="17"/>
          <w:szCs w:val="17"/>
        </w:rPr>
        <w:t>le inventory, negatively impacting revenues during the second quarter of fiscal 2022 with revenues declining by 24% and 6% on a currency-neutral basis, respectively.</w:t>
      </w:r>
    </w:p>
    <w:p w14:paraId="2470D2A3" w14:textId="77777777" w:rsidR="009C6E2F" w:rsidRDefault="007972BE">
      <w:pPr>
        <w:spacing w:before="120" w:after="120"/>
      </w:pPr>
      <w:r>
        <w:rPr>
          <w:rFonts w:ascii="Arial" w:eastAsia="宋体" w:hAnsi="Arial" w:cs="Arial"/>
          <w:color w:val="000000"/>
          <w:sz w:val="17"/>
          <w:szCs w:val="17"/>
        </w:rPr>
        <w:t xml:space="preserve">We expect the combination of factory closures and elevated transit times will continue to </w:t>
      </w:r>
      <w:r>
        <w:rPr>
          <w:rFonts w:ascii="Arial" w:eastAsia="宋体" w:hAnsi="Arial" w:cs="Arial"/>
          <w:color w:val="000000"/>
          <w:sz w:val="17"/>
          <w:szCs w:val="17"/>
        </w:rPr>
        <w:t>impact product availability, leading to inventory supply significantly lagging consumer demand for the remainder of the fiscal year. In addition, we expect transportation, logistics and fulfillment costs will continue to increase as we navigate these suppl</w:t>
      </w:r>
      <w:r>
        <w:rPr>
          <w:rFonts w:ascii="Arial" w:eastAsia="宋体" w:hAnsi="Arial" w:cs="Arial"/>
          <w:color w:val="000000"/>
          <w:sz w:val="17"/>
          <w:szCs w:val="17"/>
        </w:rPr>
        <w:t>y chain constraints. We also expect product costs to increase in the second half of fiscal 2022 due to higher input costs. To mitigate the impact across our business, our teams are continuing to leverage our operational playbook and taking actions where we</w:t>
      </w:r>
      <w:r>
        <w:rPr>
          <w:rFonts w:ascii="Arial" w:eastAsia="宋体" w:hAnsi="Arial" w:cs="Arial"/>
          <w:color w:val="000000"/>
          <w:sz w:val="17"/>
          <w:szCs w:val="17"/>
        </w:rPr>
        <w:t xml:space="preserve"> can, including shifting production capacity to other countries, strategic use of air freight and employing a seasonless approach to products. Despite these short-term dynamics, our Consumer Direct Acceleration strategy continues to drive our business towa</w:t>
      </w:r>
      <w:r>
        <w:rPr>
          <w:rFonts w:ascii="Arial" w:eastAsia="宋体" w:hAnsi="Arial" w:cs="Arial"/>
          <w:color w:val="000000"/>
          <w:sz w:val="17"/>
          <w:szCs w:val="17"/>
        </w:rPr>
        <w:t>rds our long-term fiscal 2025 financial goals shared in our Annual Report on Form 10-K for the fiscal year ended May 31, 2021.</w:t>
      </w:r>
    </w:p>
    <w:p w14:paraId="2470D2A4" w14:textId="77777777" w:rsidR="009C6E2F" w:rsidRDefault="007972BE">
      <w:pPr>
        <w:spacing w:before="120" w:after="120"/>
      </w:pPr>
      <w:r>
        <w:rPr>
          <w:rFonts w:ascii="Arial" w:eastAsia="宋体" w:hAnsi="Arial" w:cs="Arial"/>
          <w:color w:val="000000"/>
          <w:sz w:val="17"/>
          <w:szCs w:val="17"/>
        </w:rPr>
        <w:t xml:space="preserve">Our NIKE Direct business has continued its momentum in the second quarter, fueling our growth as we continue to navigate through </w:t>
      </w:r>
      <w:r>
        <w:rPr>
          <w:rFonts w:ascii="Arial" w:eastAsia="宋体" w:hAnsi="Arial" w:cs="Arial"/>
          <w:color w:val="000000"/>
          <w:sz w:val="17"/>
          <w:szCs w:val="17"/>
        </w:rPr>
        <w:t>the pandemic by leveraging our digital platforms with our store footprint to connect directly with our consumers. Despite continued inventory constraints and supply chain challenges, NIKE Direct grew 8% and 16% on a currency-neutral basis, for the second q</w:t>
      </w:r>
      <w:r>
        <w:rPr>
          <w:rFonts w:ascii="Arial" w:eastAsia="宋体" w:hAnsi="Arial" w:cs="Arial"/>
          <w:color w:val="000000"/>
          <w:sz w:val="17"/>
          <w:szCs w:val="17"/>
        </w:rPr>
        <w:t>uarter and first six months of fiscal 2022, respectively. NIKE Brand Digital revenues grew 11% and 17% on a currency-neutral basis for the second quarter and first six months of fiscal 2022, respectively. During the second quarter of fiscal 2022, we experi</w:t>
      </w:r>
      <w:r>
        <w:rPr>
          <w:rFonts w:ascii="Arial" w:eastAsia="宋体" w:hAnsi="Arial" w:cs="Arial"/>
          <w:color w:val="000000"/>
          <w:sz w:val="17"/>
          <w:szCs w:val="17"/>
        </w:rPr>
        <w:t>enced an increase in comparable store sales in North America and EMEA, partially offset by declines in Greater China and APLA due to supply chain challenges as well as ongoing marketplace dynamics and a COVID-19 resurgence in Greater China. As of January 3</w:t>
      </w:r>
      <w:r>
        <w:rPr>
          <w:rFonts w:ascii="Arial" w:eastAsia="宋体" w:hAnsi="Arial" w:cs="Arial"/>
          <w:color w:val="000000"/>
          <w:sz w:val="17"/>
          <w:szCs w:val="17"/>
        </w:rPr>
        <w:t xml:space="preserve">, 2022, approximately 98% of our owned stores were open with some operating on reduced hours. </w:t>
      </w:r>
    </w:p>
    <w:p w14:paraId="2470D2A5" w14:textId="77777777" w:rsidR="009C6E2F" w:rsidRDefault="007972BE">
      <w:pPr>
        <w:spacing w:before="120" w:after="120"/>
      </w:pPr>
      <w:r>
        <w:rPr>
          <w:rFonts w:ascii="Arial" w:eastAsia="宋体" w:hAnsi="Arial" w:cs="Arial"/>
          <w:color w:val="000000"/>
          <w:sz w:val="17"/>
          <w:szCs w:val="17"/>
        </w:rPr>
        <w:t>During the quarter, we continued to invest in our digital transformation and brand campaigns as the world continues its return to sport. For the remainder of fis</w:t>
      </w:r>
      <w:r>
        <w:rPr>
          <w:rFonts w:ascii="Arial" w:eastAsia="宋体" w:hAnsi="Arial" w:cs="Arial"/>
          <w:color w:val="000000"/>
          <w:sz w:val="17"/>
          <w:szCs w:val="17"/>
        </w:rPr>
        <w:t xml:space="preserve">cal 2022, we will maintain our multi-year investment plans in order to transform our business for the future. </w:t>
      </w:r>
    </w:p>
    <w:p w14:paraId="2470D2A6" w14:textId="77777777" w:rsidR="009C6E2F" w:rsidRDefault="007972BE">
      <w:pPr>
        <w:spacing w:before="120" w:after="120"/>
      </w:pPr>
      <w:r>
        <w:rPr>
          <w:rFonts w:ascii="Arial" w:eastAsia="宋体" w:hAnsi="Arial" w:cs="Arial"/>
          <w:color w:val="000000"/>
          <w:sz w:val="17"/>
          <w:szCs w:val="17"/>
        </w:rPr>
        <w:t>We continue to monitor the ongoing and dynamic impacts of COVID-19, as well as guidance from international and domestic authorities, including fe</w:t>
      </w:r>
      <w:r>
        <w:rPr>
          <w:rFonts w:ascii="Arial" w:eastAsia="宋体" w:hAnsi="Arial" w:cs="Arial"/>
          <w:color w:val="000000"/>
          <w:sz w:val="17"/>
          <w:szCs w:val="17"/>
        </w:rPr>
        <w:t>deral, state and local public health authorities and may take additional actions based on their recommendations. There have been and may continue to be developments outside of our control, including new COVID-19 variants, that require us to make adjustment</w:t>
      </w:r>
      <w:r>
        <w:rPr>
          <w:rFonts w:ascii="Arial" w:eastAsia="宋体" w:hAnsi="Arial" w:cs="Arial"/>
          <w:color w:val="000000"/>
          <w:sz w:val="17"/>
          <w:szCs w:val="17"/>
        </w:rPr>
        <w:t>s to our operating plan, such as store operating hours and the timeline to return to normal production volumes in factories impacted by COVID-19. Such developments and other potential impacts of COVID-19, such as new or prolonged factory closures, higher i</w:t>
      </w:r>
      <w:r>
        <w:rPr>
          <w:rFonts w:ascii="Arial" w:eastAsia="宋体" w:hAnsi="Arial" w:cs="Arial"/>
          <w:color w:val="000000"/>
          <w:sz w:val="17"/>
          <w:szCs w:val="17"/>
        </w:rPr>
        <w:t>nventory levels or inventory shortages in various markets, other adverse impacts on the global supply chain, revised payment terms with certain of our wholesale customers, higher sales-related reserves, factory cancellation costs and a volatile effective t</w:t>
      </w:r>
      <w:r>
        <w:rPr>
          <w:rFonts w:ascii="Arial" w:eastAsia="宋体" w:hAnsi="Arial" w:cs="Arial"/>
          <w:color w:val="000000"/>
          <w:sz w:val="17"/>
          <w:szCs w:val="17"/>
        </w:rPr>
        <w:t>ax rate driven by changes in the mix of earnings across our jurisdictions, among other factors, could have material adverse impacts on our revenue growth as well as our overall profitability in future periods. As a result of these circumstances, COVID-19 r</w:t>
      </w:r>
      <w:r>
        <w:rPr>
          <w:rFonts w:ascii="Arial" w:eastAsia="宋体" w:hAnsi="Arial" w:cs="Arial"/>
          <w:color w:val="000000"/>
          <w:sz w:val="17"/>
          <w:szCs w:val="17"/>
        </w:rPr>
        <w:t>elated disruptions are making it more challenging to compare our performance, including our revenue growth and overall profitability, across quarters and fiscal years, and we expect the operating environment will remain volatile as COVID-19 variants contin</w:t>
      </w:r>
      <w:r>
        <w:rPr>
          <w:rFonts w:ascii="Arial" w:eastAsia="宋体" w:hAnsi="Arial" w:cs="Arial"/>
          <w:color w:val="000000"/>
          <w:sz w:val="17"/>
          <w:szCs w:val="17"/>
        </w:rPr>
        <w:t xml:space="preserve">ue to cause disruptions to our operations. </w:t>
      </w:r>
    </w:p>
    <w:p w14:paraId="2470D2A7" w14:textId="77777777" w:rsidR="009C6E2F" w:rsidRDefault="007972BE">
      <w:pPr>
        <w:spacing w:before="120"/>
      </w:pPr>
      <w:r>
        <w:rPr>
          <w:rFonts w:ascii="sans-serif" w:eastAsia="sans-serif" w:hAnsi="sans-serif" w:cs="sans-serif"/>
          <w:b/>
          <w:bCs/>
          <w:color w:val="808080"/>
          <w:sz w:val="22"/>
          <w:szCs w:val="22"/>
        </w:rPr>
        <w:t>SECOND QUARTER OVERVIEW</w:t>
      </w:r>
    </w:p>
    <w:p w14:paraId="2470D2A8" w14:textId="77777777" w:rsidR="009C6E2F" w:rsidRDefault="007972BE">
      <w:pPr>
        <w:spacing w:after="120"/>
      </w:pPr>
      <w:r>
        <w:rPr>
          <w:rFonts w:ascii="Arial" w:eastAsia="宋体" w:hAnsi="Arial" w:cs="Arial"/>
          <w:color w:val="000000"/>
          <w:sz w:val="17"/>
          <w:szCs w:val="17"/>
        </w:rPr>
        <w:t>For the second quarter of fiscal 2022, NIKE, Inc. Revenues increased 1% to $11.4 billion compared to the second quarter of fiscal 2021 and were flat on a currency-neutral basis. Net income</w:t>
      </w:r>
      <w:r>
        <w:rPr>
          <w:rFonts w:ascii="Arial" w:eastAsia="宋体" w:hAnsi="Arial" w:cs="Arial"/>
          <w:color w:val="000000"/>
          <w:sz w:val="17"/>
          <w:szCs w:val="17"/>
        </w:rPr>
        <w:t xml:space="preserve"> was $1,337 million and diluted earnings per common share was $0.83 for the second quarter of fiscal 2022, compared to Net income of $1,251 million and diluted earnings per common share of $0.78 for the second quarter of fiscal 2021.</w:t>
      </w:r>
    </w:p>
    <w:p w14:paraId="2470D2A9" w14:textId="77777777" w:rsidR="009C6E2F" w:rsidRDefault="007972BE">
      <w:pPr>
        <w:spacing w:before="120" w:after="120"/>
      </w:pPr>
      <w:r>
        <w:rPr>
          <w:rFonts w:ascii="Arial" w:eastAsia="宋体" w:hAnsi="Arial" w:cs="Arial"/>
          <w:color w:val="000000"/>
          <w:sz w:val="17"/>
          <w:szCs w:val="17"/>
        </w:rPr>
        <w:t xml:space="preserve">Income before </w:t>
      </w:r>
      <w:r>
        <w:rPr>
          <w:rFonts w:ascii="Arial" w:eastAsia="宋体" w:hAnsi="Arial" w:cs="Arial"/>
          <w:color w:val="000000"/>
          <w:sz w:val="17"/>
          <w:szCs w:val="17"/>
        </w:rPr>
        <w:t>income taxes increased 3% compared to the second quarter of fiscal 2021, due to gross margin expansion and higher revenues, partially offset by higher selling and administrative expense. The NIKE Brand, which represents over 90% of NIKE, Inc. Revenues, inc</w:t>
      </w:r>
      <w:r>
        <w:rPr>
          <w:rFonts w:ascii="Arial" w:eastAsia="宋体" w:hAnsi="Arial" w:cs="Arial"/>
          <w:color w:val="000000"/>
          <w:sz w:val="17"/>
          <w:szCs w:val="17"/>
        </w:rPr>
        <w:t>reased 1% compared to the second quarter of fiscal 2021. On a currency-neutral basis, NIKE Brand revenues were flat, as higher revenues in North America and EMEA were offset by declines in Greater China and APLA. Additionally, NIKE Brand currency-neutral r</w:t>
      </w:r>
      <w:r>
        <w:rPr>
          <w:rFonts w:ascii="Arial" w:eastAsia="宋体" w:hAnsi="Arial" w:cs="Arial"/>
          <w:color w:val="000000"/>
          <w:sz w:val="17"/>
          <w:szCs w:val="17"/>
        </w:rPr>
        <w:t>evenue growth in apparel was offset by a decline in footwear primarily due to lower available inventory supply resulting from COVID-19 related factory closures and extended inventory transit times. Revenues for Converse increased 17% and 16% compared to th</w:t>
      </w:r>
      <w:r>
        <w:rPr>
          <w:rFonts w:ascii="Arial" w:eastAsia="宋体" w:hAnsi="Arial" w:cs="Arial"/>
          <w:color w:val="000000"/>
          <w:sz w:val="17"/>
          <w:szCs w:val="17"/>
        </w:rPr>
        <w:t>e second quarter of fiscal 2021, on a reported and currency-neutral basis, respectively, led by performance in Direct to consumer in both Western Europe and North America.</w:t>
      </w:r>
    </w:p>
    <w:p w14:paraId="2470D2AA" w14:textId="77777777" w:rsidR="009C6E2F" w:rsidRDefault="007972BE">
      <w:pPr>
        <w:spacing w:before="120" w:after="120"/>
      </w:pPr>
      <w:r>
        <w:rPr>
          <w:rFonts w:ascii="Arial" w:eastAsia="宋体" w:hAnsi="Arial" w:cs="Arial"/>
          <w:color w:val="000000"/>
          <w:sz w:val="17"/>
          <w:szCs w:val="17"/>
        </w:rPr>
        <w:t xml:space="preserve">Our effective tax rate was 10.9% for the second quarter of fiscal 2022, compared to </w:t>
      </w:r>
      <w:r>
        <w:rPr>
          <w:rFonts w:ascii="Arial" w:eastAsia="宋体" w:hAnsi="Arial" w:cs="Arial"/>
          <w:color w:val="000000"/>
          <w:sz w:val="17"/>
          <w:szCs w:val="17"/>
        </w:rPr>
        <w:t>14.1% for the second quarter of fiscal 2021, primarily due to a change in our earnings mix, partially offset by a less favorable impact from stock-based compensation.</w:t>
      </w:r>
    </w:p>
    <w:p w14:paraId="2470D2AB" w14:textId="77777777" w:rsidR="009C6E2F" w:rsidRDefault="007972BE">
      <w:r>
        <w:rPr>
          <w:rFonts w:ascii="Arial" w:eastAsia="宋体" w:hAnsi="Arial" w:cs="Arial"/>
          <w:color w:val="000000"/>
          <w:sz w:val="17"/>
          <w:szCs w:val="17"/>
        </w:rPr>
        <w:t xml:space="preserve">Consumer protection and data privacy laws have been coming into effect across the world, </w:t>
      </w:r>
      <w:r>
        <w:rPr>
          <w:rFonts w:ascii="Arial" w:eastAsia="宋体" w:hAnsi="Arial" w:cs="Arial"/>
          <w:color w:val="000000"/>
          <w:sz w:val="17"/>
          <w:szCs w:val="17"/>
        </w:rPr>
        <w:t>including recently introduced laws that became effective during the second quarter of fiscal 2022 in China, that provide for the comprehensive regulation of data and personal data processing activities across all industries and operations such as collectin</w:t>
      </w:r>
      <w:r>
        <w:rPr>
          <w:rFonts w:ascii="Arial" w:eastAsia="宋体" w:hAnsi="Arial" w:cs="Arial"/>
          <w:color w:val="000000"/>
          <w:sz w:val="17"/>
          <w:szCs w:val="17"/>
        </w:rPr>
        <w:t xml:space="preserve">g, utilizing, processing, sharing and transferring data and personal information in and out of China. Uncertainty regarding the interpretation and application of these laws in practice may impact us and could impair our ability to execute on our operating </w:t>
      </w:r>
      <w:r>
        <w:rPr>
          <w:rFonts w:ascii="Arial" w:eastAsia="宋体" w:hAnsi="Arial" w:cs="Arial"/>
          <w:color w:val="000000"/>
          <w:sz w:val="17"/>
          <w:szCs w:val="17"/>
        </w:rPr>
        <w:t xml:space="preserve">plan and have adverse effects on our business and results of operations. Further, any non-compliance could subject us to, among other things, fines, legal proceedings, regulatory orders or damage to our reputation. </w:t>
      </w:r>
    </w:p>
    <w:p w14:paraId="2470D2AC" w14:textId="77777777" w:rsidR="009C6E2F" w:rsidRDefault="007972BE">
      <w:pPr>
        <w:spacing w:before="120" w:after="120"/>
        <w:jc w:val="right"/>
      </w:pPr>
      <w:r>
        <w:rPr>
          <w:rFonts w:ascii="Arial" w:eastAsia="宋体" w:hAnsi="Arial" w:cs="Arial"/>
          <w:color w:val="E87722"/>
          <w:sz w:val="17"/>
          <w:szCs w:val="17"/>
        </w:rPr>
        <w:t>25</w:t>
      </w:r>
    </w:p>
    <w:p w14:paraId="2470D2AD" w14:textId="77777777" w:rsidR="009C6E2F" w:rsidRDefault="007972BE">
      <w:r>
        <w:pict w14:anchorId="2470E1FE">
          <v:rect id="_x0000_i1051" style="width:415.3pt;height:1.5pt" o:hralign="center" o:hrstd="t" o:hr="t" fillcolor="#a0a0a0" stroked="f"/>
        </w:pict>
      </w:r>
    </w:p>
    <w:p w14:paraId="2470D2AE" w14:textId="77777777" w:rsidR="009C6E2F" w:rsidRDefault="009C6E2F"/>
    <w:p w14:paraId="2470D2AF" w14:textId="77777777" w:rsidR="009C6E2F" w:rsidRDefault="007972BE">
      <w:hyperlink r:id="rId94" w:anchor="i9e023a7388204bdbacd6aa338988f838_7" w:history="1">
        <w:r>
          <w:rPr>
            <w:rStyle w:val="a5"/>
            <w:rFonts w:ascii="sans-serif" w:eastAsia="sans-serif" w:hAnsi="sans-serif" w:cs="sans-serif"/>
            <w:sz w:val="17"/>
            <w:szCs w:val="17"/>
          </w:rPr>
          <w:t>Table of Contents</w:t>
        </w:r>
      </w:hyperlink>
    </w:p>
    <w:p w14:paraId="2470D2B0" w14:textId="77777777" w:rsidR="009C6E2F" w:rsidRDefault="009C6E2F"/>
    <w:p w14:paraId="2470D2B1" w14:textId="77777777" w:rsidR="009C6E2F" w:rsidRDefault="007972BE">
      <w:pPr>
        <w:spacing w:before="120" w:after="120"/>
      </w:pPr>
      <w:r>
        <w:rPr>
          <w:rFonts w:ascii="Arial" w:eastAsia="宋体" w:hAnsi="Arial" w:cs="Arial"/>
          <w:color w:val="000000"/>
          <w:sz w:val="17"/>
          <w:szCs w:val="17"/>
        </w:rPr>
        <w:t>During fiscal 2021, the transaction with Grupo SBF S.A. to purchase substantially all of our NIKE Brand operations in B</w:t>
      </w:r>
      <w:r>
        <w:rPr>
          <w:rFonts w:ascii="Arial" w:eastAsia="宋体" w:hAnsi="Arial" w:cs="Arial"/>
          <w:color w:val="000000"/>
          <w:sz w:val="17"/>
          <w:szCs w:val="17"/>
        </w:rPr>
        <w:t>razil closed. We remain committed to selling our Argentina, Chile and Uruguay legal entities and granting distribution rights to third-party distributors. As such, the assets and liabilities of these entities have remained classified as held-for-sale on th</w:t>
      </w:r>
      <w:r>
        <w:rPr>
          <w:rFonts w:ascii="Arial" w:eastAsia="宋体" w:hAnsi="Arial" w:cs="Arial"/>
          <w:color w:val="000000"/>
          <w:sz w:val="17"/>
          <w:szCs w:val="17"/>
        </w:rPr>
        <w:t>e Unaudited Condensed Consolidated Balance Sheets. For more information see Note 12 — Acquisitions and Divestitures within the accompanying Notes to the Unaudited Condensed Consolidated Financial Statements.</w:t>
      </w:r>
    </w:p>
    <w:p w14:paraId="2470D2B2" w14:textId="77777777" w:rsidR="009C6E2F" w:rsidRDefault="007972BE">
      <w:pPr>
        <w:spacing w:before="120"/>
      </w:pPr>
      <w:r>
        <w:rPr>
          <w:rFonts w:ascii="sans-serif" w:eastAsia="sans-serif" w:hAnsi="sans-serif" w:cs="sans-serif"/>
          <w:b/>
          <w:bCs/>
          <w:color w:val="808080"/>
          <w:sz w:val="22"/>
          <w:szCs w:val="22"/>
        </w:rPr>
        <w:t>USE OF NON-GAAP FINANCIAL MEASURES</w:t>
      </w:r>
    </w:p>
    <w:p w14:paraId="2470D2B3" w14:textId="77777777" w:rsidR="009C6E2F" w:rsidRDefault="007972BE">
      <w:pPr>
        <w:spacing w:after="120"/>
      </w:pPr>
      <w:r>
        <w:rPr>
          <w:rFonts w:ascii="Arial" w:eastAsia="宋体" w:hAnsi="Arial" w:cs="Arial"/>
          <w:color w:val="000000"/>
          <w:sz w:val="17"/>
          <w:szCs w:val="17"/>
        </w:rPr>
        <w:t>Throughout this Quarterly Report on Form 10-Q, we discuss non-GAAP financial measures, including references to wholesale equivalent revenues, currency-neutral revenues, as well as Total NIKE Brand earnings before interest and taxes (EBIT), Total NIKE, Inc.</w:t>
      </w:r>
      <w:r>
        <w:rPr>
          <w:rFonts w:ascii="Arial" w:eastAsia="宋体" w:hAnsi="Arial" w:cs="Arial"/>
          <w:color w:val="000000"/>
          <w:sz w:val="17"/>
          <w:szCs w:val="17"/>
        </w:rPr>
        <w:t xml:space="preserve"> EBIT and EBIT Margin, which should be considered in addition to, and not in lieu of, the financial measures calculated and presented in accordance with accounting principles generally accepted in the United States of America (“U.S. GAAP”). References to w</w:t>
      </w:r>
      <w:r>
        <w:rPr>
          <w:rFonts w:ascii="Arial" w:eastAsia="宋体" w:hAnsi="Arial" w:cs="Arial"/>
          <w:color w:val="000000"/>
          <w:sz w:val="17"/>
          <w:szCs w:val="17"/>
        </w:rPr>
        <w:t xml:space="preserve">holesale equivalent revenues are intended to provide context as to the total size of our NIKE Brand market footprint if we had no NIKE Direct operations. NIKE Brand wholesale equivalent revenues consist of (1) sales to external wholesale customers and (2) </w:t>
      </w:r>
      <w:r>
        <w:rPr>
          <w:rFonts w:ascii="Arial" w:eastAsia="宋体" w:hAnsi="Arial" w:cs="Arial"/>
          <w:color w:val="000000"/>
          <w:sz w:val="17"/>
          <w:szCs w:val="17"/>
        </w:rPr>
        <w:t>internal sales from our wholesale operations to our NIKE Direct operations, which are charged at prices comparable to those charged to external wholesale customers. Additionally, currency-neutral revenues are calculated using actual exchange rates in use d</w:t>
      </w:r>
      <w:r>
        <w:rPr>
          <w:rFonts w:ascii="Arial" w:eastAsia="宋体" w:hAnsi="Arial" w:cs="Arial"/>
          <w:color w:val="000000"/>
          <w:sz w:val="17"/>
          <w:szCs w:val="17"/>
        </w:rPr>
        <w:t>uring the comparative prior year period to enhance the visibility of the underlying business trends excluding the impact of translation arising from foreign currency exchange rate fluctuations. EBIT is calculated as Net Income before Interest expense (inco</w:t>
      </w:r>
      <w:r>
        <w:rPr>
          <w:rFonts w:ascii="Arial" w:eastAsia="宋体" w:hAnsi="Arial" w:cs="Arial"/>
          <w:color w:val="000000"/>
          <w:sz w:val="17"/>
          <w:szCs w:val="17"/>
        </w:rPr>
        <w:t>me), net and Income tax expense in the Unaudited Condensed Consolidated Statements of Income. EBIT Margin is calculated as EBIT divided by total NIKE, Inc. Revenues.</w:t>
      </w:r>
    </w:p>
    <w:p w14:paraId="2470D2B4" w14:textId="77777777" w:rsidR="009C6E2F" w:rsidRDefault="007972BE">
      <w:pPr>
        <w:spacing w:before="120" w:after="120"/>
      </w:pPr>
      <w:r>
        <w:rPr>
          <w:rFonts w:ascii="Arial" w:eastAsia="宋体" w:hAnsi="Arial" w:cs="Arial"/>
          <w:color w:val="000000"/>
          <w:sz w:val="17"/>
          <w:szCs w:val="17"/>
        </w:rPr>
        <w:t>Management uses these non-GAAP financial measures when evaluating the Company's performanc</w:t>
      </w:r>
      <w:r>
        <w:rPr>
          <w:rFonts w:ascii="Arial" w:eastAsia="宋体" w:hAnsi="Arial" w:cs="Arial"/>
          <w:color w:val="000000"/>
          <w:sz w:val="17"/>
          <w:szCs w:val="17"/>
        </w:rPr>
        <w:t>e, including when making financial and operating decisions. Additionally, management believes these non-GAAP financial measures provide investors with additional financial information that should be considered when assessing our underlying business perform</w:t>
      </w:r>
      <w:r>
        <w:rPr>
          <w:rFonts w:ascii="Arial" w:eastAsia="宋体" w:hAnsi="Arial" w:cs="Arial"/>
          <w:color w:val="000000"/>
          <w:sz w:val="17"/>
          <w:szCs w:val="17"/>
        </w:rPr>
        <w:t>ance and trends. However, references to wholesale equivalent revenues, currency-neutral revenues, EBIT and EBIT margin should not be considered in isolation or as a substitute for other financial measures calculated and presented in accordance with U.S. GA</w:t>
      </w:r>
      <w:r>
        <w:rPr>
          <w:rFonts w:ascii="Arial" w:eastAsia="宋体" w:hAnsi="Arial" w:cs="Arial"/>
          <w:color w:val="000000"/>
          <w:sz w:val="17"/>
          <w:szCs w:val="17"/>
        </w:rPr>
        <w:t>AP and may not be comparable to similarly titled non-GAAP measures used by other companies.</w:t>
      </w:r>
    </w:p>
    <w:p w14:paraId="2470D2B5" w14:textId="77777777" w:rsidR="009C6E2F" w:rsidRDefault="007972BE">
      <w:pPr>
        <w:spacing w:before="120" w:after="120"/>
      </w:pPr>
      <w:r>
        <w:rPr>
          <w:rFonts w:ascii="Arial" w:eastAsia="宋体" w:hAnsi="Arial" w:cs="Arial"/>
          <w:color w:val="E87722"/>
          <w:sz w:val="17"/>
          <w:szCs w:val="17"/>
        </w:rPr>
        <w:t>26</w:t>
      </w:r>
      <w:r>
        <w:rPr>
          <w:rFonts w:ascii="sans-serif" w:eastAsia="sans-serif" w:hAnsi="sans-serif" w:cs="sans-serif"/>
          <w:color w:val="000000"/>
          <w:sz w:val="17"/>
          <w:szCs w:val="17"/>
        </w:rPr>
        <w:t xml:space="preserve"> </w:t>
      </w:r>
    </w:p>
    <w:p w14:paraId="2470D2B6" w14:textId="77777777" w:rsidR="009C6E2F" w:rsidRDefault="007972BE">
      <w:r>
        <w:pict w14:anchorId="2470E1FF">
          <v:rect id="_x0000_i1052" style="width:415.3pt;height:1.5pt" o:hralign="center" o:hrstd="t" o:hr="t" fillcolor="#a0a0a0" stroked="f"/>
        </w:pict>
      </w:r>
    </w:p>
    <w:p w14:paraId="2470D2B7" w14:textId="77777777" w:rsidR="009C6E2F" w:rsidRDefault="009C6E2F"/>
    <w:p w14:paraId="2470D2B8" w14:textId="77777777" w:rsidR="009C6E2F" w:rsidRDefault="007972BE">
      <w:hyperlink r:id="rId95" w:anchor="i9e023a7388204bdbacd6aa338988f838_7" w:history="1">
        <w:r>
          <w:rPr>
            <w:rStyle w:val="a5"/>
            <w:rFonts w:ascii="sans-serif" w:eastAsia="sans-serif" w:hAnsi="sans-serif" w:cs="sans-serif"/>
            <w:sz w:val="17"/>
            <w:szCs w:val="17"/>
          </w:rPr>
          <w:t>Table of</w:t>
        </w:r>
        <w:r>
          <w:rPr>
            <w:rStyle w:val="a5"/>
            <w:rFonts w:ascii="sans-serif" w:eastAsia="sans-serif" w:hAnsi="sans-serif" w:cs="sans-serif"/>
            <w:sz w:val="17"/>
            <w:szCs w:val="17"/>
          </w:rPr>
          <w:t xml:space="preserve"> Contents</w:t>
        </w:r>
      </w:hyperlink>
    </w:p>
    <w:p w14:paraId="2470D2B9" w14:textId="77777777" w:rsidR="009C6E2F" w:rsidRDefault="009C6E2F"/>
    <w:p w14:paraId="2470D2BA" w14:textId="77777777" w:rsidR="009C6E2F" w:rsidRDefault="007972BE">
      <w:pPr>
        <w:spacing w:before="300" w:after="120"/>
      </w:pPr>
      <w:r>
        <w:rPr>
          <w:rFonts w:ascii="sans-serif" w:eastAsia="sans-serif" w:hAnsi="sans-serif" w:cs="sans-serif"/>
          <w:b/>
          <w:bCs/>
          <w:color w:val="E87722"/>
          <w:sz w:val="36"/>
          <w:szCs w:val="36"/>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823"/>
        <w:gridCol w:w="38"/>
        <w:gridCol w:w="115"/>
        <w:gridCol w:w="568"/>
        <w:gridCol w:w="172"/>
        <w:gridCol w:w="115"/>
        <w:gridCol w:w="568"/>
        <w:gridCol w:w="172"/>
        <w:gridCol w:w="66"/>
        <w:gridCol w:w="572"/>
        <w:gridCol w:w="172"/>
        <w:gridCol w:w="36"/>
        <w:gridCol w:w="36"/>
        <w:gridCol w:w="36"/>
        <w:gridCol w:w="115"/>
        <w:gridCol w:w="568"/>
        <w:gridCol w:w="172"/>
        <w:gridCol w:w="115"/>
        <w:gridCol w:w="568"/>
        <w:gridCol w:w="172"/>
        <w:gridCol w:w="66"/>
        <w:gridCol w:w="572"/>
        <w:gridCol w:w="172"/>
        <w:gridCol w:w="36"/>
        <w:gridCol w:w="36"/>
        <w:gridCol w:w="36"/>
        <w:gridCol w:w="36"/>
        <w:gridCol w:w="36"/>
        <w:gridCol w:w="36"/>
        <w:gridCol w:w="36"/>
        <w:gridCol w:w="36"/>
      </w:tblGrid>
      <w:tr w:rsidR="009C6E2F" w14:paraId="2470D2D7" w14:textId="77777777">
        <w:tc>
          <w:tcPr>
            <w:tcW w:w="50" w:type="pct"/>
            <w:shd w:val="clear" w:color="auto" w:fill="auto"/>
            <w:vAlign w:val="bottom"/>
          </w:tcPr>
          <w:p w14:paraId="2470D2BB" w14:textId="77777777" w:rsidR="009C6E2F" w:rsidRDefault="009C6E2F">
            <w:pPr>
              <w:rPr>
                <w:rFonts w:ascii="宋体"/>
              </w:rPr>
            </w:pPr>
          </w:p>
        </w:tc>
        <w:tc>
          <w:tcPr>
            <w:tcW w:w="1943" w:type="pct"/>
            <w:shd w:val="clear" w:color="auto" w:fill="auto"/>
            <w:vAlign w:val="bottom"/>
          </w:tcPr>
          <w:p w14:paraId="2470D2BC" w14:textId="77777777" w:rsidR="009C6E2F" w:rsidRDefault="009C6E2F">
            <w:pPr>
              <w:rPr>
                <w:rFonts w:ascii="宋体"/>
              </w:rPr>
            </w:pPr>
          </w:p>
        </w:tc>
        <w:tc>
          <w:tcPr>
            <w:tcW w:w="5" w:type="pct"/>
            <w:shd w:val="clear" w:color="auto" w:fill="auto"/>
            <w:vAlign w:val="bottom"/>
          </w:tcPr>
          <w:p w14:paraId="2470D2BD" w14:textId="77777777" w:rsidR="009C6E2F" w:rsidRDefault="009C6E2F">
            <w:pPr>
              <w:rPr>
                <w:rFonts w:ascii="宋体"/>
              </w:rPr>
            </w:pPr>
          </w:p>
        </w:tc>
        <w:tc>
          <w:tcPr>
            <w:tcW w:w="50" w:type="pct"/>
            <w:shd w:val="clear" w:color="auto" w:fill="auto"/>
            <w:vAlign w:val="bottom"/>
          </w:tcPr>
          <w:p w14:paraId="2470D2BE" w14:textId="77777777" w:rsidR="009C6E2F" w:rsidRDefault="009C6E2F">
            <w:pPr>
              <w:rPr>
                <w:rFonts w:ascii="宋体"/>
              </w:rPr>
            </w:pPr>
          </w:p>
        </w:tc>
        <w:tc>
          <w:tcPr>
            <w:tcW w:w="438" w:type="pct"/>
            <w:shd w:val="clear" w:color="auto" w:fill="auto"/>
            <w:vAlign w:val="bottom"/>
          </w:tcPr>
          <w:p w14:paraId="2470D2BF" w14:textId="77777777" w:rsidR="009C6E2F" w:rsidRDefault="009C6E2F">
            <w:pPr>
              <w:rPr>
                <w:rFonts w:ascii="宋体"/>
              </w:rPr>
            </w:pPr>
          </w:p>
        </w:tc>
        <w:tc>
          <w:tcPr>
            <w:tcW w:w="5" w:type="pct"/>
            <w:shd w:val="clear" w:color="auto" w:fill="auto"/>
            <w:vAlign w:val="bottom"/>
          </w:tcPr>
          <w:p w14:paraId="2470D2C0" w14:textId="77777777" w:rsidR="009C6E2F" w:rsidRDefault="009C6E2F">
            <w:pPr>
              <w:rPr>
                <w:rFonts w:ascii="宋体"/>
              </w:rPr>
            </w:pPr>
          </w:p>
        </w:tc>
        <w:tc>
          <w:tcPr>
            <w:tcW w:w="50" w:type="pct"/>
            <w:shd w:val="clear" w:color="auto" w:fill="auto"/>
            <w:vAlign w:val="bottom"/>
          </w:tcPr>
          <w:p w14:paraId="2470D2C1" w14:textId="77777777" w:rsidR="009C6E2F" w:rsidRDefault="009C6E2F">
            <w:pPr>
              <w:rPr>
                <w:rFonts w:ascii="宋体"/>
              </w:rPr>
            </w:pPr>
          </w:p>
        </w:tc>
        <w:tc>
          <w:tcPr>
            <w:tcW w:w="438" w:type="pct"/>
            <w:shd w:val="clear" w:color="auto" w:fill="auto"/>
            <w:vAlign w:val="bottom"/>
          </w:tcPr>
          <w:p w14:paraId="2470D2C2" w14:textId="77777777" w:rsidR="009C6E2F" w:rsidRDefault="009C6E2F">
            <w:pPr>
              <w:rPr>
                <w:rFonts w:ascii="宋体"/>
              </w:rPr>
            </w:pPr>
          </w:p>
        </w:tc>
        <w:tc>
          <w:tcPr>
            <w:tcW w:w="5" w:type="pct"/>
            <w:shd w:val="clear" w:color="auto" w:fill="auto"/>
            <w:vAlign w:val="bottom"/>
          </w:tcPr>
          <w:p w14:paraId="2470D2C3" w14:textId="77777777" w:rsidR="009C6E2F" w:rsidRDefault="009C6E2F">
            <w:pPr>
              <w:rPr>
                <w:rFonts w:ascii="宋体"/>
              </w:rPr>
            </w:pPr>
          </w:p>
        </w:tc>
        <w:tc>
          <w:tcPr>
            <w:tcW w:w="50" w:type="pct"/>
            <w:shd w:val="clear" w:color="auto" w:fill="auto"/>
            <w:vAlign w:val="bottom"/>
          </w:tcPr>
          <w:p w14:paraId="2470D2C4" w14:textId="77777777" w:rsidR="009C6E2F" w:rsidRDefault="009C6E2F">
            <w:pPr>
              <w:rPr>
                <w:rFonts w:ascii="宋体"/>
              </w:rPr>
            </w:pPr>
          </w:p>
        </w:tc>
        <w:tc>
          <w:tcPr>
            <w:tcW w:w="438" w:type="pct"/>
            <w:shd w:val="clear" w:color="auto" w:fill="auto"/>
            <w:vAlign w:val="bottom"/>
          </w:tcPr>
          <w:p w14:paraId="2470D2C5" w14:textId="77777777" w:rsidR="009C6E2F" w:rsidRDefault="009C6E2F">
            <w:pPr>
              <w:rPr>
                <w:rFonts w:ascii="宋体"/>
              </w:rPr>
            </w:pPr>
          </w:p>
        </w:tc>
        <w:tc>
          <w:tcPr>
            <w:tcW w:w="5" w:type="pct"/>
            <w:shd w:val="clear" w:color="auto" w:fill="auto"/>
            <w:vAlign w:val="bottom"/>
          </w:tcPr>
          <w:p w14:paraId="2470D2C6" w14:textId="77777777" w:rsidR="009C6E2F" w:rsidRDefault="009C6E2F">
            <w:pPr>
              <w:rPr>
                <w:rFonts w:ascii="宋体"/>
              </w:rPr>
            </w:pPr>
          </w:p>
        </w:tc>
        <w:tc>
          <w:tcPr>
            <w:tcW w:w="5" w:type="pct"/>
            <w:shd w:val="clear" w:color="auto" w:fill="auto"/>
            <w:vAlign w:val="bottom"/>
          </w:tcPr>
          <w:p w14:paraId="2470D2C7" w14:textId="77777777" w:rsidR="009C6E2F" w:rsidRDefault="009C6E2F">
            <w:pPr>
              <w:rPr>
                <w:rFonts w:ascii="宋体"/>
              </w:rPr>
            </w:pPr>
          </w:p>
        </w:tc>
        <w:tc>
          <w:tcPr>
            <w:tcW w:w="28" w:type="pct"/>
            <w:shd w:val="clear" w:color="auto" w:fill="auto"/>
            <w:vAlign w:val="bottom"/>
          </w:tcPr>
          <w:p w14:paraId="2470D2C8" w14:textId="77777777" w:rsidR="009C6E2F" w:rsidRDefault="009C6E2F">
            <w:pPr>
              <w:rPr>
                <w:rFonts w:ascii="宋体"/>
              </w:rPr>
            </w:pPr>
          </w:p>
        </w:tc>
        <w:tc>
          <w:tcPr>
            <w:tcW w:w="5" w:type="pct"/>
            <w:shd w:val="clear" w:color="auto" w:fill="auto"/>
            <w:vAlign w:val="bottom"/>
          </w:tcPr>
          <w:p w14:paraId="2470D2C9" w14:textId="77777777" w:rsidR="009C6E2F" w:rsidRDefault="009C6E2F">
            <w:pPr>
              <w:rPr>
                <w:rFonts w:ascii="宋体"/>
              </w:rPr>
            </w:pPr>
          </w:p>
        </w:tc>
        <w:tc>
          <w:tcPr>
            <w:tcW w:w="50" w:type="pct"/>
            <w:shd w:val="clear" w:color="auto" w:fill="auto"/>
            <w:vAlign w:val="bottom"/>
          </w:tcPr>
          <w:p w14:paraId="2470D2CA" w14:textId="77777777" w:rsidR="009C6E2F" w:rsidRDefault="009C6E2F">
            <w:pPr>
              <w:rPr>
                <w:rFonts w:ascii="宋体"/>
              </w:rPr>
            </w:pPr>
          </w:p>
        </w:tc>
        <w:tc>
          <w:tcPr>
            <w:tcW w:w="438" w:type="pct"/>
            <w:shd w:val="clear" w:color="auto" w:fill="auto"/>
            <w:vAlign w:val="bottom"/>
          </w:tcPr>
          <w:p w14:paraId="2470D2CB" w14:textId="77777777" w:rsidR="009C6E2F" w:rsidRDefault="009C6E2F">
            <w:pPr>
              <w:rPr>
                <w:rFonts w:ascii="宋体"/>
              </w:rPr>
            </w:pPr>
          </w:p>
        </w:tc>
        <w:tc>
          <w:tcPr>
            <w:tcW w:w="5" w:type="pct"/>
            <w:shd w:val="clear" w:color="auto" w:fill="auto"/>
            <w:vAlign w:val="bottom"/>
          </w:tcPr>
          <w:p w14:paraId="2470D2CC" w14:textId="77777777" w:rsidR="009C6E2F" w:rsidRDefault="009C6E2F">
            <w:pPr>
              <w:rPr>
                <w:rFonts w:ascii="宋体"/>
              </w:rPr>
            </w:pPr>
          </w:p>
        </w:tc>
        <w:tc>
          <w:tcPr>
            <w:tcW w:w="50" w:type="pct"/>
            <w:shd w:val="clear" w:color="auto" w:fill="auto"/>
            <w:vAlign w:val="bottom"/>
          </w:tcPr>
          <w:p w14:paraId="2470D2CD" w14:textId="77777777" w:rsidR="009C6E2F" w:rsidRDefault="009C6E2F">
            <w:pPr>
              <w:rPr>
                <w:rFonts w:ascii="宋体"/>
              </w:rPr>
            </w:pPr>
          </w:p>
        </w:tc>
        <w:tc>
          <w:tcPr>
            <w:tcW w:w="438" w:type="pct"/>
            <w:shd w:val="clear" w:color="auto" w:fill="auto"/>
            <w:vAlign w:val="bottom"/>
          </w:tcPr>
          <w:p w14:paraId="2470D2CE" w14:textId="77777777" w:rsidR="009C6E2F" w:rsidRDefault="009C6E2F">
            <w:pPr>
              <w:rPr>
                <w:rFonts w:ascii="宋体"/>
              </w:rPr>
            </w:pPr>
          </w:p>
        </w:tc>
        <w:tc>
          <w:tcPr>
            <w:tcW w:w="5" w:type="pct"/>
            <w:shd w:val="clear" w:color="auto" w:fill="auto"/>
            <w:vAlign w:val="bottom"/>
          </w:tcPr>
          <w:p w14:paraId="2470D2CF" w14:textId="77777777" w:rsidR="009C6E2F" w:rsidRDefault="009C6E2F">
            <w:pPr>
              <w:rPr>
                <w:rFonts w:ascii="宋体"/>
              </w:rPr>
            </w:pPr>
          </w:p>
        </w:tc>
        <w:tc>
          <w:tcPr>
            <w:tcW w:w="50" w:type="pct"/>
            <w:shd w:val="clear" w:color="auto" w:fill="auto"/>
            <w:vAlign w:val="bottom"/>
          </w:tcPr>
          <w:p w14:paraId="2470D2D0" w14:textId="77777777" w:rsidR="009C6E2F" w:rsidRDefault="009C6E2F">
            <w:pPr>
              <w:rPr>
                <w:rFonts w:ascii="宋体"/>
              </w:rPr>
            </w:pPr>
          </w:p>
        </w:tc>
        <w:tc>
          <w:tcPr>
            <w:tcW w:w="438" w:type="pct"/>
            <w:shd w:val="clear" w:color="auto" w:fill="auto"/>
            <w:vAlign w:val="bottom"/>
          </w:tcPr>
          <w:p w14:paraId="2470D2D1" w14:textId="77777777" w:rsidR="009C6E2F" w:rsidRDefault="009C6E2F">
            <w:pPr>
              <w:rPr>
                <w:rFonts w:ascii="宋体"/>
              </w:rPr>
            </w:pPr>
          </w:p>
        </w:tc>
        <w:tc>
          <w:tcPr>
            <w:tcW w:w="5" w:type="pct"/>
            <w:shd w:val="clear" w:color="auto" w:fill="auto"/>
            <w:vAlign w:val="bottom"/>
          </w:tcPr>
          <w:p w14:paraId="2470D2D2" w14:textId="77777777" w:rsidR="009C6E2F" w:rsidRDefault="009C6E2F">
            <w:pPr>
              <w:rPr>
                <w:rFonts w:ascii="宋体"/>
              </w:rPr>
            </w:pPr>
          </w:p>
        </w:tc>
        <w:tc>
          <w:tcPr>
            <w:tcW w:w="0" w:type="auto"/>
            <w:shd w:val="clear" w:color="auto" w:fill="auto"/>
            <w:vAlign w:val="bottom"/>
          </w:tcPr>
          <w:p w14:paraId="2470D2D3" w14:textId="77777777" w:rsidR="009C6E2F" w:rsidRDefault="009C6E2F">
            <w:pPr>
              <w:rPr>
                <w:rFonts w:ascii="宋体"/>
                <w:vanish/>
              </w:rPr>
            </w:pPr>
          </w:p>
        </w:tc>
        <w:tc>
          <w:tcPr>
            <w:tcW w:w="0" w:type="auto"/>
            <w:shd w:val="clear" w:color="auto" w:fill="auto"/>
            <w:vAlign w:val="bottom"/>
          </w:tcPr>
          <w:p w14:paraId="2470D2D4" w14:textId="77777777" w:rsidR="009C6E2F" w:rsidRDefault="009C6E2F">
            <w:pPr>
              <w:rPr>
                <w:rFonts w:ascii="宋体"/>
                <w:vanish/>
              </w:rPr>
            </w:pPr>
          </w:p>
        </w:tc>
        <w:tc>
          <w:tcPr>
            <w:tcW w:w="0" w:type="auto"/>
            <w:gridSpan w:val="3"/>
            <w:shd w:val="clear" w:color="auto" w:fill="auto"/>
            <w:vAlign w:val="bottom"/>
          </w:tcPr>
          <w:p w14:paraId="2470D2D5" w14:textId="77777777" w:rsidR="009C6E2F" w:rsidRDefault="009C6E2F">
            <w:pPr>
              <w:rPr>
                <w:rFonts w:ascii="宋体"/>
                <w:vanish/>
              </w:rPr>
            </w:pPr>
          </w:p>
        </w:tc>
        <w:tc>
          <w:tcPr>
            <w:tcW w:w="0" w:type="auto"/>
            <w:gridSpan w:val="3"/>
            <w:shd w:val="clear" w:color="auto" w:fill="auto"/>
            <w:vAlign w:val="bottom"/>
          </w:tcPr>
          <w:p w14:paraId="2470D2D6" w14:textId="77777777" w:rsidR="009C6E2F" w:rsidRDefault="009C6E2F">
            <w:pPr>
              <w:rPr>
                <w:rFonts w:ascii="宋体"/>
                <w:vanish/>
              </w:rPr>
            </w:pPr>
          </w:p>
        </w:tc>
      </w:tr>
      <w:tr w:rsidR="009C6E2F" w14:paraId="2470D2E4" w14:textId="77777777">
        <w:tc>
          <w:tcPr>
            <w:tcW w:w="0" w:type="auto"/>
            <w:gridSpan w:val="3"/>
            <w:shd w:val="clear" w:color="auto" w:fill="auto"/>
            <w:tcMar>
              <w:top w:w="0" w:type="dxa"/>
              <w:left w:w="20" w:type="dxa"/>
              <w:bottom w:w="0" w:type="dxa"/>
              <w:right w:w="20" w:type="dxa"/>
            </w:tcMar>
            <w:vAlign w:val="bottom"/>
          </w:tcPr>
          <w:p w14:paraId="2470D2D8"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2D9"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2DA"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2DB"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2DC" w14:textId="77777777" w:rsidR="009C6E2F" w:rsidRDefault="009C6E2F">
            <w:pPr>
              <w:rPr>
                <w:rFonts w:ascii="宋体"/>
                <w:vanish/>
              </w:rPr>
            </w:pPr>
          </w:p>
        </w:tc>
        <w:tc>
          <w:tcPr>
            <w:tcW w:w="0" w:type="auto"/>
            <w:shd w:val="clear" w:color="auto" w:fill="auto"/>
            <w:vAlign w:val="bottom"/>
          </w:tcPr>
          <w:p w14:paraId="2470D2DD" w14:textId="77777777" w:rsidR="009C6E2F" w:rsidRDefault="009C6E2F">
            <w:pPr>
              <w:rPr>
                <w:rFonts w:ascii="宋体"/>
                <w:vanish/>
              </w:rPr>
            </w:pPr>
          </w:p>
        </w:tc>
        <w:tc>
          <w:tcPr>
            <w:tcW w:w="0" w:type="auto"/>
            <w:shd w:val="clear" w:color="auto" w:fill="auto"/>
            <w:vAlign w:val="bottom"/>
          </w:tcPr>
          <w:p w14:paraId="2470D2DE" w14:textId="77777777" w:rsidR="009C6E2F" w:rsidRDefault="009C6E2F">
            <w:pPr>
              <w:rPr>
                <w:rFonts w:ascii="宋体"/>
              </w:rPr>
            </w:pPr>
          </w:p>
        </w:tc>
        <w:tc>
          <w:tcPr>
            <w:tcW w:w="0" w:type="auto"/>
            <w:shd w:val="clear" w:color="auto" w:fill="auto"/>
            <w:vAlign w:val="bottom"/>
          </w:tcPr>
          <w:p w14:paraId="2470D2DF" w14:textId="77777777" w:rsidR="009C6E2F" w:rsidRDefault="009C6E2F">
            <w:pPr>
              <w:rPr>
                <w:rFonts w:ascii="宋体"/>
              </w:rPr>
            </w:pPr>
          </w:p>
        </w:tc>
        <w:tc>
          <w:tcPr>
            <w:tcW w:w="0" w:type="auto"/>
            <w:shd w:val="clear" w:color="auto" w:fill="auto"/>
            <w:vAlign w:val="bottom"/>
          </w:tcPr>
          <w:p w14:paraId="2470D2E0" w14:textId="77777777" w:rsidR="009C6E2F" w:rsidRDefault="009C6E2F">
            <w:pPr>
              <w:rPr>
                <w:rFonts w:ascii="宋体"/>
              </w:rPr>
            </w:pPr>
          </w:p>
        </w:tc>
        <w:tc>
          <w:tcPr>
            <w:tcW w:w="0" w:type="auto"/>
            <w:shd w:val="clear" w:color="auto" w:fill="auto"/>
            <w:vAlign w:val="bottom"/>
          </w:tcPr>
          <w:p w14:paraId="2470D2E1" w14:textId="77777777" w:rsidR="009C6E2F" w:rsidRDefault="009C6E2F">
            <w:pPr>
              <w:rPr>
                <w:rFonts w:ascii="宋体"/>
              </w:rPr>
            </w:pPr>
          </w:p>
        </w:tc>
        <w:tc>
          <w:tcPr>
            <w:tcW w:w="0" w:type="auto"/>
            <w:shd w:val="clear" w:color="auto" w:fill="auto"/>
            <w:vAlign w:val="bottom"/>
          </w:tcPr>
          <w:p w14:paraId="2470D2E2" w14:textId="77777777" w:rsidR="009C6E2F" w:rsidRDefault="009C6E2F">
            <w:pPr>
              <w:rPr>
                <w:rFonts w:ascii="宋体"/>
              </w:rPr>
            </w:pPr>
          </w:p>
        </w:tc>
        <w:tc>
          <w:tcPr>
            <w:tcW w:w="0" w:type="auto"/>
            <w:shd w:val="clear" w:color="auto" w:fill="auto"/>
            <w:vAlign w:val="bottom"/>
          </w:tcPr>
          <w:p w14:paraId="2470D2E3" w14:textId="77777777" w:rsidR="009C6E2F" w:rsidRDefault="009C6E2F">
            <w:pPr>
              <w:rPr>
                <w:rFonts w:ascii="宋体"/>
              </w:rPr>
            </w:pPr>
          </w:p>
        </w:tc>
      </w:tr>
      <w:tr w:rsidR="009C6E2F" w14:paraId="2470D2F1" w14:textId="77777777">
        <w:tc>
          <w:tcPr>
            <w:tcW w:w="0" w:type="auto"/>
            <w:gridSpan w:val="3"/>
            <w:shd w:val="clear" w:color="auto" w:fill="auto"/>
            <w:tcMar>
              <w:top w:w="40" w:type="dxa"/>
              <w:left w:w="20" w:type="dxa"/>
              <w:bottom w:w="40" w:type="dxa"/>
              <w:right w:w="20" w:type="dxa"/>
            </w:tcMar>
            <w:vAlign w:val="bottom"/>
          </w:tcPr>
          <w:p w14:paraId="2470D2E5" w14:textId="77777777" w:rsidR="009C6E2F" w:rsidRDefault="007972BE">
            <w:pPr>
              <w:textAlignment w:val="bottom"/>
            </w:pPr>
            <w:r>
              <w:rPr>
                <w:rFonts w:ascii="Arial Narrow" w:eastAsia="Arial Narrow" w:hAnsi="Arial Narrow" w:cs="Arial Narrow"/>
                <w:i/>
                <w:iCs/>
                <w:color w:val="000000"/>
                <w:sz w:val="17"/>
                <w:szCs w:val="17"/>
              </w:rPr>
              <w:t>(Dollars in millions, except per share data)</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E6"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E7"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E8"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470D2E9"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EA"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EB"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EC"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470D2ED" w14:textId="77777777" w:rsidR="009C6E2F" w:rsidRDefault="009C6E2F">
            <w:pPr>
              <w:rPr>
                <w:rFonts w:ascii="宋体"/>
                <w:vanish/>
              </w:rPr>
            </w:pPr>
          </w:p>
        </w:tc>
        <w:tc>
          <w:tcPr>
            <w:tcW w:w="0" w:type="auto"/>
            <w:shd w:val="clear" w:color="auto" w:fill="auto"/>
            <w:vAlign w:val="bottom"/>
          </w:tcPr>
          <w:p w14:paraId="2470D2EE" w14:textId="77777777" w:rsidR="009C6E2F" w:rsidRDefault="009C6E2F">
            <w:pPr>
              <w:rPr>
                <w:rFonts w:ascii="宋体"/>
                <w:vanish/>
              </w:rPr>
            </w:pPr>
          </w:p>
        </w:tc>
        <w:tc>
          <w:tcPr>
            <w:tcW w:w="0" w:type="auto"/>
            <w:gridSpan w:val="3"/>
            <w:shd w:val="clear" w:color="auto" w:fill="auto"/>
            <w:vAlign w:val="bottom"/>
          </w:tcPr>
          <w:p w14:paraId="2470D2EF" w14:textId="77777777" w:rsidR="009C6E2F" w:rsidRDefault="009C6E2F">
            <w:pPr>
              <w:rPr>
                <w:rFonts w:ascii="宋体"/>
                <w:vanish/>
              </w:rPr>
            </w:pPr>
          </w:p>
        </w:tc>
        <w:tc>
          <w:tcPr>
            <w:tcW w:w="0" w:type="auto"/>
            <w:gridSpan w:val="3"/>
            <w:shd w:val="clear" w:color="auto" w:fill="auto"/>
            <w:vAlign w:val="bottom"/>
          </w:tcPr>
          <w:p w14:paraId="2470D2F0" w14:textId="77777777" w:rsidR="009C6E2F" w:rsidRDefault="009C6E2F">
            <w:pPr>
              <w:rPr>
                <w:rFonts w:ascii="宋体"/>
                <w:vanish/>
              </w:rPr>
            </w:pPr>
          </w:p>
        </w:tc>
      </w:tr>
      <w:tr w:rsidR="009C6E2F" w14:paraId="2470D308"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2F2" w14:textId="77777777" w:rsidR="009C6E2F" w:rsidRDefault="007972BE">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center"/>
          </w:tcPr>
          <w:p w14:paraId="2470D2F3"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470D2F4" w14:textId="77777777" w:rsidR="009C6E2F" w:rsidRDefault="007972BE">
            <w:pPr>
              <w:jc w:val="right"/>
              <w:textAlignment w:val="center"/>
            </w:pPr>
            <w:r>
              <w:rPr>
                <w:rFonts w:ascii="Arial" w:eastAsia="宋体" w:hAnsi="Arial" w:cs="Arial"/>
                <w:color w:val="000000"/>
                <w:sz w:val="17"/>
                <w:szCs w:val="17"/>
              </w:rPr>
              <w:t>11,357 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2F5"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470D2F6"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470D2F7" w14:textId="77777777" w:rsidR="009C6E2F" w:rsidRDefault="007972BE">
            <w:pPr>
              <w:jc w:val="right"/>
              <w:textAlignment w:val="center"/>
            </w:pPr>
            <w:r>
              <w:rPr>
                <w:rFonts w:ascii="Arial" w:eastAsia="宋体" w:hAnsi="Arial" w:cs="Arial"/>
                <w:color w:val="000000"/>
                <w:sz w:val="17"/>
                <w:szCs w:val="17"/>
              </w:rPr>
              <w:t>11,243 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2F8"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2F9" w14:textId="77777777" w:rsidR="009C6E2F" w:rsidRDefault="007972BE">
            <w:pPr>
              <w:jc w:val="right"/>
              <w:textAlignment w:val="center"/>
            </w:pPr>
            <w:r>
              <w:rPr>
                <w:rFonts w:ascii="Arial" w:eastAsia="宋体" w:hAnsi="Arial" w:cs="Arial"/>
                <w:color w:val="000000"/>
                <w:sz w:val="17"/>
                <w:szCs w:val="17"/>
              </w:rPr>
              <w:t>1 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2FA"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2FB"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2470D2FC"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470D2FD" w14:textId="77777777" w:rsidR="009C6E2F" w:rsidRDefault="007972BE">
            <w:pPr>
              <w:jc w:val="right"/>
              <w:textAlignment w:val="center"/>
            </w:pPr>
            <w:r>
              <w:rPr>
                <w:rFonts w:ascii="Arial" w:eastAsia="宋体" w:hAnsi="Arial" w:cs="Arial"/>
                <w:color w:val="000000"/>
                <w:sz w:val="17"/>
                <w:szCs w:val="17"/>
              </w:rPr>
              <w:t>23,605 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2FE"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470D2FF"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470D300" w14:textId="77777777" w:rsidR="009C6E2F" w:rsidRDefault="007972BE">
            <w:pPr>
              <w:jc w:val="right"/>
              <w:textAlignment w:val="center"/>
            </w:pPr>
            <w:r>
              <w:rPr>
                <w:rFonts w:ascii="Arial" w:eastAsia="宋体" w:hAnsi="Arial" w:cs="Arial"/>
                <w:color w:val="000000"/>
                <w:sz w:val="17"/>
                <w:szCs w:val="17"/>
              </w:rPr>
              <w:t>21,837 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0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02" w14:textId="77777777" w:rsidR="009C6E2F" w:rsidRDefault="007972BE">
            <w:pPr>
              <w:jc w:val="right"/>
              <w:textAlignment w:val="center"/>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03"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04" w14:textId="77777777" w:rsidR="009C6E2F" w:rsidRDefault="009C6E2F">
            <w:pPr>
              <w:rPr>
                <w:rFonts w:ascii="宋体"/>
                <w:vanish/>
              </w:rPr>
            </w:pPr>
          </w:p>
        </w:tc>
        <w:tc>
          <w:tcPr>
            <w:tcW w:w="0" w:type="auto"/>
            <w:shd w:val="clear" w:color="auto" w:fill="auto"/>
            <w:vAlign w:val="bottom"/>
          </w:tcPr>
          <w:p w14:paraId="2470D305" w14:textId="77777777" w:rsidR="009C6E2F" w:rsidRDefault="009C6E2F">
            <w:pPr>
              <w:rPr>
                <w:rFonts w:ascii="宋体"/>
                <w:vanish/>
              </w:rPr>
            </w:pPr>
          </w:p>
        </w:tc>
        <w:tc>
          <w:tcPr>
            <w:tcW w:w="0" w:type="auto"/>
            <w:gridSpan w:val="3"/>
            <w:shd w:val="clear" w:color="auto" w:fill="auto"/>
            <w:vAlign w:val="bottom"/>
          </w:tcPr>
          <w:p w14:paraId="2470D306" w14:textId="77777777" w:rsidR="009C6E2F" w:rsidRDefault="009C6E2F">
            <w:pPr>
              <w:rPr>
                <w:rFonts w:ascii="宋体"/>
                <w:vanish/>
              </w:rPr>
            </w:pPr>
          </w:p>
        </w:tc>
        <w:tc>
          <w:tcPr>
            <w:tcW w:w="0" w:type="auto"/>
            <w:gridSpan w:val="3"/>
            <w:shd w:val="clear" w:color="auto" w:fill="auto"/>
            <w:vAlign w:val="bottom"/>
          </w:tcPr>
          <w:p w14:paraId="2470D307" w14:textId="77777777" w:rsidR="009C6E2F" w:rsidRDefault="009C6E2F">
            <w:pPr>
              <w:rPr>
                <w:rFonts w:ascii="宋体"/>
                <w:vanish/>
              </w:rPr>
            </w:pPr>
          </w:p>
        </w:tc>
      </w:tr>
      <w:tr w:rsidR="009C6E2F" w14:paraId="2470D31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309" w14:textId="77777777" w:rsidR="009C6E2F" w:rsidRDefault="007972BE">
            <w:pPr>
              <w:textAlignment w:val="bottom"/>
            </w:pPr>
            <w:r>
              <w:rPr>
                <w:rFonts w:ascii="Arial" w:eastAsia="宋体" w:hAnsi="Arial" w:cs="Arial"/>
                <w:color w:val="000000"/>
                <w:sz w:val="17"/>
                <w:szCs w:val="17"/>
              </w:rPr>
              <w:t>Cost of sales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0A" w14:textId="77777777" w:rsidR="009C6E2F" w:rsidRDefault="007972BE">
            <w:pPr>
              <w:jc w:val="right"/>
              <w:textAlignment w:val="center"/>
            </w:pPr>
            <w:r>
              <w:rPr>
                <w:rFonts w:ascii="Arial" w:eastAsia="宋体" w:hAnsi="Arial" w:cs="Arial"/>
                <w:color w:val="000000"/>
                <w:sz w:val="17"/>
                <w:szCs w:val="17"/>
              </w:rPr>
              <w:t>6,144 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0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0C" w14:textId="77777777" w:rsidR="009C6E2F" w:rsidRDefault="007972BE">
            <w:pPr>
              <w:jc w:val="right"/>
              <w:textAlignment w:val="center"/>
            </w:pPr>
            <w:r>
              <w:rPr>
                <w:rFonts w:ascii="Arial" w:eastAsia="宋体" w:hAnsi="Arial" w:cs="Arial"/>
                <w:color w:val="000000"/>
                <w:sz w:val="17"/>
                <w:szCs w:val="17"/>
              </w:rPr>
              <w:t>6,396 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0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0E" w14:textId="77777777" w:rsidR="009C6E2F" w:rsidRDefault="007972BE">
            <w:pPr>
              <w:jc w:val="right"/>
              <w:textAlignment w:val="center"/>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0F"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10"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11" w14:textId="77777777" w:rsidR="009C6E2F" w:rsidRDefault="007972BE">
            <w:pPr>
              <w:jc w:val="right"/>
              <w:textAlignment w:val="center"/>
            </w:pPr>
            <w:r>
              <w:rPr>
                <w:rFonts w:ascii="Arial" w:eastAsia="宋体" w:hAnsi="Arial" w:cs="Arial"/>
                <w:color w:val="000000"/>
                <w:sz w:val="17"/>
                <w:szCs w:val="17"/>
              </w:rPr>
              <w:t>12,696 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1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13" w14:textId="77777777" w:rsidR="009C6E2F" w:rsidRDefault="007972BE">
            <w:pPr>
              <w:jc w:val="right"/>
              <w:textAlignment w:val="center"/>
            </w:pPr>
            <w:r>
              <w:rPr>
                <w:rFonts w:ascii="Arial" w:eastAsia="宋体" w:hAnsi="Arial" w:cs="Arial"/>
                <w:color w:val="000000"/>
                <w:sz w:val="17"/>
                <w:szCs w:val="17"/>
              </w:rPr>
              <w:t>12,249 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1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15" w14:textId="77777777" w:rsidR="009C6E2F" w:rsidRDefault="007972BE">
            <w:pPr>
              <w:jc w:val="right"/>
              <w:textAlignment w:val="center"/>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16"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17" w14:textId="77777777" w:rsidR="009C6E2F" w:rsidRDefault="009C6E2F">
            <w:pPr>
              <w:rPr>
                <w:rFonts w:ascii="宋体"/>
                <w:vanish/>
              </w:rPr>
            </w:pPr>
          </w:p>
        </w:tc>
        <w:tc>
          <w:tcPr>
            <w:tcW w:w="0" w:type="auto"/>
            <w:shd w:val="clear" w:color="auto" w:fill="auto"/>
            <w:vAlign w:val="bottom"/>
          </w:tcPr>
          <w:p w14:paraId="2470D318" w14:textId="77777777" w:rsidR="009C6E2F" w:rsidRDefault="009C6E2F">
            <w:pPr>
              <w:rPr>
                <w:rFonts w:ascii="宋体"/>
                <w:vanish/>
              </w:rPr>
            </w:pPr>
          </w:p>
        </w:tc>
        <w:tc>
          <w:tcPr>
            <w:tcW w:w="0" w:type="auto"/>
            <w:gridSpan w:val="3"/>
            <w:shd w:val="clear" w:color="auto" w:fill="auto"/>
            <w:vAlign w:val="bottom"/>
          </w:tcPr>
          <w:p w14:paraId="2470D319" w14:textId="77777777" w:rsidR="009C6E2F" w:rsidRDefault="009C6E2F">
            <w:pPr>
              <w:rPr>
                <w:rFonts w:ascii="宋体"/>
                <w:vanish/>
              </w:rPr>
            </w:pPr>
          </w:p>
        </w:tc>
        <w:tc>
          <w:tcPr>
            <w:tcW w:w="0" w:type="auto"/>
            <w:gridSpan w:val="3"/>
            <w:shd w:val="clear" w:color="auto" w:fill="auto"/>
            <w:vAlign w:val="bottom"/>
          </w:tcPr>
          <w:p w14:paraId="2470D31A" w14:textId="77777777" w:rsidR="009C6E2F" w:rsidRDefault="009C6E2F">
            <w:pPr>
              <w:rPr>
                <w:rFonts w:ascii="宋体"/>
                <w:vanish/>
              </w:rPr>
            </w:pPr>
          </w:p>
        </w:tc>
      </w:tr>
      <w:tr w:rsidR="009C6E2F" w14:paraId="2470D32E"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470D31C" w14:textId="77777777" w:rsidR="009C6E2F" w:rsidRDefault="007972BE">
            <w:pPr>
              <w:textAlignment w:val="bottom"/>
            </w:pPr>
            <w:r>
              <w:rPr>
                <w:rFonts w:ascii="Arial" w:eastAsia="宋体" w:hAnsi="Arial" w:cs="Arial"/>
                <w:color w:val="000000"/>
                <w:sz w:val="17"/>
                <w:szCs w:val="17"/>
              </w:rPr>
              <w:t>Gross profit</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470D31D" w14:textId="77777777" w:rsidR="009C6E2F" w:rsidRDefault="007972BE">
            <w:pPr>
              <w:jc w:val="right"/>
              <w:textAlignment w:val="center"/>
            </w:pPr>
            <w:r>
              <w:rPr>
                <w:rFonts w:ascii="Arial" w:eastAsia="宋体" w:hAnsi="Arial" w:cs="Arial"/>
                <w:color w:val="000000"/>
                <w:sz w:val="17"/>
                <w:szCs w:val="17"/>
              </w:rPr>
              <w:t>5,213 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1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1F" w14:textId="77777777" w:rsidR="009C6E2F" w:rsidRDefault="007972BE">
            <w:pPr>
              <w:jc w:val="right"/>
              <w:textAlignment w:val="center"/>
            </w:pPr>
            <w:r>
              <w:rPr>
                <w:rFonts w:ascii="Arial" w:eastAsia="宋体" w:hAnsi="Arial" w:cs="Arial"/>
                <w:color w:val="000000"/>
                <w:sz w:val="17"/>
                <w:szCs w:val="17"/>
              </w:rPr>
              <w:t>4,847 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20"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21" w14:textId="77777777" w:rsidR="009C6E2F" w:rsidRDefault="007972BE">
            <w:pPr>
              <w:jc w:val="right"/>
              <w:textAlignment w:val="center"/>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22"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323"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470D324" w14:textId="77777777" w:rsidR="009C6E2F" w:rsidRDefault="007972BE">
            <w:pPr>
              <w:jc w:val="right"/>
              <w:textAlignment w:val="center"/>
            </w:pPr>
            <w:r>
              <w:rPr>
                <w:rFonts w:ascii="Arial" w:eastAsia="宋体" w:hAnsi="Arial" w:cs="Arial"/>
                <w:color w:val="000000"/>
                <w:sz w:val="17"/>
                <w:szCs w:val="17"/>
              </w:rPr>
              <w:t>10,909 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2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26" w14:textId="77777777" w:rsidR="009C6E2F" w:rsidRDefault="007972BE">
            <w:pPr>
              <w:jc w:val="right"/>
              <w:textAlignment w:val="center"/>
            </w:pPr>
            <w:r>
              <w:rPr>
                <w:rFonts w:ascii="Arial" w:eastAsia="宋体" w:hAnsi="Arial" w:cs="Arial"/>
                <w:color w:val="000000"/>
                <w:sz w:val="17"/>
                <w:szCs w:val="17"/>
              </w:rPr>
              <w:t>9,588 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27"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28" w14:textId="77777777" w:rsidR="009C6E2F" w:rsidRDefault="007972BE">
            <w:pPr>
              <w:jc w:val="right"/>
              <w:textAlignment w:val="center"/>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29"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2A" w14:textId="77777777" w:rsidR="009C6E2F" w:rsidRDefault="009C6E2F">
            <w:pPr>
              <w:rPr>
                <w:rFonts w:ascii="宋体"/>
                <w:vanish/>
              </w:rPr>
            </w:pPr>
          </w:p>
        </w:tc>
        <w:tc>
          <w:tcPr>
            <w:tcW w:w="0" w:type="auto"/>
            <w:shd w:val="clear" w:color="auto" w:fill="auto"/>
            <w:vAlign w:val="bottom"/>
          </w:tcPr>
          <w:p w14:paraId="2470D32B" w14:textId="77777777" w:rsidR="009C6E2F" w:rsidRDefault="009C6E2F">
            <w:pPr>
              <w:rPr>
                <w:rFonts w:ascii="宋体"/>
                <w:vanish/>
              </w:rPr>
            </w:pPr>
          </w:p>
        </w:tc>
        <w:tc>
          <w:tcPr>
            <w:tcW w:w="0" w:type="auto"/>
            <w:gridSpan w:val="3"/>
            <w:shd w:val="clear" w:color="auto" w:fill="auto"/>
            <w:vAlign w:val="bottom"/>
          </w:tcPr>
          <w:p w14:paraId="2470D32C" w14:textId="77777777" w:rsidR="009C6E2F" w:rsidRDefault="009C6E2F">
            <w:pPr>
              <w:rPr>
                <w:rFonts w:ascii="宋体"/>
                <w:vanish/>
              </w:rPr>
            </w:pPr>
          </w:p>
        </w:tc>
        <w:tc>
          <w:tcPr>
            <w:tcW w:w="0" w:type="auto"/>
            <w:gridSpan w:val="3"/>
            <w:shd w:val="clear" w:color="auto" w:fill="auto"/>
            <w:vAlign w:val="bottom"/>
          </w:tcPr>
          <w:p w14:paraId="2470D32D" w14:textId="77777777" w:rsidR="009C6E2F" w:rsidRDefault="009C6E2F">
            <w:pPr>
              <w:rPr>
                <w:rFonts w:ascii="宋体"/>
                <w:vanish/>
              </w:rPr>
            </w:pPr>
          </w:p>
        </w:tc>
      </w:tr>
      <w:tr w:rsidR="009C6E2F" w14:paraId="2470D33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32F" w14:textId="77777777" w:rsidR="009C6E2F" w:rsidRDefault="007972BE">
            <w:pPr>
              <w:textAlignment w:val="bottom"/>
            </w:pPr>
            <w:r>
              <w:rPr>
                <w:rFonts w:ascii="Arial" w:eastAsia="宋体" w:hAnsi="Arial" w:cs="Arial"/>
                <w:i/>
                <w:iCs/>
                <w:color w:val="000000"/>
                <w:sz w:val="17"/>
                <w:szCs w:val="17"/>
              </w:rPr>
              <w:t>Gross margin</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30" w14:textId="77777777" w:rsidR="009C6E2F" w:rsidRDefault="007972BE">
            <w:pPr>
              <w:jc w:val="right"/>
              <w:textAlignment w:val="center"/>
            </w:pPr>
            <w:r>
              <w:rPr>
                <w:rFonts w:ascii="Arial" w:eastAsia="宋体" w:hAnsi="Arial" w:cs="Arial"/>
                <w:i/>
                <w:iCs/>
                <w:color w:val="000000"/>
                <w:sz w:val="17"/>
                <w:szCs w:val="17"/>
              </w:rPr>
              <w:t>45.9 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31"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32" w14:textId="77777777" w:rsidR="009C6E2F" w:rsidRDefault="007972BE">
            <w:pPr>
              <w:jc w:val="right"/>
              <w:textAlignment w:val="center"/>
            </w:pPr>
            <w:r>
              <w:rPr>
                <w:rFonts w:ascii="Arial" w:eastAsia="宋体" w:hAnsi="Arial" w:cs="Arial"/>
                <w:i/>
                <w:iCs/>
                <w:color w:val="000000"/>
                <w:sz w:val="17"/>
                <w:szCs w:val="17"/>
              </w:rPr>
              <w:t>43.1 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33"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34"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35"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36" w14:textId="77777777" w:rsidR="009C6E2F" w:rsidRDefault="007972BE">
            <w:pPr>
              <w:jc w:val="right"/>
              <w:textAlignment w:val="center"/>
            </w:pPr>
            <w:r>
              <w:rPr>
                <w:rFonts w:ascii="Arial" w:eastAsia="宋体" w:hAnsi="Arial" w:cs="Arial"/>
                <w:i/>
                <w:iCs/>
                <w:color w:val="000000"/>
                <w:sz w:val="17"/>
                <w:szCs w:val="17"/>
              </w:rPr>
              <w:t>46.2 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37"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38" w14:textId="77777777" w:rsidR="009C6E2F" w:rsidRDefault="007972BE">
            <w:pPr>
              <w:jc w:val="right"/>
              <w:textAlignment w:val="center"/>
            </w:pPr>
            <w:r>
              <w:rPr>
                <w:rFonts w:ascii="Arial" w:eastAsia="宋体" w:hAnsi="Arial" w:cs="Arial"/>
                <w:i/>
                <w:iCs/>
                <w:color w:val="000000"/>
                <w:sz w:val="17"/>
                <w:szCs w:val="17"/>
              </w:rPr>
              <w:t>43.9 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39"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3A" w14:textId="77777777" w:rsidR="009C6E2F" w:rsidRDefault="009C6E2F">
            <w:pPr>
              <w:rPr>
                <w:rFonts w:ascii="宋体"/>
              </w:rPr>
            </w:pPr>
          </w:p>
        </w:tc>
        <w:tc>
          <w:tcPr>
            <w:tcW w:w="0" w:type="auto"/>
            <w:shd w:val="clear" w:color="auto" w:fill="auto"/>
            <w:vAlign w:val="bottom"/>
          </w:tcPr>
          <w:p w14:paraId="2470D33B" w14:textId="77777777" w:rsidR="009C6E2F" w:rsidRDefault="009C6E2F">
            <w:pPr>
              <w:rPr>
                <w:rFonts w:ascii="宋体"/>
                <w:vanish/>
              </w:rPr>
            </w:pPr>
          </w:p>
        </w:tc>
        <w:tc>
          <w:tcPr>
            <w:tcW w:w="0" w:type="auto"/>
            <w:shd w:val="clear" w:color="auto" w:fill="auto"/>
            <w:vAlign w:val="bottom"/>
          </w:tcPr>
          <w:p w14:paraId="2470D33C" w14:textId="77777777" w:rsidR="009C6E2F" w:rsidRDefault="009C6E2F">
            <w:pPr>
              <w:rPr>
                <w:rFonts w:ascii="宋体"/>
                <w:vanish/>
              </w:rPr>
            </w:pPr>
          </w:p>
        </w:tc>
        <w:tc>
          <w:tcPr>
            <w:tcW w:w="0" w:type="auto"/>
            <w:gridSpan w:val="3"/>
            <w:shd w:val="clear" w:color="auto" w:fill="auto"/>
            <w:vAlign w:val="bottom"/>
          </w:tcPr>
          <w:p w14:paraId="2470D33D" w14:textId="77777777" w:rsidR="009C6E2F" w:rsidRDefault="009C6E2F">
            <w:pPr>
              <w:rPr>
                <w:rFonts w:ascii="宋体"/>
                <w:vanish/>
              </w:rPr>
            </w:pPr>
          </w:p>
        </w:tc>
        <w:tc>
          <w:tcPr>
            <w:tcW w:w="0" w:type="auto"/>
            <w:gridSpan w:val="3"/>
            <w:shd w:val="clear" w:color="auto" w:fill="auto"/>
            <w:vAlign w:val="bottom"/>
          </w:tcPr>
          <w:p w14:paraId="2470D33E" w14:textId="77777777" w:rsidR="009C6E2F" w:rsidRDefault="009C6E2F">
            <w:pPr>
              <w:rPr>
                <w:rFonts w:ascii="宋体"/>
                <w:vanish/>
              </w:rPr>
            </w:pPr>
          </w:p>
        </w:tc>
      </w:tr>
      <w:tr w:rsidR="009C6E2F" w14:paraId="2470D352"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340" w14:textId="77777777" w:rsidR="009C6E2F" w:rsidRDefault="007972BE">
            <w:pPr>
              <w:textAlignment w:val="bottom"/>
            </w:pPr>
            <w:r>
              <w:rPr>
                <w:rFonts w:ascii="Arial" w:eastAsia="宋体" w:hAnsi="Arial" w:cs="Arial"/>
                <w:color w:val="000000"/>
                <w:sz w:val="17"/>
                <w:szCs w:val="17"/>
              </w:rPr>
              <w:t>Demand creation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41" w14:textId="77777777" w:rsidR="009C6E2F" w:rsidRDefault="007972BE">
            <w:pPr>
              <w:jc w:val="right"/>
              <w:textAlignment w:val="center"/>
            </w:pPr>
            <w:r>
              <w:rPr>
                <w:rFonts w:ascii="Arial" w:eastAsia="宋体" w:hAnsi="Arial" w:cs="Arial"/>
                <w:color w:val="000000"/>
                <w:sz w:val="17"/>
                <w:szCs w:val="17"/>
              </w:rPr>
              <w:t>1,017 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4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43" w14:textId="77777777" w:rsidR="009C6E2F" w:rsidRDefault="007972BE">
            <w:pPr>
              <w:jc w:val="right"/>
              <w:textAlignment w:val="center"/>
            </w:pPr>
            <w:r>
              <w:rPr>
                <w:rFonts w:ascii="Arial" w:eastAsia="宋体" w:hAnsi="Arial" w:cs="Arial"/>
                <w:color w:val="000000"/>
                <w:sz w:val="17"/>
                <w:szCs w:val="17"/>
              </w:rPr>
              <w:t>729 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4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45" w14:textId="77777777" w:rsidR="009C6E2F" w:rsidRDefault="007972BE">
            <w:pPr>
              <w:jc w:val="right"/>
              <w:textAlignment w:val="center"/>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46"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4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48" w14:textId="77777777" w:rsidR="009C6E2F" w:rsidRDefault="007972BE">
            <w:pPr>
              <w:jc w:val="right"/>
              <w:textAlignment w:val="center"/>
            </w:pPr>
            <w:r>
              <w:rPr>
                <w:rFonts w:ascii="Arial" w:eastAsia="宋体" w:hAnsi="Arial" w:cs="Arial"/>
                <w:color w:val="000000"/>
                <w:sz w:val="17"/>
                <w:szCs w:val="17"/>
              </w:rPr>
              <w:t>1,935 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4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4A" w14:textId="77777777" w:rsidR="009C6E2F" w:rsidRDefault="007972BE">
            <w:pPr>
              <w:jc w:val="right"/>
              <w:textAlignment w:val="center"/>
            </w:pPr>
            <w:r>
              <w:rPr>
                <w:rFonts w:ascii="Arial" w:eastAsia="宋体" w:hAnsi="Arial" w:cs="Arial"/>
                <w:color w:val="000000"/>
                <w:sz w:val="17"/>
                <w:szCs w:val="17"/>
              </w:rPr>
              <w:t>1,406 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4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4C" w14:textId="77777777" w:rsidR="009C6E2F" w:rsidRDefault="007972BE">
            <w:pPr>
              <w:jc w:val="right"/>
              <w:textAlignment w:val="center"/>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4D"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4E" w14:textId="77777777" w:rsidR="009C6E2F" w:rsidRDefault="009C6E2F">
            <w:pPr>
              <w:rPr>
                <w:rFonts w:ascii="宋体"/>
                <w:vanish/>
              </w:rPr>
            </w:pPr>
          </w:p>
        </w:tc>
        <w:tc>
          <w:tcPr>
            <w:tcW w:w="0" w:type="auto"/>
            <w:shd w:val="clear" w:color="auto" w:fill="auto"/>
            <w:vAlign w:val="bottom"/>
          </w:tcPr>
          <w:p w14:paraId="2470D34F" w14:textId="77777777" w:rsidR="009C6E2F" w:rsidRDefault="009C6E2F">
            <w:pPr>
              <w:rPr>
                <w:rFonts w:ascii="宋体"/>
                <w:vanish/>
              </w:rPr>
            </w:pPr>
          </w:p>
        </w:tc>
        <w:tc>
          <w:tcPr>
            <w:tcW w:w="0" w:type="auto"/>
            <w:gridSpan w:val="3"/>
            <w:shd w:val="clear" w:color="auto" w:fill="auto"/>
            <w:vAlign w:val="bottom"/>
          </w:tcPr>
          <w:p w14:paraId="2470D350" w14:textId="77777777" w:rsidR="009C6E2F" w:rsidRDefault="009C6E2F">
            <w:pPr>
              <w:rPr>
                <w:rFonts w:ascii="宋体"/>
                <w:vanish/>
              </w:rPr>
            </w:pPr>
          </w:p>
        </w:tc>
        <w:tc>
          <w:tcPr>
            <w:tcW w:w="0" w:type="auto"/>
            <w:gridSpan w:val="3"/>
            <w:shd w:val="clear" w:color="auto" w:fill="auto"/>
            <w:vAlign w:val="bottom"/>
          </w:tcPr>
          <w:p w14:paraId="2470D351" w14:textId="77777777" w:rsidR="009C6E2F" w:rsidRDefault="009C6E2F">
            <w:pPr>
              <w:rPr>
                <w:rFonts w:ascii="宋体"/>
                <w:vanish/>
              </w:rPr>
            </w:pPr>
          </w:p>
        </w:tc>
      </w:tr>
      <w:tr w:rsidR="009C6E2F" w14:paraId="2470D36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353" w14:textId="77777777" w:rsidR="009C6E2F" w:rsidRDefault="007972BE">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54" w14:textId="77777777" w:rsidR="009C6E2F" w:rsidRDefault="007972BE">
            <w:pPr>
              <w:jc w:val="right"/>
              <w:textAlignment w:val="center"/>
            </w:pPr>
            <w:r>
              <w:rPr>
                <w:rFonts w:ascii="Arial" w:eastAsia="宋体" w:hAnsi="Arial" w:cs="Arial"/>
                <w:color w:val="000000"/>
                <w:sz w:val="17"/>
                <w:szCs w:val="17"/>
              </w:rPr>
              <w:t>2,742 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5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56" w14:textId="77777777" w:rsidR="009C6E2F" w:rsidRDefault="007972BE">
            <w:pPr>
              <w:jc w:val="right"/>
              <w:textAlignment w:val="center"/>
            </w:pPr>
            <w:r>
              <w:rPr>
                <w:rFonts w:ascii="Arial" w:eastAsia="宋体" w:hAnsi="Arial" w:cs="Arial"/>
                <w:color w:val="000000"/>
                <w:sz w:val="17"/>
                <w:szCs w:val="17"/>
              </w:rPr>
              <w:t>2,538 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5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58" w14:textId="77777777" w:rsidR="009C6E2F" w:rsidRDefault="007972BE">
            <w:pPr>
              <w:jc w:val="right"/>
              <w:textAlignment w:val="center"/>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59"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5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5B" w14:textId="77777777" w:rsidR="009C6E2F" w:rsidRDefault="007972BE">
            <w:pPr>
              <w:jc w:val="right"/>
              <w:textAlignment w:val="center"/>
            </w:pPr>
            <w:r>
              <w:rPr>
                <w:rFonts w:ascii="Arial" w:eastAsia="宋体" w:hAnsi="Arial" w:cs="Arial"/>
                <w:color w:val="000000"/>
                <w:sz w:val="17"/>
                <w:szCs w:val="17"/>
              </w:rPr>
              <w:t>5,396 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5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5D" w14:textId="77777777" w:rsidR="009C6E2F" w:rsidRDefault="007972BE">
            <w:pPr>
              <w:jc w:val="right"/>
              <w:textAlignment w:val="center"/>
            </w:pPr>
            <w:r>
              <w:rPr>
                <w:rFonts w:ascii="Arial" w:eastAsia="宋体" w:hAnsi="Arial" w:cs="Arial"/>
                <w:color w:val="000000"/>
                <w:sz w:val="17"/>
                <w:szCs w:val="17"/>
              </w:rPr>
              <w:t>4,836 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5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5F" w14:textId="77777777" w:rsidR="009C6E2F" w:rsidRDefault="007972BE">
            <w:pPr>
              <w:jc w:val="right"/>
              <w:textAlignment w:val="center"/>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60"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61" w14:textId="77777777" w:rsidR="009C6E2F" w:rsidRDefault="009C6E2F">
            <w:pPr>
              <w:rPr>
                <w:rFonts w:ascii="宋体"/>
                <w:vanish/>
              </w:rPr>
            </w:pPr>
          </w:p>
        </w:tc>
        <w:tc>
          <w:tcPr>
            <w:tcW w:w="0" w:type="auto"/>
            <w:shd w:val="clear" w:color="auto" w:fill="auto"/>
            <w:vAlign w:val="bottom"/>
          </w:tcPr>
          <w:p w14:paraId="2470D362" w14:textId="77777777" w:rsidR="009C6E2F" w:rsidRDefault="009C6E2F">
            <w:pPr>
              <w:rPr>
                <w:rFonts w:ascii="宋体"/>
                <w:vanish/>
              </w:rPr>
            </w:pPr>
          </w:p>
        </w:tc>
        <w:tc>
          <w:tcPr>
            <w:tcW w:w="0" w:type="auto"/>
            <w:gridSpan w:val="3"/>
            <w:shd w:val="clear" w:color="auto" w:fill="auto"/>
            <w:vAlign w:val="bottom"/>
          </w:tcPr>
          <w:p w14:paraId="2470D363" w14:textId="77777777" w:rsidR="009C6E2F" w:rsidRDefault="009C6E2F">
            <w:pPr>
              <w:rPr>
                <w:rFonts w:ascii="宋体"/>
                <w:vanish/>
              </w:rPr>
            </w:pPr>
          </w:p>
        </w:tc>
        <w:tc>
          <w:tcPr>
            <w:tcW w:w="0" w:type="auto"/>
            <w:gridSpan w:val="3"/>
            <w:shd w:val="clear" w:color="auto" w:fill="auto"/>
            <w:vAlign w:val="bottom"/>
          </w:tcPr>
          <w:p w14:paraId="2470D364" w14:textId="77777777" w:rsidR="009C6E2F" w:rsidRDefault="009C6E2F">
            <w:pPr>
              <w:rPr>
                <w:rFonts w:ascii="宋体"/>
                <w:vanish/>
              </w:rPr>
            </w:pPr>
          </w:p>
        </w:tc>
      </w:tr>
      <w:tr w:rsidR="009C6E2F" w14:paraId="2470D378"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470D366" w14:textId="77777777" w:rsidR="009C6E2F" w:rsidRDefault="007972BE">
            <w:pPr>
              <w:textAlignment w:val="bottom"/>
            </w:pPr>
            <w:r>
              <w:rPr>
                <w:rFonts w:ascii="Arial" w:eastAsia="宋体" w:hAnsi="Arial" w:cs="Arial"/>
                <w:color w:val="000000"/>
                <w:sz w:val="17"/>
                <w:szCs w:val="17"/>
              </w:rPr>
              <w:t>Total selling and administrative expense</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470D367" w14:textId="77777777" w:rsidR="009C6E2F" w:rsidRDefault="007972BE">
            <w:pPr>
              <w:jc w:val="right"/>
              <w:textAlignment w:val="center"/>
            </w:pPr>
            <w:r>
              <w:rPr>
                <w:rFonts w:ascii="Arial" w:eastAsia="宋体" w:hAnsi="Arial" w:cs="Arial"/>
                <w:color w:val="000000"/>
                <w:sz w:val="17"/>
                <w:szCs w:val="17"/>
              </w:rPr>
              <w:t>3,759 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68"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69" w14:textId="77777777" w:rsidR="009C6E2F" w:rsidRDefault="007972BE">
            <w:pPr>
              <w:jc w:val="right"/>
              <w:textAlignment w:val="center"/>
            </w:pPr>
            <w:r>
              <w:rPr>
                <w:rFonts w:ascii="Arial" w:eastAsia="宋体" w:hAnsi="Arial" w:cs="Arial"/>
                <w:color w:val="000000"/>
                <w:sz w:val="17"/>
                <w:szCs w:val="17"/>
              </w:rPr>
              <w:t>3,267 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6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6B" w14:textId="77777777" w:rsidR="009C6E2F" w:rsidRDefault="007972BE">
            <w:pPr>
              <w:jc w:val="right"/>
              <w:textAlignment w:val="center"/>
            </w:pPr>
            <w:r>
              <w:rPr>
                <w:rFonts w:ascii="Arial" w:eastAsia="宋体" w:hAnsi="Arial" w:cs="Arial"/>
                <w:color w:val="000000"/>
                <w:sz w:val="17"/>
                <w:szCs w:val="17"/>
              </w:rPr>
              <w:t>15 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6C"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36D"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470D36E" w14:textId="77777777" w:rsidR="009C6E2F" w:rsidRDefault="007972BE">
            <w:pPr>
              <w:jc w:val="right"/>
              <w:textAlignment w:val="center"/>
            </w:pPr>
            <w:r>
              <w:rPr>
                <w:rFonts w:ascii="Arial" w:eastAsia="宋体" w:hAnsi="Arial" w:cs="Arial"/>
                <w:color w:val="000000"/>
                <w:sz w:val="17"/>
                <w:szCs w:val="17"/>
              </w:rPr>
              <w:t>7,331 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6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70" w14:textId="77777777" w:rsidR="009C6E2F" w:rsidRDefault="007972BE">
            <w:pPr>
              <w:jc w:val="right"/>
              <w:textAlignment w:val="center"/>
            </w:pPr>
            <w:r>
              <w:rPr>
                <w:rFonts w:ascii="Arial" w:eastAsia="宋体" w:hAnsi="Arial" w:cs="Arial"/>
                <w:color w:val="000000"/>
                <w:sz w:val="17"/>
                <w:szCs w:val="17"/>
              </w:rPr>
              <w:t>6,242 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7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72" w14:textId="77777777" w:rsidR="009C6E2F" w:rsidRDefault="007972BE">
            <w:pPr>
              <w:jc w:val="right"/>
              <w:textAlignment w:val="center"/>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73"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74" w14:textId="77777777" w:rsidR="009C6E2F" w:rsidRDefault="009C6E2F">
            <w:pPr>
              <w:rPr>
                <w:rFonts w:ascii="宋体"/>
                <w:vanish/>
              </w:rPr>
            </w:pPr>
          </w:p>
        </w:tc>
        <w:tc>
          <w:tcPr>
            <w:tcW w:w="0" w:type="auto"/>
            <w:shd w:val="clear" w:color="auto" w:fill="auto"/>
            <w:vAlign w:val="bottom"/>
          </w:tcPr>
          <w:p w14:paraId="2470D375" w14:textId="77777777" w:rsidR="009C6E2F" w:rsidRDefault="009C6E2F">
            <w:pPr>
              <w:rPr>
                <w:rFonts w:ascii="宋体"/>
                <w:vanish/>
              </w:rPr>
            </w:pPr>
          </w:p>
        </w:tc>
        <w:tc>
          <w:tcPr>
            <w:tcW w:w="0" w:type="auto"/>
            <w:gridSpan w:val="3"/>
            <w:shd w:val="clear" w:color="auto" w:fill="auto"/>
            <w:vAlign w:val="bottom"/>
          </w:tcPr>
          <w:p w14:paraId="2470D376" w14:textId="77777777" w:rsidR="009C6E2F" w:rsidRDefault="009C6E2F">
            <w:pPr>
              <w:rPr>
                <w:rFonts w:ascii="宋体"/>
                <w:vanish/>
              </w:rPr>
            </w:pPr>
          </w:p>
        </w:tc>
        <w:tc>
          <w:tcPr>
            <w:tcW w:w="0" w:type="auto"/>
            <w:gridSpan w:val="3"/>
            <w:shd w:val="clear" w:color="auto" w:fill="auto"/>
            <w:vAlign w:val="bottom"/>
          </w:tcPr>
          <w:p w14:paraId="2470D377" w14:textId="77777777" w:rsidR="009C6E2F" w:rsidRDefault="009C6E2F">
            <w:pPr>
              <w:rPr>
                <w:rFonts w:ascii="宋体"/>
                <w:vanish/>
              </w:rPr>
            </w:pPr>
          </w:p>
        </w:tc>
      </w:tr>
      <w:tr w:rsidR="009C6E2F" w14:paraId="2470D38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379" w14:textId="77777777" w:rsidR="009C6E2F" w:rsidRDefault="007972BE">
            <w:pPr>
              <w:textAlignment w:val="bottom"/>
            </w:pPr>
            <w:r>
              <w:rPr>
                <w:rFonts w:ascii="Arial" w:eastAsia="宋体" w:hAnsi="Arial" w:cs="Arial"/>
                <w:i/>
                <w:iCs/>
                <w:color w:val="000000"/>
                <w:sz w:val="17"/>
                <w:szCs w:val="17"/>
              </w:rPr>
              <w:t>% of revenues</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7A" w14:textId="77777777" w:rsidR="009C6E2F" w:rsidRDefault="007972BE">
            <w:pPr>
              <w:jc w:val="right"/>
              <w:textAlignment w:val="center"/>
            </w:pPr>
            <w:r>
              <w:rPr>
                <w:rFonts w:ascii="Arial" w:eastAsia="宋体" w:hAnsi="Arial" w:cs="Arial"/>
                <w:i/>
                <w:iCs/>
                <w:color w:val="000000"/>
                <w:sz w:val="17"/>
                <w:szCs w:val="17"/>
              </w:rPr>
              <w:t>33.1 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7B"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7C" w14:textId="77777777" w:rsidR="009C6E2F" w:rsidRDefault="007972BE">
            <w:pPr>
              <w:jc w:val="right"/>
              <w:textAlignment w:val="center"/>
            </w:pPr>
            <w:r>
              <w:rPr>
                <w:rFonts w:ascii="Arial" w:eastAsia="宋体" w:hAnsi="Arial" w:cs="Arial"/>
                <w:i/>
                <w:iCs/>
                <w:color w:val="000000"/>
                <w:sz w:val="17"/>
                <w:szCs w:val="17"/>
              </w:rPr>
              <w:t>29.1 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7D"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7E"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7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80" w14:textId="77777777" w:rsidR="009C6E2F" w:rsidRDefault="007972BE">
            <w:pPr>
              <w:jc w:val="right"/>
              <w:textAlignment w:val="center"/>
            </w:pPr>
            <w:r>
              <w:rPr>
                <w:rFonts w:ascii="Arial" w:eastAsia="宋体" w:hAnsi="Arial" w:cs="Arial"/>
                <w:i/>
                <w:iCs/>
                <w:color w:val="000000"/>
                <w:sz w:val="17"/>
                <w:szCs w:val="17"/>
              </w:rPr>
              <w:t>31.1 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81"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82" w14:textId="77777777" w:rsidR="009C6E2F" w:rsidRDefault="007972BE">
            <w:pPr>
              <w:jc w:val="right"/>
              <w:textAlignment w:val="center"/>
            </w:pPr>
            <w:r>
              <w:rPr>
                <w:rFonts w:ascii="Arial" w:eastAsia="宋体" w:hAnsi="Arial" w:cs="Arial"/>
                <w:i/>
                <w:iCs/>
                <w:color w:val="000000"/>
                <w:sz w:val="17"/>
                <w:szCs w:val="17"/>
              </w:rPr>
              <w:t>28.6 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83"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84" w14:textId="77777777" w:rsidR="009C6E2F" w:rsidRDefault="009C6E2F">
            <w:pPr>
              <w:rPr>
                <w:rFonts w:ascii="宋体"/>
              </w:rPr>
            </w:pPr>
          </w:p>
        </w:tc>
        <w:tc>
          <w:tcPr>
            <w:tcW w:w="0" w:type="auto"/>
            <w:shd w:val="clear" w:color="auto" w:fill="auto"/>
            <w:vAlign w:val="bottom"/>
          </w:tcPr>
          <w:p w14:paraId="2470D385" w14:textId="77777777" w:rsidR="009C6E2F" w:rsidRDefault="009C6E2F">
            <w:pPr>
              <w:rPr>
                <w:rFonts w:ascii="宋体"/>
                <w:vanish/>
              </w:rPr>
            </w:pPr>
          </w:p>
        </w:tc>
        <w:tc>
          <w:tcPr>
            <w:tcW w:w="0" w:type="auto"/>
            <w:shd w:val="clear" w:color="auto" w:fill="auto"/>
            <w:vAlign w:val="bottom"/>
          </w:tcPr>
          <w:p w14:paraId="2470D386" w14:textId="77777777" w:rsidR="009C6E2F" w:rsidRDefault="009C6E2F">
            <w:pPr>
              <w:rPr>
                <w:rFonts w:ascii="宋体"/>
                <w:vanish/>
              </w:rPr>
            </w:pPr>
          </w:p>
        </w:tc>
        <w:tc>
          <w:tcPr>
            <w:tcW w:w="0" w:type="auto"/>
            <w:gridSpan w:val="3"/>
            <w:shd w:val="clear" w:color="auto" w:fill="auto"/>
            <w:vAlign w:val="bottom"/>
          </w:tcPr>
          <w:p w14:paraId="2470D387" w14:textId="77777777" w:rsidR="009C6E2F" w:rsidRDefault="009C6E2F">
            <w:pPr>
              <w:rPr>
                <w:rFonts w:ascii="宋体"/>
                <w:vanish/>
              </w:rPr>
            </w:pPr>
          </w:p>
        </w:tc>
        <w:tc>
          <w:tcPr>
            <w:tcW w:w="0" w:type="auto"/>
            <w:gridSpan w:val="3"/>
            <w:shd w:val="clear" w:color="auto" w:fill="auto"/>
            <w:vAlign w:val="bottom"/>
          </w:tcPr>
          <w:p w14:paraId="2470D388" w14:textId="77777777" w:rsidR="009C6E2F" w:rsidRDefault="009C6E2F">
            <w:pPr>
              <w:rPr>
                <w:rFonts w:ascii="宋体"/>
                <w:vanish/>
              </w:rPr>
            </w:pPr>
          </w:p>
        </w:tc>
      </w:tr>
      <w:tr w:rsidR="009C6E2F" w14:paraId="2470D39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38A" w14:textId="77777777" w:rsidR="009C6E2F" w:rsidRDefault="007972BE">
            <w:pPr>
              <w:textAlignment w:val="bottom"/>
            </w:pPr>
            <w:r>
              <w:rPr>
                <w:rFonts w:ascii="Arial" w:eastAsia="宋体" w:hAnsi="Arial" w:cs="Arial"/>
                <w:color w:val="000000"/>
                <w:sz w:val="17"/>
                <w:szCs w:val="17"/>
              </w:rPr>
              <w:t>Interest expense (income),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8B" w14:textId="77777777" w:rsidR="009C6E2F" w:rsidRDefault="007972BE">
            <w:pPr>
              <w:jc w:val="right"/>
              <w:textAlignment w:val="center"/>
            </w:pPr>
            <w:r>
              <w:rPr>
                <w:rFonts w:ascii="Arial" w:eastAsia="宋体" w:hAnsi="Arial" w:cs="Arial"/>
                <w:color w:val="000000"/>
                <w:sz w:val="17"/>
                <w:szCs w:val="17"/>
              </w:rPr>
              <w:t>55 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8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8D" w14:textId="77777777" w:rsidR="009C6E2F" w:rsidRDefault="007972BE">
            <w:pPr>
              <w:jc w:val="right"/>
              <w:textAlignment w:val="center"/>
            </w:pPr>
            <w:r>
              <w:rPr>
                <w:rFonts w:ascii="Arial" w:eastAsia="宋体" w:hAnsi="Arial" w:cs="Arial"/>
                <w:color w:val="000000"/>
                <w:sz w:val="17"/>
                <w:szCs w:val="17"/>
              </w:rPr>
              <w:t>70 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8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8F" w14:textId="77777777" w:rsidR="009C6E2F" w:rsidRDefault="007972BE">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90"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9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92" w14:textId="77777777" w:rsidR="009C6E2F" w:rsidRDefault="007972BE">
            <w:pPr>
              <w:jc w:val="right"/>
              <w:textAlignment w:val="center"/>
            </w:pPr>
            <w:r>
              <w:rPr>
                <w:rFonts w:ascii="Arial" w:eastAsia="宋体" w:hAnsi="Arial" w:cs="Arial"/>
                <w:color w:val="000000"/>
                <w:sz w:val="17"/>
                <w:szCs w:val="17"/>
              </w:rPr>
              <w:t>112 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9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94" w14:textId="77777777" w:rsidR="009C6E2F" w:rsidRDefault="007972BE">
            <w:pPr>
              <w:jc w:val="right"/>
              <w:textAlignment w:val="center"/>
            </w:pPr>
            <w:r>
              <w:rPr>
                <w:rFonts w:ascii="Arial" w:eastAsia="宋体" w:hAnsi="Arial" w:cs="Arial"/>
                <w:color w:val="000000"/>
                <w:sz w:val="17"/>
                <w:szCs w:val="17"/>
              </w:rPr>
              <w:t>135 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9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96" w14:textId="77777777" w:rsidR="009C6E2F" w:rsidRDefault="007972BE">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97" w14:textId="77777777" w:rsidR="009C6E2F" w:rsidRDefault="009C6E2F">
            <w:pPr>
              <w:jc w:val="right"/>
              <w:rPr>
                <w:rFonts w:ascii="宋体"/>
              </w:rPr>
            </w:pPr>
          </w:p>
        </w:tc>
        <w:tc>
          <w:tcPr>
            <w:tcW w:w="0" w:type="auto"/>
            <w:shd w:val="clear" w:color="auto" w:fill="auto"/>
            <w:vAlign w:val="bottom"/>
          </w:tcPr>
          <w:p w14:paraId="2470D398" w14:textId="77777777" w:rsidR="009C6E2F" w:rsidRDefault="009C6E2F">
            <w:pPr>
              <w:rPr>
                <w:rFonts w:ascii="宋体"/>
                <w:vanish/>
              </w:rPr>
            </w:pPr>
          </w:p>
        </w:tc>
        <w:tc>
          <w:tcPr>
            <w:tcW w:w="0" w:type="auto"/>
            <w:shd w:val="clear" w:color="auto" w:fill="auto"/>
            <w:vAlign w:val="bottom"/>
          </w:tcPr>
          <w:p w14:paraId="2470D399" w14:textId="77777777" w:rsidR="009C6E2F" w:rsidRDefault="009C6E2F">
            <w:pPr>
              <w:rPr>
                <w:rFonts w:ascii="宋体"/>
                <w:vanish/>
              </w:rPr>
            </w:pPr>
          </w:p>
        </w:tc>
        <w:tc>
          <w:tcPr>
            <w:tcW w:w="0" w:type="auto"/>
            <w:gridSpan w:val="3"/>
            <w:shd w:val="clear" w:color="auto" w:fill="auto"/>
            <w:vAlign w:val="bottom"/>
          </w:tcPr>
          <w:p w14:paraId="2470D39A" w14:textId="77777777" w:rsidR="009C6E2F" w:rsidRDefault="009C6E2F">
            <w:pPr>
              <w:rPr>
                <w:rFonts w:ascii="宋体"/>
                <w:vanish/>
              </w:rPr>
            </w:pPr>
          </w:p>
        </w:tc>
        <w:tc>
          <w:tcPr>
            <w:tcW w:w="0" w:type="auto"/>
            <w:gridSpan w:val="3"/>
            <w:shd w:val="clear" w:color="auto" w:fill="auto"/>
            <w:vAlign w:val="bottom"/>
          </w:tcPr>
          <w:p w14:paraId="2470D39B" w14:textId="77777777" w:rsidR="009C6E2F" w:rsidRDefault="009C6E2F">
            <w:pPr>
              <w:rPr>
                <w:rFonts w:ascii="宋体"/>
                <w:vanish/>
              </w:rPr>
            </w:pPr>
          </w:p>
        </w:tc>
      </w:tr>
      <w:tr w:rsidR="009C6E2F" w14:paraId="2470D3A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39D" w14:textId="77777777" w:rsidR="009C6E2F" w:rsidRDefault="007972BE">
            <w:pPr>
              <w:textAlignment w:val="bottom"/>
            </w:pPr>
            <w:r>
              <w:rPr>
                <w:rFonts w:ascii="Arial" w:eastAsia="宋体" w:hAnsi="Arial" w:cs="Arial"/>
                <w:color w:val="000000"/>
                <w:sz w:val="17"/>
                <w:szCs w:val="17"/>
              </w:rPr>
              <w:t>Other (income) expense, net</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9E" w14:textId="77777777" w:rsidR="009C6E2F" w:rsidRDefault="007972BE">
            <w:pPr>
              <w:jc w:val="right"/>
              <w:textAlignment w:val="center"/>
            </w:pPr>
            <w:r>
              <w:rPr>
                <w:rFonts w:ascii="Arial" w:eastAsia="宋体" w:hAnsi="Arial" w:cs="Arial"/>
                <w:color w:val="000000"/>
                <w:sz w:val="17"/>
                <w:szCs w:val="17"/>
              </w:rPr>
              <w:t>(102)</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9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A0" w14:textId="77777777" w:rsidR="009C6E2F" w:rsidRDefault="007972BE">
            <w:pPr>
              <w:jc w:val="right"/>
              <w:textAlignment w:val="center"/>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A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A2" w14:textId="77777777" w:rsidR="009C6E2F" w:rsidRDefault="007972BE">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A3"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A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A5" w14:textId="77777777" w:rsidR="009C6E2F" w:rsidRDefault="007972BE">
            <w:pPr>
              <w:jc w:val="right"/>
              <w:textAlignment w:val="center"/>
            </w:pPr>
            <w:r>
              <w:rPr>
                <w:rFonts w:ascii="Arial" w:eastAsia="宋体" w:hAnsi="Arial" w:cs="Arial"/>
                <w:color w:val="000000"/>
                <w:sz w:val="17"/>
                <w:szCs w:val="17"/>
              </w:rPr>
              <w:t>(141)</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A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A7" w14:textId="77777777" w:rsidR="009C6E2F" w:rsidRDefault="007972BE">
            <w:pPr>
              <w:jc w:val="right"/>
              <w:textAlignment w:val="center"/>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A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A9" w14:textId="77777777" w:rsidR="009C6E2F" w:rsidRDefault="007972BE">
            <w:pPr>
              <w:jc w:val="right"/>
              <w:textAlignment w:val="center"/>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AA" w14:textId="77777777" w:rsidR="009C6E2F" w:rsidRDefault="009C6E2F">
            <w:pPr>
              <w:jc w:val="right"/>
              <w:rPr>
                <w:rFonts w:ascii="宋体"/>
              </w:rPr>
            </w:pPr>
          </w:p>
        </w:tc>
        <w:tc>
          <w:tcPr>
            <w:tcW w:w="0" w:type="auto"/>
            <w:shd w:val="clear" w:color="auto" w:fill="auto"/>
            <w:vAlign w:val="bottom"/>
          </w:tcPr>
          <w:p w14:paraId="2470D3AB" w14:textId="77777777" w:rsidR="009C6E2F" w:rsidRDefault="009C6E2F">
            <w:pPr>
              <w:rPr>
                <w:rFonts w:ascii="宋体"/>
                <w:vanish/>
              </w:rPr>
            </w:pPr>
          </w:p>
        </w:tc>
        <w:tc>
          <w:tcPr>
            <w:tcW w:w="0" w:type="auto"/>
            <w:shd w:val="clear" w:color="auto" w:fill="auto"/>
            <w:vAlign w:val="bottom"/>
          </w:tcPr>
          <w:p w14:paraId="2470D3AC" w14:textId="77777777" w:rsidR="009C6E2F" w:rsidRDefault="009C6E2F">
            <w:pPr>
              <w:rPr>
                <w:rFonts w:ascii="宋体"/>
                <w:vanish/>
              </w:rPr>
            </w:pPr>
          </w:p>
        </w:tc>
        <w:tc>
          <w:tcPr>
            <w:tcW w:w="0" w:type="auto"/>
            <w:gridSpan w:val="3"/>
            <w:shd w:val="clear" w:color="auto" w:fill="auto"/>
            <w:vAlign w:val="bottom"/>
          </w:tcPr>
          <w:p w14:paraId="2470D3AD" w14:textId="77777777" w:rsidR="009C6E2F" w:rsidRDefault="009C6E2F">
            <w:pPr>
              <w:rPr>
                <w:rFonts w:ascii="宋体"/>
                <w:vanish/>
              </w:rPr>
            </w:pPr>
          </w:p>
        </w:tc>
        <w:tc>
          <w:tcPr>
            <w:tcW w:w="0" w:type="auto"/>
            <w:gridSpan w:val="3"/>
            <w:shd w:val="clear" w:color="auto" w:fill="auto"/>
            <w:vAlign w:val="bottom"/>
          </w:tcPr>
          <w:p w14:paraId="2470D3AE" w14:textId="77777777" w:rsidR="009C6E2F" w:rsidRDefault="009C6E2F">
            <w:pPr>
              <w:rPr>
                <w:rFonts w:ascii="宋体"/>
                <w:vanish/>
              </w:rPr>
            </w:pPr>
          </w:p>
        </w:tc>
      </w:tr>
      <w:tr w:rsidR="009C6E2F" w14:paraId="2470D3C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3B0" w14:textId="77777777" w:rsidR="009C6E2F" w:rsidRDefault="007972BE">
            <w:pPr>
              <w:textAlignment w:val="bottom"/>
            </w:pPr>
            <w:r>
              <w:rPr>
                <w:rFonts w:ascii="Arial" w:eastAsia="宋体" w:hAnsi="Arial" w:cs="Arial"/>
                <w:color w:val="000000"/>
                <w:sz w:val="17"/>
                <w:szCs w:val="17"/>
              </w:rPr>
              <w:t>Income before income taxes</w:t>
            </w: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470D3B1" w14:textId="77777777" w:rsidR="009C6E2F" w:rsidRDefault="007972BE">
            <w:pPr>
              <w:jc w:val="right"/>
              <w:textAlignment w:val="center"/>
            </w:pPr>
            <w:r>
              <w:rPr>
                <w:rFonts w:ascii="Arial" w:eastAsia="宋体" w:hAnsi="Arial" w:cs="Arial"/>
                <w:color w:val="000000"/>
                <w:sz w:val="17"/>
                <w:szCs w:val="17"/>
              </w:rPr>
              <w:t>1,501 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B2"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B3" w14:textId="77777777" w:rsidR="009C6E2F" w:rsidRDefault="007972BE">
            <w:pPr>
              <w:jc w:val="right"/>
              <w:textAlignment w:val="center"/>
            </w:pPr>
            <w:r>
              <w:rPr>
                <w:rFonts w:ascii="Arial" w:eastAsia="宋体" w:hAnsi="Arial" w:cs="Arial"/>
                <w:color w:val="000000"/>
                <w:sz w:val="17"/>
                <w:szCs w:val="17"/>
              </w:rPr>
              <w:t>1,456 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B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B5" w14:textId="77777777" w:rsidR="009C6E2F" w:rsidRDefault="007972BE">
            <w:pPr>
              <w:jc w:val="right"/>
              <w:textAlignment w:val="center"/>
            </w:pPr>
            <w:r>
              <w:rPr>
                <w:rFonts w:ascii="Arial" w:eastAsia="宋体" w:hAnsi="Arial" w:cs="Arial"/>
                <w:color w:val="000000"/>
                <w:sz w:val="17"/>
                <w:szCs w:val="17"/>
              </w:rPr>
              <w:t>3 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B6"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3B7"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center"/>
          </w:tcPr>
          <w:p w14:paraId="2470D3B8" w14:textId="77777777" w:rsidR="009C6E2F" w:rsidRDefault="007972BE">
            <w:pPr>
              <w:jc w:val="right"/>
              <w:textAlignment w:val="center"/>
            </w:pPr>
            <w:r>
              <w:rPr>
                <w:rFonts w:ascii="Arial" w:eastAsia="宋体" w:hAnsi="Arial" w:cs="Arial"/>
                <w:color w:val="000000"/>
                <w:sz w:val="17"/>
                <w:szCs w:val="17"/>
              </w:rPr>
              <w:t>3,607 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B9"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BA" w14:textId="77777777" w:rsidR="009C6E2F" w:rsidRDefault="007972BE">
            <w:pPr>
              <w:jc w:val="right"/>
              <w:textAlignment w:val="center"/>
            </w:pPr>
            <w:r>
              <w:rPr>
                <w:rFonts w:ascii="Arial" w:eastAsia="宋体" w:hAnsi="Arial" w:cs="Arial"/>
                <w:color w:val="000000"/>
                <w:sz w:val="17"/>
                <w:szCs w:val="17"/>
              </w:rPr>
              <w:t>3,171 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BB"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BC" w14:textId="77777777" w:rsidR="009C6E2F" w:rsidRDefault="007972BE">
            <w:pPr>
              <w:jc w:val="right"/>
              <w:textAlignment w:val="center"/>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BD"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BE" w14:textId="77777777" w:rsidR="009C6E2F" w:rsidRDefault="009C6E2F">
            <w:pPr>
              <w:rPr>
                <w:rFonts w:ascii="宋体"/>
                <w:vanish/>
              </w:rPr>
            </w:pPr>
          </w:p>
        </w:tc>
        <w:tc>
          <w:tcPr>
            <w:tcW w:w="0" w:type="auto"/>
            <w:shd w:val="clear" w:color="auto" w:fill="auto"/>
            <w:vAlign w:val="bottom"/>
          </w:tcPr>
          <w:p w14:paraId="2470D3BF" w14:textId="77777777" w:rsidR="009C6E2F" w:rsidRDefault="009C6E2F">
            <w:pPr>
              <w:rPr>
                <w:rFonts w:ascii="宋体"/>
                <w:vanish/>
              </w:rPr>
            </w:pPr>
          </w:p>
        </w:tc>
        <w:tc>
          <w:tcPr>
            <w:tcW w:w="0" w:type="auto"/>
            <w:gridSpan w:val="3"/>
            <w:shd w:val="clear" w:color="auto" w:fill="auto"/>
            <w:vAlign w:val="bottom"/>
          </w:tcPr>
          <w:p w14:paraId="2470D3C0" w14:textId="77777777" w:rsidR="009C6E2F" w:rsidRDefault="009C6E2F">
            <w:pPr>
              <w:rPr>
                <w:rFonts w:ascii="宋体"/>
                <w:vanish/>
              </w:rPr>
            </w:pPr>
          </w:p>
        </w:tc>
        <w:tc>
          <w:tcPr>
            <w:tcW w:w="0" w:type="auto"/>
            <w:gridSpan w:val="3"/>
            <w:shd w:val="clear" w:color="auto" w:fill="auto"/>
            <w:vAlign w:val="bottom"/>
          </w:tcPr>
          <w:p w14:paraId="2470D3C1" w14:textId="77777777" w:rsidR="009C6E2F" w:rsidRDefault="009C6E2F">
            <w:pPr>
              <w:rPr>
                <w:rFonts w:ascii="宋体"/>
                <w:vanish/>
              </w:rPr>
            </w:pPr>
          </w:p>
        </w:tc>
      </w:tr>
      <w:tr w:rsidR="009C6E2F" w14:paraId="2470D3D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3C3" w14:textId="77777777" w:rsidR="009C6E2F" w:rsidRDefault="007972BE">
            <w:pPr>
              <w:textAlignment w:val="bottom"/>
            </w:pPr>
            <w:r>
              <w:rPr>
                <w:rFonts w:ascii="Arial" w:eastAsia="宋体" w:hAnsi="Arial" w:cs="Arial"/>
                <w:color w:val="000000"/>
                <w:sz w:val="17"/>
                <w:szCs w:val="17"/>
              </w:rPr>
              <w:t>Income tax expense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C4" w14:textId="77777777" w:rsidR="009C6E2F" w:rsidRDefault="007972BE">
            <w:pPr>
              <w:jc w:val="right"/>
              <w:textAlignment w:val="center"/>
            </w:pPr>
            <w:r>
              <w:rPr>
                <w:rFonts w:ascii="Arial" w:eastAsia="宋体" w:hAnsi="Arial" w:cs="Arial"/>
                <w:color w:val="000000"/>
                <w:sz w:val="17"/>
                <w:szCs w:val="17"/>
              </w:rPr>
              <w:t>164 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C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C6" w14:textId="77777777" w:rsidR="009C6E2F" w:rsidRDefault="007972BE">
            <w:pPr>
              <w:jc w:val="right"/>
              <w:textAlignment w:val="center"/>
            </w:pPr>
            <w:r>
              <w:rPr>
                <w:rFonts w:ascii="Arial" w:eastAsia="宋体" w:hAnsi="Arial" w:cs="Arial"/>
                <w:color w:val="000000"/>
                <w:sz w:val="17"/>
                <w:szCs w:val="17"/>
              </w:rPr>
              <w:t>205 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C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C8" w14:textId="77777777" w:rsidR="009C6E2F" w:rsidRDefault="007972BE">
            <w:pPr>
              <w:jc w:val="right"/>
              <w:textAlignment w:val="center"/>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C9"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C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CB" w14:textId="77777777" w:rsidR="009C6E2F" w:rsidRDefault="007972BE">
            <w:pPr>
              <w:jc w:val="right"/>
              <w:textAlignment w:val="center"/>
            </w:pPr>
            <w:r>
              <w:rPr>
                <w:rFonts w:ascii="Arial" w:eastAsia="宋体" w:hAnsi="Arial" w:cs="Arial"/>
                <w:color w:val="000000"/>
                <w:sz w:val="17"/>
                <w:szCs w:val="17"/>
              </w:rPr>
              <w:t>396 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C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CD" w14:textId="77777777" w:rsidR="009C6E2F" w:rsidRDefault="007972BE">
            <w:pPr>
              <w:jc w:val="right"/>
              <w:textAlignment w:val="center"/>
            </w:pPr>
            <w:r>
              <w:rPr>
                <w:rFonts w:ascii="Arial" w:eastAsia="宋体" w:hAnsi="Arial" w:cs="Arial"/>
                <w:color w:val="000000"/>
                <w:sz w:val="17"/>
                <w:szCs w:val="17"/>
              </w:rPr>
              <w:t>402 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C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CF" w14:textId="77777777" w:rsidR="009C6E2F" w:rsidRDefault="007972BE">
            <w:pPr>
              <w:jc w:val="right"/>
              <w:textAlignment w:val="center"/>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D0"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3D1" w14:textId="77777777" w:rsidR="009C6E2F" w:rsidRDefault="009C6E2F">
            <w:pPr>
              <w:rPr>
                <w:rFonts w:ascii="宋体"/>
                <w:vanish/>
              </w:rPr>
            </w:pPr>
          </w:p>
        </w:tc>
        <w:tc>
          <w:tcPr>
            <w:tcW w:w="0" w:type="auto"/>
            <w:shd w:val="clear" w:color="auto" w:fill="auto"/>
            <w:vAlign w:val="bottom"/>
          </w:tcPr>
          <w:p w14:paraId="2470D3D2" w14:textId="77777777" w:rsidR="009C6E2F" w:rsidRDefault="009C6E2F">
            <w:pPr>
              <w:rPr>
                <w:rFonts w:ascii="宋体"/>
                <w:vanish/>
              </w:rPr>
            </w:pPr>
          </w:p>
        </w:tc>
        <w:tc>
          <w:tcPr>
            <w:tcW w:w="0" w:type="auto"/>
            <w:gridSpan w:val="3"/>
            <w:shd w:val="clear" w:color="auto" w:fill="auto"/>
            <w:vAlign w:val="bottom"/>
          </w:tcPr>
          <w:p w14:paraId="2470D3D3" w14:textId="77777777" w:rsidR="009C6E2F" w:rsidRDefault="009C6E2F">
            <w:pPr>
              <w:rPr>
                <w:rFonts w:ascii="宋体"/>
                <w:vanish/>
              </w:rPr>
            </w:pPr>
          </w:p>
        </w:tc>
        <w:tc>
          <w:tcPr>
            <w:tcW w:w="0" w:type="auto"/>
            <w:gridSpan w:val="3"/>
            <w:shd w:val="clear" w:color="auto" w:fill="auto"/>
            <w:vAlign w:val="bottom"/>
          </w:tcPr>
          <w:p w14:paraId="2470D3D4" w14:textId="77777777" w:rsidR="009C6E2F" w:rsidRDefault="009C6E2F">
            <w:pPr>
              <w:rPr>
                <w:rFonts w:ascii="宋体"/>
                <w:vanish/>
              </w:rPr>
            </w:pPr>
          </w:p>
        </w:tc>
      </w:tr>
      <w:tr w:rsidR="009C6E2F" w14:paraId="2470D3E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3D6" w14:textId="77777777" w:rsidR="009C6E2F" w:rsidRDefault="007972BE">
            <w:pPr>
              <w:textAlignment w:val="bottom"/>
            </w:pPr>
            <w:r>
              <w:rPr>
                <w:rFonts w:ascii="Arial" w:eastAsia="宋体" w:hAnsi="Arial" w:cs="Arial"/>
                <w:i/>
                <w:iCs/>
                <w:color w:val="000000"/>
                <w:sz w:val="17"/>
                <w:szCs w:val="17"/>
              </w:rPr>
              <w:t>Effective tax rate</w:t>
            </w: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D7" w14:textId="77777777" w:rsidR="009C6E2F" w:rsidRDefault="007972BE">
            <w:pPr>
              <w:jc w:val="right"/>
              <w:textAlignment w:val="center"/>
            </w:pPr>
            <w:r>
              <w:rPr>
                <w:rFonts w:ascii="Arial" w:eastAsia="宋体" w:hAnsi="Arial" w:cs="Arial"/>
                <w:i/>
                <w:iCs/>
                <w:color w:val="000000"/>
                <w:sz w:val="17"/>
                <w:szCs w:val="17"/>
              </w:rPr>
              <w:t>10.9 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D8"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D9" w14:textId="77777777" w:rsidR="009C6E2F" w:rsidRDefault="007972BE">
            <w:pPr>
              <w:jc w:val="right"/>
              <w:textAlignment w:val="center"/>
            </w:pPr>
            <w:r>
              <w:rPr>
                <w:rFonts w:ascii="Arial" w:eastAsia="宋体" w:hAnsi="Arial" w:cs="Arial"/>
                <w:i/>
                <w:iCs/>
                <w:color w:val="000000"/>
                <w:sz w:val="17"/>
                <w:szCs w:val="17"/>
              </w:rPr>
              <w:t>14.1 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DA"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DB"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DC"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center"/>
          </w:tcPr>
          <w:p w14:paraId="2470D3DD" w14:textId="77777777" w:rsidR="009C6E2F" w:rsidRDefault="007972BE">
            <w:pPr>
              <w:jc w:val="right"/>
              <w:textAlignment w:val="center"/>
            </w:pPr>
            <w:r>
              <w:rPr>
                <w:rFonts w:ascii="Arial" w:eastAsia="宋体" w:hAnsi="Arial" w:cs="Arial"/>
                <w:i/>
                <w:iCs/>
                <w:color w:val="000000"/>
                <w:sz w:val="17"/>
                <w:szCs w:val="17"/>
              </w:rPr>
              <w:t>11.0 </w:t>
            </w:r>
          </w:p>
        </w:tc>
        <w:tc>
          <w:tcPr>
            <w:tcW w:w="0" w:type="auto"/>
            <w:tcBorders>
              <w:top w:val="single" w:sz="4" w:space="0" w:color="808080"/>
            </w:tcBorders>
            <w:shd w:val="clear" w:color="auto" w:fill="FFF1E7"/>
            <w:tcMar>
              <w:top w:w="40" w:type="dxa"/>
              <w:left w:w="0" w:type="dxa"/>
              <w:bottom w:w="40" w:type="dxa"/>
              <w:right w:w="20" w:type="dxa"/>
            </w:tcMar>
            <w:vAlign w:val="center"/>
          </w:tcPr>
          <w:p w14:paraId="2470D3DE"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center"/>
          </w:tcPr>
          <w:p w14:paraId="2470D3DF" w14:textId="77777777" w:rsidR="009C6E2F" w:rsidRDefault="007972BE">
            <w:pPr>
              <w:jc w:val="right"/>
              <w:textAlignment w:val="center"/>
            </w:pPr>
            <w:r>
              <w:rPr>
                <w:rFonts w:ascii="Arial" w:eastAsia="宋体" w:hAnsi="Arial" w:cs="Arial"/>
                <w:i/>
                <w:iCs/>
                <w:color w:val="000000"/>
                <w:sz w:val="17"/>
                <w:szCs w:val="17"/>
              </w:rPr>
              <w:t>12.7 </w:t>
            </w:r>
          </w:p>
        </w:tc>
        <w:tc>
          <w:tcPr>
            <w:tcW w:w="0" w:type="auto"/>
            <w:tcBorders>
              <w:top w:val="single" w:sz="4" w:space="0" w:color="808080"/>
            </w:tcBorders>
            <w:shd w:val="clear" w:color="auto" w:fill="auto"/>
            <w:tcMar>
              <w:top w:w="40" w:type="dxa"/>
              <w:left w:w="0" w:type="dxa"/>
              <w:bottom w:w="40" w:type="dxa"/>
              <w:right w:w="20" w:type="dxa"/>
            </w:tcMar>
            <w:vAlign w:val="center"/>
          </w:tcPr>
          <w:p w14:paraId="2470D3E0" w14:textId="77777777" w:rsidR="009C6E2F" w:rsidRDefault="007972BE">
            <w:pPr>
              <w:jc w:val="right"/>
              <w:textAlignment w:val="center"/>
            </w:pPr>
            <w:r>
              <w:rPr>
                <w:rFonts w:ascii="Arial" w:eastAsia="宋体" w:hAnsi="Arial" w:cs="Arial"/>
                <w:i/>
                <w:iCs/>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3E1" w14:textId="77777777" w:rsidR="009C6E2F" w:rsidRDefault="009C6E2F">
            <w:pPr>
              <w:rPr>
                <w:rFonts w:ascii="宋体"/>
              </w:rPr>
            </w:pPr>
          </w:p>
        </w:tc>
        <w:tc>
          <w:tcPr>
            <w:tcW w:w="0" w:type="auto"/>
            <w:shd w:val="clear" w:color="auto" w:fill="auto"/>
            <w:vAlign w:val="bottom"/>
          </w:tcPr>
          <w:p w14:paraId="2470D3E2" w14:textId="77777777" w:rsidR="009C6E2F" w:rsidRDefault="009C6E2F">
            <w:pPr>
              <w:rPr>
                <w:rFonts w:ascii="宋体"/>
                <w:vanish/>
              </w:rPr>
            </w:pPr>
          </w:p>
        </w:tc>
        <w:tc>
          <w:tcPr>
            <w:tcW w:w="0" w:type="auto"/>
            <w:shd w:val="clear" w:color="auto" w:fill="auto"/>
            <w:vAlign w:val="bottom"/>
          </w:tcPr>
          <w:p w14:paraId="2470D3E3" w14:textId="77777777" w:rsidR="009C6E2F" w:rsidRDefault="009C6E2F">
            <w:pPr>
              <w:rPr>
                <w:rFonts w:ascii="宋体"/>
                <w:vanish/>
              </w:rPr>
            </w:pPr>
          </w:p>
        </w:tc>
        <w:tc>
          <w:tcPr>
            <w:tcW w:w="0" w:type="auto"/>
            <w:gridSpan w:val="3"/>
            <w:shd w:val="clear" w:color="auto" w:fill="auto"/>
            <w:vAlign w:val="bottom"/>
          </w:tcPr>
          <w:p w14:paraId="2470D3E4" w14:textId="77777777" w:rsidR="009C6E2F" w:rsidRDefault="009C6E2F">
            <w:pPr>
              <w:rPr>
                <w:rFonts w:ascii="宋体"/>
                <w:vanish/>
              </w:rPr>
            </w:pPr>
          </w:p>
        </w:tc>
        <w:tc>
          <w:tcPr>
            <w:tcW w:w="0" w:type="auto"/>
            <w:gridSpan w:val="3"/>
            <w:shd w:val="clear" w:color="auto" w:fill="auto"/>
            <w:vAlign w:val="bottom"/>
          </w:tcPr>
          <w:p w14:paraId="2470D3E5" w14:textId="77777777" w:rsidR="009C6E2F" w:rsidRDefault="009C6E2F">
            <w:pPr>
              <w:rPr>
                <w:rFonts w:ascii="宋体"/>
                <w:vanish/>
              </w:rPr>
            </w:pPr>
          </w:p>
        </w:tc>
      </w:tr>
      <w:tr w:rsidR="009C6E2F" w14:paraId="2470D3F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3E7" w14:textId="77777777" w:rsidR="009C6E2F" w:rsidRDefault="007972BE">
            <w:pPr>
              <w:textAlignment w:val="bottom"/>
            </w:pPr>
            <w:r>
              <w:rPr>
                <w:rFonts w:ascii="Arial" w:eastAsia="宋体" w:hAnsi="Arial" w:cs="Arial"/>
                <w:b/>
                <w:bCs/>
                <w:color w:val="000000"/>
                <w:sz w:val="17"/>
                <w:szCs w:val="17"/>
              </w:rPr>
              <w:t>NET INCOME</w:t>
            </w:r>
          </w:p>
        </w:tc>
        <w:tc>
          <w:tcPr>
            <w:tcW w:w="0" w:type="auto"/>
            <w:tcBorders>
              <w:top w:val="single" w:sz="8" w:space="0" w:color="E87722"/>
            </w:tcBorders>
            <w:shd w:val="clear" w:color="auto" w:fill="FFF1E7"/>
            <w:tcMar>
              <w:top w:w="40" w:type="dxa"/>
              <w:left w:w="20" w:type="dxa"/>
              <w:bottom w:w="40" w:type="dxa"/>
              <w:right w:w="0" w:type="dxa"/>
            </w:tcMar>
            <w:vAlign w:val="center"/>
          </w:tcPr>
          <w:p w14:paraId="2470D3E8" w14:textId="77777777" w:rsidR="009C6E2F" w:rsidRDefault="007972BE">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470D3E9" w14:textId="77777777" w:rsidR="009C6E2F" w:rsidRDefault="007972BE">
            <w:pPr>
              <w:jc w:val="right"/>
              <w:textAlignment w:val="center"/>
            </w:pPr>
            <w:r>
              <w:rPr>
                <w:rFonts w:ascii="Arial" w:eastAsia="宋体" w:hAnsi="Arial" w:cs="Arial"/>
                <w:b/>
                <w:bCs/>
                <w:color w:val="000000"/>
                <w:sz w:val="17"/>
                <w:szCs w:val="17"/>
              </w:rPr>
              <w:t>1,337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E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470D3EB" w14:textId="77777777" w:rsidR="009C6E2F" w:rsidRDefault="007972BE">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470D3EC" w14:textId="77777777" w:rsidR="009C6E2F" w:rsidRDefault="007972BE">
            <w:pPr>
              <w:jc w:val="right"/>
              <w:textAlignment w:val="center"/>
            </w:pPr>
            <w:r>
              <w:rPr>
                <w:rFonts w:ascii="Arial" w:eastAsia="宋体" w:hAnsi="Arial" w:cs="Arial"/>
                <w:b/>
                <w:bCs/>
                <w:color w:val="000000"/>
                <w:sz w:val="17"/>
                <w:szCs w:val="17"/>
              </w:rPr>
              <w:t>1,251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ED"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EE" w14:textId="77777777" w:rsidR="009C6E2F" w:rsidRDefault="007972BE">
            <w:pPr>
              <w:jc w:val="right"/>
              <w:textAlignment w:val="center"/>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EF" w14:textId="77777777" w:rsidR="009C6E2F" w:rsidRDefault="007972BE">
            <w:pPr>
              <w:jc w:val="right"/>
              <w:textAlignment w:val="center"/>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3F0"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center"/>
          </w:tcPr>
          <w:p w14:paraId="2470D3F1" w14:textId="77777777" w:rsidR="009C6E2F" w:rsidRDefault="007972BE">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center"/>
          </w:tcPr>
          <w:p w14:paraId="2470D3F2" w14:textId="77777777" w:rsidR="009C6E2F" w:rsidRDefault="007972BE">
            <w:pPr>
              <w:jc w:val="right"/>
              <w:textAlignment w:val="center"/>
            </w:pPr>
            <w:r>
              <w:rPr>
                <w:rFonts w:ascii="Arial" w:eastAsia="宋体" w:hAnsi="Arial" w:cs="Arial"/>
                <w:b/>
                <w:bCs/>
                <w:color w:val="000000"/>
                <w:sz w:val="17"/>
                <w:szCs w:val="17"/>
              </w:rPr>
              <w:t>3,211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center"/>
          </w:tcPr>
          <w:p w14:paraId="2470D3F3"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center"/>
          </w:tcPr>
          <w:p w14:paraId="2470D3F4" w14:textId="77777777" w:rsidR="009C6E2F" w:rsidRDefault="007972BE">
            <w:pPr>
              <w:textAlignment w:val="center"/>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center"/>
          </w:tcPr>
          <w:p w14:paraId="2470D3F5" w14:textId="77777777" w:rsidR="009C6E2F" w:rsidRDefault="007972BE">
            <w:pPr>
              <w:jc w:val="right"/>
              <w:textAlignment w:val="center"/>
            </w:pPr>
            <w:r>
              <w:rPr>
                <w:rFonts w:ascii="Arial" w:eastAsia="宋体" w:hAnsi="Arial" w:cs="Arial"/>
                <w:b/>
                <w:bCs/>
                <w:color w:val="000000"/>
                <w:sz w:val="17"/>
                <w:szCs w:val="17"/>
              </w:rPr>
              <w:t>2,769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F6"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center"/>
          </w:tcPr>
          <w:p w14:paraId="2470D3F7" w14:textId="77777777" w:rsidR="009C6E2F" w:rsidRDefault="007972BE">
            <w:pPr>
              <w:jc w:val="right"/>
              <w:textAlignment w:val="center"/>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center"/>
          </w:tcPr>
          <w:p w14:paraId="2470D3F8" w14:textId="77777777" w:rsidR="009C6E2F" w:rsidRDefault="007972BE">
            <w:pPr>
              <w:jc w:val="right"/>
              <w:textAlignment w:val="center"/>
            </w:pPr>
            <w:r>
              <w:rPr>
                <w:rFonts w:ascii="Arial" w:eastAsia="宋体" w:hAnsi="Arial" w:cs="Arial"/>
                <w:b/>
                <w:bCs/>
                <w:color w:val="000000"/>
                <w:sz w:val="17"/>
                <w:szCs w:val="17"/>
              </w:rPr>
              <w:t>%</w:t>
            </w:r>
          </w:p>
        </w:tc>
        <w:tc>
          <w:tcPr>
            <w:tcW w:w="0" w:type="auto"/>
            <w:shd w:val="clear" w:color="auto" w:fill="auto"/>
            <w:vAlign w:val="bottom"/>
          </w:tcPr>
          <w:p w14:paraId="2470D3F9" w14:textId="77777777" w:rsidR="009C6E2F" w:rsidRDefault="009C6E2F">
            <w:pPr>
              <w:rPr>
                <w:rFonts w:ascii="宋体"/>
                <w:vanish/>
              </w:rPr>
            </w:pPr>
          </w:p>
        </w:tc>
        <w:tc>
          <w:tcPr>
            <w:tcW w:w="0" w:type="auto"/>
            <w:shd w:val="clear" w:color="auto" w:fill="auto"/>
            <w:vAlign w:val="bottom"/>
          </w:tcPr>
          <w:p w14:paraId="2470D3FA" w14:textId="77777777" w:rsidR="009C6E2F" w:rsidRDefault="009C6E2F">
            <w:pPr>
              <w:rPr>
                <w:rFonts w:ascii="宋体"/>
                <w:vanish/>
              </w:rPr>
            </w:pPr>
          </w:p>
        </w:tc>
        <w:tc>
          <w:tcPr>
            <w:tcW w:w="0" w:type="auto"/>
            <w:gridSpan w:val="3"/>
            <w:shd w:val="clear" w:color="auto" w:fill="auto"/>
            <w:vAlign w:val="bottom"/>
          </w:tcPr>
          <w:p w14:paraId="2470D3FB" w14:textId="77777777" w:rsidR="009C6E2F" w:rsidRDefault="009C6E2F">
            <w:pPr>
              <w:rPr>
                <w:rFonts w:ascii="宋体"/>
                <w:vanish/>
              </w:rPr>
            </w:pPr>
          </w:p>
        </w:tc>
        <w:tc>
          <w:tcPr>
            <w:tcW w:w="0" w:type="auto"/>
            <w:gridSpan w:val="3"/>
            <w:shd w:val="clear" w:color="auto" w:fill="auto"/>
            <w:vAlign w:val="bottom"/>
          </w:tcPr>
          <w:p w14:paraId="2470D3FC" w14:textId="77777777" w:rsidR="009C6E2F" w:rsidRDefault="009C6E2F">
            <w:pPr>
              <w:rPr>
                <w:rFonts w:ascii="宋体"/>
                <w:vanish/>
              </w:rPr>
            </w:pPr>
          </w:p>
        </w:tc>
      </w:tr>
      <w:tr w:rsidR="009C6E2F" w14:paraId="2470D414"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3FE" w14:textId="77777777" w:rsidR="009C6E2F" w:rsidRDefault="007972BE">
            <w:pPr>
              <w:textAlignment w:val="bottom"/>
            </w:pPr>
            <w:r>
              <w:rPr>
                <w:rFonts w:ascii="Arial" w:eastAsia="宋体" w:hAnsi="Arial" w:cs="Arial"/>
                <w:color w:val="000000"/>
                <w:sz w:val="17"/>
                <w:szCs w:val="17"/>
              </w:rPr>
              <w:t>Diluted earnings per common share</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2470D3FF"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2470D400" w14:textId="77777777" w:rsidR="009C6E2F" w:rsidRDefault="007972BE">
            <w:pPr>
              <w:jc w:val="right"/>
              <w:textAlignment w:val="center"/>
            </w:pPr>
            <w:r>
              <w:rPr>
                <w:rFonts w:ascii="Arial" w:eastAsia="宋体" w:hAnsi="Arial" w:cs="Arial"/>
                <w:color w:val="000000"/>
                <w:sz w:val="17"/>
                <w:szCs w:val="17"/>
              </w:rPr>
              <w:t>0.83 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2470D401"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2470D402"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2470D403" w14:textId="77777777" w:rsidR="009C6E2F" w:rsidRDefault="007972BE">
            <w:pPr>
              <w:jc w:val="right"/>
              <w:textAlignment w:val="center"/>
            </w:pPr>
            <w:r>
              <w:rPr>
                <w:rFonts w:ascii="Arial" w:eastAsia="宋体" w:hAnsi="Arial" w:cs="Arial"/>
                <w:color w:val="000000"/>
                <w:sz w:val="17"/>
                <w:szCs w:val="17"/>
              </w:rPr>
              <w:t>0.78 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470D404"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2470D405" w14:textId="77777777" w:rsidR="009C6E2F" w:rsidRDefault="007972BE">
            <w:pPr>
              <w:jc w:val="right"/>
              <w:textAlignment w:val="center"/>
            </w:pPr>
            <w:r>
              <w:rPr>
                <w:rFonts w:ascii="Arial" w:eastAsia="宋体" w:hAnsi="Arial" w:cs="Arial"/>
                <w:color w:val="000000"/>
                <w:sz w:val="17"/>
                <w:szCs w:val="17"/>
              </w:rPr>
              <w:t>6 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470D406" w14:textId="77777777" w:rsidR="009C6E2F" w:rsidRDefault="007972BE">
            <w:pPr>
              <w:jc w:val="right"/>
              <w:textAlignment w:val="center"/>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407"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center"/>
          </w:tcPr>
          <w:p w14:paraId="2470D408"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center"/>
          </w:tcPr>
          <w:p w14:paraId="2470D409" w14:textId="77777777" w:rsidR="009C6E2F" w:rsidRDefault="007972BE">
            <w:pPr>
              <w:jc w:val="right"/>
              <w:textAlignment w:val="center"/>
            </w:pPr>
            <w:r>
              <w:rPr>
                <w:rFonts w:ascii="Arial" w:eastAsia="宋体" w:hAnsi="Arial" w:cs="Arial"/>
                <w:color w:val="000000"/>
                <w:sz w:val="17"/>
                <w:szCs w:val="17"/>
              </w:rPr>
              <w:t>1.98 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center"/>
          </w:tcPr>
          <w:p w14:paraId="2470D40A"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center"/>
          </w:tcPr>
          <w:p w14:paraId="2470D40B" w14:textId="77777777" w:rsidR="009C6E2F" w:rsidRDefault="007972BE">
            <w:pPr>
              <w:textAlignment w:val="center"/>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center"/>
          </w:tcPr>
          <w:p w14:paraId="2470D40C" w14:textId="77777777" w:rsidR="009C6E2F" w:rsidRDefault="007972BE">
            <w:pPr>
              <w:jc w:val="right"/>
              <w:textAlignment w:val="center"/>
            </w:pPr>
            <w:r>
              <w:rPr>
                <w:rFonts w:ascii="Arial" w:eastAsia="宋体" w:hAnsi="Arial" w:cs="Arial"/>
                <w:color w:val="000000"/>
                <w:sz w:val="17"/>
                <w:szCs w:val="17"/>
              </w:rPr>
              <w:t>1.73 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470D40D"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center"/>
          </w:tcPr>
          <w:p w14:paraId="2470D40E" w14:textId="77777777" w:rsidR="009C6E2F" w:rsidRDefault="007972BE">
            <w:pPr>
              <w:jc w:val="right"/>
              <w:textAlignment w:val="center"/>
            </w:pPr>
            <w:r>
              <w:rPr>
                <w:rFonts w:ascii="Arial" w:eastAsia="宋体" w:hAnsi="Arial" w:cs="Arial"/>
                <w:color w:val="000000"/>
                <w:sz w:val="17"/>
                <w:szCs w:val="17"/>
              </w:rPr>
              <w:t>14 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center"/>
          </w:tcPr>
          <w:p w14:paraId="2470D40F" w14:textId="77777777" w:rsidR="009C6E2F" w:rsidRDefault="007972BE">
            <w:pPr>
              <w:jc w:val="right"/>
              <w:textAlignment w:val="center"/>
            </w:pPr>
            <w:r>
              <w:rPr>
                <w:rFonts w:ascii="Arial" w:eastAsia="宋体" w:hAnsi="Arial" w:cs="Arial"/>
                <w:color w:val="000000"/>
                <w:sz w:val="17"/>
                <w:szCs w:val="17"/>
              </w:rPr>
              <w:t>%</w:t>
            </w:r>
          </w:p>
        </w:tc>
        <w:tc>
          <w:tcPr>
            <w:tcW w:w="0" w:type="auto"/>
            <w:shd w:val="clear" w:color="auto" w:fill="auto"/>
            <w:vAlign w:val="bottom"/>
          </w:tcPr>
          <w:p w14:paraId="2470D410" w14:textId="77777777" w:rsidR="009C6E2F" w:rsidRDefault="009C6E2F">
            <w:pPr>
              <w:rPr>
                <w:rFonts w:ascii="宋体"/>
                <w:vanish/>
              </w:rPr>
            </w:pPr>
          </w:p>
        </w:tc>
        <w:tc>
          <w:tcPr>
            <w:tcW w:w="0" w:type="auto"/>
            <w:shd w:val="clear" w:color="auto" w:fill="auto"/>
            <w:vAlign w:val="bottom"/>
          </w:tcPr>
          <w:p w14:paraId="2470D411" w14:textId="77777777" w:rsidR="009C6E2F" w:rsidRDefault="009C6E2F">
            <w:pPr>
              <w:rPr>
                <w:rFonts w:ascii="宋体"/>
                <w:vanish/>
              </w:rPr>
            </w:pPr>
          </w:p>
        </w:tc>
        <w:tc>
          <w:tcPr>
            <w:tcW w:w="0" w:type="auto"/>
            <w:gridSpan w:val="3"/>
            <w:shd w:val="clear" w:color="auto" w:fill="auto"/>
            <w:vAlign w:val="bottom"/>
          </w:tcPr>
          <w:p w14:paraId="2470D412" w14:textId="77777777" w:rsidR="009C6E2F" w:rsidRDefault="009C6E2F">
            <w:pPr>
              <w:rPr>
                <w:rFonts w:ascii="宋体"/>
                <w:vanish/>
              </w:rPr>
            </w:pPr>
          </w:p>
        </w:tc>
        <w:tc>
          <w:tcPr>
            <w:tcW w:w="0" w:type="auto"/>
            <w:gridSpan w:val="3"/>
            <w:shd w:val="clear" w:color="auto" w:fill="auto"/>
            <w:vAlign w:val="bottom"/>
          </w:tcPr>
          <w:p w14:paraId="2470D413" w14:textId="77777777" w:rsidR="009C6E2F" w:rsidRDefault="009C6E2F">
            <w:pPr>
              <w:rPr>
                <w:rFonts w:ascii="宋体"/>
                <w:vanish/>
              </w:rPr>
            </w:pPr>
          </w:p>
        </w:tc>
      </w:tr>
    </w:tbl>
    <w:p w14:paraId="2470D415" w14:textId="77777777" w:rsidR="009C6E2F" w:rsidRDefault="007972BE">
      <w:pPr>
        <w:spacing w:before="120" w:after="120"/>
        <w:jc w:val="right"/>
      </w:pPr>
      <w:r>
        <w:rPr>
          <w:rFonts w:ascii="Arial" w:eastAsia="宋体" w:hAnsi="Arial" w:cs="Arial"/>
          <w:color w:val="E87722"/>
          <w:sz w:val="17"/>
          <w:szCs w:val="17"/>
        </w:rPr>
        <w:t>27</w:t>
      </w:r>
    </w:p>
    <w:p w14:paraId="2470D416" w14:textId="77777777" w:rsidR="009C6E2F" w:rsidRDefault="007972BE">
      <w:r>
        <w:pict w14:anchorId="2470E200">
          <v:rect id="_x0000_i1053" style="width:415.3pt;height:1.5pt" o:hralign="center" o:hrstd="t" o:hr="t" fillcolor="#a0a0a0" stroked="f"/>
        </w:pict>
      </w:r>
    </w:p>
    <w:p w14:paraId="2470D417" w14:textId="77777777" w:rsidR="009C6E2F" w:rsidRDefault="009C6E2F"/>
    <w:p w14:paraId="2470D418" w14:textId="77777777" w:rsidR="009C6E2F" w:rsidRDefault="007972BE">
      <w:hyperlink r:id="rId96" w:anchor="i9e023a7388204bdbacd6aa338988f838_7" w:history="1">
        <w:r>
          <w:rPr>
            <w:rStyle w:val="a5"/>
            <w:rFonts w:ascii="sans-serif" w:eastAsia="sans-serif" w:hAnsi="sans-serif" w:cs="sans-serif"/>
            <w:sz w:val="17"/>
            <w:szCs w:val="17"/>
          </w:rPr>
          <w:t>Table of Contents</w:t>
        </w:r>
      </w:hyperlink>
    </w:p>
    <w:p w14:paraId="2470D419" w14:textId="77777777" w:rsidR="009C6E2F" w:rsidRDefault="009C6E2F"/>
    <w:p w14:paraId="2470D41A" w14:textId="77777777" w:rsidR="009C6E2F" w:rsidRDefault="007972BE">
      <w:pPr>
        <w:spacing w:before="300" w:after="120"/>
      </w:pPr>
      <w:r>
        <w:rPr>
          <w:rFonts w:ascii="sans-serif" w:eastAsia="sans-serif" w:hAnsi="sans-serif" w:cs="sans-serif"/>
          <w:b/>
          <w:bCs/>
          <w:color w:val="E87722"/>
          <w:sz w:val="36"/>
          <w:szCs w:val="36"/>
        </w:rPr>
        <w:t>CONSOLIDATED OPERATING RESULTS</w:t>
      </w:r>
    </w:p>
    <w:p w14:paraId="2470D41B" w14:textId="77777777" w:rsidR="009C6E2F" w:rsidRDefault="007972BE">
      <w:pPr>
        <w:spacing w:before="240" w:after="120"/>
      </w:pPr>
      <w:r>
        <w:rPr>
          <w:rFonts w:ascii="sans-serif" w:eastAsia="sans-serif" w:hAnsi="sans-serif" w:cs="sans-serif"/>
          <w:b/>
          <w:bCs/>
          <w:color w:val="000000"/>
          <w:sz w:val="28"/>
          <w:szCs w:val="28"/>
        </w:rPr>
        <w:t>REVENUES</w:t>
      </w:r>
    </w:p>
    <w:tbl>
      <w:tblPr>
        <w:tblW w:w="5000" w:type="pct"/>
        <w:tblCellMar>
          <w:top w:w="15" w:type="dxa"/>
          <w:left w:w="15" w:type="dxa"/>
          <w:bottom w:w="15" w:type="dxa"/>
          <w:right w:w="15" w:type="dxa"/>
        </w:tblCellMar>
        <w:tblLook w:val="04A0" w:firstRow="1" w:lastRow="0" w:firstColumn="1" w:lastColumn="0" w:noHBand="0" w:noVBand="1"/>
      </w:tblPr>
      <w:tblGrid>
        <w:gridCol w:w="40"/>
        <w:gridCol w:w="1605"/>
        <w:gridCol w:w="39"/>
        <w:gridCol w:w="115"/>
        <w:gridCol w:w="568"/>
        <w:gridCol w:w="36"/>
        <w:gridCol w:w="115"/>
        <w:gridCol w:w="568"/>
        <w:gridCol w:w="36"/>
        <w:gridCol w:w="76"/>
        <w:gridCol w:w="561"/>
        <w:gridCol w:w="172"/>
        <w:gridCol w:w="102"/>
        <w:gridCol w:w="751"/>
        <w:gridCol w:w="172"/>
        <w:gridCol w:w="36"/>
        <w:gridCol w:w="36"/>
        <w:gridCol w:w="36"/>
        <w:gridCol w:w="115"/>
        <w:gridCol w:w="568"/>
        <w:gridCol w:w="36"/>
        <w:gridCol w:w="115"/>
        <w:gridCol w:w="568"/>
        <w:gridCol w:w="36"/>
        <w:gridCol w:w="76"/>
        <w:gridCol w:w="561"/>
        <w:gridCol w:w="172"/>
        <w:gridCol w:w="101"/>
        <w:gridCol w:w="752"/>
        <w:gridCol w:w="172"/>
      </w:tblGrid>
      <w:tr w:rsidR="009C6E2F" w14:paraId="2470D43A" w14:textId="77777777">
        <w:tc>
          <w:tcPr>
            <w:tcW w:w="50" w:type="pct"/>
            <w:shd w:val="clear" w:color="auto" w:fill="auto"/>
            <w:vAlign w:val="bottom"/>
          </w:tcPr>
          <w:p w14:paraId="2470D41C" w14:textId="77777777" w:rsidR="009C6E2F" w:rsidRDefault="009C6E2F">
            <w:pPr>
              <w:rPr>
                <w:rFonts w:ascii="宋体"/>
              </w:rPr>
            </w:pPr>
          </w:p>
        </w:tc>
        <w:tc>
          <w:tcPr>
            <w:tcW w:w="1484" w:type="pct"/>
            <w:shd w:val="clear" w:color="auto" w:fill="auto"/>
            <w:vAlign w:val="bottom"/>
          </w:tcPr>
          <w:p w14:paraId="2470D41D" w14:textId="77777777" w:rsidR="009C6E2F" w:rsidRDefault="009C6E2F">
            <w:pPr>
              <w:rPr>
                <w:rFonts w:ascii="宋体"/>
              </w:rPr>
            </w:pPr>
          </w:p>
        </w:tc>
        <w:tc>
          <w:tcPr>
            <w:tcW w:w="5" w:type="pct"/>
            <w:shd w:val="clear" w:color="auto" w:fill="auto"/>
            <w:vAlign w:val="bottom"/>
          </w:tcPr>
          <w:p w14:paraId="2470D41E" w14:textId="77777777" w:rsidR="009C6E2F" w:rsidRDefault="009C6E2F">
            <w:pPr>
              <w:rPr>
                <w:rFonts w:ascii="宋体"/>
              </w:rPr>
            </w:pPr>
          </w:p>
        </w:tc>
        <w:tc>
          <w:tcPr>
            <w:tcW w:w="50" w:type="pct"/>
            <w:shd w:val="clear" w:color="auto" w:fill="auto"/>
            <w:vAlign w:val="bottom"/>
          </w:tcPr>
          <w:p w14:paraId="2470D41F" w14:textId="77777777" w:rsidR="009C6E2F" w:rsidRDefault="009C6E2F">
            <w:pPr>
              <w:rPr>
                <w:rFonts w:ascii="宋体"/>
              </w:rPr>
            </w:pPr>
          </w:p>
        </w:tc>
        <w:tc>
          <w:tcPr>
            <w:tcW w:w="372" w:type="pct"/>
            <w:shd w:val="clear" w:color="auto" w:fill="auto"/>
            <w:vAlign w:val="bottom"/>
          </w:tcPr>
          <w:p w14:paraId="2470D420" w14:textId="77777777" w:rsidR="009C6E2F" w:rsidRDefault="009C6E2F">
            <w:pPr>
              <w:rPr>
                <w:rFonts w:ascii="宋体"/>
              </w:rPr>
            </w:pPr>
          </w:p>
        </w:tc>
        <w:tc>
          <w:tcPr>
            <w:tcW w:w="5" w:type="pct"/>
            <w:shd w:val="clear" w:color="auto" w:fill="auto"/>
            <w:vAlign w:val="bottom"/>
          </w:tcPr>
          <w:p w14:paraId="2470D421" w14:textId="77777777" w:rsidR="009C6E2F" w:rsidRDefault="009C6E2F">
            <w:pPr>
              <w:rPr>
                <w:rFonts w:ascii="宋体"/>
              </w:rPr>
            </w:pPr>
          </w:p>
        </w:tc>
        <w:tc>
          <w:tcPr>
            <w:tcW w:w="50" w:type="pct"/>
            <w:shd w:val="clear" w:color="auto" w:fill="auto"/>
            <w:vAlign w:val="bottom"/>
          </w:tcPr>
          <w:p w14:paraId="2470D422" w14:textId="77777777" w:rsidR="009C6E2F" w:rsidRDefault="009C6E2F">
            <w:pPr>
              <w:rPr>
                <w:rFonts w:ascii="宋体"/>
              </w:rPr>
            </w:pPr>
          </w:p>
        </w:tc>
        <w:tc>
          <w:tcPr>
            <w:tcW w:w="372" w:type="pct"/>
            <w:shd w:val="clear" w:color="auto" w:fill="auto"/>
            <w:vAlign w:val="bottom"/>
          </w:tcPr>
          <w:p w14:paraId="2470D423" w14:textId="77777777" w:rsidR="009C6E2F" w:rsidRDefault="009C6E2F">
            <w:pPr>
              <w:rPr>
                <w:rFonts w:ascii="宋体"/>
              </w:rPr>
            </w:pPr>
          </w:p>
        </w:tc>
        <w:tc>
          <w:tcPr>
            <w:tcW w:w="5" w:type="pct"/>
            <w:shd w:val="clear" w:color="auto" w:fill="auto"/>
            <w:vAlign w:val="bottom"/>
          </w:tcPr>
          <w:p w14:paraId="2470D424" w14:textId="77777777" w:rsidR="009C6E2F" w:rsidRDefault="009C6E2F">
            <w:pPr>
              <w:rPr>
                <w:rFonts w:ascii="宋体"/>
              </w:rPr>
            </w:pPr>
          </w:p>
        </w:tc>
        <w:tc>
          <w:tcPr>
            <w:tcW w:w="50" w:type="pct"/>
            <w:shd w:val="clear" w:color="auto" w:fill="auto"/>
            <w:vAlign w:val="bottom"/>
          </w:tcPr>
          <w:p w14:paraId="2470D425" w14:textId="77777777" w:rsidR="009C6E2F" w:rsidRDefault="009C6E2F">
            <w:pPr>
              <w:rPr>
                <w:rFonts w:ascii="宋体"/>
              </w:rPr>
            </w:pPr>
          </w:p>
        </w:tc>
        <w:tc>
          <w:tcPr>
            <w:tcW w:w="372" w:type="pct"/>
            <w:shd w:val="clear" w:color="auto" w:fill="auto"/>
            <w:vAlign w:val="bottom"/>
          </w:tcPr>
          <w:p w14:paraId="2470D426" w14:textId="77777777" w:rsidR="009C6E2F" w:rsidRDefault="009C6E2F">
            <w:pPr>
              <w:rPr>
                <w:rFonts w:ascii="宋体"/>
              </w:rPr>
            </w:pPr>
          </w:p>
        </w:tc>
        <w:tc>
          <w:tcPr>
            <w:tcW w:w="5" w:type="pct"/>
            <w:shd w:val="clear" w:color="auto" w:fill="auto"/>
            <w:vAlign w:val="bottom"/>
          </w:tcPr>
          <w:p w14:paraId="2470D427" w14:textId="77777777" w:rsidR="009C6E2F" w:rsidRDefault="009C6E2F">
            <w:pPr>
              <w:rPr>
                <w:rFonts w:ascii="宋体"/>
              </w:rPr>
            </w:pPr>
          </w:p>
        </w:tc>
        <w:tc>
          <w:tcPr>
            <w:tcW w:w="50" w:type="pct"/>
            <w:shd w:val="clear" w:color="auto" w:fill="auto"/>
            <w:vAlign w:val="bottom"/>
          </w:tcPr>
          <w:p w14:paraId="2470D428" w14:textId="77777777" w:rsidR="009C6E2F" w:rsidRDefault="009C6E2F">
            <w:pPr>
              <w:rPr>
                <w:rFonts w:ascii="宋体"/>
              </w:rPr>
            </w:pPr>
          </w:p>
        </w:tc>
        <w:tc>
          <w:tcPr>
            <w:tcW w:w="372" w:type="pct"/>
            <w:shd w:val="clear" w:color="auto" w:fill="auto"/>
            <w:vAlign w:val="bottom"/>
          </w:tcPr>
          <w:p w14:paraId="2470D429" w14:textId="77777777" w:rsidR="009C6E2F" w:rsidRDefault="009C6E2F">
            <w:pPr>
              <w:rPr>
                <w:rFonts w:ascii="宋体"/>
              </w:rPr>
            </w:pPr>
          </w:p>
        </w:tc>
        <w:tc>
          <w:tcPr>
            <w:tcW w:w="5" w:type="pct"/>
            <w:shd w:val="clear" w:color="auto" w:fill="auto"/>
            <w:vAlign w:val="bottom"/>
          </w:tcPr>
          <w:p w14:paraId="2470D42A" w14:textId="77777777" w:rsidR="009C6E2F" w:rsidRDefault="009C6E2F">
            <w:pPr>
              <w:rPr>
                <w:rFonts w:ascii="宋体"/>
              </w:rPr>
            </w:pPr>
          </w:p>
        </w:tc>
        <w:tc>
          <w:tcPr>
            <w:tcW w:w="5" w:type="pct"/>
            <w:shd w:val="clear" w:color="auto" w:fill="auto"/>
            <w:vAlign w:val="bottom"/>
          </w:tcPr>
          <w:p w14:paraId="2470D42B" w14:textId="77777777" w:rsidR="009C6E2F" w:rsidRDefault="009C6E2F">
            <w:pPr>
              <w:rPr>
                <w:rFonts w:ascii="宋体"/>
              </w:rPr>
            </w:pPr>
          </w:p>
        </w:tc>
        <w:tc>
          <w:tcPr>
            <w:tcW w:w="27" w:type="pct"/>
            <w:shd w:val="clear" w:color="auto" w:fill="auto"/>
            <w:vAlign w:val="bottom"/>
          </w:tcPr>
          <w:p w14:paraId="2470D42C" w14:textId="77777777" w:rsidR="009C6E2F" w:rsidRDefault="009C6E2F">
            <w:pPr>
              <w:rPr>
                <w:rFonts w:ascii="宋体"/>
              </w:rPr>
            </w:pPr>
          </w:p>
        </w:tc>
        <w:tc>
          <w:tcPr>
            <w:tcW w:w="5" w:type="pct"/>
            <w:shd w:val="clear" w:color="auto" w:fill="auto"/>
            <w:vAlign w:val="bottom"/>
          </w:tcPr>
          <w:p w14:paraId="2470D42D" w14:textId="77777777" w:rsidR="009C6E2F" w:rsidRDefault="009C6E2F">
            <w:pPr>
              <w:rPr>
                <w:rFonts w:ascii="宋体"/>
              </w:rPr>
            </w:pPr>
          </w:p>
        </w:tc>
        <w:tc>
          <w:tcPr>
            <w:tcW w:w="50" w:type="pct"/>
            <w:shd w:val="clear" w:color="auto" w:fill="auto"/>
            <w:vAlign w:val="bottom"/>
          </w:tcPr>
          <w:p w14:paraId="2470D42E" w14:textId="77777777" w:rsidR="009C6E2F" w:rsidRDefault="009C6E2F">
            <w:pPr>
              <w:rPr>
                <w:rFonts w:ascii="宋体"/>
              </w:rPr>
            </w:pPr>
          </w:p>
        </w:tc>
        <w:tc>
          <w:tcPr>
            <w:tcW w:w="372" w:type="pct"/>
            <w:shd w:val="clear" w:color="auto" w:fill="auto"/>
            <w:vAlign w:val="bottom"/>
          </w:tcPr>
          <w:p w14:paraId="2470D42F" w14:textId="77777777" w:rsidR="009C6E2F" w:rsidRDefault="009C6E2F">
            <w:pPr>
              <w:rPr>
                <w:rFonts w:ascii="宋体"/>
              </w:rPr>
            </w:pPr>
          </w:p>
        </w:tc>
        <w:tc>
          <w:tcPr>
            <w:tcW w:w="5" w:type="pct"/>
            <w:shd w:val="clear" w:color="auto" w:fill="auto"/>
            <w:vAlign w:val="bottom"/>
          </w:tcPr>
          <w:p w14:paraId="2470D430" w14:textId="77777777" w:rsidR="009C6E2F" w:rsidRDefault="009C6E2F">
            <w:pPr>
              <w:rPr>
                <w:rFonts w:ascii="宋体"/>
              </w:rPr>
            </w:pPr>
          </w:p>
        </w:tc>
        <w:tc>
          <w:tcPr>
            <w:tcW w:w="50" w:type="pct"/>
            <w:shd w:val="clear" w:color="auto" w:fill="auto"/>
            <w:vAlign w:val="bottom"/>
          </w:tcPr>
          <w:p w14:paraId="2470D431" w14:textId="77777777" w:rsidR="009C6E2F" w:rsidRDefault="009C6E2F">
            <w:pPr>
              <w:rPr>
                <w:rFonts w:ascii="宋体"/>
              </w:rPr>
            </w:pPr>
          </w:p>
        </w:tc>
        <w:tc>
          <w:tcPr>
            <w:tcW w:w="372" w:type="pct"/>
            <w:shd w:val="clear" w:color="auto" w:fill="auto"/>
            <w:vAlign w:val="bottom"/>
          </w:tcPr>
          <w:p w14:paraId="2470D432" w14:textId="77777777" w:rsidR="009C6E2F" w:rsidRDefault="009C6E2F">
            <w:pPr>
              <w:rPr>
                <w:rFonts w:ascii="宋体"/>
              </w:rPr>
            </w:pPr>
          </w:p>
        </w:tc>
        <w:tc>
          <w:tcPr>
            <w:tcW w:w="5" w:type="pct"/>
            <w:shd w:val="clear" w:color="auto" w:fill="auto"/>
            <w:vAlign w:val="bottom"/>
          </w:tcPr>
          <w:p w14:paraId="2470D433" w14:textId="77777777" w:rsidR="009C6E2F" w:rsidRDefault="009C6E2F">
            <w:pPr>
              <w:rPr>
                <w:rFonts w:ascii="宋体"/>
              </w:rPr>
            </w:pPr>
          </w:p>
        </w:tc>
        <w:tc>
          <w:tcPr>
            <w:tcW w:w="50" w:type="pct"/>
            <w:shd w:val="clear" w:color="auto" w:fill="auto"/>
            <w:vAlign w:val="bottom"/>
          </w:tcPr>
          <w:p w14:paraId="2470D434" w14:textId="77777777" w:rsidR="009C6E2F" w:rsidRDefault="009C6E2F">
            <w:pPr>
              <w:rPr>
                <w:rFonts w:ascii="宋体"/>
              </w:rPr>
            </w:pPr>
          </w:p>
        </w:tc>
        <w:tc>
          <w:tcPr>
            <w:tcW w:w="372" w:type="pct"/>
            <w:shd w:val="clear" w:color="auto" w:fill="auto"/>
            <w:vAlign w:val="bottom"/>
          </w:tcPr>
          <w:p w14:paraId="2470D435" w14:textId="77777777" w:rsidR="009C6E2F" w:rsidRDefault="009C6E2F">
            <w:pPr>
              <w:rPr>
                <w:rFonts w:ascii="宋体"/>
              </w:rPr>
            </w:pPr>
          </w:p>
        </w:tc>
        <w:tc>
          <w:tcPr>
            <w:tcW w:w="5" w:type="pct"/>
            <w:shd w:val="clear" w:color="auto" w:fill="auto"/>
            <w:vAlign w:val="bottom"/>
          </w:tcPr>
          <w:p w14:paraId="2470D436" w14:textId="77777777" w:rsidR="009C6E2F" w:rsidRDefault="009C6E2F">
            <w:pPr>
              <w:rPr>
                <w:rFonts w:ascii="宋体"/>
              </w:rPr>
            </w:pPr>
          </w:p>
        </w:tc>
        <w:tc>
          <w:tcPr>
            <w:tcW w:w="50" w:type="pct"/>
            <w:shd w:val="clear" w:color="auto" w:fill="auto"/>
            <w:vAlign w:val="bottom"/>
          </w:tcPr>
          <w:p w14:paraId="2470D437" w14:textId="77777777" w:rsidR="009C6E2F" w:rsidRDefault="009C6E2F">
            <w:pPr>
              <w:rPr>
                <w:rFonts w:ascii="宋体"/>
              </w:rPr>
            </w:pPr>
          </w:p>
        </w:tc>
        <w:tc>
          <w:tcPr>
            <w:tcW w:w="373" w:type="pct"/>
            <w:shd w:val="clear" w:color="auto" w:fill="auto"/>
            <w:vAlign w:val="bottom"/>
          </w:tcPr>
          <w:p w14:paraId="2470D438" w14:textId="77777777" w:rsidR="009C6E2F" w:rsidRDefault="009C6E2F">
            <w:pPr>
              <w:rPr>
                <w:rFonts w:ascii="宋体"/>
              </w:rPr>
            </w:pPr>
          </w:p>
        </w:tc>
        <w:tc>
          <w:tcPr>
            <w:tcW w:w="5" w:type="pct"/>
            <w:shd w:val="clear" w:color="auto" w:fill="auto"/>
            <w:vAlign w:val="bottom"/>
          </w:tcPr>
          <w:p w14:paraId="2470D439" w14:textId="77777777" w:rsidR="009C6E2F" w:rsidRDefault="009C6E2F">
            <w:pPr>
              <w:rPr>
                <w:rFonts w:ascii="宋体"/>
              </w:rPr>
            </w:pPr>
          </w:p>
        </w:tc>
      </w:tr>
      <w:tr w:rsidR="009C6E2F" w14:paraId="2470D43F" w14:textId="77777777">
        <w:tc>
          <w:tcPr>
            <w:tcW w:w="0" w:type="auto"/>
            <w:gridSpan w:val="3"/>
            <w:shd w:val="clear" w:color="auto" w:fill="auto"/>
            <w:tcMar>
              <w:top w:w="0" w:type="dxa"/>
              <w:left w:w="20" w:type="dxa"/>
              <w:bottom w:w="0" w:type="dxa"/>
              <w:right w:w="20" w:type="dxa"/>
            </w:tcMar>
            <w:vAlign w:val="bottom"/>
          </w:tcPr>
          <w:p w14:paraId="2470D43B"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43C"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43D"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43E"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D44A" w14:textId="77777777">
        <w:tc>
          <w:tcPr>
            <w:tcW w:w="0" w:type="auto"/>
            <w:gridSpan w:val="3"/>
            <w:shd w:val="clear" w:color="auto" w:fill="auto"/>
            <w:tcMar>
              <w:top w:w="40" w:type="dxa"/>
              <w:left w:w="20" w:type="dxa"/>
              <w:bottom w:w="40" w:type="dxa"/>
              <w:right w:w="20" w:type="dxa"/>
            </w:tcMar>
            <w:vAlign w:val="bottom"/>
          </w:tcPr>
          <w:p w14:paraId="2470D440"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1"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2"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3"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4"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470D445"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6"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7"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8"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9"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r>
      <w:tr w:rsidR="009C6E2F" w14:paraId="2470D45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4B" w14:textId="77777777" w:rsidR="009C6E2F" w:rsidRDefault="007972BE">
            <w:pPr>
              <w:textAlignment w:val="bottom"/>
            </w:pPr>
            <w:r>
              <w:rPr>
                <w:rFonts w:ascii="Arial" w:eastAsia="宋体" w:hAnsi="Arial" w:cs="Arial"/>
                <w:b/>
                <w:bCs/>
                <w:i/>
                <w:iCs/>
                <w:color w:val="000000"/>
                <w:sz w:val="17"/>
                <w:szCs w:val="17"/>
              </w:rPr>
              <w:t>NIKE, Inc. Revenues: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44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4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4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4F"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50"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451"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5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5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54" w14:textId="77777777" w:rsidR="009C6E2F" w:rsidRDefault="009C6E2F">
            <w:pPr>
              <w:rPr>
                <w:rFonts w:ascii="宋体"/>
              </w:rPr>
            </w:pPr>
          </w:p>
        </w:tc>
      </w:tr>
      <w:tr w:rsidR="009C6E2F" w14:paraId="2470D46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456" w14:textId="77777777" w:rsidR="009C6E2F" w:rsidRDefault="007972BE">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D457"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58"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59"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5A"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5B"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D45C"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5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5E"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5F" w14:textId="77777777" w:rsidR="009C6E2F" w:rsidRDefault="009C6E2F">
            <w:pPr>
              <w:rPr>
                <w:rFonts w:ascii="宋体"/>
              </w:rPr>
            </w:pPr>
          </w:p>
        </w:tc>
      </w:tr>
      <w:tr w:rsidR="009C6E2F" w14:paraId="2470D47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461"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46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463" w14:textId="77777777" w:rsidR="009C6E2F" w:rsidRDefault="007972BE">
            <w:pPr>
              <w:jc w:val="right"/>
              <w:textAlignment w:val="bottom"/>
            </w:pPr>
            <w:r>
              <w:rPr>
                <w:rFonts w:ascii="Arial" w:eastAsia="宋体" w:hAnsi="Arial" w:cs="Arial"/>
                <w:color w:val="000000"/>
                <w:sz w:val="17"/>
                <w:szCs w:val="17"/>
              </w:rPr>
              <w:t>6,780 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64"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46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466" w14:textId="77777777" w:rsidR="009C6E2F" w:rsidRDefault="007972BE">
            <w:pPr>
              <w:jc w:val="right"/>
              <w:textAlignment w:val="bottom"/>
            </w:pPr>
            <w:r>
              <w:rPr>
                <w:rFonts w:ascii="Arial" w:eastAsia="宋体" w:hAnsi="Arial" w:cs="Arial"/>
                <w:color w:val="000000"/>
                <w:sz w:val="17"/>
                <w:szCs w:val="17"/>
              </w:rPr>
              <w:t>6,801 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6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68" w14:textId="77777777" w:rsidR="009C6E2F" w:rsidRDefault="007972BE">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69"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6A"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6B"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6C"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46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46E" w14:textId="77777777" w:rsidR="009C6E2F" w:rsidRDefault="007972BE">
            <w:pPr>
              <w:jc w:val="right"/>
              <w:textAlignment w:val="bottom"/>
            </w:pPr>
            <w:r>
              <w:rPr>
                <w:rFonts w:ascii="Arial" w:eastAsia="宋体" w:hAnsi="Arial" w:cs="Arial"/>
                <w:color w:val="000000"/>
                <w:sz w:val="17"/>
                <w:szCs w:val="17"/>
              </w:rPr>
              <w:t>14,498 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6F"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47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471" w14:textId="77777777" w:rsidR="009C6E2F" w:rsidRDefault="007972BE">
            <w:pPr>
              <w:jc w:val="right"/>
              <w:textAlignment w:val="bottom"/>
            </w:pPr>
            <w:r>
              <w:rPr>
                <w:rFonts w:ascii="Arial" w:eastAsia="宋体" w:hAnsi="Arial" w:cs="Arial"/>
                <w:color w:val="000000"/>
                <w:sz w:val="17"/>
                <w:szCs w:val="17"/>
              </w:rPr>
              <w:t>13,569 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7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73"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74"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75"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76" w14:textId="77777777" w:rsidR="009C6E2F" w:rsidRDefault="007972BE">
            <w:pPr>
              <w:jc w:val="right"/>
              <w:textAlignment w:val="bottom"/>
            </w:pPr>
            <w:r>
              <w:rPr>
                <w:rFonts w:ascii="Arial" w:eastAsia="宋体" w:hAnsi="Arial" w:cs="Arial"/>
                <w:color w:val="000000"/>
                <w:sz w:val="17"/>
                <w:szCs w:val="17"/>
              </w:rPr>
              <w:t>%</w:t>
            </w:r>
          </w:p>
        </w:tc>
      </w:tr>
      <w:tr w:rsidR="009C6E2F" w14:paraId="2470D48A"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478"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79" w14:textId="77777777" w:rsidR="009C6E2F" w:rsidRDefault="007972BE">
            <w:pPr>
              <w:jc w:val="right"/>
              <w:textAlignment w:val="bottom"/>
            </w:pPr>
            <w:r>
              <w:rPr>
                <w:rFonts w:ascii="Arial" w:eastAsia="宋体" w:hAnsi="Arial" w:cs="Arial"/>
                <w:color w:val="000000"/>
                <w:sz w:val="17"/>
                <w:szCs w:val="17"/>
              </w:rPr>
              <w:t>3,648 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7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7B" w14:textId="77777777" w:rsidR="009C6E2F" w:rsidRDefault="007972BE">
            <w:pPr>
              <w:jc w:val="right"/>
              <w:textAlignment w:val="bottom"/>
            </w:pPr>
            <w:r>
              <w:rPr>
                <w:rFonts w:ascii="Arial" w:eastAsia="宋体" w:hAnsi="Arial" w:cs="Arial"/>
                <w:color w:val="000000"/>
                <w:sz w:val="17"/>
                <w:szCs w:val="17"/>
              </w:rPr>
              <w:t>3,585 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7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7D"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7E"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7F"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80"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8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82" w14:textId="77777777" w:rsidR="009C6E2F" w:rsidRDefault="007972BE">
            <w:pPr>
              <w:jc w:val="right"/>
              <w:textAlignment w:val="bottom"/>
            </w:pPr>
            <w:r>
              <w:rPr>
                <w:rFonts w:ascii="Arial" w:eastAsia="宋体" w:hAnsi="Arial" w:cs="Arial"/>
                <w:color w:val="000000"/>
                <w:sz w:val="17"/>
                <w:szCs w:val="17"/>
              </w:rPr>
              <w:t>7,098 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8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84" w14:textId="77777777" w:rsidR="009C6E2F" w:rsidRDefault="007972BE">
            <w:pPr>
              <w:jc w:val="right"/>
              <w:textAlignment w:val="bottom"/>
            </w:pPr>
            <w:r>
              <w:rPr>
                <w:rFonts w:ascii="Arial" w:eastAsia="宋体" w:hAnsi="Arial" w:cs="Arial"/>
                <w:color w:val="000000"/>
                <w:sz w:val="17"/>
                <w:szCs w:val="17"/>
              </w:rPr>
              <w:t>6,460 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8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86"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8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88"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89" w14:textId="77777777" w:rsidR="009C6E2F" w:rsidRDefault="007972BE">
            <w:pPr>
              <w:jc w:val="right"/>
              <w:textAlignment w:val="bottom"/>
            </w:pPr>
            <w:r>
              <w:rPr>
                <w:rFonts w:ascii="Arial" w:eastAsia="宋体" w:hAnsi="Arial" w:cs="Arial"/>
                <w:color w:val="000000"/>
                <w:sz w:val="17"/>
                <w:szCs w:val="17"/>
              </w:rPr>
              <w:t>%</w:t>
            </w:r>
          </w:p>
        </w:tc>
      </w:tr>
      <w:tr w:rsidR="009C6E2F" w14:paraId="2470D49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48B"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8C" w14:textId="77777777" w:rsidR="009C6E2F" w:rsidRDefault="007972BE">
            <w:pPr>
              <w:jc w:val="right"/>
              <w:textAlignment w:val="bottom"/>
            </w:pPr>
            <w:r>
              <w:rPr>
                <w:rFonts w:ascii="Arial" w:eastAsia="宋体" w:hAnsi="Arial" w:cs="Arial"/>
                <w:color w:val="000000"/>
                <w:sz w:val="17"/>
                <w:szCs w:val="17"/>
              </w:rPr>
              <w:t>382 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8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8E" w14:textId="77777777" w:rsidR="009C6E2F" w:rsidRDefault="007972BE">
            <w:pPr>
              <w:jc w:val="right"/>
              <w:textAlignment w:val="bottom"/>
            </w:pPr>
            <w:r>
              <w:rPr>
                <w:rFonts w:ascii="Arial" w:eastAsia="宋体" w:hAnsi="Arial" w:cs="Arial"/>
                <w:color w:val="000000"/>
                <w:sz w:val="17"/>
                <w:szCs w:val="17"/>
              </w:rPr>
              <w:t>347 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8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90"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91"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92"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93"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9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95" w14:textId="77777777" w:rsidR="009C6E2F" w:rsidRDefault="007972BE">
            <w:pPr>
              <w:jc w:val="right"/>
              <w:textAlignment w:val="bottom"/>
            </w:pPr>
            <w:r>
              <w:rPr>
                <w:rFonts w:ascii="Arial" w:eastAsia="宋体" w:hAnsi="Arial" w:cs="Arial"/>
                <w:color w:val="000000"/>
                <w:sz w:val="17"/>
                <w:szCs w:val="17"/>
              </w:rPr>
              <w:t>847 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9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97" w14:textId="77777777" w:rsidR="009C6E2F" w:rsidRDefault="007972BE">
            <w:pPr>
              <w:jc w:val="right"/>
              <w:textAlignment w:val="bottom"/>
            </w:pPr>
            <w:r>
              <w:rPr>
                <w:rFonts w:ascii="Arial" w:eastAsia="宋体" w:hAnsi="Arial" w:cs="Arial"/>
                <w:color w:val="000000"/>
                <w:sz w:val="17"/>
                <w:szCs w:val="17"/>
              </w:rPr>
              <w:t>718 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9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99" w14:textId="77777777" w:rsidR="009C6E2F" w:rsidRDefault="007972BE">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9A"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9B"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9C" w14:textId="77777777" w:rsidR="009C6E2F" w:rsidRDefault="007972BE">
            <w:pPr>
              <w:jc w:val="right"/>
              <w:textAlignment w:val="bottom"/>
            </w:pPr>
            <w:r>
              <w:rPr>
                <w:rFonts w:ascii="Arial" w:eastAsia="宋体" w:hAnsi="Arial" w:cs="Arial"/>
                <w:color w:val="000000"/>
                <w:sz w:val="17"/>
                <w:szCs w:val="17"/>
              </w:rPr>
              <w:t>%</w:t>
            </w:r>
          </w:p>
        </w:tc>
      </w:tr>
      <w:tr w:rsidR="009C6E2F" w14:paraId="2470D4B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49E"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9F"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A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A1"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A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A3" w14:textId="77777777" w:rsidR="009C6E2F" w:rsidRDefault="007972BE">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A4"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A5"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A6"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A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A8"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A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AA"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A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AC"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A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AE"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AF" w14:textId="77777777" w:rsidR="009C6E2F" w:rsidRDefault="007972BE">
            <w:pPr>
              <w:jc w:val="right"/>
              <w:textAlignment w:val="bottom"/>
            </w:pPr>
            <w:r>
              <w:rPr>
                <w:rFonts w:ascii="Arial" w:eastAsia="宋体" w:hAnsi="Arial" w:cs="Arial"/>
                <w:color w:val="000000"/>
                <w:sz w:val="17"/>
                <w:szCs w:val="17"/>
              </w:rPr>
              <w:t>%</w:t>
            </w:r>
          </w:p>
        </w:tc>
      </w:tr>
      <w:tr w:rsidR="009C6E2F" w14:paraId="2470D4C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B1" w14:textId="77777777" w:rsidR="009C6E2F" w:rsidRDefault="007972BE">
            <w:pPr>
              <w:textAlignment w:val="bottom"/>
            </w:pPr>
            <w:r>
              <w:rPr>
                <w:rFonts w:ascii="Arial" w:eastAsia="宋体" w:hAnsi="Arial" w:cs="Arial"/>
                <w:b/>
                <w:bCs/>
                <w:color w:val="000000"/>
                <w:sz w:val="17"/>
                <w:szCs w:val="17"/>
              </w:rPr>
              <w:t>Total NIKE Brand Revenues</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4B2" w14:textId="77777777" w:rsidR="009C6E2F" w:rsidRDefault="007972BE">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4B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B4" w14:textId="77777777" w:rsidR="009C6E2F" w:rsidRDefault="007972BE">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B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B6"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B7"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B8" w14:textId="77777777" w:rsidR="009C6E2F" w:rsidRDefault="007972BE">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B9"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BA"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4BB" w14:textId="77777777" w:rsidR="009C6E2F" w:rsidRDefault="007972BE">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4BC"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BD" w14:textId="77777777" w:rsidR="009C6E2F" w:rsidRDefault="007972BE">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B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BF"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C0"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C1"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C2" w14:textId="77777777" w:rsidR="009C6E2F" w:rsidRDefault="007972BE">
            <w:pPr>
              <w:jc w:val="right"/>
              <w:textAlignment w:val="bottom"/>
            </w:pPr>
            <w:r>
              <w:rPr>
                <w:rFonts w:ascii="Arial" w:eastAsia="宋体" w:hAnsi="Arial" w:cs="Arial"/>
                <w:b/>
                <w:bCs/>
                <w:color w:val="000000"/>
                <w:sz w:val="17"/>
                <w:szCs w:val="17"/>
              </w:rPr>
              <w:t>%</w:t>
            </w:r>
          </w:p>
        </w:tc>
      </w:tr>
      <w:tr w:rsidR="009C6E2F" w14:paraId="2470D4D6" w14:textId="77777777">
        <w:tc>
          <w:tcPr>
            <w:tcW w:w="0" w:type="auto"/>
            <w:gridSpan w:val="3"/>
            <w:tcBorders>
              <w:top w:val="single" w:sz="8" w:space="0" w:color="E87722"/>
            </w:tcBorders>
            <w:shd w:val="clear" w:color="auto" w:fill="auto"/>
            <w:tcMar>
              <w:top w:w="40" w:type="dxa"/>
              <w:left w:w="155" w:type="dxa"/>
              <w:bottom w:w="40" w:type="dxa"/>
              <w:right w:w="20" w:type="dxa"/>
            </w:tcMar>
            <w:vAlign w:val="bottom"/>
          </w:tcPr>
          <w:p w14:paraId="2470D4C4"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4C5" w14:textId="77777777" w:rsidR="009C6E2F" w:rsidRDefault="007972BE">
            <w:pPr>
              <w:jc w:val="right"/>
              <w:textAlignment w:val="bottom"/>
            </w:pPr>
            <w:r>
              <w:rPr>
                <w:rFonts w:ascii="Arial" w:eastAsia="宋体" w:hAnsi="Arial" w:cs="Arial"/>
                <w:color w:val="000000"/>
                <w:sz w:val="17"/>
                <w:szCs w:val="17"/>
              </w:rPr>
              <w:t>557 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4C6"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C7" w14:textId="77777777" w:rsidR="009C6E2F" w:rsidRDefault="007972BE">
            <w:pPr>
              <w:jc w:val="right"/>
              <w:textAlignment w:val="bottom"/>
            </w:pPr>
            <w:r>
              <w:rPr>
                <w:rFonts w:ascii="Arial" w:eastAsia="宋体" w:hAnsi="Arial" w:cs="Arial"/>
                <w:color w:val="000000"/>
                <w:sz w:val="17"/>
                <w:szCs w:val="17"/>
              </w:rPr>
              <w:t>476 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C8"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C9"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CA"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CB"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CC"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CD"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4CE" w14:textId="77777777" w:rsidR="009C6E2F" w:rsidRDefault="007972BE">
            <w:pPr>
              <w:jc w:val="right"/>
              <w:textAlignment w:val="bottom"/>
            </w:pPr>
            <w:r>
              <w:rPr>
                <w:rFonts w:ascii="Arial" w:eastAsia="宋体" w:hAnsi="Arial" w:cs="Arial"/>
                <w:color w:val="000000"/>
                <w:sz w:val="17"/>
                <w:szCs w:val="17"/>
              </w:rPr>
              <w:t>1,186 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4C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D0" w14:textId="77777777" w:rsidR="009C6E2F" w:rsidRDefault="007972BE">
            <w:pPr>
              <w:jc w:val="right"/>
              <w:textAlignment w:val="bottom"/>
            </w:pPr>
            <w:r>
              <w:rPr>
                <w:rFonts w:ascii="Arial" w:eastAsia="宋体" w:hAnsi="Arial" w:cs="Arial"/>
                <w:color w:val="000000"/>
                <w:sz w:val="17"/>
                <w:szCs w:val="17"/>
              </w:rPr>
              <w:t>1,039 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D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D2"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D3"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D4"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D5" w14:textId="77777777" w:rsidR="009C6E2F" w:rsidRDefault="007972BE">
            <w:pPr>
              <w:jc w:val="right"/>
              <w:textAlignment w:val="bottom"/>
            </w:pPr>
            <w:r>
              <w:rPr>
                <w:rFonts w:ascii="Arial" w:eastAsia="宋体" w:hAnsi="Arial" w:cs="Arial"/>
                <w:color w:val="000000"/>
                <w:sz w:val="17"/>
                <w:szCs w:val="17"/>
              </w:rPr>
              <w:t>%</w:t>
            </w:r>
          </w:p>
        </w:tc>
      </w:tr>
      <w:tr w:rsidR="009C6E2F" w14:paraId="2470D4E9"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4D7"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Corporate</w:t>
            </w:r>
            <w:r>
              <w:rPr>
                <w:rFonts w:ascii="Arial" w:eastAsia="宋体" w:hAnsi="Arial" w:cs="Arial"/>
                <w:color w:val="000000"/>
                <w:sz w:val="9"/>
                <w:szCs w:val="9"/>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D8" w14:textId="77777777" w:rsidR="009C6E2F" w:rsidRDefault="007972BE">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D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DA"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D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D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D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D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DF"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4E0"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4E1"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4E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E3" w14:textId="77777777" w:rsidR="009C6E2F" w:rsidRDefault="007972BE">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E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E5"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E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4E7"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4E8" w14:textId="77777777" w:rsidR="009C6E2F" w:rsidRDefault="009C6E2F">
            <w:pPr>
              <w:jc w:val="right"/>
              <w:rPr>
                <w:rFonts w:ascii="宋体"/>
              </w:rPr>
            </w:pPr>
          </w:p>
        </w:tc>
      </w:tr>
      <w:tr w:rsidR="009C6E2F" w14:paraId="2470D500"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4EA" w14:textId="77777777" w:rsidR="009C6E2F" w:rsidRDefault="007972BE">
            <w:pPr>
              <w:textAlignment w:val="bottom"/>
            </w:pPr>
            <w:r>
              <w:rPr>
                <w:rFonts w:ascii="Arial" w:eastAsia="宋体" w:hAnsi="Arial" w:cs="Arial"/>
                <w:b/>
                <w:bCs/>
                <w:color w:val="000000"/>
                <w:sz w:val="17"/>
                <w:szCs w:val="17"/>
              </w:rPr>
              <w:t>TOTAL NIKE, INC.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4E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4EC" w14:textId="77777777" w:rsidR="009C6E2F" w:rsidRDefault="007972BE">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4ED"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4E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4EF" w14:textId="77777777" w:rsidR="009C6E2F" w:rsidRDefault="007972BE">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F0"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F1"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F2"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F3" w14:textId="77777777" w:rsidR="009C6E2F" w:rsidRDefault="007972BE">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F4"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4F5"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4F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4F7" w14:textId="77777777" w:rsidR="009C6E2F" w:rsidRDefault="007972BE">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4F8"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4F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4FA" w14:textId="77777777" w:rsidR="009C6E2F" w:rsidRDefault="007972BE">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FB"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FC"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FD"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4FE"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4FF" w14:textId="77777777" w:rsidR="009C6E2F" w:rsidRDefault="007972BE">
            <w:pPr>
              <w:jc w:val="right"/>
              <w:textAlignment w:val="bottom"/>
            </w:pPr>
            <w:r>
              <w:rPr>
                <w:rFonts w:ascii="Arial" w:eastAsia="宋体" w:hAnsi="Arial" w:cs="Arial"/>
                <w:b/>
                <w:bCs/>
                <w:color w:val="000000"/>
                <w:sz w:val="17"/>
                <w:szCs w:val="17"/>
              </w:rPr>
              <w:t>%</w:t>
            </w:r>
          </w:p>
        </w:tc>
      </w:tr>
      <w:tr w:rsidR="009C6E2F" w14:paraId="2470D50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01" w14:textId="77777777" w:rsidR="009C6E2F" w:rsidRDefault="007972BE">
            <w:pPr>
              <w:textAlignment w:val="bottom"/>
            </w:pPr>
            <w:r>
              <w:rPr>
                <w:rFonts w:ascii="Arial" w:eastAsia="宋体" w:hAnsi="Arial" w:cs="Arial"/>
                <w:b/>
                <w:bCs/>
                <w:i/>
                <w:iCs/>
                <w:color w:val="000000"/>
                <w:sz w:val="17"/>
                <w:szCs w:val="17"/>
              </w:rPr>
              <w:t>Supplemental NIKE Br</w:t>
            </w:r>
            <w:r>
              <w:rPr>
                <w:rFonts w:ascii="Arial" w:eastAsia="宋体" w:hAnsi="Arial" w:cs="Arial"/>
                <w:b/>
                <w:bCs/>
                <w:i/>
                <w:iCs/>
                <w:color w:val="000000"/>
                <w:sz w:val="17"/>
                <w:szCs w:val="17"/>
              </w:rPr>
              <w:t>and Revenues Details:</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50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0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0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0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06"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50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0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0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0A" w14:textId="77777777" w:rsidR="009C6E2F" w:rsidRDefault="009C6E2F">
            <w:pPr>
              <w:rPr>
                <w:rFonts w:ascii="宋体"/>
              </w:rPr>
            </w:pPr>
          </w:p>
        </w:tc>
      </w:tr>
      <w:tr w:rsidR="009C6E2F" w14:paraId="2470D51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50C" w14:textId="77777777" w:rsidR="009C6E2F" w:rsidRDefault="007972BE">
            <w:pPr>
              <w:textAlignment w:val="bottom"/>
            </w:pPr>
            <w:r>
              <w:rPr>
                <w:rFonts w:ascii="Arial" w:eastAsia="宋体" w:hAnsi="Arial" w:cs="Arial"/>
                <w:b/>
                <w:bCs/>
                <w:color w:val="000000"/>
                <w:sz w:val="17"/>
                <w:szCs w:val="17"/>
              </w:rPr>
              <w:t>NIKE Brand Revenues by:</w:t>
            </w: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D50D"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0E"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0F"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10"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11" w14:textId="77777777" w:rsidR="009C6E2F" w:rsidRDefault="009C6E2F">
            <w:pPr>
              <w:rPr>
                <w:rFonts w:ascii="宋体"/>
              </w:rPr>
            </w:pPr>
          </w:p>
        </w:tc>
        <w:tc>
          <w:tcPr>
            <w:tcW w:w="0" w:type="auto"/>
            <w:gridSpan w:val="3"/>
            <w:tcBorders>
              <w:top w:val="single" w:sz="4" w:space="0" w:color="808080"/>
            </w:tcBorders>
            <w:shd w:val="clear" w:color="auto" w:fill="FFF1E7"/>
            <w:tcMar>
              <w:top w:w="0" w:type="dxa"/>
              <w:left w:w="20" w:type="dxa"/>
              <w:bottom w:w="0" w:type="dxa"/>
              <w:right w:w="20" w:type="dxa"/>
            </w:tcMar>
            <w:vAlign w:val="bottom"/>
          </w:tcPr>
          <w:p w14:paraId="2470D512"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13"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14" w14:textId="77777777" w:rsidR="009C6E2F" w:rsidRDefault="009C6E2F">
            <w:pPr>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15" w14:textId="77777777" w:rsidR="009C6E2F" w:rsidRDefault="009C6E2F">
            <w:pPr>
              <w:rPr>
                <w:rFonts w:ascii="宋体"/>
              </w:rPr>
            </w:pPr>
          </w:p>
        </w:tc>
      </w:tr>
      <w:tr w:rsidR="009C6E2F" w14:paraId="2470D52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517"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51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519" w14:textId="77777777" w:rsidR="009C6E2F" w:rsidRDefault="007972BE">
            <w:pPr>
              <w:jc w:val="right"/>
              <w:textAlignment w:val="bottom"/>
            </w:pPr>
            <w:r>
              <w:rPr>
                <w:rFonts w:ascii="Arial" w:eastAsia="宋体" w:hAnsi="Arial" w:cs="Arial"/>
                <w:color w:val="000000"/>
                <w:sz w:val="17"/>
                <w:szCs w:val="17"/>
              </w:rPr>
              <w:t>6,119 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51A"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51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51C" w14:textId="77777777" w:rsidR="009C6E2F" w:rsidRDefault="007972BE">
            <w:pPr>
              <w:jc w:val="right"/>
              <w:textAlignment w:val="bottom"/>
            </w:pPr>
            <w:r>
              <w:rPr>
                <w:rFonts w:ascii="Arial" w:eastAsia="宋体" w:hAnsi="Arial" w:cs="Arial"/>
                <w:color w:val="000000"/>
                <w:sz w:val="17"/>
                <w:szCs w:val="17"/>
              </w:rPr>
              <w:t>6,423 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1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1E"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1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20"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2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22"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52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524" w14:textId="77777777" w:rsidR="009C6E2F" w:rsidRDefault="007972BE">
            <w:pPr>
              <w:jc w:val="right"/>
              <w:textAlignment w:val="bottom"/>
            </w:pPr>
            <w:r>
              <w:rPr>
                <w:rFonts w:ascii="Arial" w:eastAsia="宋体" w:hAnsi="Arial" w:cs="Arial"/>
                <w:color w:val="000000"/>
                <w:sz w:val="17"/>
                <w:szCs w:val="17"/>
              </w:rPr>
              <w:t>13,062 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525"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52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527" w14:textId="77777777" w:rsidR="009C6E2F" w:rsidRDefault="007972BE">
            <w:pPr>
              <w:jc w:val="right"/>
              <w:textAlignment w:val="bottom"/>
            </w:pPr>
            <w:r>
              <w:rPr>
                <w:rFonts w:ascii="Arial" w:eastAsia="宋体" w:hAnsi="Arial" w:cs="Arial"/>
                <w:color w:val="000000"/>
                <w:sz w:val="17"/>
                <w:szCs w:val="17"/>
              </w:rPr>
              <w:t>12,787 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2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29"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2A"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2B" w14:textId="77777777" w:rsidR="009C6E2F" w:rsidRDefault="007972BE">
            <w:pPr>
              <w:jc w:val="right"/>
              <w:textAlignment w:val="bottom"/>
            </w:pPr>
            <w:r>
              <w:rPr>
                <w:rFonts w:ascii="Arial" w:eastAsia="宋体" w:hAnsi="Arial" w:cs="Arial"/>
                <w:color w:val="000000"/>
                <w:sz w:val="17"/>
                <w:szCs w:val="17"/>
              </w:rPr>
              <w:t>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2C" w14:textId="77777777" w:rsidR="009C6E2F" w:rsidRDefault="007972BE">
            <w:pPr>
              <w:jc w:val="right"/>
              <w:textAlignment w:val="bottom"/>
            </w:pPr>
            <w:r>
              <w:rPr>
                <w:rFonts w:ascii="Arial" w:eastAsia="宋体" w:hAnsi="Arial" w:cs="Arial"/>
                <w:color w:val="000000"/>
                <w:sz w:val="17"/>
                <w:szCs w:val="17"/>
              </w:rPr>
              <w:t>%</w:t>
            </w:r>
          </w:p>
        </w:tc>
      </w:tr>
      <w:tr w:rsidR="009C6E2F" w14:paraId="2470D54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52E" w14:textId="77777777" w:rsidR="009C6E2F" w:rsidRDefault="007972BE">
            <w:pPr>
              <w:textAlignment w:val="bottom"/>
            </w:pPr>
            <w:r>
              <w:rPr>
                <w:rFonts w:ascii="Arial" w:eastAsia="宋体" w:hAnsi="Arial" w:cs="Arial"/>
                <w:color w:val="000000"/>
                <w:sz w:val="17"/>
                <w:szCs w:val="17"/>
              </w:rPr>
              <w:t>Sales through NIK</w:t>
            </w:r>
            <w:r>
              <w:rPr>
                <w:rFonts w:ascii="Arial" w:eastAsia="宋体" w:hAnsi="Arial" w:cs="Arial"/>
                <w:color w:val="000000"/>
                <w:sz w:val="17"/>
                <w:szCs w:val="17"/>
              </w:rPr>
              <w:t>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52F" w14:textId="77777777" w:rsidR="009C6E2F" w:rsidRDefault="007972BE">
            <w:pPr>
              <w:jc w:val="right"/>
              <w:textAlignment w:val="bottom"/>
            </w:pPr>
            <w:r>
              <w:rPr>
                <w:rFonts w:ascii="Arial" w:eastAsia="宋体" w:hAnsi="Arial" w:cs="Arial"/>
                <w:color w:val="000000"/>
                <w:sz w:val="17"/>
                <w:szCs w:val="17"/>
              </w:rPr>
              <w:t>4,691 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53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31" w14:textId="77777777" w:rsidR="009C6E2F" w:rsidRDefault="007972BE">
            <w:pPr>
              <w:jc w:val="right"/>
              <w:textAlignment w:val="bottom"/>
            </w:pPr>
            <w:r>
              <w:rPr>
                <w:rFonts w:ascii="Arial" w:eastAsia="宋体" w:hAnsi="Arial" w:cs="Arial"/>
                <w:color w:val="000000"/>
                <w:sz w:val="17"/>
                <w:szCs w:val="17"/>
              </w:rPr>
              <w:t>4,310 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3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33"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34"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35"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36"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3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538" w14:textId="77777777" w:rsidR="009C6E2F" w:rsidRDefault="007972BE">
            <w:pPr>
              <w:jc w:val="right"/>
              <w:textAlignment w:val="bottom"/>
            </w:pPr>
            <w:r>
              <w:rPr>
                <w:rFonts w:ascii="Arial" w:eastAsia="宋体" w:hAnsi="Arial" w:cs="Arial"/>
                <w:color w:val="000000"/>
                <w:sz w:val="17"/>
                <w:szCs w:val="17"/>
              </w:rPr>
              <w:t>9,381 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53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3A" w14:textId="77777777" w:rsidR="009C6E2F" w:rsidRDefault="007972BE">
            <w:pPr>
              <w:jc w:val="right"/>
              <w:textAlignment w:val="bottom"/>
            </w:pPr>
            <w:r>
              <w:rPr>
                <w:rFonts w:ascii="Arial" w:eastAsia="宋体" w:hAnsi="Arial" w:cs="Arial"/>
                <w:color w:val="000000"/>
                <w:sz w:val="17"/>
                <w:szCs w:val="17"/>
              </w:rPr>
              <w:t>7,960 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3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3C" w14:textId="77777777" w:rsidR="009C6E2F" w:rsidRDefault="007972BE">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3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3E"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3F" w14:textId="77777777" w:rsidR="009C6E2F" w:rsidRDefault="007972BE">
            <w:pPr>
              <w:jc w:val="right"/>
              <w:textAlignment w:val="bottom"/>
            </w:pPr>
            <w:r>
              <w:rPr>
                <w:rFonts w:ascii="Arial" w:eastAsia="宋体" w:hAnsi="Arial" w:cs="Arial"/>
                <w:color w:val="000000"/>
                <w:sz w:val="17"/>
                <w:szCs w:val="17"/>
              </w:rPr>
              <w:t>%</w:t>
            </w:r>
          </w:p>
        </w:tc>
      </w:tr>
      <w:tr w:rsidR="009C6E2F" w14:paraId="2470D553"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54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Global Brand Divisions</w:t>
            </w:r>
            <w:r>
              <w:rPr>
                <w:rFonts w:ascii="Arial" w:eastAsia="宋体" w:hAnsi="Arial" w:cs="Arial"/>
                <w:color w:val="000000"/>
                <w:sz w:val="9"/>
                <w:szCs w:val="9"/>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542"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54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44"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4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46" w14:textId="77777777" w:rsidR="009C6E2F" w:rsidRDefault="007972BE">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4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48"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49"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54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54B"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54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4D"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4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4F"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5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551"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552" w14:textId="77777777" w:rsidR="009C6E2F" w:rsidRDefault="007972BE">
            <w:pPr>
              <w:jc w:val="right"/>
              <w:textAlignment w:val="bottom"/>
            </w:pPr>
            <w:r>
              <w:rPr>
                <w:rFonts w:ascii="Arial" w:eastAsia="宋体" w:hAnsi="Arial" w:cs="Arial"/>
                <w:color w:val="000000"/>
                <w:sz w:val="17"/>
                <w:szCs w:val="17"/>
              </w:rPr>
              <w:t>%</w:t>
            </w:r>
          </w:p>
        </w:tc>
      </w:tr>
      <w:tr w:rsidR="009C6E2F" w14:paraId="2470D56A"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554" w14:textId="77777777" w:rsidR="009C6E2F" w:rsidRDefault="007972BE">
            <w:pPr>
              <w:textAlignment w:val="bottom"/>
            </w:pPr>
            <w:r>
              <w:rPr>
                <w:rFonts w:ascii="Arial" w:eastAsia="宋体" w:hAnsi="Arial" w:cs="Arial"/>
                <w:b/>
                <w:bCs/>
                <w:color w:val="000000"/>
                <w:sz w:val="17"/>
                <w:szCs w:val="17"/>
              </w:rPr>
              <w:t>TOTAL NIKE BRAND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55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556" w14:textId="77777777" w:rsidR="009C6E2F" w:rsidRDefault="007972BE">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557"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55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559" w14:textId="77777777" w:rsidR="009C6E2F" w:rsidRDefault="007972BE">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55A"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55B"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55C"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55D" w14:textId="77777777" w:rsidR="009C6E2F" w:rsidRDefault="007972BE">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55E"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55F"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56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561" w14:textId="77777777" w:rsidR="009C6E2F" w:rsidRDefault="007972BE">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56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56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564" w14:textId="77777777" w:rsidR="009C6E2F" w:rsidRDefault="007972BE">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565"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566"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567"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568"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569" w14:textId="77777777" w:rsidR="009C6E2F" w:rsidRDefault="007972BE">
            <w:pPr>
              <w:jc w:val="right"/>
              <w:textAlignment w:val="bottom"/>
            </w:pPr>
            <w:r>
              <w:rPr>
                <w:rFonts w:ascii="Arial" w:eastAsia="宋体" w:hAnsi="Arial" w:cs="Arial"/>
                <w:b/>
                <w:bCs/>
                <w:color w:val="000000"/>
                <w:sz w:val="17"/>
                <w:szCs w:val="17"/>
              </w:rPr>
              <w:t>%</w:t>
            </w:r>
          </w:p>
        </w:tc>
      </w:tr>
    </w:tbl>
    <w:p w14:paraId="2470D56B"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(1)The percent chang</w:t>
      </w:r>
      <w:r>
        <w:rPr>
          <w:rFonts w:ascii="Arial" w:eastAsia="宋体" w:hAnsi="Arial" w:cs="Arial"/>
          <w:i/>
          <w:iCs/>
          <w:color w:val="000000"/>
          <w:sz w:val="14"/>
          <w:szCs w:val="14"/>
        </w:rPr>
        <w:t>e excluding currency changes represents a non-GAAP financial measure. See "Use of Non-GAAP Financial Measures" for further information.</w:t>
      </w:r>
    </w:p>
    <w:p w14:paraId="2470D56C"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 xml:space="preserve">(2)Global Brand Divisions revenues are primarily attributable to NIKE Brand licensing businesses that are not part of a </w:t>
      </w:r>
      <w:r>
        <w:rPr>
          <w:rFonts w:ascii="Arial" w:eastAsia="宋体" w:hAnsi="Arial" w:cs="Arial"/>
          <w:i/>
          <w:iCs/>
          <w:color w:val="000000"/>
          <w:sz w:val="14"/>
          <w:szCs w:val="14"/>
        </w:rPr>
        <w:t xml:space="preserve">geographic operating segment. </w:t>
      </w:r>
    </w:p>
    <w:p w14:paraId="2470D56D"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(3)Corporate revenues primarily consist of foreign currency hedge gains and losses related to revenues generated by entities within the NIKE Brand geographic operating segments and Converse, but managed through our central fo</w:t>
      </w:r>
      <w:r>
        <w:rPr>
          <w:rFonts w:ascii="Arial" w:eastAsia="宋体" w:hAnsi="Arial" w:cs="Arial"/>
          <w:i/>
          <w:iCs/>
          <w:color w:val="000000"/>
          <w:sz w:val="14"/>
          <w:szCs w:val="14"/>
        </w:rPr>
        <w:t>reign exchange risk management program.</w:t>
      </w:r>
    </w:p>
    <w:p w14:paraId="2470D56E"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 FISCAL 2021</w:t>
      </w:r>
    </w:p>
    <w:p w14:paraId="2470D56F" w14:textId="77777777" w:rsidR="009C6E2F" w:rsidRDefault="007972BE">
      <w:pPr>
        <w:spacing w:after="120"/>
      </w:pPr>
      <w:r>
        <w:rPr>
          <w:rFonts w:ascii="Arial" w:eastAsia="宋体" w:hAnsi="Arial" w:cs="Arial"/>
          <w:color w:val="000000"/>
          <w:sz w:val="17"/>
          <w:szCs w:val="17"/>
        </w:rPr>
        <w:t xml:space="preserve">On a currency-neutral basis, NIKE, Inc. Revenues were flat for the second quarter of fiscal 2022, as higher revenues in North America, EMEA </w:t>
      </w:r>
      <w:r>
        <w:rPr>
          <w:rFonts w:ascii="Arial" w:eastAsia="宋体" w:hAnsi="Arial" w:cs="Arial"/>
          <w:color w:val="000000"/>
          <w:sz w:val="17"/>
          <w:szCs w:val="17"/>
        </w:rPr>
        <w:t>and Converse were offset by lower revenues in Greater China and APLA. Higher revenues in North America, EMEA and Converse contributed approximately 4, 1 and 1 percentage points to NIKE, Inc. Revenues, respectively, while lower revenues in Greater China and</w:t>
      </w:r>
      <w:r>
        <w:rPr>
          <w:rFonts w:ascii="Arial" w:eastAsia="宋体" w:hAnsi="Arial" w:cs="Arial"/>
          <w:color w:val="000000"/>
          <w:sz w:val="17"/>
          <w:szCs w:val="17"/>
        </w:rPr>
        <w:t xml:space="preserve"> APLA reduced NIKE, Inc. Revenues by approximately 5 and 1 percentage points, respectively.</w:t>
      </w:r>
    </w:p>
    <w:p w14:paraId="2470D570" w14:textId="77777777" w:rsidR="009C6E2F" w:rsidRDefault="007972BE">
      <w:pPr>
        <w:spacing w:before="120" w:after="120"/>
      </w:pPr>
      <w:r>
        <w:rPr>
          <w:rFonts w:ascii="Arial" w:eastAsia="宋体" w:hAnsi="Arial" w:cs="Arial"/>
          <w:color w:val="000000"/>
          <w:sz w:val="17"/>
          <w:szCs w:val="17"/>
        </w:rPr>
        <w:t>On a currency-neutral basis, NIKE Brand footwear revenues decreased 1% in the second quarter of fiscal 2022, driven primarily by lower revenues in Men's. Unit sales</w:t>
      </w:r>
      <w:r>
        <w:rPr>
          <w:rFonts w:ascii="Arial" w:eastAsia="宋体" w:hAnsi="Arial" w:cs="Arial"/>
          <w:color w:val="000000"/>
          <w:sz w:val="17"/>
          <w:szCs w:val="17"/>
        </w:rPr>
        <w:t xml:space="preserve"> of footwear decreased 7%, while higher average selling price (ASP) per pair contributed approximately 6 percentage points of footwear revenue growth, primarily due to higher NIKE Direct ASP, as well as a higher mix of full-price sales, partially offset by</w:t>
      </w:r>
      <w:r>
        <w:rPr>
          <w:rFonts w:ascii="Arial" w:eastAsia="宋体" w:hAnsi="Arial" w:cs="Arial"/>
          <w:color w:val="000000"/>
          <w:sz w:val="17"/>
          <w:szCs w:val="17"/>
        </w:rPr>
        <w:t xml:space="preserve"> lower full-price ASP, on a wholesale equivalent basis.</w:t>
      </w:r>
    </w:p>
    <w:p w14:paraId="2470D571" w14:textId="77777777" w:rsidR="009C6E2F" w:rsidRDefault="007972BE">
      <w:pPr>
        <w:spacing w:before="120" w:after="120"/>
      </w:pPr>
      <w:r>
        <w:rPr>
          <w:rFonts w:ascii="Arial" w:eastAsia="宋体" w:hAnsi="Arial" w:cs="Arial"/>
          <w:color w:val="000000"/>
          <w:sz w:val="17"/>
          <w:szCs w:val="17"/>
        </w:rPr>
        <w:t>Currency-neutral NIKE Brand apparel revenues, for the second quarter of fiscal 2022, increased 1%, driven primarily by growth in NIKE Direct, partially offset by declines in our wholesale business. Un</w:t>
      </w:r>
      <w:r>
        <w:rPr>
          <w:rFonts w:ascii="Arial" w:eastAsia="宋体" w:hAnsi="Arial" w:cs="Arial"/>
          <w:color w:val="000000"/>
          <w:sz w:val="17"/>
          <w:szCs w:val="17"/>
        </w:rPr>
        <w:t xml:space="preserve">it sales of apparel decreased 6%, and higher ASP per unit contributed approximately 7 percentage points of apparel revenue growth. Higher ASP per unit was primarily due to higher NIKE Direct ASP, a higher mix of full-price sales and higher full-price ASP, </w:t>
      </w:r>
      <w:r>
        <w:rPr>
          <w:rFonts w:ascii="Arial" w:eastAsia="宋体" w:hAnsi="Arial" w:cs="Arial"/>
          <w:color w:val="000000"/>
          <w:sz w:val="17"/>
          <w:szCs w:val="17"/>
        </w:rPr>
        <w:t>primarily due to lower discounts, as well as higher off-price ASP.</w:t>
      </w:r>
    </w:p>
    <w:p w14:paraId="2470D572" w14:textId="77777777" w:rsidR="009C6E2F" w:rsidRDefault="007972BE">
      <w:pPr>
        <w:spacing w:before="120" w:after="120"/>
      </w:pPr>
      <w:r>
        <w:rPr>
          <w:rFonts w:ascii="Arial" w:eastAsia="宋体" w:hAnsi="Arial" w:cs="Arial"/>
          <w:color w:val="000000"/>
          <w:sz w:val="17"/>
          <w:szCs w:val="17"/>
        </w:rPr>
        <w:t>On a reported basis, NIKE Direct revenues represented approximately 43% of our total NIKE Brand revenues for the second quarter of fiscal 2022 compared to 40% for the second quarter of fisc</w:t>
      </w:r>
      <w:r>
        <w:rPr>
          <w:rFonts w:ascii="Arial" w:eastAsia="宋体" w:hAnsi="Arial" w:cs="Arial"/>
          <w:color w:val="000000"/>
          <w:sz w:val="17"/>
          <w:szCs w:val="17"/>
        </w:rPr>
        <w:t xml:space="preserve">al 2021. Digital commerce sales were $2.7 billion for the second quarter of fiscal 2022 compared to $2.4 billion for the second quarter of fiscal 2021. On a currency-neutral basis, NIKE Direct revenues increased 8%, driven by digital commerce sales growth </w:t>
      </w:r>
      <w:r>
        <w:rPr>
          <w:rFonts w:ascii="Arial" w:eastAsia="宋体" w:hAnsi="Arial" w:cs="Arial"/>
          <w:color w:val="000000"/>
          <w:sz w:val="17"/>
          <w:szCs w:val="17"/>
        </w:rPr>
        <w:t>of 11%, comparable store sales growth of 3%, in part due to improved physical retail traffic in some of our geographies, and the addition of new stores. Comparable store sales, which exclude digital commerce sales, comprises revenues from NIKE-owned in-lin</w:t>
      </w:r>
      <w:r>
        <w:rPr>
          <w:rFonts w:ascii="Arial" w:eastAsia="宋体" w:hAnsi="Arial" w:cs="Arial"/>
          <w:color w:val="000000"/>
          <w:sz w:val="17"/>
          <w:szCs w:val="17"/>
        </w:rPr>
        <w:t>e and factory stores for which all three of the following requirements have been met: (1) the store has been open at least one year, (2) square footage has not changed by more than 15% within the past year and (3) the store has not been permanently reposit</w:t>
      </w:r>
      <w:r>
        <w:rPr>
          <w:rFonts w:ascii="Arial" w:eastAsia="宋体" w:hAnsi="Arial" w:cs="Arial"/>
          <w:color w:val="000000"/>
          <w:sz w:val="17"/>
          <w:szCs w:val="17"/>
        </w:rPr>
        <w:t>ioned within the past year. Comparable store sales includes revenues from stores that were temporarily closed during the period as a result of COVID-19. Comparable store sales represents a performance measure that we believe is useful information for manag</w:t>
      </w:r>
      <w:r>
        <w:rPr>
          <w:rFonts w:ascii="Arial" w:eastAsia="宋体" w:hAnsi="Arial" w:cs="Arial"/>
          <w:color w:val="000000"/>
          <w:sz w:val="17"/>
          <w:szCs w:val="17"/>
        </w:rPr>
        <w:t xml:space="preserve">ement and investors in understanding the performance of our established NIKE-owned in-line and factory stores. Management considers this metric when making financial and operating decisions. The </w:t>
      </w:r>
    </w:p>
    <w:p w14:paraId="2470D573" w14:textId="77777777" w:rsidR="009C6E2F" w:rsidRDefault="007972BE">
      <w:pPr>
        <w:spacing w:before="120" w:after="120"/>
      </w:pPr>
      <w:r>
        <w:rPr>
          <w:rFonts w:ascii="Arial" w:eastAsia="宋体" w:hAnsi="Arial" w:cs="Arial"/>
          <w:color w:val="E87722"/>
          <w:sz w:val="17"/>
          <w:szCs w:val="17"/>
        </w:rPr>
        <w:t>28</w:t>
      </w:r>
      <w:r>
        <w:rPr>
          <w:rFonts w:ascii="sans-serif" w:eastAsia="sans-serif" w:hAnsi="sans-serif" w:cs="sans-serif"/>
          <w:color w:val="000000"/>
          <w:sz w:val="17"/>
          <w:szCs w:val="17"/>
        </w:rPr>
        <w:t xml:space="preserve"> </w:t>
      </w:r>
    </w:p>
    <w:p w14:paraId="2470D574" w14:textId="77777777" w:rsidR="009C6E2F" w:rsidRDefault="007972BE">
      <w:r>
        <w:pict w14:anchorId="2470E201">
          <v:rect id="_x0000_i1054" style="width:415.3pt;height:1.5pt" o:hralign="center" o:hrstd="t" o:hr="t" fillcolor="#a0a0a0" stroked="f"/>
        </w:pict>
      </w:r>
    </w:p>
    <w:p w14:paraId="2470D575" w14:textId="77777777" w:rsidR="009C6E2F" w:rsidRDefault="009C6E2F"/>
    <w:p w14:paraId="2470D576" w14:textId="77777777" w:rsidR="009C6E2F" w:rsidRDefault="007972BE">
      <w:hyperlink r:id="rId97" w:anchor="i9e023a7388204bdbacd6aa338988f838_7" w:history="1">
        <w:r>
          <w:rPr>
            <w:rStyle w:val="a5"/>
            <w:rFonts w:ascii="sans-serif" w:eastAsia="sans-serif" w:hAnsi="sans-serif" w:cs="sans-serif"/>
            <w:sz w:val="17"/>
            <w:szCs w:val="17"/>
          </w:rPr>
          <w:t>Table of Contents</w:t>
        </w:r>
      </w:hyperlink>
    </w:p>
    <w:p w14:paraId="2470D577" w14:textId="77777777" w:rsidR="009C6E2F" w:rsidRDefault="009C6E2F"/>
    <w:p w14:paraId="2470D578" w14:textId="77777777" w:rsidR="009C6E2F" w:rsidRDefault="007972BE">
      <w:pPr>
        <w:spacing w:before="120" w:after="120"/>
      </w:pPr>
      <w:r>
        <w:rPr>
          <w:rFonts w:ascii="Arial" w:eastAsia="宋体" w:hAnsi="Arial" w:cs="Arial"/>
          <w:color w:val="000000"/>
          <w:sz w:val="17"/>
          <w:szCs w:val="17"/>
        </w:rPr>
        <w:t xml:space="preserve">method of calculating comparable store sales varies across the retail industry. As a </w:t>
      </w:r>
      <w:r>
        <w:rPr>
          <w:rFonts w:ascii="Arial" w:eastAsia="宋体" w:hAnsi="Arial" w:cs="Arial"/>
          <w:color w:val="000000"/>
          <w:sz w:val="17"/>
          <w:szCs w:val="17"/>
        </w:rPr>
        <w:t>result, our calculation of this metric may not be comparable to similarly titled measures used by other companies.</w:t>
      </w:r>
    </w:p>
    <w:p w14:paraId="2470D579"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MONTHS OF FISCAL 2021</w:t>
      </w:r>
    </w:p>
    <w:p w14:paraId="2470D57A" w14:textId="77777777" w:rsidR="009C6E2F" w:rsidRDefault="007972BE">
      <w:pPr>
        <w:spacing w:after="120"/>
      </w:pPr>
      <w:r>
        <w:rPr>
          <w:rFonts w:ascii="Arial" w:eastAsia="宋体" w:hAnsi="Arial" w:cs="Arial"/>
          <w:color w:val="000000"/>
          <w:sz w:val="17"/>
          <w:szCs w:val="17"/>
        </w:rPr>
        <w:t>On a currency-neutral basis, NIKE, Inc. Revenues increased 6% for</w:t>
      </w:r>
      <w:r>
        <w:rPr>
          <w:rFonts w:ascii="Arial" w:eastAsia="宋体" w:hAnsi="Arial" w:cs="Arial"/>
          <w:color w:val="000000"/>
          <w:sz w:val="17"/>
          <w:szCs w:val="17"/>
        </w:rPr>
        <w:t xml:space="preserve"> the first six months of fiscal 2022, driven by higher revenues in North America, EMEA, APLA and Converse, partially offset by lower revenues in Greater China. Higher revenues in North America, EMEA, APLA and Converse contributed approximately 5, 2, 1 and </w:t>
      </w:r>
      <w:r>
        <w:rPr>
          <w:rFonts w:ascii="Arial" w:eastAsia="宋体" w:hAnsi="Arial" w:cs="Arial"/>
          <w:color w:val="000000"/>
          <w:sz w:val="17"/>
          <w:szCs w:val="17"/>
        </w:rPr>
        <w:t>1 percentage points to NIKE, Inc. Revenues, respectively, while lower revenues in Greater China reduced NIKE, Inc. Revenues by approximately 3 percentage points.</w:t>
      </w:r>
    </w:p>
    <w:p w14:paraId="2470D57B" w14:textId="77777777" w:rsidR="009C6E2F" w:rsidRDefault="007972BE">
      <w:pPr>
        <w:spacing w:before="120" w:after="120"/>
      </w:pPr>
      <w:r>
        <w:rPr>
          <w:rFonts w:ascii="Arial" w:eastAsia="宋体" w:hAnsi="Arial" w:cs="Arial"/>
          <w:color w:val="000000"/>
          <w:sz w:val="17"/>
          <w:szCs w:val="17"/>
        </w:rPr>
        <w:t>On a currency-neutral basis, NIKE Brand footwear revenues increased 5%, driven primarily by gr</w:t>
      </w:r>
      <w:r>
        <w:rPr>
          <w:rFonts w:ascii="Arial" w:eastAsia="宋体" w:hAnsi="Arial" w:cs="Arial"/>
          <w:color w:val="000000"/>
          <w:sz w:val="17"/>
          <w:szCs w:val="17"/>
        </w:rPr>
        <w:t>owth in NIKE Direct. Unit sales of footwear decreased 1%, while higher ASP per pair contributed approximately 6 percentage points of footwear revenue growth, primarily due to higher NIKE Direct ASP, as well as a higher mix of full-price sales, partially of</w:t>
      </w:r>
      <w:r>
        <w:rPr>
          <w:rFonts w:ascii="Arial" w:eastAsia="宋体" w:hAnsi="Arial" w:cs="Arial"/>
          <w:color w:val="000000"/>
          <w:sz w:val="17"/>
          <w:szCs w:val="17"/>
        </w:rPr>
        <w:t xml:space="preserve">fset by lower full-price ASP. </w:t>
      </w:r>
    </w:p>
    <w:p w14:paraId="2470D57C" w14:textId="77777777" w:rsidR="009C6E2F" w:rsidRDefault="007972BE">
      <w:pPr>
        <w:spacing w:before="120" w:after="120"/>
      </w:pPr>
      <w:r>
        <w:rPr>
          <w:rFonts w:ascii="Arial" w:eastAsia="宋体" w:hAnsi="Arial" w:cs="Arial"/>
          <w:color w:val="000000"/>
          <w:sz w:val="17"/>
          <w:szCs w:val="17"/>
        </w:rPr>
        <w:t xml:space="preserve">Currency-neutral NIKE Brand apparel revenues increased 8%, driven by growth in Men's. Unit sales of apparel increased 1% and higher ASP per unit contributed approximately 7 percentage points of apparel revenue growth. Higher </w:t>
      </w:r>
      <w:r>
        <w:rPr>
          <w:rFonts w:ascii="Arial" w:eastAsia="宋体" w:hAnsi="Arial" w:cs="Arial"/>
          <w:color w:val="000000"/>
          <w:sz w:val="17"/>
          <w:szCs w:val="17"/>
        </w:rPr>
        <w:t>ASP per unit was primarily due to higher NIKE Direct and full-price ASPs, as well as a higher mix of full-price sales.</w:t>
      </w:r>
    </w:p>
    <w:p w14:paraId="2470D57D" w14:textId="77777777" w:rsidR="009C6E2F" w:rsidRDefault="007972BE">
      <w:pPr>
        <w:spacing w:before="120" w:after="120"/>
      </w:pPr>
      <w:r>
        <w:rPr>
          <w:rFonts w:ascii="Arial" w:eastAsia="宋体" w:hAnsi="Arial" w:cs="Arial"/>
          <w:color w:val="000000"/>
          <w:sz w:val="17"/>
          <w:szCs w:val="17"/>
        </w:rPr>
        <w:t>On a reported basis, NIKE Direct revenues represented approximately 42% of our total NIKE Brand revenues for the first six months of fisc</w:t>
      </w:r>
      <w:r>
        <w:rPr>
          <w:rFonts w:ascii="Arial" w:eastAsia="宋体" w:hAnsi="Arial" w:cs="Arial"/>
          <w:color w:val="000000"/>
          <w:sz w:val="17"/>
          <w:szCs w:val="17"/>
        </w:rPr>
        <w:t>al 2022 compared to 38% for the first six months of fiscal 2021. Digital commerce sales were $5.2 billion for the first six months of fiscal 2022 compared to $4.4 billion for the first six months of fiscal 2021. On a currency-neutral basis, NIKE Direct rev</w:t>
      </w:r>
      <w:r>
        <w:rPr>
          <w:rFonts w:ascii="Arial" w:eastAsia="宋体" w:hAnsi="Arial" w:cs="Arial"/>
          <w:color w:val="000000"/>
          <w:sz w:val="17"/>
          <w:szCs w:val="17"/>
        </w:rPr>
        <w:t>enues increased 16%, driven by digital commerce sales growth of 17%, comparable store sales growth of 12%, in part due to improved physical retail traffic, and the addition of new stores.</w:t>
      </w:r>
    </w:p>
    <w:p w14:paraId="2470D57E" w14:textId="77777777" w:rsidR="009C6E2F" w:rsidRDefault="007972BE">
      <w:pPr>
        <w:spacing w:before="240" w:after="120"/>
      </w:pPr>
      <w:r>
        <w:rPr>
          <w:rFonts w:ascii="sans-serif" w:eastAsia="sans-serif" w:hAnsi="sans-serif" w:cs="sans-serif"/>
          <w:b/>
          <w:bCs/>
          <w:color w:val="000000"/>
          <w:sz w:val="28"/>
          <w:szCs w:val="28"/>
        </w:rPr>
        <w:t>GROSS MARGIN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025"/>
        <w:gridCol w:w="36"/>
        <w:gridCol w:w="115"/>
        <w:gridCol w:w="516"/>
        <w:gridCol w:w="172"/>
        <w:gridCol w:w="115"/>
        <w:gridCol w:w="517"/>
        <w:gridCol w:w="172"/>
        <w:gridCol w:w="68"/>
        <w:gridCol w:w="570"/>
        <w:gridCol w:w="172"/>
        <w:gridCol w:w="36"/>
        <w:gridCol w:w="36"/>
        <w:gridCol w:w="36"/>
        <w:gridCol w:w="115"/>
        <w:gridCol w:w="568"/>
        <w:gridCol w:w="172"/>
        <w:gridCol w:w="115"/>
        <w:gridCol w:w="473"/>
        <w:gridCol w:w="172"/>
        <w:gridCol w:w="68"/>
        <w:gridCol w:w="570"/>
        <w:gridCol w:w="172"/>
        <w:gridCol w:w="36"/>
        <w:gridCol w:w="36"/>
        <w:gridCol w:w="36"/>
        <w:gridCol w:w="36"/>
        <w:gridCol w:w="36"/>
        <w:gridCol w:w="36"/>
        <w:gridCol w:w="36"/>
        <w:gridCol w:w="36"/>
      </w:tblGrid>
      <w:tr w:rsidR="009C6E2F" w14:paraId="2470D59B" w14:textId="77777777">
        <w:trPr>
          <w:jc w:val="center"/>
        </w:trPr>
        <w:tc>
          <w:tcPr>
            <w:tcW w:w="50" w:type="pct"/>
            <w:shd w:val="clear" w:color="auto" w:fill="auto"/>
            <w:vAlign w:val="bottom"/>
          </w:tcPr>
          <w:p w14:paraId="2470D57F" w14:textId="77777777" w:rsidR="009C6E2F" w:rsidRDefault="009C6E2F">
            <w:pPr>
              <w:rPr>
                <w:rFonts w:ascii="宋体"/>
              </w:rPr>
            </w:pPr>
          </w:p>
        </w:tc>
        <w:tc>
          <w:tcPr>
            <w:tcW w:w="2024" w:type="pct"/>
            <w:shd w:val="clear" w:color="auto" w:fill="auto"/>
            <w:vAlign w:val="bottom"/>
          </w:tcPr>
          <w:p w14:paraId="2470D580" w14:textId="77777777" w:rsidR="009C6E2F" w:rsidRDefault="009C6E2F">
            <w:pPr>
              <w:rPr>
                <w:rFonts w:ascii="宋体"/>
              </w:rPr>
            </w:pPr>
          </w:p>
        </w:tc>
        <w:tc>
          <w:tcPr>
            <w:tcW w:w="5" w:type="pct"/>
            <w:shd w:val="clear" w:color="auto" w:fill="auto"/>
            <w:vAlign w:val="bottom"/>
          </w:tcPr>
          <w:p w14:paraId="2470D581" w14:textId="77777777" w:rsidR="009C6E2F" w:rsidRDefault="009C6E2F">
            <w:pPr>
              <w:rPr>
                <w:rFonts w:ascii="宋体"/>
              </w:rPr>
            </w:pPr>
          </w:p>
        </w:tc>
        <w:tc>
          <w:tcPr>
            <w:tcW w:w="50" w:type="pct"/>
            <w:shd w:val="clear" w:color="auto" w:fill="auto"/>
            <w:vAlign w:val="bottom"/>
          </w:tcPr>
          <w:p w14:paraId="2470D582" w14:textId="77777777" w:rsidR="009C6E2F" w:rsidRDefault="009C6E2F">
            <w:pPr>
              <w:rPr>
                <w:rFonts w:ascii="宋体"/>
              </w:rPr>
            </w:pPr>
          </w:p>
        </w:tc>
        <w:tc>
          <w:tcPr>
            <w:tcW w:w="425" w:type="pct"/>
            <w:shd w:val="clear" w:color="auto" w:fill="auto"/>
            <w:vAlign w:val="bottom"/>
          </w:tcPr>
          <w:p w14:paraId="2470D583" w14:textId="77777777" w:rsidR="009C6E2F" w:rsidRDefault="009C6E2F">
            <w:pPr>
              <w:rPr>
                <w:rFonts w:ascii="宋体"/>
              </w:rPr>
            </w:pPr>
          </w:p>
        </w:tc>
        <w:tc>
          <w:tcPr>
            <w:tcW w:w="5" w:type="pct"/>
            <w:shd w:val="clear" w:color="auto" w:fill="auto"/>
            <w:vAlign w:val="bottom"/>
          </w:tcPr>
          <w:p w14:paraId="2470D584" w14:textId="77777777" w:rsidR="009C6E2F" w:rsidRDefault="009C6E2F">
            <w:pPr>
              <w:rPr>
                <w:rFonts w:ascii="宋体"/>
              </w:rPr>
            </w:pPr>
          </w:p>
        </w:tc>
        <w:tc>
          <w:tcPr>
            <w:tcW w:w="50" w:type="pct"/>
            <w:shd w:val="clear" w:color="auto" w:fill="auto"/>
            <w:vAlign w:val="bottom"/>
          </w:tcPr>
          <w:p w14:paraId="2470D585" w14:textId="77777777" w:rsidR="009C6E2F" w:rsidRDefault="009C6E2F">
            <w:pPr>
              <w:rPr>
                <w:rFonts w:ascii="宋体"/>
              </w:rPr>
            </w:pPr>
          </w:p>
        </w:tc>
        <w:tc>
          <w:tcPr>
            <w:tcW w:w="425" w:type="pct"/>
            <w:shd w:val="clear" w:color="auto" w:fill="auto"/>
            <w:vAlign w:val="bottom"/>
          </w:tcPr>
          <w:p w14:paraId="2470D586" w14:textId="77777777" w:rsidR="009C6E2F" w:rsidRDefault="009C6E2F">
            <w:pPr>
              <w:rPr>
                <w:rFonts w:ascii="宋体"/>
              </w:rPr>
            </w:pPr>
          </w:p>
        </w:tc>
        <w:tc>
          <w:tcPr>
            <w:tcW w:w="5" w:type="pct"/>
            <w:shd w:val="clear" w:color="auto" w:fill="auto"/>
            <w:vAlign w:val="bottom"/>
          </w:tcPr>
          <w:p w14:paraId="2470D587" w14:textId="77777777" w:rsidR="009C6E2F" w:rsidRDefault="009C6E2F">
            <w:pPr>
              <w:rPr>
                <w:rFonts w:ascii="宋体"/>
              </w:rPr>
            </w:pPr>
          </w:p>
        </w:tc>
        <w:tc>
          <w:tcPr>
            <w:tcW w:w="50" w:type="pct"/>
            <w:shd w:val="clear" w:color="auto" w:fill="auto"/>
            <w:vAlign w:val="bottom"/>
          </w:tcPr>
          <w:p w14:paraId="2470D588" w14:textId="77777777" w:rsidR="009C6E2F" w:rsidRDefault="009C6E2F">
            <w:pPr>
              <w:rPr>
                <w:rFonts w:ascii="宋体"/>
              </w:rPr>
            </w:pPr>
          </w:p>
        </w:tc>
        <w:tc>
          <w:tcPr>
            <w:tcW w:w="425" w:type="pct"/>
            <w:shd w:val="clear" w:color="auto" w:fill="auto"/>
            <w:vAlign w:val="bottom"/>
          </w:tcPr>
          <w:p w14:paraId="2470D589" w14:textId="77777777" w:rsidR="009C6E2F" w:rsidRDefault="009C6E2F">
            <w:pPr>
              <w:rPr>
                <w:rFonts w:ascii="宋体"/>
              </w:rPr>
            </w:pPr>
          </w:p>
        </w:tc>
        <w:tc>
          <w:tcPr>
            <w:tcW w:w="5" w:type="pct"/>
            <w:shd w:val="clear" w:color="auto" w:fill="auto"/>
            <w:vAlign w:val="bottom"/>
          </w:tcPr>
          <w:p w14:paraId="2470D58A" w14:textId="77777777" w:rsidR="009C6E2F" w:rsidRDefault="009C6E2F">
            <w:pPr>
              <w:rPr>
                <w:rFonts w:ascii="宋体"/>
              </w:rPr>
            </w:pPr>
          </w:p>
        </w:tc>
        <w:tc>
          <w:tcPr>
            <w:tcW w:w="5" w:type="pct"/>
            <w:shd w:val="clear" w:color="auto" w:fill="auto"/>
            <w:vAlign w:val="bottom"/>
          </w:tcPr>
          <w:p w14:paraId="2470D58B" w14:textId="77777777" w:rsidR="009C6E2F" w:rsidRDefault="009C6E2F">
            <w:pPr>
              <w:rPr>
                <w:rFonts w:ascii="宋体"/>
              </w:rPr>
            </w:pPr>
          </w:p>
        </w:tc>
        <w:tc>
          <w:tcPr>
            <w:tcW w:w="27" w:type="pct"/>
            <w:shd w:val="clear" w:color="auto" w:fill="auto"/>
            <w:vAlign w:val="bottom"/>
          </w:tcPr>
          <w:p w14:paraId="2470D58C" w14:textId="77777777" w:rsidR="009C6E2F" w:rsidRDefault="009C6E2F">
            <w:pPr>
              <w:rPr>
                <w:rFonts w:ascii="宋体"/>
              </w:rPr>
            </w:pPr>
          </w:p>
        </w:tc>
        <w:tc>
          <w:tcPr>
            <w:tcW w:w="5" w:type="pct"/>
            <w:shd w:val="clear" w:color="auto" w:fill="auto"/>
            <w:vAlign w:val="bottom"/>
          </w:tcPr>
          <w:p w14:paraId="2470D58D" w14:textId="77777777" w:rsidR="009C6E2F" w:rsidRDefault="009C6E2F">
            <w:pPr>
              <w:rPr>
                <w:rFonts w:ascii="宋体"/>
              </w:rPr>
            </w:pPr>
          </w:p>
        </w:tc>
        <w:tc>
          <w:tcPr>
            <w:tcW w:w="50" w:type="pct"/>
            <w:shd w:val="clear" w:color="auto" w:fill="auto"/>
            <w:vAlign w:val="bottom"/>
          </w:tcPr>
          <w:p w14:paraId="2470D58E" w14:textId="77777777" w:rsidR="009C6E2F" w:rsidRDefault="009C6E2F">
            <w:pPr>
              <w:rPr>
                <w:rFonts w:ascii="宋体"/>
              </w:rPr>
            </w:pPr>
          </w:p>
        </w:tc>
        <w:tc>
          <w:tcPr>
            <w:tcW w:w="425" w:type="pct"/>
            <w:shd w:val="clear" w:color="auto" w:fill="auto"/>
            <w:vAlign w:val="bottom"/>
          </w:tcPr>
          <w:p w14:paraId="2470D58F" w14:textId="77777777" w:rsidR="009C6E2F" w:rsidRDefault="009C6E2F">
            <w:pPr>
              <w:rPr>
                <w:rFonts w:ascii="宋体"/>
              </w:rPr>
            </w:pPr>
          </w:p>
        </w:tc>
        <w:tc>
          <w:tcPr>
            <w:tcW w:w="5" w:type="pct"/>
            <w:shd w:val="clear" w:color="auto" w:fill="auto"/>
            <w:vAlign w:val="bottom"/>
          </w:tcPr>
          <w:p w14:paraId="2470D590" w14:textId="77777777" w:rsidR="009C6E2F" w:rsidRDefault="009C6E2F">
            <w:pPr>
              <w:rPr>
                <w:rFonts w:ascii="宋体"/>
              </w:rPr>
            </w:pPr>
          </w:p>
        </w:tc>
        <w:tc>
          <w:tcPr>
            <w:tcW w:w="50" w:type="pct"/>
            <w:shd w:val="clear" w:color="auto" w:fill="auto"/>
            <w:vAlign w:val="bottom"/>
          </w:tcPr>
          <w:p w14:paraId="2470D591" w14:textId="77777777" w:rsidR="009C6E2F" w:rsidRDefault="009C6E2F">
            <w:pPr>
              <w:rPr>
                <w:rFonts w:ascii="宋体"/>
              </w:rPr>
            </w:pPr>
          </w:p>
        </w:tc>
        <w:tc>
          <w:tcPr>
            <w:tcW w:w="425" w:type="pct"/>
            <w:shd w:val="clear" w:color="auto" w:fill="auto"/>
            <w:vAlign w:val="bottom"/>
          </w:tcPr>
          <w:p w14:paraId="2470D592" w14:textId="77777777" w:rsidR="009C6E2F" w:rsidRDefault="009C6E2F">
            <w:pPr>
              <w:rPr>
                <w:rFonts w:ascii="宋体"/>
              </w:rPr>
            </w:pPr>
          </w:p>
        </w:tc>
        <w:tc>
          <w:tcPr>
            <w:tcW w:w="5" w:type="pct"/>
            <w:shd w:val="clear" w:color="auto" w:fill="auto"/>
            <w:vAlign w:val="bottom"/>
          </w:tcPr>
          <w:p w14:paraId="2470D593" w14:textId="77777777" w:rsidR="009C6E2F" w:rsidRDefault="009C6E2F">
            <w:pPr>
              <w:rPr>
                <w:rFonts w:ascii="宋体"/>
              </w:rPr>
            </w:pPr>
          </w:p>
        </w:tc>
        <w:tc>
          <w:tcPr>
            <w:tcW w:w="50" w:type="pct"/>
            <w:shd w:val="clear" w:color="auto" w:fill="auto"/>
            <w:vAlign w:val="bottom"/>
          </w:tcPr>
          <w:p w14:paraId="2470D594" w14:textId="77777777" w:rsidR="009C6E2F" w:rsidRDefault="009C6E2F">
            <w:pPr>
              <w:rPr>
                <w:rFonts w:ascii="宋体"/>
              </w:rPr>
            </w:pPr>
          </w:p>
        </w:tc>
        <w:tc>
          <w:tcPr>
            <w:tcW w:w="425" w:type="pct"/>
            <w:shd w:val="clear" w:color="auto" w:fill="auto"/>
            <w:vAlign w:val="bottom"/>
          </w:tcPr>
          <w:p w14:paraId="2470D595" w14:textId="77777777" w:rsidR="009C6E2F" w:rsidRDefault="009C6E2F">
            <w:pPr>
              <w:rPr>
                <w:rFonts w:ascii="宋体"/>
              </w:rPr>
            </w:pPr>
          </w:p>
        </w:tc>
        <w:tc>
          <w:tcPr>
            <w:tcW w:w="5" w:type="pct"/>
            <w:shd w:val="clear" w:color="auto" w:fill="auto"/>
            <w:vAlign w:val="bottom"/>
          </w:tcPr>
          <w:p w14:paraId="2470D596" w14:textId="77777777" w:rsidR="009C6E2F" w:rsidRDefault="009C6E2F">
            <w:pPr>
              <w:rPr>
                <w:rFonts w:ascii="宋体"/>
              </w:rPr>
            </w:pPr>
          </w:p>
        </w:tc>
        <w:tc>
          <w:tcPr>
            <w:tcW w:w="0" w:type="auto"/>
            <w:shd w:val="clear" w:color="auto" w:fill="auto"/>
            <w:vAlign w:val="bottom"/>
          </w:tcPr>
          <w:p w14:paraId="2470D597" w14:textId="77777777" w:rsidR="009C6E2F" w:rsidRDefault="009C6E2F">
            <w:pPr>
              <w:rPr>
                <w:rFonts w:ascii="宋体"/>
                <w:vanish/>
              </w:rPr>
            </w:pPr>
          </w:p>
        </w:tc>
        <w:tc>
          <w:tcPr>
            <w:tcW w:w="0" w:type="auto"/>
            <w:shd w:val="clear" w:color="auto" w:fill="auto"/>
            <w:vAlign w:val="bottom"/>
          </w:tcPr>
          <w:p w14:paraId="2470D598" w14:textId="77777777" w:rsidR="009C6E2F" w:rsidRDefault="009C6E2F">
            <w:pPr>
              <w:rPr>
                <w:rFonts w:ascii="宋体"/>
                <w:vanish/>
              </w:rPr>
            </w:pPr>
          </w:p>
        </w:tc>
        <w:tc>
          <w:tcPr>
            <w:tcW w:w="0" w:type="auto"/>
            <w:gridSpan w:val="3"/>
            <w:shd w:val="clear" w:color="auto" w:fill="auto"/>
            <w:vAlign w:val="bottom"/>
          </w:tcPr>
          <w:p w14:paraId="2470D599" w14:textId="77777777" w:rsidR="009C6E2F" w:rsidRDefault="009C6E2F">
            <w:pPr>
              <w:rPr>
                <w:rFonts w:ascii="宋体"/>
                <w:vanish/>
              </w:rPr>
            </w:pPr>
          </w:p>
        </w:tc>
        <w:tc>
          <w:tcPr>
            <w:tcW w:w="0" w:type="auto"/>
            <w:gridSpan w:val="3"/>
            <w:shd w:val="clear" w:color="auto" w:fill="auto"/>
            <w:vAlign w:val="bottom"/>
          </w:tcPr>
          <w:p w14:paraId="2470D59A" w14:textId="77777777" w:rsidR="009C6E2F" w:rsidRDefault="009C6E2F">
            <w:pPr>
              <w:rPr>
                <w:rFonts w:ascii="宋体"/>
                <w:vanish/>
              </w:rPr>
            </w:pPr>
          </w:p>
        </w:tc>
      </w:tr>
      <w:tr w:rsidR="009C6E2F" w14:paraId="2470D5A8" w14:textId="77777777">
        <w:trPr>
          <w:jc w:val="center"/>
        </w:trPr>
        <w:tc>
          <w:tcPr>
            <w:tcW w:w="0" w:type="auto"/>
            <w:gridSpan w:val="3"/>
            <w:shd w:val="clear" w:color="auto" w:fill="auto"/>
            <w:tcMar>
              <w:top w:w="0" w:type="dxa"/>
              <w:left w:w="20" w:type="dxa"/>
              <w:bottom w:w="0" w:type="dxa"/>
              <w:right w:w="20" w:type="dxa"/>
            </w:tcMar>
            <w:vAlign w:val="bottom"/>
          </w:tcPr>
          <w:p w14:paraId="2470D59C"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59D"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59E"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59F"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5A0" w14:textId="77777777" w:rsidR="009C6E2F" w:rsidRDefault="009C6E2F">
            <w:pPr>
              <w:rPr>
                <w:rFonts w:ascii="宋体"/>
                <w:vanish/>
              </w:rPr>
            </w:pPr>
          </w:p>
        </w:tc>
        <w:tc>
          <w:tcPr>
            <w:tcW w:w="0" w:type="auto"/>
            <w:shd w:val="clear" w:color="auto" w:fill="auto"/>
            <w:vAlign w:val="bottom"/>
          </w:tcPr>
          <w:p w14:paraId="2470D5A1" w14:textId="77777777" w:rsidR="009C6E2F" w:rsidRDefault="009C6E2F">
            <w:pPr>
              <w:rPr>
                <w:rFonts w:ascii="宋体"/>
                <w:vanish/>
              </w:rPr>
            </w:pPr>
          </w:p>
        </w:tc>
        <w:tc>
          <w:tcPr>
            <w:tcW w:w="0" w:type="auto"/>
            <w:shd w:val="clear" w:color="auto" w:fill="auto"/>
            <w:vAlign w:val="bottom"/>
          </w:tcPr>
          <w:p w14:paraId="2470D5A2" w14:textId="77777777" w:rsidR="009C6E2F" w:rsidRDefault="009C6E2F">
            <w:pPr>
              <w:rPr>
                <w:rFonts w:ascii="宋体"/>
              </w:rPr>
            </w:pPr>
          </w:p>
        </w:tc>
        <w:tc>
          <w:tcPr>
            <w:tcW w:w="0" w:type="auto"/>
            <w:shd w:val="clear" w:color="auto" w:fill="auto"/>
            <w:vAlign w:val="bottom"/>
          </w:tcPr>
          <w:p w14:paraId="2470D5A3" w14:textId="77777777" w:rsidR="009C6E2F" w:rsidRDefault="009C6E2F">
            <w:pPr>
              <w:rPr>
                <w:rFonts w:ascii="宋体"/>
              </w:rPr>
            </w:pPr>
          </w:p>
        </w:tc>
        <w:tc>
          <w:tcPr>
            <w:tcW w:w="0" w:type="auto"/>
            <w:shd w:val="clear" w:color="auto" w:fill="auto"/>
            <w:vAlign w:val="bottom"/>
          </w:tcPr>
          <w:p w14:paraId="2470D5A4" w14:textId="77777777" w:rsidR="009C6E2F" w:rsidRDefault="009C6E2F">
            <w:pPr>
              <w:rPr>
                <w:rFonts w:ascii="宋体"/>
              </w:rPr>
            </w:pPr>
          </w:p>
        </w:tc>
        <w:tc>
          <w:tcPr>
            <w:tcW w:w="0" w:type="auto"/>
            <w:shd w:val="clear" w:color="auto" w:fill="auto"/>
            <w:vAlign w:val="bottom"/>
          </w:tcPr>
          <w:p w14:paraId="2470D5A5" w14:textId="77777777" w:rsidR="009C6E2F" w:rsidRDefault="009C6E2F">
            <w:pPr>
              <w:rPr>
                <w:rFonts w:ascii="宋体"/>
              </w:rPr>
            </w:pPr>
          </w:p>
        </w:tc>
        <w:tc>
          <w:tcPr>
            <w:tcW w:w="0" w:type="auto"/>
            <w:shd w:val="clear" w:color="auto" w:fill="auto"/>
            <w:vAlign w:val="bottom"/>
          </w:tcPr>
          <w:p w14:paraId="2470D5A6" w14:textId="77777777" w:rsidR="009C6E2F" w:rsidRDefault="009C6E2F">
            <w:pPr>
              <w:rPr>
                <w:rFonts w:ascii="宋体"/>
              </w:rPr>
            </w:pPr>
          </w:p>
        </w:tc>
        <w:tc>
          <w:tcPr>
            <w:tcW w:w="0" w:type="auto"/>
            <w:shd w:val="clear" w:color="auto" w:fill="auto"/>
            <w:vAlign w:val="bottom"/>
          </w:tcPr>
          <w:p w14:paraId="2470D5A7" w14:textId="77777777" w:rsidR="009C6E2F" w:rsidRDefault="009C6E2F">
            <w:pPr>
              <w:rPr>
                <w:rFonts w:ascii="宋体"/>
              </w:rPr>
            </w:pPr>
          </w:p>
        </w:tc>
      </w:tr>
      <w:tr w:rsidR="009C6E2F" w14:paraId="2470D5B5" w14:textId="77777777">
        <w:trPr>
          <w:jc w:val="center"/>
        </w:trPr>
        <w:tc>
          <w:tcPr>
            <w:tcW w:w="0" w:type="auto"/>
            <w:gridSpan w:val="3"/>
            <w:shd w:val="clear" w:color="auto" w:fill="auto"/>
            <w:tcMar>
              <w:top w:w="40" w:type="dxa"/>
              <w:left w:w="20" w:type="dxa"/>
              <w:bottom w:w="40" w:type="dxa"/>
              <w:right w:w="20" w:type="dxa"/>
            </w:tcMar>
            <w:vAlign w:val="bottom"/>
          </w:tcPr>
          <w:p w14:paraId="2470D5A9" w14:textId="77777777" w:rsidR="009C6E2F" w:rsidRDefault="007972BE">
            <w:pPr>
              <w:pBdr>
                <w:top w:val="none" w:sz="0" w:space="0" w:color="auto"/>
                <w:left w:val="none" w:sz="0" w:space="0" w:color="auto"/>
                <w:bottom w:val="none" w:sz="0" w:space="0" w:color="auto"/>
                <w:right w:val="none" w:sz="0" w:space="0" w:color="auto"/>
              </w:pBdr>
              <w:spacing w:before="120" w:after="120"/>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AA"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AB"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AC"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470D5AD"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AE"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AF"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B0"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470D5B1" w14:textId="77777777" w:rsidR="009C6E2F" w:rsidRDefault="009C6E2F">
            <w:pPr>
              <w:rPr>
                <w:rFonts w:ascii="宋体"/>
                <w:vanish/>
              </w:rPr>
            </w:pPr>
          </w:p>
        </w:tc>
        <w:tc>
          <w:tcPr>
            <w:tcW w:w="0" w:type="auto"/>
            <w:shd w:val="clear" w:color="auto" w:fill="auto"/>
            <w:vAlign w:val="bottom"/>
          </w:tcPr>
          <w:p w14:paraId="2470D5B2" w14:textId="77777777" w:rsidR="009C6E2F" w:rsidRDefault="009C6E2F">
            <w:pPr>
              <w:rPr>
                <w:rFonts w:ascii="宋体"/>
                <w:vanish/>
              </w:rPr>
            </w:pPr>
          </w:p>
        </w:tc>
        <w:tc>
          <w:tcPr>
            <w:tcW w:w="0" w:type="auto"/>
            <w:gridSpan w:val="3"/>
            <w:shd w:val="clear" w:color="auto" w:fill="auto"/>
            <w:vAlign w:val="bottom"/>
          </w:tcPr>
          <w:p w14:paraId="2470D5B3" w14:textId="77777777" w:rsidR="009C6E2F" w:rsidRDefault="009C6E2F">
            <w:pPr>
              <w:rPr>
                <w:rFonts w:ascii="宋体"/>
                <w:vanish/>
              </w:rPr>
            </w:pPr>
          </w:p>
        </w:tc>
        <w:tc>
          <w:tcPr>
            <w:tcW w:w="0" w:type="auto"/>
            <w:gridSpan w:val="3"/>
            <w:shd w:val="clear" w:color="auto" w:fill="auto"/>
            <w:vAlign w:val="bottom"/>
          </w:tcPr>
          <w:p w14:paraId="2470D5B4" w14:textId="77777777" w:rsidR="009C6E2F" w:rsidRDefault="009C6E2F">
            <w:pPr>
              <w:rPr>
                <w:rFonts w:ascii="宋体"/>
                <w:vanish/>
              </w:rPr>
            </w:pPr>
          </w:p>
        </w:tc>
      </w:tr>
      <w:tr w:rsidR="009C6E2F" w14:paraId="2470D5CC" w14:textId="77777777">
        <w:trPr>
          <w:jc w:val="center"/>
        </w:trPr>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5B6" w14:textId="77777777" w:rsidR="009C6E2F" w:rsidRDefault="007972BE">
            <w:pPr>
              <w:textAlignment w:val="bottom"/>
            </w:pPr>
            <w:r>
              <w:rPr>
                <w:rFonts w:ascii="Arial" w:eastAsia="宋体" w:hAnsi="Arial" w:cs="Arial"/>
                <w:color w:val="000000"/>
                <w:sz w:val="17"/>
                <w:szCs w:val="17"/>
              </w:rPr>
              <w:t>Gross profit</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5B7"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5B8" w14:textId="77777777" w:rsidR="009C6E2F" w:rsidRDefault="007972BE">
            <w:pPr>
              <w:jc w:val="right"/>
              <w:textAlignment w:val="bottom"/>
            </w:pPr>
            <w:r>
              <w:rPr>
                <w:rFonts w:ascii="Arial" w:eastAsia="宋体" w:hAnsi="Arial" w:cs="Arial"/>
                <w:color w:val="000000"/>
                <w:sz w:val="17"/>
                <w:szCs w:val="17"/>
              </w:rPr>
              <w:t>5,213 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5B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5BA"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5BB" w14:textId="77777777" w:rsidR="009C6E2F" w:rsidRDefault="007972BE">
            <w:pPr>
              <w:jc w:val="right"/>
              <w:textAlignment w:val="bottom"/>
            </w:pPr>
            <w:r>
              <w:rPr>
                <w:rFonts w:ascii="Arial" w:eastAsia="宋体" w:hAnsi="Arial" w:cs="Arial"/>
                <w:color w:val="000000"/>
                <w:sz w:val="17"/>
                <w:szCs w:val="17"/>
              </w:rPr>
              <w:t>4,847 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5BC"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5BD"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5BE" w14:textId="77777777" w:rsidR="009C6E2F" w:rsidRDefault="007972BE">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5BF"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5C0"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5C1" w14:textId="77777777" w:rsidR="009C6E2F" w:rsidRDefault="007972BE">
            <w:pPr>
              <w:jc w:val="right"/>
              <w:textAlignment w:val="bottom"/>
            </w:pPr>
            <w:r>
              <w:rPr>
                <w:rFonts w:ascii="Arial" w:eastAsia="宋体" w:hAnsi="Arial" w:cs="Arial"/>
                <w:color w:val="000000"/>
                <w:sz w:val="17"/>
                <w:szCs w:val="17"/>
              </w:rPr>
              <w:t>10,909 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5C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5C3"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5C4" w14:textId="77777777" w:rsidR="009C6E2F" w:rsidRDefault="007972BE">
            <w:pPr>
              <w:jc w:val="right"/>
              <w:textAlignment w:val="bottom"/>
            </w:pPr>
            <w:r>
              <w:rPr>
                <w:rFonts w:ascii="Arial" w:eastAsia="宋体" w:hAnsi="Arial" w:cs="Arial"/>
                <w:color w:val="000000"/>
                <w:sz w:val="17"/>
                <w:szCs w:val="17"/>
              </w:rPr>
              <w:t>9,588 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5C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5C6"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5C7" w14:textId="77777777" w:rsidR="009C6E2F" w:rsidRDefault="007972BE">
            <w:pPr>
              <w:textAlignment w:val="bottom"/>
            </w:pPr>
            <w:r>
              <w:rPr>
                <w:rFonts w:ascii="Arial" w:eastAsia="宋体" w:hAnsi="Arial" w:cs="Arial"/>
                <w:color w:val="000000"/>
                <w:sz w:val="17"/>
                <w:szCs w:val="17"/>
              </w:rPr>
              <w:t>%</w:t>
            </w:r>
          </w:p>
        </w:tc>
        <w:tc>
          <w:tcPr>
            <w:tcW w:w="0" w:type="auto"/>
            <w:shd w:val="clear" w:color="auto" w:fill="auto"/>
            <w:vAlign w:val="bottom"/>
          </w:tcPr>
          <w:p w14:paraId="2470D5C8" w14:textId="77777777" w:rsidR="009C6E2F" w:rsidRDefault="009C6E2F">
            <w:pPr>
              <w:rPr>
                <w:rFonts w:ascii="宋体"/>
                <w:vanish/>
              </w:rPr>
            </w:pPr>
          </w:p>
        </w:tc>
        <w:tc>
          <w:tcPr>
            <w:tcW w:w="0" w:type="auto"/>
            <w:shd w:val="clear" w:color="auto" w:fill="auto"/>
            <w:vAlign w:val="bottom"/>
          </w:tcPr>
          <w:p w14:paraId="2470D5C9" w14:textId="77777777" w:rsidR="009C6E2F" w:rsidRDefault="009C6E2F">
            <w:pPr>
              <w:rPr>
                <w:rFonts w:ascii="宋体"/>
                <w:vanish/>
              </w:rPr>
            </w:pPr>
          </w:p>
        </w:tc>
        <w:tc>
          <w:tcPr>
            <w:tcW w:w="0" w:type="auto"/>
            <w:gridSpan w:val="3"/>
            <w:shd w:val="clear" w:color="auto" w:fill="auto"/>
            <w:vAlign w:val="bottom"/>
          </w:tcPr>
          <w:p w14:paraId="2470D5CA" w14:textId="77777777" w:rsidR="009C6E2F" w:rsidRDefault="009C6E2F">
            <w:pPr>
              <w:rPr>
                <w:rFonts w:ascii="宋体"/>
                <w:vanish/>
              </w:rPr>
            </w:pPr>
          </w:p>
        </w:tc>
        <w:tc>
          <w:tcPr>
            <w:tcW w:w="0" w:type="auto"/>
            <w:gridSpan w:val="3"/>
            <w:shd w:val="clear" w:color="auto" w:fill="auto"/>
            <w:vAlign w:val="bottom"/>
          </w:tcPr>
          <w:p w14:paraId="2470D5CB" w14:textId="77777777" w:rsidR="009C6E2F" w:rsidRDefault="009C6E2F">
            <w:pPr>
              <w:rPr>
                <w:rFonts w:ascii="宋体"/>
                <w:vanish/>
              </w:rPr>
            </w:pPr>
          </w:p>
        </w:tc>
      </w:tr>
      <w:tr w:rsidR="009C6E2F" w14:paraId="2470D5DD" w14:textId="77777777">
        <w:trPr>
          <w:jc w:val="center"/>
        </w:trPr>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D5CD" w14:textId="77777777" w:rsidR="009C6E2F" w:rsidRDefault="007972BE">
            <w:pPr>
              <w:textAlignment w:val="bottom"/>
            </w:pPr>
            <w:r>
              <w:rPr>
                <w:rFonts w:ascii="Arial" w:eastAsia="宋体" w:hAnsi="Arial" w:cs="Arial"/>
                <w:color w:val="000000"/>
                <w:sz w:val="17"/>
                <w:szCs w:val="17"/>
              </w:rPr>
              <w:t>Gross margin</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D5CE" w14:textId="77777777" w:rsidR="009C6E2F" w:rsidRDefault="007972BE">
            <w:pPr>
              <w:jc w:val="right"/>
              <w:textAlignment w:val="bottom"/>
            </w:pPr>
            <w:r>
              <w:rPr>
                <w:rFonts w:ascii="Arial" w:eastAsia="宋体" w:hAnsi="Arial" w:cs="Arial"/>
                <w:color w:val="000000"/>
                <w:sz w:val="17"/>
                <w:szCs w:val="17"/>
              </w:rPr>
              <w:t>45.9 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D5C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5D0" w14:textId="77777777" w:rsidR="009C6E2F" w:rsidRDefault="007972BE">
            <w:pPr>
              <w:jc w:val="right"/>
              <w:textAlignment w:val="bottom"/>
            </w:pPr>
            <w:r>
              <w:rPr>
                <w:rFonts w:ascii="Arial" w:eastAsia="宋体" w:hAnsi="Arial" w:cs="Arial"/>
                <w:color w:val="000000"/>
                <w:sz w:val="17"/>
                <w:szCs w:val="17"/>
              </w:rPr>
              <w:t>43.1 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5D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470D5D2" w14:textId="77777777" w:rsidR="009C6E2F" w:rsidRDefault="007972BE">
            <w:pPr>
              <w:jc w:val="right"/>
              <w:textAlignment w:val="top"/>
            </w:pPr>
            <w:r>
              <w:rPr>
                <w:rFonts w:ascii="Arial" w:eastAsia="宋体" w:hAnsi="Arial" w:cs="Arial"/>
                <w:color w:val="000000"/>
                <w:sz w:val="17"/>
                <w:szCs w:val="17"/>
              </w:rPr>
              <w:t xml:space="preserve">280 </w:t>
            </w:r>
            <w:r>
              <w:rPr>
                <w:rFonts w:ascii="Arial" w:eastAsia="宋体" w:hAnsi="Arial" w:cs="Arial"/>
                <w:color w:val="000000"/>
                <w:sz w:val="17"/>
                <w:szCs w:val="17"/>
              </w:rPr>
              <w:t>bps</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D5D3" w14:textId="77777777" w:rsidR="009C6E2F" w:rsidRDefault="009C6E2F">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D5D4" w14:textId="77777777" w:rsidR="009C6E2F" w:rsidRDefault="007972BE">
            <w:pPr>
              <w:jc w:val="right"/>
              <w:textAlignment w:val="bottom"/>
            </w:pPr>
            <w:r>
              <w:rPr>
                <w:rFonts w:ascii="Arial" w:eastAsia="宋体" w:hAnsi="Arial" w:cs="Arial"/>
                <w:color w:val="000000"/>
                <w:sz w:val="17"/>
                <w:szCs w:val="17"/>
              </w:rPr>
              <w:t>46.2 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D5D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5D6" w14:textId="77777777" w:rsidR="009C6E2F" w:rsidRDefault="007972BE">
            <w:pPr>
              <w:jc w:val="right"/>
              <w:textAlignment w:val="bottom"/>
            </w:pPr>
            <w:r>
              <w:rPr>
                <w:rFonts w:ascii="Arial" w:eastAsia="宋体" w:hAnsi="Arial" w:cs="Arial"/>
                <w:color w:val="000000"/>
                <w:sz w:val="17"/>
                <w:szCs w:val="17"/>
              </w:rPr>
              <w:t>43.9 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5D7"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470D5D8" w14:textId="77777777" w:rsidR="009C6E2F" w:rsidRDefault="007972BE">
            <w:pPr>
              <w:jc w:val="right"/>
              <w:textAlignment w:val="top"/>
            </w:pPr>
            <w:r>
              <w:rPr>
                <w:rFonts w:ascii="Arial" w:eastAsia="宋体" w:hAnsi="Arial" w:cs="Arial"/>
                <w:color w:val="000000"/>
                <w:sz w:val="17"/>
                <w:szCs w:val="17"/>
              </w:rPr>
              <w:t>230 bps</w:t>
            </w:r>
          </w:p>
        </w:tc>
        <w:tc>
          <w:tcPr>
            <w:tcW w:w="0" w:type="auto"/>
            <w:shd w:val="clear" w:color="auto" w:fill="auto"/>
            <w:vAlign w:val="bottom"/>
          </w:tcPr>
          <w:p w14:paraId="2470D5D9" w14:textId="77777777" w:rsidR="009C6E2F" w:rsidRDefault="009C6E2F">
            <w:pPr>
              <w:rPr>
                <w:rFonts w:ascii="宋体"/>
                <w:vanish/>
              </w:rPr>
            </w:pPr>
          </w:p>
        </w:tc>
        <w:tc>
          <w:tcPr>
            <w:tcW w:w="0" w:type="auto"/>
            <w:shd w:val="clear" w:color="auto" w:fill="auto"/>
            <w:vAlign w:val="bottom"/>
          </w:tcPr>
          <w:p w14:paraId="2470D5DA" w14:textId="77777777" w:rsidR="009C6E2F" w:rsidRDefault="009C6E2F">
            <w:pPr>
              <w:rPr>
                <w:rFonts w:ascii="宋体"/>
                <w:vanish/>
              </w:rPr>
            </w:pPr>
          </w:p>
        </w:tc>
        <w:tc>
          <w:tcPr>
            <w:tcW w:w="0" w:type="auto"/>
            <w:gridSpan w:val="3"/>
            <w:shd w:val="clear" w:color="auto" w:fill="auto"/>
            <w:vAlign w:val="bottom"/>
          </w:tcPr>
          <w:p w14:paraId="2470D5DB" w14:textId="77777777" w:rsidR="009C6E2F" w:rsidRDefault="009C6E2F">
            <w:pPr>
              <w:rPr>
                <w:rFonts w:ascii="宋体"/>
                <w:vanish/>
              </w:rPr>
            </w:pPr>
          </w:p>
        </w:tc>
        <w:tc>
          <w:tcPr>
            <w:tcW w:w="0" w:type="auto"/>
            <w:gridSpan w:val="3"/>
            <w:shd w:val="clear" w:color="auto" w:fill="auto"/>
            <w:vAlign w:val="bottom"/>
          </w:tcPr>
          <w:p w14:paraId="2470D5DC" w14:textId="77777777" w:rsidR="009C6E2F" w:rsidRDefault="009C6E2F">
            <w:pPr>
              <w:rPr>
                <w:rFonts w:ascii="宋体"/>
                <w:vanish/>
              </w:rPr>
            </w:pPr>
          </w:p>
        </w:tc>
      </w:tr>
    </w:tbl>
    <w:p w14:paraId="2470D5DE" w14:textId="77777777" w:rsidR="009C6E2F" w:rsidRDefault="007972BE">
      <w:pPr>
        <w:spacing w:before="120" w:after="120"/>
      </w:pPr>
      <w:r>
        <w:rPr>
          <w:rFonts w:ascii="Arial" w:eastAsia="宋体" w:hAnsi="Arial" w:cs="Arial"/>
          <w:color w:val="000000"/>
          <w:sz w:val="17"/>
          <w:szCs w:val="17"/>
        </w:rPr>
        <w:t>For the second quarter of fiscal 2022, our consolidated gross margin was 280 basis points higher than the prior year period and primarily reflected the following factors:</w:t>
      </w:r>
    </w:p>
    <w:p w14:paraId="2470D5DF"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margin i</w:t>
      </w:r>
      <w:r>
        <w:rPr>
          <w:rFonts w:ascii="Arial" w:eastAsia="宋体" w:hAnsi="Arial" w:cs="Arial"/>
          <w:color w:val="000000"/>
          <w:sz w:val="17"/>
          <w:szCs w:val="17"/>
        </w:rPr>
        <w:t>n our NIKE Direct business, primarily driven by low promotional activity in the current period reflecting limited available for sale inventory due to supply chain constraints compared to higher promotional activity in the prior year as we managed the impac</w:t>
      </w:r>
      <w:r>
        <w:rPr>
          <w:rFonts w:ascii="Arial" w:eastAsia="宋体" w:hAnsi="Arial" w:cs="Arial"/>
          <w:color w:val="000000"/>
          <w:sz w:val="17"/>
          <w:szCs w:val="17"/>
        </w:rPr>
        <w:t xml:space="preserve">ts from COVID-19 (increasing gross margin approximately 170 basis points); </w:t>
      </w:r>
    </w:p>
    <w:p w14:paraId="2470D5E0"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mix of full-price sales, on a wholesale equivalent basis, (increasing gross margin approximately 110 basis points);</w:t>
      </w:r>
    </w:p>
    <w:p w14:paraId="2470D5E1"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other costs, in part due to higher restructuring-</w:t>
      </w:r>
      <w:r>
        <w:rPr>
          <w:rFonts w:ascii="Arial" w:eastAsia="宋体" w:hAnsi="Arial" w:cs="Arial"/>
          <w:color w:val="000000"/>
          <w:sz w:val="17"/>
          <w:szCs w:val="17"/>
        </w:rPr>
        <w:t>related costs related to our organizational realignment in the prior year, among other factors, (increasing gross margin approximately 50 basis points);</w:t>
      </w:r>
    </w:p>
    <w:p w14:paraId="2470D5E2"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Favorable changes in net foreign currency exchange rates, including hedges, (increasing gross margin a</w:t>
      </w:r>
      <w:r>
        <w:rPr>
          <w:rFonts w:ascii="Arial" w:eastAsia="宋体" w:hAnsi="Arial" w:cs="Arial"/>
          <w:color w:val="000000"/>
          <w:sz w:val="17"/>
          <w:szCs w:val="17"/>
        </w:rPr>
        <w:t xml:space="preserve">pproximately 40 basis points); and </w:t>
      </w:r>
    </w:p>
    <w:p w14:paraId="2470D5E3"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NIKE Brand full-price product margins, on a wholesale equivalent basis. Specifically, higher product costs (decreasing gross margin approximately 60 basis points) largely due to increased freight and logistics cos</w:t>
      </w:r>
      <w:r>
        <w:rPr>
          <w:rFonts w:ascii="Arial" w:eastAsia="宋体" w:hAnsi="Arial" w:cs="Arial"/>
          <w:color w:val="000000"/>
          <w:sz w:val="17"/>
          <w:szCs w:val="17"/>
        </w:rPr>
        <w:t xml:space="preserve">ts as well as lower full-price ASP, net of discounts, (decreasing gross margin approximately 40 basis points) primarily due to a lower mix of Greater China sales. </w:t>
      </w:r>
    </w:p>
    <w:p w14:paraId="2470D5E4" w14:textId="77777777" w:rsidR="009C6E2F" w:rsidRDefault="007972BE">
      <w:pPr>
        <w:spacing w:before="60" w:after="60"/>
      </w:pPr>
      <w:r>
        <w:rPr>
          <w:rFonts w:ascii="Arial" w:eastAsia="宋体" w:hAnsi="Arial" w:cs="Arial"/>
          <w:color w:val="000000"/>
          <w:sz w:val="17"/>
          <w:szCs w:val="17"/>
        </w:rPr>
        <w:t xml:space="preserve">For the first six months of fiscal 2022, our consolidated gross margin was 230 basis </w:t>
      </w:r>
      <w:r>
        <w:rPr>
          <w:rFonts w:ascii="Arial" w:eastAsia="宋体" w:hAnsi="Arial" w:cs="Arial"/>
          <w:color w:val="000000"/>
          <w:sz w:val="17"/>
          <w:szCs w:val="17"/>
        </w:rPr>
        <w:t>points higher than the prior year period and primarily reflected the following factors:</w:t>
      </w:r>
    </w:p>
    <w:p w14:paraId="2470D5E5"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margin in our NIKE Direct business, primarily driven by low promotional activity in the current period reflecting limited available for sale inventory due to su</w:t>
      </w:r>
      <w:r>
        <w:rPr>
          <w:rFonts w:ascii="Arial" w:eastAsia="宋体" w:hAnsi="Arial" w:cs="Arial"/>
          <w:color w:val="000000"/>
          <w:sz w:val="17"/>
          <w:szCs w:val="17"/>
        </w:rPr>
        <w:t xml:space="preserve">pply chain constraints compared to higher promotional activity in the prior year as we managed the impacts from COVID-19 (increasing gross margin approximately 170 basis points); </w:t>
      </w:r>
    </w:p>
    <w:p w14:paraId="2470D5E6"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mix of full-price sales, on a wholesale equivalent basis, (increasin</w:t>
      </w:r>
      <w:r>
        <w:rPr>
          <w:rFonts w:ascii="Arial" w:eastAsia="宋体" w:hAnsi="Arial" w:cs="Arial"/>
          <w:color w:val="000000"/>
          <w:sz w:val="17"/>
          <w:szCs w:val="17"/>
        </w:rPr>
        <w:t>g gross margin approximately 90 basis points);</w:t>
      </w:r>
    </w:p>
    <w:p w14:paraId="2470D5E7"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Lower other costs, in part due to higher restructuring-related costs related to our organizational realignment in the prior year, (increasing gross margin approximately 40 basis points); and</w:t>
      </w:r>
    </w:p>
    <w:p w14:paraId="2470D5E8" w14:textId="77777777" w:rsidR="009C6E2F" w:rsidRDefault="007972BE">
      <w:pPr>
        <w:pBdr>
          <w:left w:val="none" w:sz="0" w:space="0" w:color="auto"/>
        </w:pBdr>
        <w:spacing w:before="60" w:after="60"/>
        <w:ind w:hanging="360"/>
      </w:pPr>
      <w:r>
        <w:rPr>
          <w:rFonts w:ascii="Arial" w:eastAsia="宋体" w:hAnsi="Arial" w:cs="Arial"/>
          <w:color w:val="E87722"/>
          <w:sz w:val="17"/>
          <w:szCs w:val="17"/>
        </w:rPr>
        <w:t>•</w:t>
      </w:r>
      <w:r>
        <w:rPr>
          <w:rFonts w:ascii="Arial" w:eastAsia="宋体" w:hAnsi="Arial" w:cs="Arial"/>
          <w:color w:val="000000"/>
          <w:sz w:val="17"/>
          <w:szCs w:val="17"/>
        </w:rPr>
        <w:t>Higher NIKE Bran</w:t>
      </w:r>
      <w:r>
        <w:rPr>
          <w:rFonts w:ascii="Arial" w:eastAsia="宋体" w:hAnsi="Arial" w:cs="Arial"/>
          <w:color w:val="000000"/>
          <w:sz w:val="17"/>
          <w:szCs w:val="17"/>
        </w:rPr>
        <w:t>d product costs, on a wholesale equivalent basis, primarily due to increased freight and logistics costs (decreasing gross margin approximately 80 basis points).</w:t>
      </w:r>
    </w:p>
    <w:p w14:paraId="2470D5E9" w14:textId="77777777" w:rsidR="009C6E2F" w:rsidRDefault="007972BE">
      <w:pPr>
        <w:spacing w:before="120" w:after="120"/>
        <w:jc w:val="right"/>
      </w:pPr>
      <w:r>
        <w:rPr>
          <w:rFonts w:ascii="Arial" w:eastAsia="宋体" w:hAnsi="Arial" w:cs="Arial"/>
          <w:color w:val="E87722"/>
          <w:sz w:val="17"/>
          <w:szCs w:val="17"/>
        </w:rPr>
        <w:t>29</w:t>
      </w:r>
    </w:p>
    <w:p w14:paraId="2470D5EA" w14:textId="77777777" w:rsidR="009C6E2F" w:rsidRDefault="007972BE">
      <w:r>
        <w:pict w14:anchorId="2470E202">
          <v:rect id="_x0000_i1055" style="width:415.3pt;height:1.5pt" o:hralign="center" o:hrstd="t" o:hr="t" fillcolor="#a0a0a0" stroked="f"/>
        </w:pict>
      </w:r>
    </w:p>
    <w:p w14:paraId="2470D5EB" w14:textId="77777777" w:rsidR="009C6E2F" w:rsidRDefault="009C6E2F"/>
    <w:p w14:paraId="2470D5EC" w14:textId="77777777" w:rsidR="009C6E2F" w:rsidRDefault="007972BE">
      <w:hyperlink r:id="rId98" w:anchor="i9e023a7388204bdbacd6aa338988f838_7" w:history="1">
        <w:r>
          <w:rPr>
            <w:rStyle w:val="a5"/>
            <w:rFonts w:ascii="sans-serif" w:eastAsia="sans-serif" w:hAnsi="sans-serif" w:cs="sans-serif"/>
            <w:sz w:val="17"/>
            <w:szCs w:val="17"/>
          </w:rPr>
          <w:t>Table of Contents</w:t>
        </w:r>
      </w:hyperlink>
    </w:p>
    <w:p w14:paraId="2470D5ED" w14:textId="77777777" w:rsidR="009C6E2F" w:rsidRDefault="009C6E2F"/>
    <w:p w14:paraId="2470D5EE" w14:textId="77777777" w:rsidR="009C6E2F" w:rsidRDefault="007972BE">
      <w:pPr>
        <w:spacing w:before="240" w:after="120"/>
      </w:pPr>
      <w:r>
        <w:rPr>
          <w:rFonts w:ascii="sans-serif" w:eastAsia="sans-serif" w:hAnsi="sans-serif" w:cs="sans-serif"/>
          <w:b/>
          <w:bCs/>
          <w:color w:val="000000"/>
          <w:sz w:val="28"/>
          <w:szCs w:val="28"/>
        </w:rPr>
        <w:t>TOTAL SELLING AND ADMINISTRATIVE EXPENSE</w:t>
      </w:r>
    </w:p>
    <w:tbl>
      <w:tblPr>
        <w:tblW w:w="5000" w:type="pct"/>
        <w:tblCellMar>
          <w:top w:w="15" w:type="dxa"/>
          <w:left w:w="15" w:type="dxa"/>
          <w:bottom w:w="15" w:type="dxa"/>
          <w:right w:w="15" w:type="dxa"/>
        </w:tblCellMar>
        <w:tblLook w:val="04A0" w:firstRow="1" w:lastRow="0" w:firstColumn="1" w:lastColumn="0" w:noHBand="0" w:noVBand="1"/>
      </w:tblPr>
      <w:tblGrid>
        <w:gridCol w:w="39"/>
        <w:gridCol w:w="3054"/>
        <w:gridCol w:w="38"/>
        <w:gridCol w:w="115"/>
        <w:gridCol w:w="547"/>
        <w:gridCol w:w="172"/>
        <w:gridCol w:w="115"/>
        <w:gridCol w:w="548"/>
        <w:gridCol w:w="172"/>
        <w:gridCol w:w="68"/>
        <w:gridCol w:w="570"/>
        <w:gridCol w:w="172"/>
        <w:gridCol w:w="36"/>
        <w:gridCol w:w="36"/>
        <w:gridCol w:w="36"/>
        <w:gridCol w:w="115"/>
        <w:gridCol w:w="473"/>
        <w:gridCol w:w="172"/>
        <w:gridCol w:w="115"/>
        <w:gridCol w:w="473"/>
        <w:gridCol w:w="172"/>
        <w:gridCol w:w="68"/>
        <w:gridCol w:w="570"/>
        <w:gridCol w:w="172"/>
        <w:gridCol w:w="36"/>
        <w:gridCol w:w="36"/>
        <w:gridCol w:w="36"/>
        <w:gridCol w:w="36"/>
        <w:gridCol w:w="36"/>
        <w:gridCol w:w="36"/>
        <w:gridCol w:w="36"/>
        <w:gridCol w:w="36"/>
      </w:tblGrid>
      <w:tr w:rsidR="009C6E2F" w14:paraId="2470D60B" w14:textId="77777777">
        <w:tc>
          <w:tcPr>
            <w:tcW w:w="50" w:type="pct"/>
            <w:shd w:val="clear" w:color="auto" w:fill="auto"/>
            <w:vAlign w:val="bottom"/>
          </w:tcPr>
          <w:p w14:paraId="2470D5EF" w14:textId="77777777" w:rsidR="009C6E2F" w:rsidRDefault="009C6E2F">
            <w:pPr>
              <w:rPr>
                <w:rFonts w:ascii="宋体"/>
              </w:rPr>
            </w:pPr>
          </w:p>
        </w:tc>
        <w:tc>
          <w:tcPr>
            <w:tcW w:w="2024" w:type="pct"/>
            <w:shd w:val="clear" w:color="auto" w:fill="auto"/>
            <w:vAlign w:val="bottom"/>
          </w:tcPr>
          <w:p w14:paraId="2470D5F0" w14:textId="77777777" w:rsidR="009C6E2F" w:rsidRDefault="009C6E2F">
            <w:pPr>
              <w:rPr>
                <w:rFonts w:ascii="宋体"/>
              </w:rPr>
            </w:pPr>
          </w:p>
        </w:tc>
        <w:tc>
          <w:tcPr>
            <w:tcW w:w="5" w:type="pct"/>
            <w:shd w:val="clear" w:color="auto" w:fill="auto"/>
            <w:vAlign w:val="bottom"/>
          </w:tcPr>
          <w:p w14:paraId="2470D5F1" w14:textId="77777777" w:rsidR="009C6E2F" w:rsidRDefault="009C6E2F">
            <w:pPr>
              <w:rPr>
                <w:rFonts w:ascii="宋体"/>
              </w:rPr>
            </w:pPr>
          </w:p>
        </w:tc>
        <w:tc>
          <w:tcPr>
            <w:tcW w:w="50" w:type="pct"/>
            <w:shd w:val="clear" w:color="auto" w:fill="auto"/>
            <w:vAlign w:val="bottom"/>
          </w:tcPr>
          <w:p w14:paraId="2470D5F2" w14:textId="77777777" w:rsidR="009C6E2F" w:rsidRDefault="009C6E2F">
            <w:pPr>
              <w:rPr>
                <w:rFonts w:ascii="宋体"/>
              </w:rPr>
            </w:pPr>
          </w:p>
        </w:tc>
        <w:tc>
          <w:tcPr>
            <w:tcW w:w="425" w:type="pct"/>
            <w:shd w:val="clear" w:color="auto" w:fill="auto"/>
            <w:vAlign w:val="bottom"/>
          </w:tcPr>
          <w:p w14:paraId="2470D5F3" w14:textId="77777777" w:rsidR="009C6E2F" w:rsidRDefault="009C6E2F">
            <w:pPr>
              <w:rPr>
                <w:rFonts w:ascii="宋体"/>
              </w:rPr>
            </w:pPr>
          </w:p>
        </w:tc>
        <w:tc>
          <w:tcPr>
            <w:tcW w:w="5" w:type="pct"/>
            <w:shd w:val="clear" w:color="auto" w:fill="auto"/>
            <w:vAlign w:val="bottom"/>
          </w:tcPr>
          <w:p w14:paraId="2470D5F4" w14:textId="77777777" w:rsidR="009C6E2F" w:rsidRDefault="009C6E2F">
            <w:pPr>
              <w:rPr>
                <w:rFonts w:ascii="宋体"/>
              </w:rPr>
            </w:pPr>
          </w:p>
        </w:tc>
        <w:tc>
          <w:tcPr>
            <w:tcW w:w="50" w:type="pct"/>
            <w:shd w:val="clear" w:color="auto" w:fill="auto"/>
            <w:vAlign w:val="bottom"/>
          </w:tcPr>
          <w:p w14:paraId="2470D5F5" w14:textId="77777777" w:rsidR="009C6E2F" w:rsidRDefault="009C6E2F">
            <w:pPr>
              <w:rPr>
                <w:rFonts w:ascii="宋体"/>
              </w:rPr>
            </w:pPr>
          </w:p>
        </w:tc>
        <w:tc>
          <w:tcPr>
            <w:tcW w:w="425" w:type="pct"/>
            <w:shd w:val="clear" w:color="auto" w:fill="auto"/>
            <w:vAlign w:val="bottom"/>
          </w:tcPr>
          <w:p w14:paraId="2470D5F6" w14:textId="77777777" w:rsidR="009C6E2F" w:rsidRDefault="009C6E2F">
            <w:pPr>
              <w:rPr>
                <w:rFonts w:ascii="宋体"/>
              </w:rPr>
            </w:pPr>
          </w:p>
        </w:tc>
        <w:tc>
          <w:tcPr>
            <w:tcW w:w="5" w:type="pct"/>
            <w:shd w:val="clear" w:color="auto" w:fill="auto"/>
            <w:vAlign w:val="bottom"/>
          </w:tcPr>
          <w:p w14:paraId="2470D5F7" w14:textId="77777777" w:rsidR="009C6E2F" w:rsidRDefault="009C6E2F">
            <w:pPr>
              <w:rPr>
                <w:rFonts w:ascii="宋体"/>
              </w:rPr>
            </w:pPr>
          </w:p>
        </w:tc>
        <w:tc>
          <w:tcPr>
            <w:tcW w:w="50" w:type="pct"/>
            <w:shd w:val="clear" w:color="auto" w:fill="auto"/>
            <w:vAlign w:val="bottom"/>
          </w:tcPr>
          <w:p w14:paraId="2470D5F8" w14:textId="77777777" w:rsidR="009C6E2F" w:rsidRDefault="009C6E2F">
            <w:pPr>
              <w:rPr>
                <w:rFonts w:ascii="宋体"/>
              </w:rPr>
            </w:pPr>
          </w:p>
        </w:tc>
        <w:tc>
          <w:tcPr>
            <w:tcW w:w="425" w:type="pct"/>
            <w:shd w:val="clear" w:color="auto" w:fill="auto"/>
            <w:vAlign w:val="bottom"/>
          </w:tcPr>
          <w:p w14:paraId="2470D5F9" w14:textId="77777777" w:rsidR="009C6E2F" w:rsidRDefault="009C6E2F">
            <w:pPr>
              <w:rPr>
                <w:rFonts w:ascii="宋体"/>
              </w:rPr>
            </w:pPr>
          </w:p>
        </w:tc>
        <w:tc>
          <w:tcPr>
            <w:tcW w:w="5" w:type="pct"/>
            <w:shd w:val="clear" w:color="auto" w:fill="auto"/>
            <w:vAlign w:val="bottom"/>
          </w:tcPr>
          <w:p w14:paraId="2470D5FA" w14:textId="77777777" w:rsidR="009C6E2F" w:rsidRDefault="009C6E2F">
            <w:pPr>
              <w:rPr>
                <w:rFonts w:ascii="宋体"/>
              </w:rPr>
            </w:pPr>
          </w:p>
        </w:tc>
        <w:tc>
          <w:tcPr>
            <w:tcW w:w="5" w:type="pct"/>
            <w:shd w:val="clear" w:color="auto" w:fill="auto"/>
            <w:vAlign w:val="bottom"/>
          </w:tcPr>
          <w:p w14:paraId="2470D5FB" w14:textId="77777777" w:rsidR="009C6E2F" w:rsidRDefault="009C6E2F">
            <w:pPr>
              <w:rPr>
                <w:rFonts w:ascii="宋体"/>
              </w:rPr>
            </w:pPr>
          </w:p>
        </w:tc>
        <w:tc>
          <w:tcPr>
            <w:tcW w:w="27" w:type="pct"/>
            <w:shd w:val="clear" w:color="auto" w:fill="auto"/>
            <w:vAlign w:val="bottom"/>
          </w:tcPr>
          <w:p w14:paraId="2470D5FC" w14:textId="77777777" w:rsidR="009C6E2F" w:rsidRDefault="009C6E2F">
            <w:pPr>
              <w:rPr>
                <w:rFonts w:ascii="宋体"/>
              </w:rPr>
            </w:pPr>
          </w:p>
        </w:tc>
        <w:tc>
          <w:tcPr>
            <w:tcW w:w="5" w:type="pct"/>
            <w:shd w:val="clear" w:color="auto" w:fill="auto"/>
            <w:vAlign w:val="bottom"/>
          </w:tcPr>
          <w:p w14:paraId="2470D5FD" w14:textId="77777777" w:rsidR="009C6E2F" w:rsidRDefault="009C6E2F">
            <w:pPr>
              <w:rPr>
                <w:rFonts w:ascii="宋体"/>
              </w:rPr>
            </w:pPr>
          </w:p>
        </w:tc>
        <w:tc>
          <w:tcPr>
            <w:tcW w:w="50" w:type="pct"/>
            <w:shd w:val="clear" w:color="auto" w:fill="auto"/>
            <w:vAlign w:val="bottom"/>
          </w:tcPr>
          <w:p w14:paraId="2470D5FE" w14:textId="77777777" w:rsidR="009C6E2F" w:rsidRDefault="009C6E2F">
            <w:pPr>
              <w:rPr>
                <w:rFonts w:ascii="宋体"/>
              </w:rPr>
            </w:pPr>
          </w:p>
        </w:tc>
        <w:tc>
          <w:tcPr>
            <w:tcW w:w="425" w:type="pct"/>
            <w:shd w:val="clear" w:color="auto" w:fill="auto"/>
            <w:vAlign w:val="bottom"/>
          </w:tcPr>
          <w:p w14:paraId="2470D5FF" w14:textId="77777777" w:rsidR="009C6E2F" w:rsidRDefault="009C6E2F">
            <w:pPr>
              <w:rPr>
                <w:rFonts w:ascii="宋体"/>
              </w:rPr>
            </w:pPr>
          </w:p>
        </w:tc>
        <w:tc>
          <w:tcPr>
            <w:tcW w:w="5" w:type="pct"/>
            <w:shd w:val="clear" w:color="auto" w:fill="auto"/>
            <w:vAlign w:val="bottom"/>
          </w:tcPr>
          <w:p w14:paraId="2470D600" w14:textId="77777777" w:rsidR="009C6E2F" w:rsidRDefault="009C6E2F">
            <w:pPr>
              <w:rPr>
                <w:rFonts w:ascii="宋体"/>
              </w:rPr>
            </w:pPr>
          </w:p>
        </w:tc>
        <w:tc>
          <w:tcPr>
            <w:tcW w:w="50" w:type="pct"/>
            <w:shd w:val="clear" w:color="auto" w:fill="auto"/>
            <w:vAlign w:val="bottom"/>
          </w:tcPr>
          <w:p w14:paraId="2470D601" w14:textId="77777777" w:rsidR="009C6E2F" w:rsidRDefault="009C6E2F">
            <w:pPr>
              <w:rPr>
                <w:rFonts w:ascii="宋体"/>
              </w:rPr>
            </w:pPr>
          </w:p>
        </w:tc>
        <w:tc>
          <w:tcPr>
            <w:tcW w:w="425" w:type="pct"/>
            <w:shd w:val="clear" w:color="auto" w:fill="auto"/>
            <w:vAlign w:val="bottom"/>
          </w:tcPr>
          <w:p w14:paraId="2470D602" w14:textId="77777777" w:rsidR="009C6E2F" w:rsidRDefault="009C6E2F">
            <w:pPr>
              <w:rPr>
                <w:rFonts w:ascii="宋体"/>
              </w:rPr>
            </w:pPr>
          </w:p>
        </w:tc>
        <w:tc>
          <w:tcPr>
            <w:tcW w:w="5" w:type="pct"/>
            <w:shd w:val="clear" w:color="auto" w:fill="auto"/>
            <w:vAlign w:val="bottom"/>
          </w:tcPr>
          <w:p w14:paraId="2470D603" w14:textId="77777777" w:rsidR="009C6E2F" w:rsidRDefault="009C6E2F">
            <w:pPr>
              <w:rPr>
                <w:rFonts w:ascii="宋体"/>
              </w:rPr>
            </w:pPr>
          </w:p>
        </w:tc>
        <w:tc>
          <w:tcPr>
            <w:tcW w:w="50" w:type="pct"/>
            <w:shd w:val="clear" w:color="auto" w:fill="auto"/>
            <w:vAlign w:val="bottom"/>
          </w:tcPr>
          <w:p w14:paraId="2470D604" w14:textId="77777777" w:rsidR="009C6E2F" w:rsidRDefault="009C6E2F">
            <w:pPr>
              <w:rPr>
                <w:rFonts w:ascii="宋体"/>
              </w:rPr>
            </w:pPr>
          </w:p>
        </w:tc>
        <w:tc>
          <w:tcPr>
            <w:tcW w:w="425" w:type="pct"/>
            <w:shd w:val="clear" w:color="auto" w:fill="auto"/>
            <w:vAlign w:val="bottom"/>
          </w:tcPr>
          <w:p w14:paraId="2470D605" w14:textId="77777777" w:rsidR="009C6E2F" w:rsidRDefault="009C6E2F">
            <w:pPr>
              <w:rPr>
                <w:rFonts w:ascii="宋体"/>
              </w:rPr>
            </w:pPr>
          </w:p>
        </w:tc>
        <w:tc>
          <w:tcPr>
            <w:tcW w:w="5" w:type="pct"/>
            <w:shd w:val="clear" w:color="auto" w:fill="auto"/>
            <w:vAlign w:val="bottom"/>
          </w:tcPr>
          <w:p w14:paraId="2470D606" w14:textId="77777777" w:rsidR="009C6E2F" w:rsidRDefault="009C6E2F">
            <w:pPr>
              <w:rPr>
                <w:rFonts w:ascii="宋体"/>
              </w:rPr>
            </w:pPr>
          </w:p>
        </w:tc>
        <w:tc>
          <w:tcPr>
            <w:tcW w:w="0" w:type="auto"/>
            <w:shd w:val="clear" w:color="auto" w:fill="auto"/>
            <w:vAlign w:val="bottom"/>
          </w:tcPr>
          <w:p w14:paraId="2470D607" w14:textId="77777777" w:rsidR="009C6E2F" w:rsidRDefault="009C6E2F">
            <w:pPr>
              <w:rPr>
                <w:rFonts w:ascii="宋体"/>
                <w:vanish/>
              </w:rPr>
            </w:pPr>
          </w:p>
        </w:tc>
        <w:tc>
          <w:tcPr>
            <w:tcW w:w="0" w:type="auto"/>
            <w:shd w:val="clear" w:color="auto" w:fill="auto"/>
            <w:vAlign w:val="bottom"/>
          </w:tcPr>
          <w:p w14:paraId="2470D608" w14:textId="77777777" w:rsidR="009C6E2F" w:rsidRDefault="009C6E2F">
            <w:pPr>
              <w:rPr>
                <w:rFonts w:ascii="宋体"/>
                <w:vanish/>
              </w:rPr>
            </w:pPr>
          </w:p>
        </w:tc>
        <w:tc>
          <w:tcPr>
            <w:tcW w:w="0" w:type="auto"/>
            <w:gridSpan w:val="3"/>
            <w:shd w:val="clear" w:color="auto" w:fill="auto"/>
            <w:vAlign w:val="bottom"/>
          </w:tcPr>
          <w:p w14:paraId="2470D609" w14:textId="77777777" w:rsidR="009C6E2F" w:rsidRDefault="009C6E2F">
            <w:pPr>
              <w:rPr>
                <w:rFonts w:ascii="宋体"/>
                <w:vanish/>
              </w:rPr>
            </w:pPr>
          </w:p>
        </w:tc>
        <w:tc>
          <w:tcPr>
            <w:tcW w:w="0" w:type="auto"/>
            <w:gridSpan w:val="3"/>
            <w:shd w:val="clear" w:color="auto" w:fill="auto"/>
            <w:vAlign w:val="bottom"/>
          </w:tcPr>
          <w:p w14:paraId="2470D60A" w14:textId="77777777" w:rsidR="009C6E2F" w:rsidRDefault="009C6E2F">
            <w:pPr>
              <w:rPr>
                <w:rFonts w:ascii="宋体"/>
                <w:vanish/>
              </w:rPr>
            </w:pPr>
          </w:p>
        </w:tc>
      </w:tr>
      <w:tr w:rsidR="009C6E2F" w14:paraId="2470D618" w14:textId="77777777">
        <w:tc>
          <w:tcPr>
            <w:tcW w:w="0" w:type="auto"/>
            <w:gridSpan w:val="3"/>
            <w:shd w:val="clear" w:color="auto" w:fill="auto"/>
            <w:tcMar>
              <w:top w:w="0" w:type="dxa"/>
              <w:left w:w="20" w:type="dxa"/>
              <w:bottom w:w="0" w:type="dxa"/>
              <w:right w:w="20" w:type="dxa"/>
            </w:tcMar>
            <w:vAlign w:val="bottom"/>
          </w:tcPr>
          <w:p w14:paraId="2470D60C"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60D"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60E"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60F"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610" w14:textId="77777777" w:rsidR="009C6E2F" w:rsidRDefault="009C6E2F">
            <w:pPr>
              <w:rPr>
                <w:rFonts w:ascii="宋体"/>
                <w:vanish/>
              </w:rPr>
            </w:pPr>
          </w:p>
        </w:tc>
        <w:tc>
          <w:tcPr>
            <w:tcW w:w="0" w:type="auto"/>
            <w:shd w:val="clear" w:color="auto" w:fill="auto"/>
            <w:vAlign w:val="bottom"/>
          </w:tcPr>
          <w:p w14:paraId="2470D611" w14:textId="77777777" w:rsidR="009C6E2F" w:rsidRDefault="009C6E2F">
            <w:pPr>
              <w:rPr>
                <w:rFonts w:ascii="宋体"/>
                <w:vanish/>
              </w:rPr>
            </w:pPr>
          </w:p>
        </w:tc>
        <w:tc>
          <w:tcPr>
            <w:tcW w:w="0" w:type="auto"/>
            <w:shd w:val="clear" w:color="auto" w:fill="auto"/>
            <w:vAlign w:val="bottom"/>
          </w:tcPr>
          <w:p w14:paraId="2470D612" w14:textId="77777777" w:rsidR="009C6E2F" w:rsidRDefault="009C6E2F">
            <w:pPr>
              <w:rPr>
                <w:rFonts w:ascii="宋体"/>
              </w:rPr>
            </w:pPr>
          </w:p>
        </w:tc>
        <w:tc>
          <w:tcPr>
            <w:tcW w:w="0" w:type="auto"/>
            <w:shd w:val="clear" w:color="auto" w:fill="auto"/>
            <w:vAlign w:val="bottom"/>
          </w:tcPr>
          <w:p w14:paraId="2470D613" w14:textId="77777777" w:rsidR="009C6E2F" w:rsidRDefault="009C6E2F">
            <w:pPr>
              <w:rPr>
                <w:rFonts w:ascii="宋体"/>
              </w:rPr>
            </w:pPr>
          </w:p>
        </w:tc>
        <w:tc>
          <w:tcPr>
            <w:tcW w:w="0" w:type="auto"/>
            <w:shd w:val="clear" w:color="auto" w:fill="auto"/>
            <w:vAlign w:val="bottom"/>
          </w:tcPr>
          <w:p w14:paraId="2470D614" w14:textId="77777777" w:rsidR="009C6E2F" w:rsidRDefault="009C6E2F">
            <w:pPr>
              <w:rPr>
                <w:rFonts w:ascii="宋体"/>
              </w:rPr>
            </w:pPr>
          </w:p>
        </w:tc>
        <w:tc>
          <w:tcPr>
            <w:tcW w:w="0" w:type="auto"/>
            <w:shd w:val="clear" w:color="auto" w:fill="auto"/>
            <w:vAlign w:val="bottom"/>
          </w:tcPr>
          <w:p w14:paraId="2470D615" w14:textId="77777777" w:rsidR="009C6E2F" w:rsidRDefault="009C6E2F">
            <w:pPr>
              <w:rPr>
                <w:rFonts w:ascii="宋体"/>
              </w:rPr>
            </w:pPr>
          </w:p>
        </w:tc>
        <w:tc>
          <w:tcPr>
            <w:tcW w:w="0" w:type="auto"/>
            <w:shd w:val="clear" w:color="auto" w:fill="auto"/>
            <w:vAlign w:val="bottom"/>
          </w:tcPr>
          <w:p w14:paraId="2470D616" w14:textId="77777777" w:rsidR="009C6E2F" w:rsidRDefault="009C6E2F">
            <w:pPr>
              <w:rPr>
                <w:rFonts w:ascii="宋体"/>
              </w:rPr>
            </w:pPr>
          </w:p>
        </w:tc>
        <w:tc>
          <w:tcPr>
            <w:tcW w:w="0" w:type="auto"/>
            <w:shd w:val="clear" w:color="auto" w:fill="auto"/>
            <w:vAlign w:val="bottom"/>
          </w:tcPr>
          <w:p w14:paraId="2470D617" w14:textId="77777777" w:rsidR="009C6E2F" w:rsidRDefault="009C6E2F">
            <w:pPr>
              <w:rPr>
                <w:rFonts w:ascii="宋体"/>
              </w:rPr>
            </w:pPr>
          </w:p>
        </w:tc>
      </w:tr>
      <w:tr w:rsidR="009C6E2F" w14:paraId="2470D625" w14:textId="77777777">
        <w:tc>
          <w:tcPr>
            <w:tcW w:w="0" w:type="auto"/>
            <w:gridSpan w:val="3"/>
            <w:shd w:val="clear" w:color="auto" w:fill="auto"/>
            <w:tcMar>
              <w:top w:w="40" w:type="dxa"/>
              <w:left w:w="20" w:type="dxa"/>
              <w:bottom w:w="40" w:type="dxa"/>
              <w:right w:w="20" w:type="dxa"/>
            </w:tcMar>
            <w:vAlign w:val="bottom"/>
          </w:tcPr>
          <w:p w14:paraId="2470D619"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1A"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1B"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1C"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470D61D"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1E"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1F"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20"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470D621" w14:textId="77777777" w:rsidR="009C6E2F" w:rsidRDefault="009C6E2F">
            <w:pPr>
              <w:rPr>
                <w:rFonts w:ascii="宋体"/>
                <w:vanish/>
              </w:rPr>
            </w:pPr>
          </w:p>
        </w:tc>
        <w:tc>
          <w:tcPr>
            <w:tcW w:w="0" w:type="auto"/>
            <w:shd w:val="clear" w:color="auto" w:fill="auto"/>
            <w:vAlign w:val="bottom"/>
          </w:tcPr>
          <w:p w14:paraId="2470D622" w14:textId="77777777" w:rsidR="009C6E2F" w:rsidRDefault="009C6E2F">
            <w:pPr>
              <w:rPr>
                <w:rFonts w:ascii="宋体"/>
                <w:vanish/>
              </w:rPr>
            </w:pPr>
          </w:p>
        </w:tc>
        <w:tc>
          <w:tcPr>
            <w:tcW w:w="0" w:type="auto"/>
            <w:gridSpan w:val="3"/>
            <w:shd w:val="clear" w:color="auto" w:fill="auto"/>
            <w:vAlign w:val="bottom"/>
          </w:tcPr>
          <w:p w14:paraId="2470D623" w14:textId="77777777" w:rsidR="009C6E2F" w:rsidRDefault="009C6E2F">
            <w:pPr>
              <w:rPr>
                <w:rFonts w:ascii="宋体"/>
                <w:vanish/>
              </w:rPr>
            </w:pPr>
          </w:p>
        </w:tc>
        <w:tc>
          <w:tcPr>
            <w:tcW w:w="0" w:type="auto"/>
            <w:gridSpan w:val="3"/>
            <w:shd w:val="clear" w:color="auto" w:fill="auto"/>
            <w:vAlign w:val="bottom"/>
          </w:tcPr>
          <w:p w14:paraId="2470D624" w14:textId="77777777" w:rsidR="009C6E2F" w:rsidRDefault="009C6E2F">
            <w:pPr>
              <w:rPr>
                <w:rFonts w:ascii="宋体"/>
                <w:vanish/>
              </w:rPr>
            </w:pPr>
          </w:p>
        </w:tc>
      </w:tr>
      <w:tr w:rsidR="009C6E2F" w14:paraId="2470D63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26"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Demand creation expense</w:t>
            </w:r>
            <w:r>
              <w:rPr>
                <w:rFonts w:ascii="Arial" w:eastAsia="宋体" w:hAnsi="Arial" w:cs="Arial"/>
                <w:color w:val="000000"/>
                <w:sz w:val="11"/>
                <w:szCs w:val="11"/>
              </w:rPr>
              <w:t>(1)</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627"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628" w14:textId="77777777" w:rsidR="009C6E2F" w:rsidRDefault="007972BE">
            <w:pPr>
              <w:jc w:val="right"/>
              <w:textAlignment w:val="bottom"/>
            </w:pPr>
            <w:r>
              <w:rPr>
                <w:rFonts w:ascii="Arial" w:eastAsia="宋体" w:hAnsi="Arial" w:cs="Arial"/>
                <w:color w:val="000000"/>
                <w:sz w:val="17"/>
                <w:szCs w:val="17"/>
              </w:rPr>
              <w:t>1,017 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629"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62A"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62B" w14:textId="77777777" w:rsidR="009C6E2F" w:rsidRDefault="007972BE">
            <w:pPr>
              <w:jc w:val="right"/>
              <w:textAlignment w:val="bottom"/>
            </w:pPr>
            <w:r>
              <w:rPr>
                <w:rFonts w:ascii="Arial" w:eastAsia="宋体" w:hAnsi="Arial" w:cs="Arial"/>
                <w:color w:val="000000"/>
                <w:sz w:val="17"/>
                <w:szCs w:val="17"/>
              </w:rPr>
              <w:t>729 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2C"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62D"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2E" w14:textId="77777777" w:rsidR="009C6E2F" w:rsidRDefault="007972BE">
            <w:pPr>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62F"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630"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631" w14:textId="77777777" w:rsidR="009C6E2F" w:rsidRDefault="007972BE">
            <w:pPr>
              <w:jc w:val="right"/>
              <w:textAlignment w:val="bottom"/>
            </w:pPr>
            <w:r>
              <w:rPr>
                <w:rFonts w:ascii="Arial" w:eastAsia="宋体" w:hAnsi="Arial" w:cs="Arial"/>
                <w:color w:val="000000"/>
                <w:sz w:val="17"/>
                <w:szCs w:val="17"/>
              </w:rPr>
              <w:t>1,935 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63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633"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634" w14:textId="77777777" w:rsidR="009C6E2F" w:rsidRDefault="007972BE">
            <w:pPr>
              <w:jc w:val="right"/>
              <w:textAlignment w:val="bottom"/>
            </w:pPr>
            <w:r>
              <w:rPr>
                <w:rFonts w:ascii="Arial" w:eastAsia="宋体" w:hAnsi="Arial" w:cs="Arial"/>
                <w:color w:val="000000"/>
                <w:sz w:val="17"/>
                <w:szCs w:val="17"/>
              </w:rPr>
              <w:t>1,406 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3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636" w14:textId="77777777" w:rsidR="009C6E2F" w:rsidRDefault="007972BE">
            <w:pPr>
              <w:jc w:val="right"/>
              <w:textAlignment w:val="bottom"/>
            </w:pPr>
            <w:r>
              <w:rPr>
                <w:rFonts w:ascii="Arial" w:eastAsia="宋体" w:hAnsi="Arial" w:cs="Arial"/>
                <w:color w:val="000000"/>
                <w:sz w:val="17"/>
                <w:szCs w:val="17"/>
              </w:rPr>
              <w:t>38 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37" w14:textId="77777777" w:rsidR="009C6E2F" w:rsidRDefault="007972BE">
            <w:pPr>
              <w:textAlignment w:val="bottom"/>
            </w:pPr>
            <w:r>
              <w:rPr>
                <w:rFonts w:ascii="Arial" w:eastAsia="宋体" w:hAnsi="Arial" w:cs="Arial"/>
                <w:color w:val="000000"/>
                <w:sz w:val="17"/>
                <w:szCs w:val="17"/>
              </w:rPr>
              <w:t>%</w:t>
            </w:r>
          </w:p>
        </w:tc>
        <w:tc>
          <w:tcPr>
            <w:tcW w:w="0" w:type="auto"/>
            <w:shd w:val="clear" w:color="auto" w:fill="auto"/>
            <w:vAlign w:val="bottom"/>
          </w:tcPr>
          <w:p w14:paraId="2470D638" w14:textId="77777777" w:rsidR="009C6E2F" w:rsidRDefault="009C6E2F">
            <w:pPr>
              <w:rPr>
                <w:rFonts w:ascii="宋体"/>
                <w:vanish/>
              </w:rPr>
            </w:pPr>
          </w:p>
        </w:tc>
        <w:tc>
          <w:tcPr>
            <w:tcW w:w="0" w:type="auto"/>
            <w:shd w:val="clear" w:color="auto" w:fill="auto"/>
            <w:vAlign w:val="bottom"/>
          </w:tcPr>
          <w:p w14:paraId="2470D639" w14:textId="77777777" w:rsidR="009C6E2F" w:rsidRDefault="009C6E2F">
            <w:pPr>
              <w:rPr>
                <w:rFonts w:ascii="宋体"/>
                <w:vanish/>
              </w:rPr>
            </w:pPr>
          </w:p>
        </w:tc>
        <w:tc>
          <w:tcPr>
            <w:tcW w:w="0" w:type="auto"/>
            <w:gridSpan w:val="3"/>
            <w:shd w:val="clear" w:color="auto" w:fill="auto"/>
            <w:vAlign w:val="bottom"/>
          </w:tcPr>
          <w:p w14:paraId="2470D63A" w14:textId="77777777" w:rsidR="009C6E2F" w:rsidRDefault="009C6E2F">
            <w:pPr>
              <w:rPr>
                <w:rFonts w:ascii="宋体"/>
                <w:vanish/>
              </w:rPr>
            </w:pPr>
          </w:p>
        </w:tc>
        <w:tc>
          <w:tcPr>
            <w:tcW w:w="0" w:type="auto"/>
            <w:gridSpan w:val="3"/>
            <w:shd w:val="clear" w:color="auto" w:fill="auto"/>
            <w:vAlign w:val="bottom"/>
          </w:tcPr>
          <w:p w14:paraId="2470D63B" w14:textId="77777777" w:rsidR="009C6E2F" w:rsidRDefault="009C6E2F">
            <w:pPr>
              <w:rPr>
                <w:rFonts w:ascii="宋体"/>
                <w:vanish/>
              </w:rPr>
            </w:pPr>
          </w:p>
        </w:tc>
      </w:tr>
      <w:tr w:rsidR="009C6E2F" w14:paraId="2470D64F"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63D" w14:textId="77777777" w:rsidR="009C6E2F" w:rsidRDefault="007972BE">
            <w:pPr>
              <w:textAlignment w:val="bottom"/>
            </w:pPr>
            <w:r>
              <w:rPr>
                <w:rFonts w:ascii="Arial" w:eastAsia="宋体" w:hAnsi="Arial" w:cs="Arial"/>
                <w:color w:val="000000"/>
                <w:sz w:val="17"/>
                <w:szCs w:val="17"/>
              </w:rPr>
              <w:t>Operating overhead expense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63E" w14:textId="77777777" w:rsidR="009C6E2F" w:rsidRDefault="007972BE">
            <w:pPr>
              <w:jc w:val="right"/>
              <w:textAlignment w:val="bottom"/>
            </w:pPr>
            <w:r>
              <w:rPr>
                <w:rFonts w:ascii="Arial" w:eastAsia="宋体" w:hAnsi="Arial" w:cs="Arial"/>
                <w:color w:val="000000"/>
                <w:sz w:val="17"/>
                <w:szCs w:val="17"/>
              </w:rPr>
              <w:t>2,742 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63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640" w14:textId="77777777" w:rsidR="009C6E2F" w:rsidRDefault="007972BE">
            <w:pPr>
              <w:jc w:val="right"/>
              <w:textAlignment w:val="bottom"/>
            </w:pPr>
            <w:r>
              <w:rPr>
                <w:rFonts w:ascii="Arial" w:eastAsia="宋体" w:hAnsi="Arial" w:cs="Arial"/>
                <w:color w:val="000000"/>
                <w:sz w:val="17"/>
                <w:szCs w:val="17"/>
              </w:rPr>
              <w:t>2,538 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64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642"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643" w14:textId="77777777" w:rsidR="009C6E2F" w:rsidRDefault="007972BE">
            <w:pPr>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644"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645" w14:textId="77777777" w:rsidR="009C6E2F" w:rsidRDefault="007972BE">
            <w:pPr>
              <w:jc w:val="right"/>
              <w:textAlignment w:val="bottom"/>
            </w:pPr>
            <w:r>
              <w:rPr>
                <w:rFonts w:ascii="Arial" w:eastAsia="宋体" w:hAnsi="Arial" w:cs="Arial"/>
                <w:color w:val="000000"/>
                <w:sz w:val="17"/>
                <w:szCs w:val="17"/>
              </w:rPr>
              <w:t>5,396 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64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647" w14:textId="77777777" w:rsidR="009C6E2F" w:rsidRDefault="007972BE">
            <w:pPr>
              <w:jc w:val="right"/>
              <w:textAlignment w:val="bottom"/>
            </w:pPr>
            <w:r>
              <w:rPr>
                <w:rFonts w:ascii="Arial" w:eastAsia="宋体" w:hAnsi="Arial" w:cs="Arial"/>
                <w:color w:val="000000"/>
                <w:sz w:val="17"/>
                <w:szCs w:val="17"/>
              </w:rPr>
              <w:t>4,836 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64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649"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64A" w14:textId="77777777" w:rsidR="009C6E2F" w:rsidRDefault="007972BE">
            <w:pPr>
              <w:textAlignment w:val="bottom"/>
            </w:pPr>
            <w:r>
              <w:rPr>
                <w:rFonts w:ascii="Arial" w:eastAsia="宋体" w:hAnsi="Arial" w:cs="Arial"/>
                <w:color w:val="000000"/>
                <w:sz w:val="17"/>
                <w:szCs w:val="17"/>
              </w:rPr>
              <w:t>%</w:t>
            </w:r>
          </w:p>
        </w:tc>
        <w:tc>
          <w:tcPr>
            <w:tcW w:w="0" w:type="auto"/>
            <w:shd w:val="clear" w:color="auto" w:fill="auto"/>
            <w:vAlign w:val="bottom"/>
          </w:tcPr>
          <w:p w14:paraId="2470D64B" w14:textId="77777777" w:rsidR="009C6E2F" w:rsidRDefault="009C6E2F">
            <w:pPr>
              <w:rPr>
                <w:rFonts w:ascii="宋体"/>
                <w:vanish/>
              </w:rPr>
            </w:pPr>
          </w:p>
        </w:tc>
        <w:tc>
          <w:tcPr>
            <w:tcW w:w="0" w:type="auto"/>
            <w:shd w:val="clear" w:color="auto" w:fill="auto"/>
            <w:vAlign w:val="bottom"/>
          </w:tcPr>
          <w:p w14:paraId="2470D64C" w14:textId="77777777" w:rsidR="009C6E2F" w:rsidRDefault="009C6E2F">
            <w:pPr>
              <w:rPr>
                <w:rFonts w:ascii="宋体"/>
                <w:vanish/>
              </w:rPr>
            </w:pPr>
          </w:p>
        </w:tc>
        <w:tc>
          <w:tcPr>
            <w:tcW w:w="0" w:type="auto"/>
            <w:gridSpan w:val="3"/>
            <w:shd w:val="clear" w:color="auto" w:fill="auto"/>
            <w:vAlign w:val="bottom"/>
          </w:tcPr>
          <w:p w14:paraId="2470D64D" w14:textId="77777777" w:rsidR="009C6E2F" w:rsidRDefault="009C6E2F">
            <w:pPr>
              <w:rPr>
                <w:rFonts w:ascii="宋体"/>
                <w:vanish/>
              </w:rPr>
            </w:pPr>
          </w:p>
        </w:tc>
        <w:tc>
          <w:tcPr>
            <w:tcW w:w="0" w:type="auto"/>
            <w:gridSpan w:val="3"/>
            <w:shd w:val="clear" w:color="auto" w:fill="auto"/>
            <w:vAlign w:val="bottom"/>
          </w:tcPr>
          <w:p w14:paraId="2470D64E" w14:textId="77777777" w:rsidR="009C6E2F" w:rsidRDefault="009C6E2F">
            <w:pPr>
              <w:rPr>
                <w:rFonts w:ascii="宋体"/>
                <w:vanish/>
              </w:rPr>
            </w:pPr>
          </w:p>
        </w:tc>
      </w:tr>
      <w:tr w:rsidR="009C6E2F" w14:paraId="2470D666"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50" w14:textId="77777777" w:rsidR="009C6E2F" w:rsidRDefault="007972BE">
            <w:pPr>
              <w:textAlignment w:val="bottom"/>
            </w:pPr>
            <w:r>
              <w:rPr>
                <w:rFonts w:ascii="Arial" w:eastAsia="宋体" w:hAnsi="Arial" w:cs="Arial"/>
                <w:color w:val="000000"/>
                <w:sz w:val="17"/>
                <w:szCs w:val="17"/>
              </w:rPr>
              <w:t>Total selling and administrative expense</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651"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652" w14:textId="77777777" w:rsidR="009C6E2F" w:rsidRDefault="007972BE">
            <w:pPr>
              <w:jc w:val="right"/>
              <w:textAlignment w:val="bottom"/>
            </w:pPr>
            <w:r>
              <w:rPr>
                <w:rFonts w:ascii="Arial" w:eastAsia="宋体" w:hAnsi="Arial" w:cs="Arial"/>
                <w:color w:val="000000"/>
                <w:sz w:val="17"/>
                <w:szCs w:val="17"/>
              </w:rPr>
              <w:t>3,759 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653"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654"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655" w14:textId="77777777" w:rsidR="009C6E2F" w:rsidRDefault="007972BE">
            <w:pPr>
              <w:jc w:val="right"/>
              <w:textAlignment w:val="bottom"/>
            </w:pPr>
            <w:r>
              <w:rPr>
                <w:rFonts w:ascii="Arial" w:eastAsia="宋体" w:hAnsi="Arial" w:cs="Arial"/>
                <w:color w:val="000000"/>
                <w:sz w:val="17"/>
                <w:szCs w:val="17"/>
              </w:rPr>
              <w:t>3,267 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56"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657"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58"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659"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65A"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65B" w14:textId="77777777" w:rsidR="009C6E2F" w:rsidRDefault="007972BE">
            <w:pPr>
              <w:jc w:val="right"/>
              <w:textAlignment w:val="bottom"/>
            </w:pPr>
            <w:r>
              <w:rPr>
                <w:rFonts w:ascii="Arial" w:eastAsia="宋体" w:hAnsi="Arial" w:cs="Arial"/>
                <w:color w:val="000000"/>
                <w:sz w:val="17"/>
                <w:szCs w:val="17"/>
              </w:rPr>
              <w:t>7,331 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65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65D"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65E" w14:textId="77777777" w:rsidR="009C6E2F" w:rsidRDefault="007972BE">
            <w:pPr>
              <w:jc w:val="right"/>
              <w:textAlignment w:val="bottom"/>
            </w:pPr>
            <w:r>
              <w:rPr>
                <w:rFonts w:ascii="Arial" w:eastAsia="宋体" w:hAnsi="Arial" w:cs="Arial"/>
                <w:color w:val="000000"/>
                <w:sz w:val="17"/>
                <w:szCs w:val="17"/>
              </w:rPr>
              <w:t>6,242 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5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660"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661"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662" w14:textId="77777777" w:rsidR="009C6E2F" w:rsidRDefault="009C6E2F">
            <w:pPr>
              <w:rPr>
                <w:rFonts w:ascii="宋体"/>
                <w:vanish/>
              </w:rPr>
            </w:pPr>
          </w:p>
        </w:tc>
        <w:tc>
          <w:tcPr>
            <w:tcW w:w="0" w:type="auto"/>
            <w:shd w:val="clear" w:color="auto" w:fill="auto"/>
            <w:vAlign w:val="bottom"/>
          </w:tcPr>
          <w:p w14:paraId="2470D663" w14:textId="77777777" w:rsidR="009C6E2F" w:rsidRDefault="009C6E2F">
            <w:pPr>
              <w:rPr>
                <w:rFonts w:ascii="宋体"/>
                <w:vanish/>
              </w:rPr>
            </w:pPr>
          </w:p>
        </w:tc>
        <w:tc>
          <w:tcPr>
            <w:tcW w:w="0" w:type="auto"/>
            <w:gridSpan w:val="3"/>
            <w:shd w:val="clear" w:color="auto" w:fill="auto"/>
            <w:vAlign w:val="bottom"/>
          </w:tcPr>
          <w:p w14:paraId="2470D664" w14:textId="77777777" w:rsidR="009C6E2F" w:rsidRDefault="009C6E2F">
            <w:pPr>
              <w:rPr>
                <w:rFonts w:ascii="宋体"/>
                <w:vanish/>
              </w:rPr>
            </w:pPr>
          </w:p>
        </w:tc>
        <w:tc>
          <w:tcPr>
            <w:tcW w:w="0" w:type="auto"/>
            <w:gridSpan w:val="3"/>
            <w:shd w:val="clear" w:color="auto" w:fill="auto"/>
            <w:vAlign w:val="bottom"/>
          </w:tcPr>
          <w:p w14:paraId="2470D665" w14:textId="77777777" w:rsidR="009C6E2F" w:rsidRDefault="009C6E2F">
            <w:pPr>
              <w:rPr>
                <w:rFonts w:ascii="宋体"/>
                <w:vanish/>
              </w:rPr>
            </w:pPr>
          </w:p>
        </w:tc>
      </w:tr>
      <w:tr w:rsidR="009C6E2F" w14:paraId="2470D677" w14:textId="77777777">
        <w:tc>
          <w:tcPr>
            <w:tcW w:w="0" w:type="auto"/>
            <w:gridSpan w:val="3"/>
            <w:tcBorders>
              <w:top w:val="single" w:sz="4" w:space="0" w:color="808080"/>
              <w:bottom w:val="single" w:sz="8" w:space="0" w:color="E87722"/>
            </w:tcBorders>
            <w:shd w:val="clear" w:color="auto" w:fill="auto"/>
            <w:tcMar>
              <w:top w:w="40" w:type="dxa"/>
              <w:left w:w="155" w:type="dxa"/>
              <w:bottom w:w="40" w:type="dxa"/>
              <w:right w:w="20" w:type="dxa"/>
            </w:tcMar>
            <w:vAlign w:val="bottom"/>
          </w:tcPr>
          <w:p w14:paraId="2470D667" w14:textId="77777777" w:rsidR="009C6E2F" w:rsidRDefault="007972BE">
            <w:pPr>
              <w:textAlignment w:val="bottom"/>
            </w:pPr>
            <w:r>
              <w:rPr>
                <w:rFonts w:ascii="Arial" w:eastAsia="宋体" w:hAnsi="Arial" w:cs="Arial"/>
                <w:color w:val="000000"/>
                <w:sz w:val="17"/>
                <w:szCs w:val="17"/>
              </w:rPr>
              <w:t>% of revenues</w:t>
            </w: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D668" w14:textId="77777777" w:rsidR="009C6E2F" w:rsidRDefault="007972BE">
            <w:pPr>
              <w:jc w:val="right"/>
              <w:textAlignment w:val="bottom"/>
            </w:pPr>
            <w:r>
              <w:rPr>
                <w:rFonts w:ascii="Arial" w:eastAsia="宋体" w:hAnsi="Arial" w:cs="Arial"/>
                <w:color w:val="000000"/>
                <w:sz w:val="17"/>
                <w:szCs w:val="17"/>
              </w:rPr>
              <w:t>33.1 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D669"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66A" w14:textId="77777777" w:rsidR="009C6E2F" w:rsidRDefault="007972BE">
            <w:pPr>
              <w:jc w:val="right"/>
              <w:textAlignment w:val="bottom"/>
            </w:pPr>
            <w:r>
              <w:rPr>
                <w:rFonts w:ascii="Arial" w:eastAsia="宋体" w:hAnsi="Arial" w:cs="Arial"/>
                <w:color w:val="000000"/>
                <w:sz w:val="17"/>
                <w:szCs w:val="17"/>
              </w:rPr>
              <w:t>29.1 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66B"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470D66C" w14:textId="77777777" w:rsidR="009C6E2F" w:rsidRDefault="007972BE">
            <w:pPr>
              <w:jc w:val="right"/>
              <w:textAlignment w:val="top"/>
            </w:pPr>
            <w:r>
              <w:rPr>
                <w:rFonts w:ascii="Arial" w:eastAsia="宋体" w:hAnsi="Arial" w:cs="Arial"/>
                <w:color w:val="000000"/>
                <w:sz w:val="17"/>
                <w:szCs w:val="17"/>
              </w:rPr>
              <w:t>400 bps</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D66D" w14:textId="77777777" w:rsidR="009C6E2F" w:rsidRDefault="009C6E2F">
            <w:pPr>
              <w:rPr>
                <w:rFonts w:ascii="宋体"/>
              </w:rPr>
            </w:pPr>
          </w:p>
        </w:tc>
        <w:tc>
          <w:tcPr>
            <w:tcW w:w="0" w:type="auto"/>
            <w:gridSpan w:val="2"/>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D66E" w14:textId="77777777" w:rsidR="009C6E2F" w:rsidRDefault="007972BE">
            <w:pPr>
              <w:jc w:val="right"/>
              <w:textAlignment w:val="bottom"/>
            </w:pPr>
            <w:r>
              <w:rPr>
                <w:rFonts w:ascii="Arial" w:eastAsia="宋体" w:hAnsi="Arial" w:cs="Arial"/>
                <w:color w:val="000000"/>
                <w:sz w:val="17"/>
                <w:szCs w:val="17"/>
              </w:rPr>
              <w:t>31.1 </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D66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670" w14:textId="77777777" w:rsidR="009C6E2F" w:rsidRDefault="007972BE">
            <w:pPr>
              <w:jc w:val="right"/>
              <w:textAlignment w:val="bottom"/>
            </w:pPr>
            <w:r>
              <w:rPr>
                <w:rFonts w:ascii="Arial" w:eastAsia="宋体" w:hAnsi="Arial" w:cs="Arial"/>
                <w:color w:val="000000"/>
                <w:sz w:val="17"/>
                <w:szCs w:val="17"/>
              </w:rPr>
              <w:t>28.6 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67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470D672" w14:textId="77777777" w:rsidR="009C6E2F" w:rsidRDefault="007972BE">
            <w:pPr>
              <w:jc w:val="right"/>
              <w:textAlignment w:val="top"/>
            </w:pPr>
            <w:r>
              <w:rPr>
                <w:rFonts w:ascii="Arial" w:eastAsia="宋体" w:hAnsi="Arial" w:cs="Arial"/>
                <w:color w:val="000000"/>
                <w:sz w:val="17"/>
                <w:szCs w:val="17"/>
              </w:rPr>
              <w:t>250 bps</w:t>
            </w:r>
          </w:p>
        </w:tc>
        <w:tc>
          <w:tcPr>
            <w:tcW w:w="0" w:type="auto"/>
            <w:shd w:val="clear" w:color="auto" w:fill="auto"/>
            <w:vAlign w:val="bottom"/>
          </w:tcPr>
          <w:p w14:paraId="2470D673" w14:textId="77777777" w:rsidR="009C6E2F" w:rsidRDefault="009C6E2F">
            <w:pPr>
              <w:rPr>
                <w:rFonts w:ascii="宋体"/>
                <w:vanish/>
              </w:rPr>
            </w:pPr>
          </w:p>
        </w:tc>
        <w:tc>
          <w:tcPr>
            <w:tcW w:w="0" w:type="auto"/>
            <w:shd w:val="clear" w:color="auto" w:fill="auto"/>
            <w:vAlign w:val="bottom"/>
          </w:tcPr>
          <w:p w14:paraId="2470D674" w14:textId="77777777" w:rsidR="009C6E2F" w:rsidRDefault="009C6E2F">
            <w:pPr>
              <w:rPr>
                <w:rFonts w:ascii="宋体"/>
                <w:vanish/>
              </w:rPr>
            </w:pPr>
          </w:p>
        </w:tc>
        <w:tc>
          <w:tcPr>
            <w:tcW w:w="0" w:type="auto"/>
            <w:gridSpan w:val="3"/>
            <w:shd w:val="clear" w:color="auto" w:fill="auto"/>
            <w:vAlign w:val="bottom"/>
          </w:tcPr>
          <w:p w14:paraId="2470D675" w14:textId="77777777" w:rsidR="009C6E2F" w:rsidRDefault="009C6E2F">
            <w:pPr>
              <w:rPr>
                <w:rFonts w:ascii="宋体"/>
                <w:vanish/>
              </w:rPr>
            </w:pPr>
          </w:p>
        </w:tc>
        <w:tc>
          <w:tcPr>
            <w:tcW w:w="0" w:type="auto"/>
            <w:gridSpan w:val="3"/>
            <w:shd w:val="clear" w:color="auto" w:fill="auto"/>
            <w:vAlign w:val="bottom"/>
          </w:tcPr>
          <w:p w14:paraId="2470D676" w14:textId="77777777" w:rsidR="009C6E2F" w:rsidRDefault="009C6E2F">
            <w:pPr>
              <w:rPr>
                <w:rFonts w:ascii="宋体"/>
                <w:vanish/>
              </w:rPr>
            </w:pPr>
          </w:p>
        </w:tc>
      </w:tr>
    </w:tbl>
    <w:p w14:paraId="2470D678"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 xml:space="preserve">(1)Demand creation expense consists of advertising and promotion costs, including costs of endorsement contracts, complimentary products, television, digital and print advertising and </w:t>
      </w:r>
      <w:r>
        <w:rPr>
          <w:rFonts w:ascii="Arial" w:eastAsia="宋体" w:hAnsi="Arial" w:cs="Arial"/>
          <w:i/>
          <w:iCs/>
          <w:color w:val="000000"/>
          <w:sz w:val="14"/>
          <w:szCs w:val="14"/>
        </w:rPr>
        <w:t>media costs, brand events and retail brand presentation.</w:t>
      </w:r>
    </w:p>
    <w:p w14:paraId="2470D679"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 FISCAL 2021</w:t>
      </w:r>
    </w:p>
    <w:p w14:paraId="2470D67A" w14:textId="77777777" w:rsidR="009C6E2F" w:rsidRDefault="007972BE">
      <w:pPr>
        <w:spacing w:after="120"/>
      </w:pPr>
      <w:r>
        <w:rPr>
          <w:rFonts w:ascii="Arial" w:eastAsia="宋体" w:hAnsi="Arial" w:cs="Arial"/>
          <w:color w:val="000000"/>
          <w:sz w:val="17"/>
          <w:szCs w:val="17"/>
        </w:rPr>
        <w:t>Demand creation expense increased 40% for the second quarter of fiscal 2022 primarily due to higher advertising and marketing s</w:t>
      </w:r>
      <w:r>
        <w:rPr>
          <w:rFonts w:ascii="Arial" w:eastAsia="宋体" w:hAnsi="Arial" w:cs="Arial"/>
          <w:color w:val="000000"/>
          <w:sz w:val="17"/>
          <w:szCs w:val="17"/>
        </w:rPr>
        <w:t>pend against brand campaigns as we experienced marketplace closures in the prior year due to COVID-19, as well as continued investments in digital marketing to support heightened digital demand. Changes in foreign currency exchange rates increased Demand c</w:t>
      </w:r>
      <w:r>
        <w:rPr>
          <w:rFonts w:ascii="Arial" w:eastAsia="宋体" w:hAnsi="Arial" w:cs="Arial"/>
          <w:color w:val="000000"/>
          <w:sz w:val="17"/>
          <w:szCs w:val="17"/>
        </w:rPr>
        <w:t>reation expense by approximately 1 percentage point.</w:t>
      </w:r>
    </w:p>
    <w:p w14:paraId="2470D67B" w14:textId="77777777" w:rsidR="009C6E2F" w:rsidRDefault="007972BE">
      <w:pPr>
        <w:spacing w:before="120" w:after="120"/>
      </w:pPr>
      <w:r>
        <w:rPr>
          <w:rFonts w:ascii="Arial" w:eastAsia="宋体" w:hAnsi="Arial" w:cs="Arial"/>
          <w:color w:val="000000"/>
          <w:sz w:val="17"/>
          <w:szCs w:val="17"/>
        </w:rPr>
        <w:t xml:space="preserve">Operating overhead expense increased 8% primarily due to higher strategic technology investments and an increase in wage-related expenses. Changes in foreign currency exchange rates had an insignificant </w:t>
      </w:r>
      <w:r>
        <w:rPr>
          <w:rFonts w:ascii="Arial" w:eastAsia="宋体" w:hAnsi="Arial" w:cs="Arial"/>
          <w:color w:val="000000"/>
          <w:sz w:val="17"/>
          <w:szCs w:val="17"/>
        </w:rPr>
        <w:t>impact on Operating overhead expense.</w:t>
      </w:r>
    </w:p>
    <w:p w14:paraId="2470D67C"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MONTHS OF FISCAL 2021</w:t>
      </w:r>
    </w:p>
    <w:p w14:paraId="2470D67D" w14:textId="77777777" w:rsidR="009C6E2F" w:rsidRDefault="007972BE">
      <w:pPr>
        <w:spacing w:after="120"/>
      </w:pPr>
      <w:r>
        <w:rPr>
          <w:rFonts w:ascii="Arial" w:eastAsia="宋体" w:hAnsi="Arial" w:cs="Arial"/>
          <w:color w:val="000000"/>
          <w:sz w:val="17"/>
          <w:szCs w:val="17"/>
        </w:rPr>
        <w:t xml:space="preserve">Demand creation expense increased 38% for the first six months of fiscal 2022 primarily due to higher advertising and marketing spend against </w:t>
      </w:r>
      <w:r>
        <w:rPr>
          <w:rFonts w:ascii="Arial" w:eastAsia="宋体" w:hAnsi="Arial" w:cs="Arial"/>
          <w:color w:val="000000"/>
          <w:sz w:val="17"/>
          <w:szCs w:val="17"/>
        </w:rPr>
        <w:t>brand campaigns as we experienced marketplace closures in the prior year due to COVID-19, as well as continued investments in digital marketing to support heightened digital demand. Changes in foreign currency exchange rates increased Demand creation expen</w:t>
      </w:r>
      <w:r>
        <w:rPr>
          <w:rFonts w:ascii="Arial" w:eastAsia="宋体" w:hAnsi="Arial" w:cs="Arial"/>
          <w:color w:val="000000"/>
          <w:sz w:val="17"/>
          <w:szCs w:val="17"/>
        </w:rPr>
        <w:t>se by approximately 2 percentage points.</w:t>
      </w:r>
    </w:p>
    <w:p w14:paraId="2470D67E" w14:textId="77777777" w:rsidR="009C6E2F" w:rsidRDefault="007972BE">
      <w:pPr>
        <w:spacing w:before="120" w:after="120"/>
      </w:pPr>
      <w:r>
        <w:rPr>
          <w:rFonts w:ascii="Arial" w:eastAsia="宋体" w:hAnsi="Arial" w:cs="Arial"/>
          <w:color w:val="000000"/>
          <w:sz w:val="17"/>
          <w:szCs w:val="17"/>
        </w:rPr>
        <w:t xml:space="preserve">Operating overhead expense increased 12% primarily due to an increase in wage-related expenses and higher strategic technology investments. Changes in foreign currency exchange rates increased Operating </w:t>
      </w:r>
      <w:r>
        <w:rPr>
          <w:rFonts w:ascii="Arial" w:eastAsia="宋体" w:hAnsi="Arial" w:cs="Arial"/>
          <w:color w:val="000000"/>
          <w:sz w:val="17"/>
          <w:szCs w:val="17"/>
        </w:rPr>
        <w:t>overhead expense by approximately 1 percentage point.</w:t>
      </w:r>
    </w:p>
    <w:p w14:paraId="2470D67F" w14:textId="77777777" w:rsidR="009C6E2F" w:rsidRDefault="007972BE">
      <w:pPr>
        <w:spacing w:before="240" w:after="120"/>
      </w:pPr>
      <w:r>
        <w:rPr>
          <w:rFonts w:ascii="sans-serif" w:eastAsia="sans-serif" w:hAnsi="sans-serif" w:cs="sans-serif"/>
          <w:b/>
          <w:bCs/>
          <w:color w:val="000000"/>
          <w:sz w:val="28"/>
          <w:szCs w:val="28"/>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38"/>
        <w:gridCol w:w="3563"/>
        <w:gridCol w:w="37"/>
        <w:gridCol w:w="115"/>
        <w:gridCol w:w="933"/>
        <w:gridCol w:w="36"/>
        <w:gridCol w:w="115"/>
        <w:gridCol w:w="933"/>
        <w:gridCol w:w="36"/>
        <w:gridCol w:w="36"/>
        <w:gridCol w:w="36"/>
        <w:gridCol w:w="36"/>
        <w:gridCol w:w="115"/>
        <w:gridCol w:w="934"/>
        <w:gridCol w:w="36"/>
        <w:gridCol w:w="115"/>
        <w:gridCol w:w="934"/>
        <w:gridCol w:w="36"/>
        <w:gridCol w:w="36"/>
        <w:gridCol w:w="36"/>
        <w:gridCol w:w="36"/>
        <w:gridCol w:w="36"/>
        <w:gridCol w:w="36"/>
        <w:gridCol w:w="36"/>
        <w:gridCol w:w="36"/>
      </w:tblGrid>
      <w:tr w:rsidR="009C6E2F" w14:paraId="2470D695" w14:textId="77777777">
        <w:tc>
          <w:tcPr>
            <w:tcW w:w="50" w:type="pct"/>
            <w:shd w:val="clear" w:color="auto" w:fill="auto"/>
            <w:vAlign w:val="bottom"/>
          </w:tcPr>
          <w:p w14:paraId="2470D680" w14:textId="77777777" w:rsidR="009C6E2F" w:rsidRDefault="009C6E2F">
            <w:pPr>
              <w:rPr>
                <w:rFonts w:ascii="宋体"/>
              </w:rPr>
            </w:pPr>
          </w:p>
        </w:tc>
        <w:tc>
          <w:tcPr>
            <w:tcW w:w="2246" w:type="pct"/>
            <w:shd w:val="clear" w:color="auto" w:fill="auto"/>
            <w:vAlign w:val="bottom"/>
          </w:tcPr>
          <w:p w14:paraId="2470D681" w14:textId="77777777" w:rsidR="009C6E2F" w:rsidRDefault="009C6E2F">
            <w:pPr>
              <w:rPr>
                <w:rFonts w:ascii="宋体"/>
              </w:rPr>
            </w:pPr>
          </w:p>
        </w:tc>
        <w:tc>
          <w:tcPr>
            <w:tcW w:w="5" w:type="pct"/>
            <w:shd w:val="clear" w:color="auto" w:fill="auto"/>
            <w:vAlign w:val="bottom"/>
          </w:tcPr>
          <w:p w14:paraId="2470D682" w14:textId="77777777" w:rsidR="009C6E2F" w:rsidRDefault="009C6E2F">
            <w:pPr>
              <w:rPr>
                <w:rFonts w:ascii="宋体"/>
              </w:rPr>
            </w:pPr>
          </w:p>
        </w:tc>
        <w:tc>
          <w:tcPr>
            <w:tcW w:w="50" w:type="pct"/>
            <w:shd w:val="clear" w:color="auto" w:fill="auto"/>
            <w:vAlign w:val="bottom"/>
          </w:tcPr>
          <w:p w14:paraId="2470D683" w14:textId="77777777" w:rsidR="009C6E2F" w:rsidRDefault="009C6E2F">
            <w:pPr>
              <w:rPr>
                <w:rFonts w:ascii="宋体"/>
              </w:rPr>
            </w:pPr>
          </w:p>
        </w:tc>
        <w:tc>
          <w:tcPr>
            <w:tcW w:w="612" w:type="pct"/>
            <w:shd w:val="clear" w:color="auto" w:fill="auto"/>
            <w:vAlign w:val="bottom"/>
          </w:tcPr>
          <w:p w14:paraId="2470D684" w14:textId="77777777" w:rsidR="009C6E2F" w:rsidRDefault="009C6E2F">
            <w:pPr>
              <w:rPr>
                <w:rFonts w:ascii="宋体"/>
              </w:rPr>
            </w:pPr>
          </w:p>
        </w:tc>
        <w:tc>
          <w:tcPr>
            <w:tcW w:w="5" w:type="pct"/>
            <w:shd w:val="clear" w:color="auto" w:fill="auto"/>
            <w:vAlign w:val="bottom"/>
          </w:tcPr>
          <w:p w14:paraId="2470D685" w14:textId="77777777" w:rsidR="009C6E2F" w:rsidRDefault="009C6E2F">
            <w:pPr>
              <w:rPr>
                <w:rFonts w:ascii="宋体"/>
              </w:rPr>
            </w:pPr>
          </w:p>
        </w:tc>
        <w:tc>
          <w:tcPr>
            <w:tcW w:w="50" w:type="pct"/>
            <w:shd w:val="clear" w:color="auto" w:fill="auto"/>
            <w:vAlign w:val="bottom"/>
          </w:tcPr>
          <w:p w14:paraId="2470D686" w14:textId="77777777" w:rsidR="009C6E2F" w:rsidRDefault="009C6E2F">
            <w:pPr>
              <w:rPr>
                <w:rFonts w:ascii="宋体"/>
              </w:rPr>
            </w:pPr>
          </w:p>
        </w:tc>
        <w:tc>
          <w:tcPr>
            <w:tcW w:w="612" w:type="pct"/>
            <w:shd w:val="clear" w:color="auto" w:fill="auto"/>
            <w:vAlign w:val="bottom"/>
          </w:tcPr>
          <w:p w14:paraId="2470D687" w14:textId="77777777" w:rsidR="009C6E2F" w:rsidRDefault="009C6E2F">
            <w:pPr>
              <w:rPr>
                <w:rFonts w:ascii="宋体"/>
              </w:rPr>
            </w:pPr>
          </w:p>
        </w:tc>
        <w:tc>
          <w:tcPr>
            <w:tcW w:w="5" w:type="pct"/>
            <w:shd w:val="clear" w:color="auto" w:fill="auto"/>
            <w:vAlign w:val="bottom"/>
          </w:tcPr>
          <w:p w14:paraId="2470D688" w14:textId="77777777" w:rsidR="009C6E2F" w:rsidRDefault="009C6E2F">
            <w:pPr>
              <w:rPr>
                <w:rFonts w:ascii="宋体"/>
              </w:rPr>
            </w:pPr>
          </w:p>
        </w:tc>
        <w:tc>
          <w:tcPr>
            <w:tcW w:w="5" w:type="pct"/>
            <w:shd w:val="clear" w:color="auto" w:fill="auto"/>
            <w:vAlign w:val="bottom"/>
          </w:tcPr>
          <w:p w14:paraId="2470D689" w14:textId="77777777" w:rsidR="009C6E2F" w:rsidRDefault="009C6E2F">
            <w:pPr>
              <w:rPr>
                <w:rFonts w:ascii="宋体"/>
              </w:rPr>
            </w:pPr>
          </w:p>
        </w:tc>
        <w:tc>
          <w:tcPr>
            <w:tcW w:w="19" w:type="pct"/>
            <w:shd w:val="clear" w:color="auto" w:fill="auto"/>
            <w:vAlign w:val="bottom"/>
          </w:tcPr>
          <w:p w14:paraId="2470D68A" w14:textId="77777777" w:rsidR="009C6E2F" w:rsidRDefault="009C6E2F">
            <w:pPr>
              <w:rPr>
                <w:rFonts w:ascii="宋体"/>
              </w:rPr>
            </w:pPr>
          </w:p>
        </w:tc>
        <w:tc>
          <w:tcPr>
            <w:tcW w:w="5" w:type="pct"/>
            <w:shd w:val="clear" w:color="auto" w:fill="auto"/>
            <w:vAlign w:val="bottom"/>
          </w:tcPr>
          <w:p w14:paraId="2470D68B" w14:textId="77777777" w:rsidR="009C6E2F" w:rsidRDefault="009C6E2F">
            <w:pPr>
              <w:rPr>
                <w:rFonts w:ascii="宋体"/>
              </w:rPr>
            </w:pPr>
          </w:p>
        </w:tc>
        <w:tc>
          <w:tcPr>
            <w:tcW w:w="50" w:type="pct"/>
            <w:shd w:val="clear" w:color="auto" w:fill="auto"/>
            <w:vAlign w:val="bottom"/>
          </w:tcPr>
          <w:p w14:paraId="2470D68C" w14:textId="77777777" w:rsidR="009C6E2F" w:rsidRDefault="009C6E2F">
            <w:pPr>
              <w:rPr>
                <w:rFonts w:ascii="宋体"/>
              </w:rPr>
            </w:pPr>
          </w:p>
        </w:tc>
        <w:tc>
          <w:tcPr>
            <w:tcW w:w="612" w:type="pct"/>
            <w:shd w:val="clear" w:color="auto" w:fill="auto"/>
            <w:vAlign w:val="bottom"/>
          </w:tcPr>
          <w:p w14:paraId="2470D68D" w14:textId="77777777" w:rsidR="009C6E2F" w:rsidRDefault="009C6E2F">
            <w:pPr>
              <w:rPr>
                <w:rFonts w:ascii="宋体"/>
              </w:rPr>
            </w:pPr>
          </w:p>
        </w:tc>
        <w:tc>
          <w:tcPr>
            <w:tcW w:w="5" w:type="pct"/>
            <w:shd w:val="clear" w:color="auto" w:fill="auto"/>
            <w:vAlign w:val="bottom"/>
          </w:tcPr>
          <w:p w14:paraId="2470D68E" w14:textId="77777777" w:rsidR="009C6E2F" w:rsidRDefault="009C6E2F">
            <w:pPr>
              <w:rPr>
                <w:rFonts w:ascii="宋体"/>
              </w:rPr>
            </w:pPr>
          </w:p>
        </w:tc>
        <w:tc>
          <w:tcPr>
            <w:tcW w:w="50" w:type="pct"/>
            <w:shd w:val="clear" w:color="auto" w:fill="auto"/>
            <w:vAlign w:val="bottom"/>
          </w:tcPr>
          <w:p w14:paraId="2470D68F" w14:textId="77777777" w:rsidR="009C6E2F" w:rsidRDefault="009C6E2F">
            <w:pPr>
              <w:rPr>
                <w:rFonts w:ascii="宋体"/>
              </w:rPr>
            </w:pPr>
          </w:p>
        </w:tc>
        <w:tc>
          <w:tcPr>
            <w:tcW w:w="612" w:type="pct"/>
            <w:shd w:val="clear" w:color="auto" w:fill="auto"/>
            <w:vAlign w:val="bottom"/>
          </w:tcPr>
          <w:p w14:paraId="2470D690" w14:textId="77777777" w:rsidR="009C6E2F" w:rsidRDefault="009C6E2F">
            <w:pPr>
              <w:rPr>
                <w:rFonts w:ascii="宋体"/>
              </w:rPr>
            </w:pPr>
          </w:p>
        </w:tc>
        <w:tc>
          <w:tcPr>
            <w:tcW w:w="5" w:type="pct"/>
            <w:shd w:val="clear" w:color="auto" w:fill="auto"/>
            <w:vAlign w:val="bottom"/>
          </w:tcPr>
          <w:p w14:paraId="2470D691" w14:textId="77777777" w:rsidR="009C6E2F" w:rsidRDefault="009C6E2F">
            <w:pPr>
              <w:rPr>
                <w:rFonts w:ascii="宋体"/>
              </w:rPr>
            </w:pPr>
          </w:p>
        </w:tc>
        <w:tc>
          <w:tcPr>
            <w:tcW w:w="0" w:type="auto"/>
            <w:shd w:val="clear" w:color="auto" w:fill="auto"/>
            <w:vAlign w:val="bottom"/>
          </w:tcPr>
          <w:p w14:paraId="2470D692" w14:textId="77777777" w:rsidR="009C6E2F" w:rsidRDefault="009C6E2F">
            <w:pPr>
              <w:rPr>
                <w:rFonts w:ascii="宋体"/>
                <w:vanish/>
              </w:rPr>
            </w:pPr>
          </w:p>
        </w:tc>
        <w:tc>
          <w:tcPr>
            <w:tcW w:w="0" w:type="auto"/>
            <w:gridSpan w:val="3"/>
            <w:shd w:val="clear" w:color="auto" w:fill="auto"/>
            <w:vAlign w:val="bottom"/>
          </w:tcPr>
          <w:p w14:paraId="2470D693" w14:textId="77777777" w:rsidR="009C6E2F" w:rsidRDefault="009C6E2F">
            <w:pPr>
              <w:rPr>
                <w:rFonts w:ascii="宋体"/>
                <w:vanish/>
              </w:rPr>
            </w:pPr>
          </w:p>
        </w:tc>
        <w:tc>
          <w:tcPr>
            <w:tcW w:w="0" w:type="auto"/>
            <w:gridSpan w:val="3"/>
            <w:shd w:val="clear" w:color="auto" w:fill="auto"/>
            <w:vAlign w:val="bottom"/>
          </w:tcPr>
          <w:p w14:paraId="2470D694" w14:textId="77777777" w:rsidR="009C6E2F" w:rsidRDefault="009C6E2F">
            <w:pPr>
              <w:rPr>
                <w:rFonts w:ascii="宋体"/>
                <w:vanish/>
              </w:rPr>
            </w:pPr>
          </w:p>
        </w:tc>
      </w:tr>
      <w:tr w:rsidR="009C6E2F" w14:paraId="2470D6A1" w14:textId="77777777">
        <w:tc>
          <w:tcPr>
            <w:tcW w:w="0" w:type="auto"/>
            <w:gridSpan w:val="3"/>
            <w:shd w:val="clear" w:color="auto" w:fill="auto"/>
            <w:tcMar>
              <w:top w:w="0" w:type="dxa"/>
              <w:left w:w="20" w:type="dxa"/>
              <w:bottom w:w="0" w:type="dxa"/>
              <w:right w:w="20" w:type="dxa"/>
            </w:tcMar>
            <w:vAlign w:val="bottom"/>
          </w:tcPr>
          <w:p w14:paraId="2470D696"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D697"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698" w14:textId="77777777" w:rsidR="009C6E2F" w:rsidRDefault="009C6E2F">
            <w:pPr>
              <w:rPr>
                <w:rFonts w:ascii="宋体"/>
              </w:rPr>
            </w:pPr>
          </w:p>
        </w:tc>
        <w:tc>
          <w:tcPr>
            <w:tcW w:w="0" w:type="auto"/>
            <w:gridSpan w:val="6"/>
            <w:shd w:val="clear" w:color="auto" w:fill="auto"/>
            <w:tcMar>
              <w:top w:w="40" w:type="dxa"/>
              <w:left w:w="20" w:type="dxa"/>
              <w:bottom w:w="40" w:type="dxa"/>
              <w:right w:w="20" w:type="dxa"/>
            </w:tcMar>
            <w:vAlign w:val="bottom"/>
          </w:tcPr>
          <w:p w14:paraId="2470D699"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69A" w14:textId="77777777" w:rsidR="009C6E2F" w:rsidRDefault="009C6E2F">
            <w:pPr>
              <w:rPr>
                <w:rFonts w:ascii="宋体"/>
                <w:vanish/>
              </w:rPr>
            </w:pPr>
          </w:p>
        </w:tc>
        <w:tc>
          <w:tcPr>
            <w:tcW w:w="0" w:type="auto"/>
            <w:shd w:val="clear" w:color="auto" w:fill="auto"/>
            <w:vAlign w:val="bottom"/>
          </w:tcPr>
          <w:p w14:paraId="2470D69B" w14:textId="77777777" w:rsidR="009C6E2F" w:rsidRDefault="009C6E2F">
            <w:pPr>
              <w:rPr>
                <w:rFonts w:ascii="宋体"/>
              </w:rPr>
            </w:pPr>
          </w:p>
        </w:tc>
        <w:tc>
          <w:tcPr>
            <w:tcW w:w="0" w:type="auto"/>
            <w:shd w:val="clear" w:color="auto" w:fill="auto"/>
            <w:vAlign w:val="bottom"/>
          </w:tcPr>
          <w:p w14:paraId="2470D69C" w14:textId="77777777" w:rsidR="009C6E2F" w:rsidRDefault="009C6E2F">
            <w:pPr>
              <w:rPr>
                <w:rFonts w:ascii="宋体"/>
              </w:rPr>
            </w:pPr>
          </w:p>
        </w:tc>
        <w:tc>
          <w:tcPr>
            <w:tcW w:w="0" w:type="auto"/>
            <w:shd w:val="clear" w:color="auto" w:fill="auto"/>
            <w:vAlign w:val="bottom"/>
          </w:tcPr>
          <w:p w14:paraId="2470D69D" w14:textId="77777777" w:rsidR="009C6E2F" w:rsidRDefault="009C6E2F">
            <w:pPr>
              <w:rPr>
                <w:rFonts w:ascii="宋体"/>
              </w:rPr>
            </w:pPr>
          </w:p>
        </w:tc>
        <w:tc>
          <w:tcPr>
            <w:tcW w:w="0" w:type="auto"/>
            <w:shd w:val="clear" w:color="auto" w:fill="auto"/>
            <w:vAlign w:val="bottom"/>
          </w:tcPr>
          <w:p w14:paraId="2470D69E" w14:textId="77777777" w:rsidR="009C6E2F" w:rsidRDefault="009C6E2F">
            <w:pPr>
              <w:rPr>
                <w:rFonts w:ascii="宋体"/>
              </w:rPr>
            </w:pPr>
          </w:p>
        </w:tc>
        <w:tc>
          <w:tcPr>
            <w:tcW w:w="0" w:type="auto"/>
            <w:shd w:val="clear" w:color="auto" w:fill="auto"/>
            <w:vAlign w:val="bottom"/>
          </w:tcPr>
          <w:p w14:paraId="2470D69F" w14:textId="77777777" w:rsidR="009C6E2F" w:rsidRDefault="009C6E2F">
            <w:pPr>
              <w:rPr>
                <w:rFonts w:ascii="宋体"/>
              </w:rPr>
            </w:pPr>
          </w:p>
        </w:tc>
        <w:tc>
          <w:tcPr>
            <w:tcW w:w="0" w:type="auto"/>
            <w:shd w:val="clear" w:color="auto" w:fill="auto"/>
            <w:vAlign w:val="bottom"/>
          </w:tcPr>
          <w:p w14:paraId="2470D6A0" w14:textId="77777777" w:rsidR="009C6E2F" w:rsidRDefault="009C6E2F">
            <w:pPr>
              <w:rPr>
                <w:rFonts w:ascii="宋体"/>
              </w:rPr>
            </w:pPr>
          </w:p>
        </w:tc>
      </w:tr>
      <w:tr w:rsidR="009C6E2F" w14:paraId="2470D6AB" w14:textId="77777777">
        <w:tc>
          <w:tcPr>
            <w:tcW w:w="0" w:type="auto"/>
            <w:gridSpan w:val="3"/>
            <w:shd w:val="clear" w:color="auto" w:fill="auto"/>
            <w:tcMar>
              <w:top w:w="40" w:type="dxa"/>
              <w:left w:w="20" w:type="dxa"/>
              <w:bottom w:w="40" w:type="dxa"/>
              <w:right w:w="20" w:type="dxa"/>
            </w:tcMar>
            <w:vAlign w:val="bottom"/>
          </w:tcPr>
          <w:p w14:paraId="2470D6A2"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A3"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A4"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shd w:val="clear" w:color="auto" w:fill="auto"/>
            <w:tcMar>
              <w:top w:w="0" w:type="dxa"/>
              <w:left w:w="20" w:type="dxa"/>
              <w:bottom w:w="0" w:type="dxa"/>
              <w:right w:w="20" w:type="dxa"/>
            </w:tcMar>
            <w:vAlign w:val="bottom"/>
          </w:tcPr>
          <w:p w14:paraId="2470D6A5"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A6"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A7"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shd w:val="clear" w:color="auto" w:fill="auto"/>
            <w:vAlign w:val="bottom"/>
          </w:tcPr>
          <w:p w14:paraId="2470D6A8" w14:textId="77777777" w:rsidR="009C6E2F" w:rsidRDefault="009C6E2F">
            <w:pPr>
              <w:rPr>
                <w:rFonts w:ascii="宋体"/>
                <w:vanish/>
              </w:rPr>
            </w:pPr>
          </w:p>
        </w:tc>
        <w:tc>
          <w:tcPr>
            <w:tcW w:w="0" w:type="auto"/>
            <w:gridSpan w:val="3"/>
            <w:shd w:val="clear" w:color="auto" w:fill="auto"/>
            <w:vAlign w:val="bottom"/>
          </w:tcPr>
          <w:p w14:paraId="2470D6A9" w14:textId="77777777" w:rsidR="009C6E2F" w:rsidRDefault="009C6E2F">
            <w:pPr>
              <w:rPr>
                <w:rFonts w:ascii="宋体"/>
                <w:vanish/>
              </w:rPr>
            </w:pPr>
          </w:p>
        </w:tc>
        <w:tc>
          <w:tcPr>
            <w:tcW w:w="0" w:type="auto"/>
            <w:gridSpan w:val="3"/>
            <w:shd w:val="clear" w:color="auto" w:fill="auto"/>
            <w:vAlign w:val="bottom"/>
          </w:tcPr>
          <w:p w14:paraId="2470D6AA" w14:textId="77777777" w:rsidR="009C6E2F" w:rsidRDefault="009C6E2F">
            <w:pPr>
              <w:rPr>
                <w:rFonts w:ascii="宋体"/>
                <w:vanish/>
              </w:rPr>
            </w:pPr>
          </w:p>
        </w:tc>
      </w:tr>
      <w:tr w:rsidR="009C6E2F" w14:paraId="2470D6B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6AC" w14:textId="77777777" w:rsidR="009C6E2F" w:rsidRDefault="007972BE">
            <w:pPr>
              <w:textAlignment w:val="bottom"/>
            </w:pPr>
            <w:r>
              <w:rPr>
                <w:rFonts w:ascii="Arial" w:eastAsia="宋体" w:hAnsi="Arial" w:cs="Arial"/>
                <w:color w:val="000000"/>
                <w:sz w:val="17"/>
                <w:szCs w:val="17"/>
              </w:rPr>
              <w:t>Other (income) expense, net</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6AD"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6AE" w14:textId="77777777" w:rsidR="009C6E2F" w:rsidRDefault="007972BE">
            <w:pPr>
              <w:jc w:val="right"/>
              <w:textAlignment w:val="bottom"/>
            </w:pPr>
            <w:r>
              <w:rPr>
                <w:rFonts w:ascii="Arial" w:eastAsia="宋体" w:hAnsi="Arial" w:cs="Arial"/>
                <w:color w:val="000000"/>
                <w:sz w:val="17"/>
                <w:szCs w:val="17"/>
              </w:rPr>
              <w:t>(102)</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6AF"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6B0"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6B1"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6B2"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6B3"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6B4"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6B5" w14:textId="77777777" w:rsidR="009C6E2F" w:rsidRDefault="007972BE">
            <w:pPr>
              <w:jc w:val="right"/>
              <w:textAlignment w:val="bottom"/>
            </w:pPr>
            <w:r>
              <w:rPr>
                <w:rFonts w:ascii="Arial" w:eastAsia="宋体" w:hAnsi="Arial" w:cs="Arial"/>
                <w:color w:val="000000"/>
                <w:sz w:val="17"/>
                <w:szCs w:val="17"/>
              </w:rPr>
              <w:t>(141)</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6B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6B7"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6B8"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6B9" w14:textId="77777777" w:rsidR="009C6E2F" w:rsidRDefault="009C6E2F">
            <w:pPr>
              <w:jc w:val="right"/>
              <w:rPr>
                <w:rFonts w:ascii="宋体"/>
              </w:rPr>
            </w:pPr>
          </w:p>
        </w:tc>
        <w:tc>
          <w:tcPr>
            <w:tcW w:w="0" w:type="auto"/>
            <w:shd w:val="clear" w:color="auto" w:fill="auto"/>
            <w:vAlign w:val="bottom"/>
          </w:tcPr>
          <w:p w14:paraId="2470D6BA" w14:textId="77777777" w:rsidR="009C6E2F" w:rsidRDefault="009C6E2F">
            <w:pPr>
              <w:rPr>
                <w:rFonts w:ascii="宋体"/>
                <w:vanish/>
              </w:rPr>
            </w:pPr>
          </w:p>
        </w:tc>
        <w:tc>
          <w:tcPr>
            <w:tcW w:w="0" w:type="auto"/>
            <w:gridSpan w:val="3"/>
            <w:shd w:val="clear" w:color="auto" w:fill="auto"/>
            <w:vAlign w:val="bottom"/>
          </w:tcPr>
          <w:p w14:paraId="2470D6BB" w14:textId="77777777" w:rsidR="009C6E2F" w:rsidRDefault="009C6E2F">
            <w:pPr>
              <w:rPr>
                <w:rFonts w:ascii="宋体"/>
                <w:vanish/>
              </w:rPr>
            </w:pPr>
          </w:p>
        </w:tc>
        <w:tc>
          <w:tcPr>
            <w:tcW w:w="0" w:type="auto"/>
            <w:gridSpan w:val="3"/>
            <w:shd w:val="clear" w:color="auto" w:fill="auto"/>
            <w:vAlign w:val="bottom"/>
          </w:tcPr>
          <w:p w14:paraId="2470D6BC" w14:textId="77777777" w:rsidR="009C6E2F" w:rsidRDefault="009C6E2F">
            <w:pPr>
              <w:rPr>
                <w:rFonts w:ascii="宋体"/>
                <w:vanish/>
              </w:rPr>
            </w:pPr>
          </w:p>
        </w:tc>
      </w:tr>
    </w:tbl>
    <w:p w14:paraId="2470D6BE" w14:textId="77777777" w:rsidR="009C6E2F" w:rsidRDefault="007972BE">
      <w:pPr>
        <w:spacing w:before="120" w:after="120"/>
      </w:pPr>
      <w:r>
        <w:rPr>
          <w:rFonts w:ascii="Arial" w:eastAsia="宋体" w:hAnsi="Arial" w:cs="Arial"/>
          <w:color w:val="000000"/>
          <w:sz w:val="17"/>
          <w:szCs w:val="17"/>
        </w:rPr>
        <w:t>Other (income) expense, net comprises foreign currency conversion gains and losses from the remeasurement of monetary assets and liabilities d</w:t>
      </w:r>
      <w:r>
        <w:rPr>
          <w:rFonts w:ascii="Arial" w:eastAsia="宋体" w:hAnsi="Arial" w:cs="Arial"/>
          <w:color w:val="000000"/>
          <w:sz w:val="17"/>
          <w:szCs w:val="17"/>
        </w:rPr>
        <w:t>enominated in non-functional currencies and the impact of certain foreign currency derivative instruments, as well as unusual or non-operating transactions that are outside the normal course of business.</w:t>
      </w:r>
    </w:p>
    <w:p w14:paraId="2470D6BF" w14:textId="77777777" w:rsidR="009C6E2F" w:rsidRDefault="007972BE">
      <w:pPr>
        <w:spacing w:before="120" w:after="120"/>
      </w:pPr>
      <w:r>
        <w:rPr>
          <w:rFonts w:ascii="Arial" w:eastAsia="宋体" w:hAnsi="Arial" w:cs="Arial"/>
          <w:color w:val="000000"/>
          <w:sz w:val="17"/>
          <w:szCs w:val="17"/>
        </w:rPr>
        <w:t>For the second quarter of fiscal 2022, Other (income</w:t>
      </w:r>
      <w:r>
        <w:rPr>
          <w:rFonts w:ascii="Arial" w:eastAsia="宋体" w:hAnsi="Arial" w:cs="Arial"/>
          <w:color w:val="000000"/>
          <w:sz w:val="17"/>
          <w:szCs w:val="17"/>
        </w:rPr>
        <w:t>) expense, net changed from $54 million of other expense to $102 million of other income in the current year, primarily due to a favorable change in foreign currency conversion gains and losses, including hedges, as well as incremental charges, in the prio</w:t>
      </w:r>
      <w:r>
        <w:rPr>
          <w:rFonts w:ascii="Arial" w:eastAsia="宋体" w:hAnsi="Arial" w:cs="Arial"/>
          <w:color w:val="000000"/>
          <w:sz w:val="17"/>
          <w:szCs w:val="17"/>
        </w:rPr>
        <w:t>r year, related to our planned, strategic distributor partnership transition within APLA.</w:t>
      </w:r>
    </w:p>
    <w:p w14:paraId="2470D6C0" w14:textId="77777777" w:rsidR="009C6E2F" w:rsidRDefault="007972BE">
      <w:pPr>
        <w:spacing w:before="120" w:after="120"/>
      </w:pPr>
      <w:r>
        <w:rPr>
          <w:rFonts w:ascii="Arial" w:eastAsia="宋体" w:hAnsi="Arial" w:cs="Arial"/>
          <w:color w:val="000000"/>
          <w:sz w:val="17"/>
          <w:szCs w:val="17"/>
        </w:rPr>
        <w:t>For the first six months of fiscal 2022, Other (income) expense, net changed from $40 million of other expense to $141 million of other income in the current year, pr</w:t>
      </w:r>
      <w:r>
        <w:rPr>
          <w:rFonts w:ascii="Arial" w:eastAsia="宋体" w:hAnsi="Arial" w:cs="Arial"/>
          <w:color w:val="000000"/>
          <w:sz w:val="17"/>
          <w:szCs w:val="17"/>
        </w:rPr>
        <w:t>imarily due to incremental charges, in the prior year, related to our planned, strategic distributor partnership transition within APLA, coupled with a net favorable change in foreign currency conversion gains and losses, including hedges.</w:t>
      </w:r>
    </w:p>
    <w:p w14:paraId="2470D6C1" w14:textId="77777777" w:rsidR="009C6E2F" w:rsidRDefault="007972BE">
      <w:pPr>
        <w:spacing w:before="120" w:after="120"/>
      </w:pPr>
      <w:r>
        <w:rPr>
          <w:rFonts w:ascii="Arial" w:eastAsia="宋体" w:hAnsi="Arial" w:cs="Arial"/>
          <w:color w:val="000000"/>
          <w:sz w:val="17"/>
          <w:szCs w:val="17"/>
        </w:rPr>
        <w:t>For more informa</w:t>
      </w:r>
      <w:r>
        <w:rPr>
          <w:rFonts w:ascii="Arial" w:eastAsia="宋体" w:hAnsi="Arial" w:cs="Arial"/>
          <w:color w:val="000000"/>
          <w:sz w:val="17"/>
          <w:szCs w:val="17"/>
        </w:rPr>
        <w:t>tion related to our distributor partnership transition within APLA, see Note 12 — Acquisitions and Divestitures within the accompanying Notes to the Unaudited Condensed Consolidated Financial Statements.</w:t>
      </w:r>
    </w:p>
    <w:p w14:paraId="2470D6C2" w14:textId="77777777" w:rsidR="009C6E2F" w:rsidRDefault="007972BE">
      <w:pPr>
        <w:spacing w:before="120" w:after="120"/>
      </w:pPr>
      <w:r>
        <w:rPr>
          <w:rFonts w:ascii="Arial" w:eastAsia="宋体" w:hAnsi="Arial" w:cs="Arial"/>
          <w:color w:val="000000"/>
          <w:sz w:val="17"/>
          <w:szCs w:val="17"/>
        </w:rPr>
        <w:t>We estimate the combination of the translation of fo</w:t>
      </w:r>
      <w:r>
        <w:rPr>
          <w:rFonts w:ascii="Arial" w:eastAsia="宋体" w:hAnsi="Arial" w:cs="Arial"/>
          <w:color w:val="000000"/>
          <w:sz w:val="17"/>
          <w:szCs w:val="17"/>
        </w:rPr>
        <w:t>reign currency-denominated profits from our international businesses and the year-over-year change in foreign currency-related gains and losses included in Other (income) expense, net had favorable impacts of approximately $63 million and $167 million on o</w:t>
      </w:r>
      <w:r>
        <w:rPr>
          <w:rFonts w:ascii="Arial" w:eastAsia="宋体" w:hAnsi="Arial" w:cs="Arial"/>
          <w:color w:val="000000"/>
          <w:sz w:val="17"/>
          <w:szCs w:val="17"/>
        </w:rPr>
        <w:t>ur Income before income taxes for the second quarter and first six months of fiscal 2022, respectively.</w:t>
      </w:r>
    </w:p>
    <w:p w14:paraId="2470D6C3" w14:textId="77777777" w:rsidR="009C6E2F" w:rsidRDefault="007972BE">
      <w:pPr>
        <w:spacing w:before="120" w:after="120"/>
      </w:pPr>
      <w:r>
        <w:rPr>
          <w:rFonts w:ascii="Arial" w:eastAsia="宋体" w:hAnsi="Arial" w:cs="Arial"/>
          <w:color w:val="E87722"/>
          <w:sz w:val="17"/>
          <w:szCs w:val="17"/>
        </w:rPr>
        <w:t>30</w:t>
      </w:r>
      <w:r>
        <w:rPr>
          <w:rFonts w:ascii="sans-serif" w:eastAsia="sans-serif" w:hAnsi="sans-serif" w:cs="sans-serif"/>
          <w:color w:val="000000"/>
          <w:sz w:val="17"/>
          <w:szCs w:val="17"/>
        </w:rPr>
        <w:t xml:space="preserve"> </w:t>
      </w:r>
    </w:p>
    <w:p w14:paraId="2470D6C4" w14:textId="77777777" w:rsidR="009C6E2F" w:rsidRDefault="007972BE">
      <w:r>
        <w:pict w14:anchorId="2470E203">
          <v:rect id="_x0000_i1056" style="width:415.3pt;height:1.5pt" o:hralign="center" o:hrstd="t" o:hr="t" fillcolor="#a0a0a0" stroked="f"/>
        </w:pict>
      </w:r>
    </w:p>
    <w:p w14:paraId="2470D6C5" w14:textId="77777777" w:rsidR="009C6E2F" w:rsidRDefault="009C6E2F"/>
    <w:p w14:paraId="2470D6C6" w14:textId="77777777" w:rsidR="009C6E2F" w:rsidRDefault="007972BE">
      <w:hyperlink r:id="rId99" w:anchor="i9e023a7388204bdbacd6aa338988f838_7" w:history="1">
        <w:r>
          <w:rPr>
            <w:rStyle w:val="a5"/>
            <w:rFonts w:ascii="sans-serif" w:eastAsia="sans-serif" w:hAnsi="sans-serif" w:cs="sans-serif"/>
            <w:sz w:val="17"/>
            <w:szCs w:val="17"/>
          </w:rPr>
          <w:t>Table of Contents</w:t>
        </w:r>
      </w:hyperlink>
    </w:p>
    <w:p w14:paraId="2470D6C7" w14:textId="77777777" w:rsidR="009C6E2F" w:rsidRDefault="009C6E2F"/>
    <w:p w14:paraId="2470D6C8" w14:textId="77777777" w:rsidR="009C6E2F" w:rsidRDefault="007972BE">
      <w:pPr>
        <w:spacing w:before="240" w:after="120"/>
      </w:pPr>
      <w:r>
        <w:rPr>
          <w:rFonts w:ascii="sans-serif" w:eastAsia="sans-serif" w:hAnsi="sans-serif" w:cs="sans-serif"/>
          <w:b/>
          <w:bCs/>
          <w:color w:val="000000"/>
          <w:sz w:val="28"/>
          <w:szCs w:val="28"/>
        </w:rPr>
        <w:t>INCOME TAXES</w:t>
      </w:r>
    </w:p>
    <w:tbl>
      <w:tblPr>
        <w:tblW w:w="4992" w:type="pct"/>
        <w:tblCellMar>
          <w:top w:w="15" w:type="dxa"/>
          <w:left w:w="15" w:type="dxa"/>
          <w:bottom w:w="15" w:type="dxa"/>
          <w:right w:w="15" w:type="dxa"/>
        </w:tblCellMar>
        <w:tblLook w:val="04A0" w:firstRow="1" w:lastRow="0" w:firstColumn="1" w:lastColumn="0" w:noHBand="0" w:noVBand="1"/>
      </w:tblPr>
      <w:tblGrid>
        <w:gridCol w:w="37"/>
        <w:gridCol w:w="3223"/>
        <w:gridCol w:w="36"/>
        <w:gridCol w:w="43"/>
        <w:gridCol w:w="593"/>
        <w:gridCol w:w="173"/>
        <w:gridCol w:w="43"/>
        <w:gridCol w:w="594"/>
        <w:gridCol w:w="172"/>
        <w:gridCol w:w="69"/>
        <w:gridCol w:w="570"/>
        <w:gridCol w:w="37"/>
        <w:gridCol w:w="36"/>
        <w:gridCol w:w="36"/>
        <w:gridCol w:w="36"/>
        <w:gridCol w:w="42"/>
        <w:gridCol w:w="609"/>
        <w:gridCol w:w="173"/>
        <w:gridCol w:w="42"/>
        <w:gridCol w:w="610"/>
        <w:gridCol w:w="172"/>
        <w:gridCol w:w="67"/>
        <w:gridCol w:w="585"/>
        <w:gridCol w:w="37"/>
        <w:gridCol w:w="36"/>
        <w:gridCol w:w="36"/>
        <w:gridCol w:w="36"/>
        <w:gridCol w:w="36"/>
        <w:gridCol w:w="36"/>
        <w:gridCol w:w="36"/>
        <w:gridCol w:w="36"/>
        <w:gridCol w:w="36"/>
      </w:tblGrid>
      <w:tr w:rsidR="009C6E2F" w14:paraId="2470D6E5" w14:textId="77777777">
        <w:tc>
          <w:tcPr>
            <w:tcW w:w="50" w:type="pct"/>
            <w:shd w:val="clear" w:color="auto" w:fill="auto"/>
            <w:vAlign w:val="bottom"/>
          </w:tcPr>
          <w:p w14:paraId="2470D6C9" w14:textId="77777777" w:rsidR="009C6E2F" w:rsidRDefault="009C6E2F">
            <w:pPr>
              <w:rPr>
                <w:rFonts w:ascii="宋体"/>
              </w:rPr>
            </w:pPr>
          </w:p>
        </w:tc>
        <w:tc>
          <w:tcPr>
            <w:tcW w:w="2050" w:type="pct"/>
            <w:shd w:val="clear" w:color="auto" w:fill="auto"/>
            <w:vAlign w:val="bottom"/>
          </w:tcPr>
          <w:p w14:paraId="2470D6CA" w14:textId="77777777" w:rsidR="009C6E2F" w:rsidRDefault="009C6E2F">
            <w:pPr>
              <w:rPr>
                <w:rFonts w:ascii="宋体"/>
              </w:rPr>
            </w:pPr>
          </w:p>
        </w:tc>
        <w:tc>
          <w:tcPr>
            <w:tcW w:w="5" w:type="pct"/>
            <w:shd w:val="clear" w:color="auto" w:fill="auto"/>
            <w:vAlign w:val="bottom"/>
          </w:tcPr>
          <w:p w14:paraId="2470D6CB" w14:textId="77777777" w:rsidR="009C6E2F" w:rsidRDefault="009C6E2F">
            <w:pPr>
              <w:rPr>
                <w:rFonts w:ascii="宋体"/>
              </w:rPr>
            </w:pPr>
          </w:p>
        </w:tc>
        <w:tc>
          <w:tcPr>
            <w:tcW w:w="50" w:type="pct"/>
            <w:shd w:val="clear" w:color="auto" w:fill="auto"/>
            <w:vAlign w:val="bottom"/>
          </w:tcPr>
          <w:p w14:paraId="2470D6CC" w14:textId="77777777" w:rsidR="009C6E2F" w:rsidRDefault="009C6E2F">
            <w:pPr>
              <w:rPr>
                <w:rFonts w:ascii="宋体"/>
              </w:rPr>
            </w:pPr>
          </w:p>
        </w:tc>
        <w:tc>
          <w:tcPr>
            <w:tcW w:w="418" w:type="pct"/>
            <w:shd w:val="clear" w:color="auto" w:fill="auto"/>
            <w:vAlign w:val="bottom"/>
          </w:tcPr>
          <w:p w14:paraId="2470D6CD" w14:textId="77777777" w:rsidR="009C6E2F" w:rsidRDefault="009C6E2F">
            <w:pPr>
              <w:rPr>
                <w:rFonts w:ascii="宋体"/>
              </w:rPr>
            </w:pPr>
          </w:p>
        </w:tc>
        <w:tc>
          <w:tcPr>
            <w:tcW w:w="5" w:type="pct"/>
            <w:shd w:val="clear" w:color="auto" w:fill="auto"/>
            <w:vAlign w:val="bottom"/>
          </w:tcPr>
          <w:p w14:paraId="2470D6CE" w14:textId="77777777" w:rsidR="009C6E2F" w:rsidRDefault="009C6E2F">
            <w:pPr>
              <w:rPr>
                <w:rFonts w:ascii="宋体"/>
              </w:rPr>
            </w:pPr>
          </w:p>
        </w:tc>
        <w:tc>
          <w:tcPr>
            <w:tcW w:w="50" w:type="pct"/>
            <w:shd w:val="clear" w:color="auto" w:fill="auto"/>
            <w:vAlign w:val="bottom"/>
          </w:tcPr>
          <w:p w14:paraId="2470D6CF" w14:textId="77777777" w:rsidR="009C6E2F" w:rsidRDefault="009C6E2F">
            <w:pPr>
              <w:rPr>
                <w:rFonts w:ascii="宋体"/>
              </w:rPr>
            </w:pPr>
          </w:p>
        </w:tc>
        <w:tc>
          <w:tcPr>
            <w:tcW w:w="418" w:type="pct"/>
            <w:shd w:val="clear" w:color="auto" w:fill="auto"/>
            <w:vAlign w:val="bottom"/>
          </w:tcPr>
          <w:p w14:paraId="2470D6D0" w14:textId="77777777" w:rsidR="009C6E2F" w:rsidRDefault="009C6E2F">
            <w:pPr>
              <w:rPr>
                <w:rFonts w:ascii="宋体"/>
              </w:rPr>
            </w:pPr>
          </w:p>
        </w:tc>
        <w:tc>
          <w:tcPr>
            <w:tcW w:w="5" w:type="pct"/>
            <w:shd w:val="clear" w:color="auto" w:fill="auto"/>
            <w:vAlign w:val="bottom"/>
          </w:tcPr>
          <w:p w14:paraId="2470D6D1" w14:textId="77777777" w:rsidR="009C6E2F" w:rsidRDefault="009C6E2F">
            <w:pPr>
              <w:rPr>
                <w:rFonts w:ascii="宋体"/>
              </w:rPr>
            </w:pPr>
          </w:p>
        </w:tc>
        <w:tc>
          <w:tcPr>
            <w:tcW w:w="50" w:type="pct"/>
            <w:shd w:val="clear" w:color="auto" w:fill="auto"/>
            <w:vAlign w:val="bottom"/>
          </w:tcPr>
          <w:p w14:paraId="2470D6D2" w14:textId="77777777" w:rsidR="009C6E2F" w:rsidRDefault="009C6E2F">
            <w:pPr>
              <w:rPr>
                <w:rFonts w:ascii="宋体"/>
              </w:rPr>
            </w:pPr>
          </w:p>
        </w:tc>
        <w:tc>
          <w:tcPr>
            <w:tcW w:w="418" w:type="pct"/>
            <w:shd w:val="clear" w:color="auto" w:fill="auto"/>
            <w:vAlign w:val="bottom"/>
          </w:tcPr>
          <w:p w14:paraId="2470D6D3" w14:textId="77777777" w:rsidR="009C6E2F" w:rsidRDefault="009C6E2F">
            <w:pPr>
              <w:rPr>
                <w:rFonts w:ascii="宋体"/>
              </w:rPr>
            </w:pPr>
          </w:p>
        </w:tc>
        <w:tc>
          <w:tcPr>
            <w:tcW w:w="5" w:type="pct"/>
            <w:shd w:val="clear" w:color="auto" w:fill="auto"/>
            <w:vAlign w:val="bottom"/>
          </w:tcPr>
          <w:p w14:paraId="2470D6D4" w14:textId="77777777" w:rsidR="009C6E2F" w:rsidRDefault="009C6E2F">
            <w:pPr>
              <w:rPr>
                <w:rFonts w:ascii="宋体"/>
              </w:rPr>
            </w:pPr>
          </w:p>
        </w:tc>
        <w:tc>
          <w:tcPr>
            <w:tcW w:w="5" w:type="pct"/>
            <w:shd w:val="clear" w:color="auto" w:fill="auto"/>
            <w:vAlign w:val="bottom"/>
          </w:tcPr>
          <w:p w14:paraId="2470D6D5" w14:textId="77777777" w:rsidR="009C6E2F" w:rsidRDefault="009C6E2F">
            <w:pPr>
              <w:rPr>
                <w:rFonts w:ascii="宋体"/>
              </w:rPr>
            </w:pPr>
          </w:p>
        </w:tc>
        <w:tc>
          <w:tcPr>
            <w:tcW w:w="20" w:type="pct"/>
            <w:shd w:val="clear" w:color="auto" w:fill="auto"/>
            <w:vAlign w:val="bottom"/>
          </w:tcPr>
          <w:p w14:paraId="2470D6D6" w14:textId="77777777" w:rsidR="009C6E2F" w:rsidRDefault="009C6E2F">
            <w:pPr>
              <w:rPr>
                <w:rFonts w:ascii="宋体"/>
              </w:rPr>
            </w:pPr>
          </w:p>
        </w:tc>
        <w:tc>
          <w:tcPr>
            <w:tcW w:w="5" w:type="pct"/>
            <w:shd w:val="clear" w:color="auto" w:fill="auto"/>
            <w:vAlign w:val="bottom"/>
          </w:tcPr>
          <w:p w14:paraId="2470D6D7" w14:textId="77777777" w:rsidR="009C6E2F" w:rsidRDefault="009C6E2F">
            <w:pPr>
              <w:rPr>
                <w:rFonts w:ascii="宋体"/>
              </w:rPr>
            </w:pPr>
          </w:p>
        </w:tc>
        <w:tc>
          <w:tcPr>
            <w:tcW w:w="50" w:type="pct"/>
            <w:shd w:val="clear" w:color="auto" w:fill="auto"/>
            <w:vAlign w:val="bottom"/>
          </w:tcPr>
          <w:p w14:paraId="2470D6D8" w14:textId="77777777" w:rsidR="009C6E2F" w:rsidRDefault="009C6E2F">
            <w:pPr>
              <w:rPr>
                <w:rFonts w:ascii="宋体"/>
              </w:rPr>
            </w:pPr>
          </w:p>
        </w:tc>
        <w:tc>
          <w:tcPr>
            <w:tcW w:w="426" w:type="pct"/>
            <w:shd w:val="clear" w:color="auto" w:fill="auto"/>
            <w:vAlign w:val="bottom"/>
          </w:tcPr>
          <w:p w14:paraId="2470D6D9" w14:textId="77777777" w:rsidR="009C6E2F" w:rsidRDefault="009C6E2F">
            <w:pPr>
              <w:rPr>
                <w:rFonts w:ascii="宋体"/>
              </w:rPr>
            </w:pPr>
          </w:p>
        </w:tc>
        <w:tc>
          <w:tcPr>
            <w:tcW w:w="5" w:type="pct"/>
            <w:shd w:val="clear" w:color="auto" w:fill="auto"/>
            <w:vAlign w:val="bottom"/>
          </w:tcPr>
          <w:p w14:paraId="2470D6DA" w14:textId="77777777" w:rsidR="009C6E2F" w:rsidRDefault="009C6E2F">
            <w:pPr>
              <w:rPr>
                <w:rFonts w:ascii="宋体"/>
              </w:rPr>
            </w:pPr>
          </w:p>
        </w:tc>
        <w:tc>
          <w:tcPr>
            <w:tcW w:w="50" w:type="pct"/>
            <w:shd w:val="clear" w:color="auto" w:fill="auto"/>
            <w:vAlign w:val="bottom"/>
          </w:tcPr>
          <w:p w14:paraId="2470D6DB" w14:textId="77777777" w:rsidR="009C6E2F" w:rsidRDefault="009C6E2F">
            <w:pPr>
              <w:rPr>
                <w:rFonts w:ascii="宋体"/>
              </w:rPr>
            </w:pPr>
          </w:p>
        </w:tc>
        <w:tc>
          <w:tcPr>
            <w:tcW w:w="426" w:type="pct"/>
            <w:shd w:val="clear" w:color="auto" w:fill="auto"/>
            <w:vAlign w:val="bottom"/>
          </w:tcPr>
          <w:p w14:paraId="2470D6DC" w14:textId="77777777" w:rsidR="009C6E2F" w:rsidRDefault="009C6E2F">
            <w:pPr>
              <w:rPr>
                <w:rFonts w:ascii="宋体"/>
              </w:rPr>
            </w:pPr>
          </w:p>
        </w:tc>
        <w:tc>
          <w:tcPr>
            <w:tcW w:w="5" w:type="pct"/>
            <w:shd w:val="clear" w:color="auto" w:fill="auto"/>
            <w:vAlign w:val="bottom"/>
          </w:tcPr>
          <w:p w14:paraId="2470D6DD" w14:textId="77777777" w:rsidR="009C6E2F" w:rsidRDefault="009C6E2F">
            <w:pPr>
              <w:rPr>
                <w:rFonts w:ascii="宋体"/>
              </w:rPr>
            </w:pPr>
          </w:p>
        </w:tc>
        <w:tc>
          <w:tcPr>
            <w:tcW w:w="50" w:type="pct"/>
            <w:shd w:val="clear" w:color="auto" w:fill="auto"/>
            <w:vAlign w:val="bottom"/>
          </w:tcPr>
          <w:p w14:paraId="2470D6DE" w14:textId="77777777" w:rsidR="009C6E2F" w:rsidRDefault="009C6E2F">
            <w:pPr>
              <w:rPr>
                <w:rFonts w:ascii="宋体"/>
              </w:rPr>
            </w:pPr>
          </w:p>
        </w:tc>
        <w:tc>
          <w:tcPr>
            <w:tcW w:w="426" w:type="pct"/>
            <w:shd w:val="clear" w:color="auto" w:fill="auto"/>
            <w:vAlign w:val="bottom"/>
          </w:tcPr>
          <w:p w14:paraId="2470D6DF" w14:textId="77777777" w:rsidR="009C6E2F" w:rsidRDefault="009C6E2F">
            <w:pPr>
              <w:rPr>
                <w:rFonts w:ascii="宋体"/>
              </w:rPr>
            </w:pPr>
          </w:p>
        </w:tc>
        <w:tc>
          <w:tcPr>
            <w:tcW w:w="5" w:type="pct"/>
            <w:shd w:val="clear" w:color="auto" w:fill="auto"/>
            <w:vAlign w:val="bottom"/>
          </w:tcPr>
          <w:p w14:paraId="2470D6E0" w14:textId="77777777" w:rsidR="009C6E2F" w:rsidRDefault="009C6E2F">
            <w:pPr>
              <w:rPr>
                <w:rFonts w:ascii="宋体"/>
              </w:rPr>
            </w:pPr>
          </w:p>
        </w:tc>
        <w:tc>
          <w:tcPr>
            <w:tcW w:w="0" w:type="auto"/>
            <w:shd w:val="clear" w:color="auto" w:fill="auto"/>
            <w:vAlign w:val="bottom"/>
          </w:tcPr>
          <w:p w14:paraId="2470D6E1" w14:textId="77777777" w:rsidR="009C6E2F" w:rsidRDefault="009C6E2F">
            <w:pPr>
              <w:rPr>
                <w:rFonts w:ascii="宋体"/>
                <w:vanish/>
              </w:rPr>
            </w:pPr>
          </w:p>
        </w:tc>
        <w:tc>
          <w:tcPr>
            <w:tcW w:w="0" w:type="auto"/>
            <w:shd w:val="clear" w:color="auto" w:fill="auto"/>
            <w:vAlign w:val="bottom"/>
          </w:tcPr>
          <w:p w14:paraId="2470D6E2" w14:textId="77777777" w:rsidR="009C6E2F" w:rsidRDefault="009C6E2F">
            <w:pPr>
              <w:rPr>
                <w:rFonts w:ascii="宋体"/>
                <w:vanish/>
              </w:rPr>
            </w:pPr>
          </w:p>
        </w:tc>
        <w:tc>
          <w:tcPr>
            <w:tcW w:w="0" w:type="auto"/>
            <w:gridSpan w:val="3"/>
            <w:shd w:val="clear" w:color="auto" w:fill="auto"/>
            <w:vAlign w:val="bottom"/>
          </w:tcPr>
          <w:p w14:paraId="2470D6E3" w14:textId="77777777" w:rsidR="009C6E2F" w:rsidRDefault="009C6E2F">
            <w:pPr>
              <w:rPr>
                <w:rFonts w:ascii="宋体"/>
                <w:vanish/>
              </w:rPr>
            </w:pPr>
          </w:p>
        </w:tc>
        <w:tc>
          <w:tcPr>
            <w:tcW w:w="0" w:type="auto"/>
            <w:gridSpan w:val="3"/>
            <w:shd w:val="clear" w:color="auto" w:fill="auto"/>
            <w:vAlign w:val="bottom"/>
          </w:tcPr>
          <w:p w14:paraId="2470D6E4" w14:textId="77777777" w:rsidR="009C6E2F" w:rsidRDefault="009C6E2F">
            <w:pPr>
              <w:rPr>
                <w:rFonts w:ascii="宋体"/>
                <w:vanish/>
              </w:rPr>
            </w:pPr>
          </w:p>
        </w:tc>
      </w:tr>
      <w:tr w:rsidR="009C6E2F" w14:paraId="2470D6F2" w14:textId="77777777">
        <w:tc>
          <w:tcPr>
            <w:tcW w:w="0" w:type="auto"/>
            <w:gridSpan w:val="3"/>
            <w:shd w:val="clear" w:color="auto" w:fill="auto"/>
            <w:tcMar>
              <w:top w:w="0" w:type="dxa"/>
              <w:left w:w="20" w:type="dxa"/>
              <w:bottom w:w="0" w:type="dxa"/>
              <w:right w:w="20" w:type="dxa"/>
            </w:tcMar>
            <w:vAlign w:val="bottom"/>
          </w:tcPr>
          <w:p w14:paraId="2470D6E6"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6E7"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6E8"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6E9"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6EA" w14:textId="77777777" w:rsidR="009C6E2F" w:rsidRDefault="009C6E2F">
            <w:pPr>
              <w:rPr>
                <w:rFonts w:ascii="宋体"/>
                <w:vanish/>
              </w:rPr>
            </w:pPr>
          </w:p>
        </w:tc>
        <w:tc>
          <w:tcPr>
            <w:tcW w:w="0" w:type="auto"/>
            <w:shd w:val="clear" w:color="auto" w:fill="auto"/>
            <w:vAlign w:val="bottom"/>
          </w:tcPr>
          <w:p w14:paraId="2470D6EB" w14:textId="77777777" w:rsidR="009C6E2F" w:rsidRDefault="009C6E2F">
            <w:pPr>
              <w:rPr>
                <w:rFonts w:ascii="宋体"/>
                <w:vanish/>
              </w:rPr>
            </w:pPr>
          </w:p>
        </w:tc>
        <w:tc>
          <w:tcPr>
            <w:tcW w:w="0" w:type="auto"/>
            <w:shd w:val="clear" w:color="auto" w:fill="auto"/>
            <w:vAlign w:val="bottom"/>
          </w:tcPr>
          <w:p w14:paraId="2470D6EC" w14:textId="77777777" w:rsidR="009C6E2F" w:rsidRDefault="009C6E2F">
            <w:pPr>
              <w:rPr>
                <w:rFonts w:ascii="宋体"/>
              </w:rPr>
            </w:pPr>
          </w:p>
        </w:tc>
        <w:tc>
          <w:tcPr>
            <w:tcW w:w="0" w:type="auto"/>
            <w:shd w:val="clear" w:color="auto" w:fill="auto"/>
            <w:vAlign w:val="bottom"/>
          </w:tcPr>
          <w:p w14:paraId="2470D6ED" w14:textId="77777777" w:rsidR="009C6E2F" w:rsidRDefault="009C6E2F">
            <w:pPr>
              <w:rPr>
                <w:rFonts w:ascii="宋体"/>
              </w:rPr>
            </w:pPr>
          </w:p>
        </w:tc>
        <w:tc>
          <w:tcPr>
            <w:tcW w:w="0" w:type="auto"/>
            <w:shd w:val="clear" w:color="auto" w:fill="auto"/>
            <w:vAlign w:val="bottom"/>
          </w:tcPr>
          <w:p w14:paraId="2470D6EE" w14:textId="77777777" w:rsidR="009C6E2F" w:rsidRDefault="009C6E2F">
            <w:pPr>
              <w:rPr>
                <w:rFonts w:ascii="宋体"/>
              </w:rPr>
            </w:pPr>
          </w:p>
        </w:tc>
        <w:tc>
          <w:tcPr>
            <w:tcW w:w="0" w:type="auto"/>
            <w:shd w:val="clear" w:color="auto" w:fill="auto"/>
            <w:vAlign w:val="bottom"/>
          </w:tcPr>
          <w:p w14:paraId="2470D6EF" w14:textId="77777777" w:rsidR="009C6E2F" w:rsidRDefault="009C6E2F">
            <w:pPr>
              <w:rPr>
                <w:rFonts w:ascii="宋体"/>
              </w:rPr>
            </w:pPr>
          </w:p>
        </w:tc>
        <w:tc>
          <w:tcPr>
            <w:tcW w:w="0" w:type="auto"/>
            <w:shd w:val="clear" w:color="auto" w:fill="auto"/>
            <w:vAlign w:val="bottom"/>
          </w:tcPr>
          <w:p w14:paraId="2470D6F0" w14:textId="77777777" w:rsidR="009C6E2F" w:rsidRDefault="009C6E2F">
            <w:pPr>
              <w:rPr>
                <w:rFonts w:ascii="宋体"/>
              </w:rPr>
            </w:pPr>
          </w:p>
        </w:tc>
        <w:tc>
          <w:tcPr>
            <w:tcW w:w="0" w:type="auto"/>
            <w:shd w:val="clear" w:color="auto" w:fill="auto"/>
            <w:vAlign w:val="bottom"/>
          </w:tcPr>
          <w:p w14:paraId="2470D6F1" w14:textId="77777777" w:rsidR="009C6E2F" w:rsidRDefault="009C6E2F">
            <w:pPr>
              <w:rPr>
                <w:rFonts w:ascii="宋体"/>
              </w:rPr>
            </w:pPr>
          </w:p>
        </w:tc>
      </w:tr>
      <w:tr w:rsidR="009C6E2F" w14:paraId="2470D6FF" w14:textId="77777777">
        <w:tc>
          <w:tcPr>
            <w:tcW w:w="0" w:type="auto"/>
            <w:gridSpan w:val="3"/>
            <w:shd w:val="clear" w:color="auto" w:fill="auto"/>
            <w:tcMar>
              <w:top w:w="0" w:type="dxa"/>
              <w:left w:w="20" w:type="dxa"/>
              <w:bottom w:w="0" w:type="dxa"/>
              <w:right w:w="20" w:type="dxa"/>
            </w:tcMar>
            <w:vAlign w:val="bottom"/>
          </w:tcPr>
          <w:p w14:paraId="2470D6F3"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F4"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F5"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F6"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470D6F7"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F8"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F9"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6FA"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470D6FB" w14:textId="77777777" w:rsidR="009C6E2F" w:rsidRDefault="009C6E2F">
            <w:pPr>
              <w:rPr>
                <w:rFonts w:ascii="宋体"/>
                <w:vanish/>
              </w:rPr>
            </w:pPr>
          </w:p>
        </w:tc>
        <w:tc>
          <w:tcPr>
            <w:tcW w:w="0" w:type="auto"/>
            <w:shd w:val="clear" w:color="auto" w:fill="auto"/>
            <w:vAlign w:val="bottom"/>
          </w:tcPr>
          <w:p w14:paraId="2470D6FC" w14:textId="77777777" w:rsidR="009C6E2F" w:rsidRDefault="009C6E2F">
            <w:pPr>
              <w:rPr>
                <w:rFonts w:ascii="宋体"/>
                <w:vanish/>
              </w:rPr>
            </w:pPr>
          </w:p>
        </w:tc>
        <w:tc>
          <w:tcPr>
            <w:tcW w:w="0" w:type="auto"/>
            <w:gridSpan w:val="3"/>
            <w:shd w:val="clear" w:color="auto" w:fill="auto"/>
            <w:vAlign w:val="bottom"/>
          </w:tcPr>
          <w:p w14:paraId="2470D6FD" w14:textId="77777777" w:rsidR="009C6E2F" w:rsidRDefault="009C6E2F">
            <w:pPr>
              <w:rPr>
                <w:rFonts w:ascii="宋体"/>
                <w:vanish/>
              </w:rPr>
            </w:pPr>
          </w:p>
        </w:tc>
        <w:tc>
          <w:tcPr>
            <w:tcW w:w="0" w:type="auto"/>
            <w:gridSpan w:val="3"/>
            <w:shd w:val="clear" w:color="auto" w:fill="auto"/>
            <w:vAlign w:val="bottom"/>
          </w:tcPr>
          <w:p w14:paraId="2470D6FE" w14:textId="77777777" w:rsidR="009C6E2F" w:rsidRDefault="009C6E2F">
            <w:pPr>
              <w:rPr>
                <w:rFonts w:ascii="宋体"/>
                <w:vanish/>
              </w:rPr>
            </w:pPr>
          </w:p>
        </w:tc>
      </w:tr>
      <w:tr w:rsidR="009C6E2F" w14:paraId="2470D710"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470D700" w14:textId="77777777" w:rsidR="009C6E2F" w:rsidRDefault="007972BE">
            <w:pPr>
              <w:textAlignment w:val="top"/>
            </w:pPr>
            <w:r>
              <w:rPr>
                <w:rFonts w:ascii="Arial" w:eastAsia="宋体" w:hAnsi="Arial" w:cs="Arial"/>
                <w:color w:val="000000"/>
                <w:sz w:val="17"/>
                <w:szCs w:val="17"/>
              </w:rPr>
              <w:t>Effective tax rate</w:t>
            </w: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2470D701" w14:textId="77777777" w:rsidR="009C6E2F" w:rsidRDefault="007972BE">
            <w:pPr>
              <w:jc w:val="right"/>
              <w:textAlignment w:val="top"/>
            </w:pPr>
            <w:r>
              <w:rPr>
                <w:rFonts w:ascii="Arial" w:eastAsia="宋体" w:hAnsi="Arial" w:cs="Arial"/>
                <w:color w:val="000000"/>
                <w:sz w:val="17"/>
                <w:szCs w:val="17"/>
              </w:rPr>
              <w:t>10.9 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2470D702" w14:textId="77777777" w:rsidR="009C6E2F" w:rsidRDefault="007972BE">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2470D703" w14:textId="77777777" w:rsidR="009C6E2F" w:rsidRDefault="007972BE">
            <w:pPr>
              <w:jc w:val="right"/>
              <w:textAlignment w:val="top"/>
            </w:pPr>
            <w:r>
              <w:rPr>
                <w:rFonts w:ascii="Arial" w:eastAsia="宋体" w:hAnsi="Arial" w:cs="Arial"/>
                <w:color w:val="000000"/>
                <w:sz w:val="17"/>
                <w:szCs w:val="17"/>
              </w:rPr>
              <w:t>14.1 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2470D704" w14:textId="77777777" w:rsidR="009C6E2F" w:rsidRDefault="007972BE">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470D705" w14:textId="77777777" w:rsidR="009C6E2F" w:rsidRDefault="007972BE">
            <w:pPr>
              <w:jc w:val="right"/>
              <w:textAlignment w:val="top"/>
            </w:pPr>
            <w:r>
              <w:rPr>
                <w:rFonts w:ascii="Arial" w:eastAsia="宋体" w:hAnsi="Arial" w:cs="Arial"/>
                <w:color w:val="000000"/>
                <w:sz w:val="17"/>
                <w:szCs w:val="17"/>
              </w:rPr>
              <w:t>(320) bps</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706" w14:textId="77777777" w:rsidR="009C6E2F" w:rsidRDefault="009C6E2F">
            <w:pPr>
              <w:rPr>
                <w:rFonts w:ascii="宋体"/>
              </w:rPr>
            </w:pPr>
          </w:p>
        </w:tc>
        <w:tc>
          <w:tcPr>
            <w:tcW w:w="0" w:type="auto"/>
            <w:gridSpan w:val="2"/>
            <w:tcBorders>
              <w:top w:val="single" w:sz="8" w:space="0" w:color="E87722"/>
              <w:bottom w:val="single" w:sz="8" w:space="0" w:color="E87722"/>
            </w:tcBorders>
            <w:shd w:val="clear" w:color="auto" w:fill="FFF1E7"/>
            <w:tcMar>
              <w:top w:w="40" w:type="dxa"/>
              <w:left w:w="20" w:type="dxa"/>
              <w:bottom w:w="40" w:type="dxa"/>
              <w:right w:w="0" w:type="dxa"/>
            </w:tcMar>
          </w:tcPr>
          <w:p w14:paraId="2470D707" w14:textId="77777777" w:rsidR="009C6E2F" w:rsidRDefault="007972BE">
            <w:pPr>
              <w:jc w:val="right"/>
              <w:textAlignment w:val="top"/>
            </w:pPr>
            <w:r>
              <w:rPr>
                <w:rFonts w:ascii="Arial" w:eastAsia="宋体" w:hAnsi="Arial" w:cs="Arial"/>
                <w:color w:val="000000"/>
                <w:sz w:val="17"/>
                <w:szCs w:val="17"/>
              </w:rPr>
              <w:t>11.0 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tcPr>
          <w:p w14:paraId="2470D708" w14:textId="77777777" w:rsidR="009C6E2F" w:rsidRDefault="007972BE">
            <w:pPr>
              <w:jc w:val="right"/>
              <w:textAlignment w:val="top"/>
            </w:pPr>
            <w:r>
              <w:rPr>
                <w:rFonts w:ascii="Arial" w:eastAsia="宋体" w:hAnsi="Arial" w:cs="Arial"/>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tcPr>
          <w:p w14:paraId="2470D709" w14:textId="77777777" w:rsidR="009C6E2F" w:rsidRDefault="007972BE">
            <w:pPr>
              <w:jc w:val="right"/>
              <w:textAlignment w:val="top"/>
            </w:pPr>
            <w:r>
              <w:rPr>
                <w:rFonts w:ascii="Arial" w:eastAsia="宋体" w:hAnsi="Arial" w:cs="Arial"/>
                <w:color w:val="000000"/>
                <w:sz w:val="17"/>
                <w:szCs w:val="17"/>
              </w:rPr>
              <w:t>12.7 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tcPr>
          <w:p w14:paraId="2470D70A" w14:textId="77777777" w:rsidR="009C6E2F" w:rsidRDefault="007972BE">
            <w:pPr>
              <w:jc w:val="right"/>
              <w:textAlignment w:val="top"/>
            </w:pPr>
            <w:r>
              <w:rPr>
                <w:rFonts w:ascii="Arial" w:eastAsia="宋体" w:hAnsi="Arial" w:cs="Arial"/>
                <w:color w:val="000000"/>
                <w:sz w:val="17"/>
                <w:szCs w:val="17"/>
              </w:rPr>
              <w:t>%</w:t>
            </w:r>
          </w:p>
        </w:tc>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tcPr>
          <w:p w14:paraId="2470D70B" w14:textId="77777777" w:rsidR="009C6E2F" w:rsidRDefault="007972BE">
            <w:pPr>
              <w:jc w:val="right"/>
              <w:textAlignment w:val="top"/>
            </w:pPr>
            <w:r>
              <w:rPr>
                <w:rFonts w:ascii="Arial" w:eastAsia="宋体" w:hAnsi="Arial" w:cs="Arial"/>
                <w:color w:val="000000"/>
                <w:sz w:val="17"/>
                <w:szCs w:val="17"/>
              </w:rPr>
              <w:t>(170) bps</w:t>
            </w:r>
          </w:p>
        </w:tc>
        <w:tc>
          <w:tcPr>
            <w:tcW w:w="0" w:type="auto"/>
            <w:shd w:val="clear" w:color="auto" w:fill="auto"/>
            <w:vAlign w:val="bottom"/>
          </w:tcPr>
          <w:p w14:paraId="2470D70C" w14:textId="77777777" w:rsidR="009C6E2F" w:rsidRDefault="009C6E2F">
            <w:pPr>
              <w:rPr>
                <w:rFonts w:ascii="宋体"/>
                <w:vanish/>
              </w:rPr>
            </w:pPr>
          </w:p>
        </w:tc>
        <w:tc>
          <w:tcPr>
            <w:tcW w:w="0" w:type="auto"/>
            <w:shd w:val="clear" w:color="auto" w:fill="auto"/>
            <w:vAlign w:val="bottom"/>
          </w:tcPr>
          <w:p w14:paraId="2470D70D" w14:textId="77777777" w:rsidR="009C6E2F" w:rsidRDefault="009C6E2F">
            <w:pPr>
              <w:rPr>
                <w:rFonts w:ascii="宋体"/>
                <w:vanish/>
              </w:rPr>
            </w:pPr>
          </w:p>
        </w:tc>
        <w:tc>
          <w:tcPr>
            <w:tcW w:w="0" w:type="auto"/>
            <w:gridSpan w:val="3"/>
            <w:shd w:val="clear" w:color="auto" w:fill="auto"/>
            <w:vAlign w:val="bottom"/>
          </w:tcPr>
          <w:p w14:paraId="2470D70E" w14:textId="77777777" w:rsidR="009C6E2F" w:rsidRDefault="009C6E2F">
            <w:pPr>
              <w:rPr>
                <w:rFonts w:ascii="宋体"/>
                <w:vanish/>
              </w:rPr>
            </w:pPr>
          </w:p>
        </w:tc>
        <w:tc>
          <w:tcPr>
            <w:tcW w:w="0" w:type="auto"/>
            <w:gridSpan w:val="3"/>
            <w:shd w:val="clear" w:color="auto" w:fill="auto"/>
            <w:vAlign w:val="bottom"/>
          </w:tcPr>
          <w:p w14:paraId="2470D70F" w14:textId="77777777" w:rsidR="009C6E2F" w:rsidRDefault="009C6E2F">
            <w:pPr>
              <w:rPr>
                <w:rFonts w:ascii="宋体"/>
                <w:vanish/>
              </w:rPr>
            </w:pPr>
          </w:p>
        </w:tc>
      </w:tr>
    </w:tbl>
    <w:p w14:paraId="2470D711" w14:textId="77777777" w:rsidR="009C6E2F" w:rsidRDefault="007972BE">
      <w:pPr>
        <w:spacing w:before="120" w:after="120"/>
      </w:pPr>
      <w:r>
        <w:rPr>
          <w:rFonts w:ascii="Arial" w:eastAsia="宋体" w:hAnsi="Arial" w:cs="Arial"/>
          <w:color w:val="000000"/>
          <w:sz w:val="17"/>
          <w:szCs w:val="17"/>
        </w:rPr>
        <w:t>Our effective tax rate was 10.9% for the second quarter of fiscal 2022, compared to 14.1% for the second quarter of fiscal 2021, primarily due to a change in our earnings mix, partially offset by a l</w:t>
      </w:r>
      <w:r>
        <w:rPr>
          <w:rFonts w:ascii="Arial" w:eastAsia="宋体" w:hAnsi="Arial" w:cs="Arial"/>
          <w:color w:val="000000"/>
          <w:sz w:val="17"/>
          <w:szCs w:val="17"/>
        </w:rPr>
        <w:t>ess favorable impact from stock-based compensation.</w:t>
      </w:r>
    </w:p>
    <w:p w14:paraId="2470D712" w14:textId="77777777" w:rsidR="009C6E2F" w:rsidRDefault="007972BE">
      <w:pPr>
        <w:spacing w:before="120" w:after="120"/>
      </w:pPr>
      <w:r>
        <w:rPr>
          <w:rFonts w:ascii="Arial" w:eastAsia="宋体" w:hAnsi="Arial" w:cs="Arial"/>
          <w:color w:val="000000"/>
          <w:sz w:val="17"/>
          <w:szCs w:val="17"/>
        </w:rPr>
        <w:t xml:space="preserve">Our effective tax rate was 11.0% for the first six months of fiscal 2022, compared to 12.7% for the first six months of fiscal 2021, primarily due to a more favorable impact from stock-based compensation </w:t>
      </w:r>
      <w:r>
        <w:rPr>
          <w:rFonts w:ascii="Arial" w:eastAsia="宋体" w:hAnsi="Arial" w:cs="Arial"/>
          <w:color w:val="000000"/>
          <w:sz w:val="17"/>
          <w:szCs w:val="17"/>
        </w:rPr>
        <w:t xml:space="preserve">and discrete items, such as the recognition of a reserve in the first quarter of fiscal 2021 related to </w:t>
      </w:r>
      <w:r>
        <w:rPr>
          <w:rFonts w:ascii="Arial" w:eastAsia="宋体" w:hAnsi="Arial" w:cs="Arial"/>
          <w:i/>
          <w:iCs/>
          <w:color w:val="000000"/>
          <w:sz w:val="17"/>
          <w:szCs w:val="17"/>
        </w:rPr>
        <w:t>Altera Corp. v. Commissioner</w:t>
      </w:r>
      <w:r>
        <w:rPr>
          <w:rFonts w:ascii="Arial" w:eastAsia="宋体" w:hAnsi="Arial" w:cs="Arial"/>
          <w:color w:val="000000"/>
          <w:sz w:val="17"/>
          <w:szCs w:val="17"/>
        </w:rPr>
        <w:t xml:space="preserve">, partially offset by a change in our earnings mix. </w:t>
      </w:r>
    </w:p>
    <w:p w14:paraId="2470D713" w14:textId="77777777" w:rsidR="009C6E2F" w:rsidRDefault="007972BE">
      <w:pPr>
        <w:spacing w:before="120" w:after="120"/>
      </w:pPr>
      <w:r>
        <w:rPr>
          <w:rFonts w:ascii="Arial" w:eastAsia="宋体" w:hAnsi="Arial" w:cs="Arial"/>
          <w:color w:val="000000"/>
          <w:sz w:val="17"/>
          <w:szCs w:val="17"/>
        </w:rPr>
        <w:t>Refer to Note 5 — Income Taxes within the accompanying Notes to the Una</w:t>
      </w:r>
      <w:r>
        <w:rPr>
          <w:rFonts w:ascii="Arial" w:eastAsia="宋体" w:hAnsi="Arial" w:cs="Arial"/>
          <w:color w:val="000000"/>
          <w:sz w:val="17"/>
          <w:szCs w:val="17"/>
        </w:rPr>
        <w:t xml:space="preserve">udited Condensed Consolidated Financial Statements for additional information. </w:t>
      </w:r>
    </w:p>
    <w:p w14:paraId="2470D714" w14:textId="77777777" w:rsidR="009C6E2F" w:rsidRDefault="007972BE">
      <w:pPr>
        <w:spacing w:before="120" w:after="120"/>
        <w:jc w:val="right"/>
      </w:pPr>
      <w:r>
        <w:rPr>
          <w:rFonts w:ascii="Arial" w:eastAsia="宋体" w:hAnsi="Arial" w:cs="Arial"/>
          <w:color w:val="E87722"/>
          <w:sz w:val="17"/>
          <w:szCs w:val="17"/>
        </w:rPr>
        <w:t>31</w:t>
      </w:r>
    </w:p>
    <w:p w14:paraId="2470D715" w14:textId="77777777" w:rsidR="009C6E2F" w:rsidRDefault="007972BE">
      <w:r>
        <w:pict w14:anchorId="2470E204">
          <v:rect id="_x0000_i1057" style="width:415.3pt;height:1.5pt" o:hralign="center" o:hrstd="t" o:hr="t" fillcolor="#a0a0a0" stroked="f"/>
        </w:pict>
      </w:r>
    </w:p>
    <w:p w14:paraId="2470D716" w14:textId="77777777" w:rsidR="009C6E2F" w:rsidRDefault="009C6E2F"/>
    <w:p w14:paraId="2470D717" w14:textId="77777777" w:rsidR="009C6E2F" w:rsidRDefault="007972BE">
      <w:hyperlink r:id="rId100" w:anchor="i9e023a7388204bdbacd6aa338988f838_7" w:history="1">
        <w:r>
          <w:rPr>
            <w:rStyle w:val="a5"/>
            <w:rFonts w:ascii="sans-serif" w:eastAsia="sans-serif" w:hAnsi="sans-serif" w:cs="sans-serif"/>
            <w:sz w:val="17"/>
            <w:szCs w:val="17"/>
          </w:rPr>
          <w:t>Table of Contents</w:t>
        </w:r>
      </w:hyperlink>
    </w:p>
    <w:p w14:paraId="2470D718" w14:textId="77777777" w:rsidR="009C6E2F" w:rsidRDefault="009C6E2F"/>
    <w:p w14:paraId="2470D719" w14:textId="77777777" w:rsidR="009C6E2F" w:rsidRDefault="007972BE">
      <w:pPr>
        <w:spacing w:before="300" w:after="120"/>
      </w:pPr>
      <w:r>
        <w:rPr>
          <w:rFonts w:ascii="sans-serif" w:eastAsia="sans-serif" w:hAnsi="sans-serif" w:cs="sans-serif"/>
          <w:b/>
          <w:bCs/>
          <w:color w:val="E87722"/>
          <w:sz w:val="36"/>
          <w:szCs w:val="36"/>
        </w:rPr>
        <w:t>OPERATING SEGMENTS</w:t>
      </w:r>
    </w:p>
    <w:p w14:paraId="2470D71A" w14:textId="77777777" w:rsidR="009C6E2F" w:rsidRDefault="007972BE">
      <w:pPr>
        <w:spacing w:before="120" w:after="120"/>
      </w:pPr>
      <w:r>
        <w:rPr>
          <w:rFonts w:ascii="Arial" w:eastAsia="宋体" w:hAnsi="Arial" w:cs="Arial"/>
          <w:color w:val="000000"/>
          <w:sz w:val="17"/>
          <w:szCs w:val="17"/>
        </w:rPr>
        <w:t xml:space="preserve">Our operating segments are evidence of the structure of the Company's internal organization. The NIKE Brand segments are defined by geographic regions for operations participating in NIKE Brand sales activity. </w:t>
      </w:r>
    </w:p>
    <w:p w14:paraId="2470D71B" w14:textId="77777777" w:rsidR="009C6E2F" w:rsidRDefault="007972BE">
      <w:pPr>
        <w:spacing w:before="120" w:after="120"/>
      </w:pPr>
      <w:r>
        <w:rPr>
          <w:rFonts w:ascii="Arial" w:eastAsia="宋体" w:hAnsi="Arial" w:cs="Arial"/>
          <w:color w:val="000000"/>
          <w:sz w:val="17"/>
          <w:szCs w:val="17"/>
        </w:rPr>
        <w:t xml:space="preserve">Each NIKE Brand </w:t>
      </w:r>
      <w:r>
        <w:rPr>
          <w:rFonts w:ascii="Arial" w:eastAsia="宋体" w:hAnsi="Arial" w:cs="Arial"/>
          <w:color w:val="000000"/>
          <w:sz w:val="17"/>
          <w:szCs w:val="17"/>
        </w:rPr>
        <w:t xml:space="preserve">geographic segment operates predominantly in one industry: the design, development, marketing and selling of athletic footwear, apparel and equipment. The Company's reportable operating segments for the NIKE Brand are: North America; Europe, Middle East &amp; </w:t>
      </w:r>
      <w:r>
        <w:rPr>
          <w:rFonts w:ascii="Arial" w:eastAsia="宋体" w:hAnsi="Arial" w:cs="Arial"/>
          <w:color w:val="000000"/>
          <w:sz w:val="17"/>
          <w:szCs w:val="17"/>
        </w:rPr>
        <w:t>Africa (EMEA); Greater China; and Asia Pacific &amp; Latin America (APLA), and include results for the NIKE and Jordan brands.</w:t>
      </w:r>
      <w:r>
        <w:rPr>
          <w:rFonts w:ascii="Arial" w:eastAsia="宋体" w:hAnsi="Arial" w:cs="Arial"/>
          <w:i/>
          <w:iCs/>
          <w:color w:val="000000"/>
          <w:sz w:val="14"/>
          <w:szCs w:val="14"/>
        </w:rPr>
        <w:t xml:space="preserve"> </w:t>
      </w:r>
      <w:r>
        <w:rPr>
          <w:rFonts w:ascii="Arial" w:eastAsia="宋体" w:hAnsi="Arial" w:cs="Arial"/>
          <w:color w:val="000000"/>
          <w:sz w:val="17"/>
          <w:szCs w:val="17"/>
        </w:rPr>
        <w:t xml:space="preserve">The Company's NIKE Direct operations are managed within each geographic operating segment. Converse is also a reportable </w:t>
      </w:r>
      <w:r>
        <w:rPr>
          <w:rFonts w:ascii="Arial" w:eastAsia="宋体" w:hAnsi="Arial" w:cs="Arial"/>
          <w:color w:val="000000"/>
          <w:sz w:val="17"/>
          <w:szCs w:val="17"/>
        </w:rPr>
        <w:t>operating segment for the Company, and operates predominately in one industry: the design, marketing, licensing and selling of athletic lifestyle sneakers, apparel and accessories.</w:t>
      </w:r>
    </w:p>
    <w:p w14:paraId="2470D71C" w14:textId="77777777" w:rsidR="009C6E2F" w:rsidRDefault="007972BE">
      <w:pPr>
        <w:spacing w:before="120" w:after="120"/>
      </w:pPr>
      <w:r>
        <w:rPr>
          <w:rFonts w:ascii="Arial" w:eastAsia="宋体" w:hAnsi="Arial" w:cs="Arial"/>
          <w:color w:val="000000"/>
          <w:sz w:val="17"/>
          <w:szCs w:val="17"/>
        </w:rPr>
        <w:t xml:space="preserve">As part of our centrally managed foreign exchange risk management program, </w:t>
      </w:r>
      <w:r>
        <w:rPr>
          <w:rFonts w:ascii="Arial" w:eastAsia="宋体" w:hAnsi="Arial" w:cs="Arial"/>
          <w:color w:val="000000"/>
          <w:sz w:val="17"/>
          <w:szCs w:val="17"/>
        </w:rPr>
        <w:t>standard foreign currency exchange rates are assigned twice per year to each NIKE Brand entity in our geographic operating segments and Converse. These rates are set approximately nine and twelve months in advance of the future selling seasons to which the</w:t>
      </w:r>
      <w:r>
        <w:rPr>
          <w:rFonts w:ascii="Arial" w:eastAsia="宋体" w:hAnsi="Arial" w:cs="Arial"/>
          <w:color w:val="000000"/>
          <w:sz w:val="17"/>
          <w:szCs w:val="17"/>
        </w:rPr>
        <w:t>y relate (specifically, for each currency, one standard rate applies to the fall and holiday selling seasons and one standard rate applies to the spring and summer selling seasons) based on average market spot rates in the calendar month preceding the date</w:t>
      </w:r>
      <w:r>
        <w:rPr>
          <w:rFonts w:ascii="Arial" w:eastAsia="宋体" w:hAnsi="Arial" w:cs="Arial"/>
          <w:color w:val="000000"/>
          <w:sz w:val="17"/>
          <w:szCs w:val="17"/>
        </w:rPr>
        <w:t xml:space="preserve"> they are established. Inventories and Cost of sales for geographic operating segments and Converse reflect the use of these standard rates to record non-functional currency product purchases into the entity's functional currency. Differences between assig</w:t>
      </w:r>
      <w:r>
        <w:rPr>
          <w:rFonts w:ascii="Arial" w:eastAsia="宋体" w:hAnsi="Arial" w:cs="Arial"/>
          <w:color w:val="000000"/>
          <w:sz w:val="17"/>
          <w:szCs w:val="17"/>
        </w:rPr>
        <w:t>ned standard foreign currency exchange rates and actual market rates are included in Corporate, together with foreign currency hedge gains and losses generated from our centrally managed foreign exchange risk management program and other conversion gains a</w:t>
      </w:r>
      <w:r>
        <w:rPr>
          <w:rFonts w:ascii="Arial" w:eastAsia="宋体" w:hAnsi="Arial" w:cs="Arial"/>
          <w:color w:val="000000"/>
          <w:sz w:val="17"/>
          <w:szCs w:val="17"/>
        </w:rPr>
        <w:t>nd losses.</w:t>
      </w:r>
    </w:p>
    <w:p w14:paraId="2470D71D" w14:textId="77777777" w:rsidR="009C6E2F" w:rsidRDefault="007972BE">
      <w:pPr>
        <w:spacing w:before="120" w:after="120"/>
      </w:pPr>
      <w:r>
        <w:rPr>
          <w:rFonts w:ascii="Arial" w:eastAsia="宋体" w:hAnsi="Arial" w:cs="Arial"/>
          <w:color w:val="000000"/>
          <w:sz w:val="17"/>
          <w:szCs w:val="17"/>
        </w:rPr>
        <w:t>The breakdown of Revenues is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1203"/>
        <w:gridCol w:w="36"/>
        <w:gridCol w:w="115"/>
        <w:gridCol w:w="568"/>
        <w:gridCol w:w="36"/>
        <w:gridCol w:w="115"/>
        <w:gridCol w:w="568"/>
        <w:gridCol w:w="36"/>
        <w:gridCol w:w="71"/>
        <w:gridCol w:w="566"/>
        <w:gridCol w:w="172"/>
        <w:gridCol w:w="95"/>
        <w:gridCol w:w="759"/>
        <w:gridCol w:w="172"/>
        <w:gridCol w:w="36"/>
        <w:gridCol w:w="36"/>
        <w:gridCol w:w="36"/>
        <w:gridCol w:w="115"/>
        <w:gridCol w:w="568"/>
        <w:gridCol w:w="36"/>
        <w:gridCol w:w="115"/>
        <w:gridCol w:w="568"/>
        <w:gridCol w:w="36"/>
        <w:gridCol w:w="71"/>
        <w:gridCol w:w="566"/>
        <w:gridCol w:w="172"/>
        <w:gridCol w:w="95"/>
        <w:gridCol w:w="759"/>
        <w:gridCol w:w="172"/>
        <w:gridCol w:w="36"/>
        <w:gridCol w:w="36"/>
        <w:gridCol w:w="36"/>
        <w:gridCol w:w="36"/>
        <w:gridCol w:w="36"/>
        <w:gridCol w:w="36"/>
        <w:gridCol w:w="36"/>
        <w:gridCol w:w="36"/>
        <w:gridCol w:w="36"/>
        <w:gridCol w:w="36"/>
        <w:gridCol w:w="36"/>
      </w:tblGrid>
      <w:tr w:rsidR="009C6E2F" w14:paraId="2470D741" w14:textId="77777777">
        <w:tc>
          <w:tcPr>
            <w:tcW w:w="50" w:type="pct"/>
            <w:shd w:val="clear" w:color="auto" w:fill="auto"/>
            <w:vAlign w:val="bottom"/>
          </w:tcPr>
          <w:p w14:paraId="2470D71E" w14:textId="77777777" w:rsidR="009C6E2F" w:rsidRDefault="009C6E2F">
            <w:pPr>
              <w:rPr>
                <w:rFonts w:ascii="宋体"/>
              </w:rPr>
            </w:pPr>
          </w:p>
        </w:tc>
        <w:tc>
          <w:tcPr>
            <w:tcW w:w="1264" w:type="pct"/>
            <w:shd w:val="clear" w:color="auto" w:fill="auto"/>
            <w:vAlign w:val="bottom"/>
          </w:tcPr>
          <w:p w14:paraId="2470D71F" w14:textId="77777777" w:rsidR="009C6E2F" w:rsidRDefault="009C6E2F">
            <w:pPr>
              <w:rPr>
                <w:rFonts w:ascii="宋体"/>
              </w:rPr>
            </w:pPr>
          </w:p>
        </w:tc>
        <w:tc>
          <w:tcPr>
            <w:tcW w:w="5" w:type="pct"/>
            <w:shd w:val="clear" w:color="auto" w:fill="auto"/>
            <w:vAlign w:val="bottom"/>
          </w:tcPr>
          <w:p w14:paraId="2470D720" w14:textId="77777777" w:rsidR="009C6E2F" w:rsidRDefault="009C6E2F">
            <w:pPr>
              <w:rPr>
                <w:rFonts w:ascii="宋体"/>
              </w:rPr>
            </w:pPr>
          </w:p>
        </w:tc>
        <w:tc>
          <w:tcPr>
            <w:tcW w:w="50" w:type="pct"/>
            <w:shd w:val="clear" w:color="auto" w:fill="auto"/>
            <w:vAlign w:val="bottom"/>
          </w:tcPr>
          <w:p w14:paraId="2470D721" w14:textId="77777777" w:rsidR="009C6E2F" w:rsidRDefault="009C6E2F">
            <w:pPr>
              <w:rPr>
                <w:rFonts w:ascii="宋体"/>
              </w:rPr>
            </w:pPr>
          </w:p>
        </w:tc>
        <w:tc>
          <w:tcPr>
            <w:tcW w:w="400" w:type="pct"/>
            <w:shd w:val="clear" w:color="auto" w:fill="auto"/>
            <w:vAlign w:val="bottom"/>
          </w:tcPr>
          <w:p w14:paraId="2470D722" w14:textId="77777777" w:rsidR="009C6E2F" w:rsidRDefault="009C6E2F">
            <w:pPr>
              <w:rPr>
                <w:rFonts w:ascii="宋体"/>
              </w:rPr>
            </w:pPr>
          </w:p>
        </w:tc>
        <w:tc>
          <w:tcPr>
            <w:tcW w:w="5" w:type="pct"/>
            <w:shd w:val="clear" w:color="auto" w:fill="auto"/>
            <w:vAlign w:val="bottom"/>
          </w:tcPr>
          <w:p w14:paraId="2470D723" w14:textId="77777777" w:rsidR="009C6E2F" w:rsidRDefault="009C6E2F">
            <w:pPr>
              <w:rPr>
                <w:rFonts w:ascii="宋体"/>
              </w:rPr>
            </w:pPr>
          </w:p>
        </w:tc>
        <w:tc>
          <w:tcPr>
            <w:tcW w:w="50" w:type="pct"/>
            <w:shd w:val="clear" w:color="auto" w:fill="auto"/>
            <w:vAlign w:val="bottom"/>
          </w:tcPr>
          <w:p w14:paraId="2470D724" w14:textId="77777777" w:rsidR="009C6E2F" w:rsidRDefault="009C6E2F">
            <w:pPr>
              <w:rPr>
                <w:rFonts w:ascii="宋体"/>
              </w:rPr>
            </w:pPr>
          </w:p>
        </w:tc>
        <w:tc>
          <w:tcPr>
            <w:tcW w:w="400" w:type="pct"/>
            <w:shd w:val="clear" w:color="auto" w:fill="auto"/>
            <w:vAlign w:val="bottom"/>
          </w:tcPr>
          <w:p w14:paraId="2470D725" w14:textId="77777777" w:rsidR="009C6E2F" w:rsidRDefault="009C6E2F">
            <w:pPr>
              <w:rPr>
                <w:rFonts w:ascii="宋体"/>
              </w:rPr>
            </w:pPr>
          </w:p>
        </w:tc>
        <w:tc>
          <w:tcPr>
            <w:tcW w:w="5" w:type="pct"/>
            <w:shd w:val="clear" w:color="auto" w:fill="auto"/>
            <w:vAlign w:val="bottom"/>
          </w:tcPr>
          <w:p w14:paraId="2470D726" w14:textId="77777777" w:rsidR="009C6E2F" w:rsidRDefault="009C6E2F">
            <w:pPr>
              <w:rPr>
                <w:rFonts w:ascii="宋体"/>
              </w:rPr>
            </w:pPr>
          </w:p>
        </w:tc>
        <w:tc>
          <w:tcPr>
            <w:tcW w:w="50" w:type="pct"/>
            <w:shd w:val="clear" w:color="auto" w:fill="auto"/>
            <w:vAlign w:val="bottom"/>
          </w:tcPr>
          <w:p w14:paraId="2470D727" w14:textId="77777777" w:rsidR="009C6E2F" w:rsidRDefault="009C6E2F">
            <w:pPr>
              <w:rPr>
                <w:rFonts w:ascii="宋体"/>
              </w:rPr>
            </w:pPr>
          </w:p>
        </w:tc>
        <w:tc>
          <w:tcPr>
            <w:tcW w:w="400" w:type="pct"/>
            <w:shd w:val="clear" w:color="auto" w:fill="auto"/>
            <w:vAlign w:val="bottom"/>
          </w:tcPr>
          <w:p w14:paraId="2470D728" w14:textId="77777777" w:rsidR="009C6E2F" w:rsidRDefault="009C6E2F">
            <w:pPr>
              <w:rPr>
                <w:rFonts w:ascii="宋体"/>
              </w:rPr>
            </w:pPr>
          </w:p>
        </w:tc>
        <w:tc>
          <w:tcPr>
            <w:tcW w:w="5" w:type="pct"/>
            <w:shd w:val="clear" w:color="auto" w:fill="auto"/>
            <w:vAlign w:val="bottom"/>
          </w:tcPr>
          <w:p w14:paraId="2470D729" w14:textId="77777777" w:rsidR="009C6E2F" w:rsidRDefault="009C6E2F">
            <w:pPr>
              <w:rPr>
                <w:rFonts w:ascii="宋体"/>
              </w:rPr>
            </w:pPr>
          </w:p>
        </w:tc>
        <w:tc>
          <w:tcPr>
            <w:tcW w:w="50" w:type="pct"/>
            <w:shd w:val="clear" w:color="auto" w:fill="auto"/>
            <w:vAlign w:val="bottom"/>
          </w:tcPr>
          <w:p w14:paraId="2470D72A" w14:textId="77777777" w:rsidR="009C6E2F" w:rsidRDefault="009C6E2F">
            <w:pPr>
              <w:rPr>
                <w:rFonts w:ascii="宋体"/>
              </w:rPr>
            </w:pPr>
          </w:p>
        </w:tc>
        <w:tc>
          <w:tcPr>
            <w:tcW w:w="400" w:type="pct"/>
            <w:shd w:val="clear" w:color="auto" w:fill="auto"/>
            <w:vAlign w:val="bottom"/>
          </w:tcPr>
          <w:p w14:paraId="2470D72B" w14:textId="77777777" w:rsidR="009C6E2F" w:rsidRDefault="009C6E2F">
            <w:pPr>
              <w:rPr>
                <w:rFonts w:ascii="宋体"/>
              </w:rPr>
            </w:pPr>
          </w:p>
        </w:tc>
        <w:tc>
          <w:tcPr>
            <w:tcW w:w="5" w:type="pct"/>
            <w:shd w:val="clear" w:color="auto" w:fill="auto"/>
            <w:vAlign w:val="bottom"/>
          </w:tcPr>
          <w:p w14:paraId="2470D72C" w14:textId="77777777" w:rsidR="009C6E2F" w:rsidRDefault="009C6E2F">
            <w:pPr>
              <w:rPr>
                <w:rFonts w:ascii="宋体"/>
              </w:rPr>
            </w:pPr>
          </w:p>
        </w:tc>
        <w:tc>
          <w:tcPr>
            <w:tcW w:w="5" w:type="pct"/>
            <w:shd w:val="clear" w:color="auto" w:fill="auto"/>
            <w:vAlign w:val="bottom"/>
          </w:tcPr>
          <w:p w14:paraId="2470D72D" w14:textId="77777777" w:rsidR="009C6E2F" w:rsidRDefault="009C6E2F">
            <w:pPr>
              <w:rPr>
                <w:rFonts w:ascii="宋体"/>
              </w:rPr>
            </w:pPr>
          </w:p>
        </w:tc>
        <w:tc>
          <w:tcPr>
            <w:tcW w:w="28" w:type="pct"/>
            <w:shd w:val="clear" w:color="auto" w:fill="auto"/>
            <w:vAlign w:val="bottom"/>
          </w:tcPr>
          <w:p w14:paraId="2470D72E" w14:textId="77777777" w:rsidR="009C6E2F" w:rsidRDefault="009C6E2F">
            <w:pPr>
              <w:rPr>
                <w:rFonts w:ascii="宋体"/>
              </w:rPr>
            </w:pPr>
          </w:p>
        </w:tc>
        <w:tc>
          <w:tcPr>
            <w:tcW w:w="5" w:type="pct"/>
            <w:shd w:val="clear" w:color="auto" w:fill="auto"/>
            <w:vAlign w:val="bottom"/>
          </w:tcPr>
          <w:p w14:paraId="2470D72F" w14:textId="77777777" w:rsidR="009C6E2F" w:rsidRDefault="009C6E2F">
            <w:pPr>
              <w:rPr>
                <w:rFonts w:ascii="宋体"/>
              </w:rPr>
            </w:pPr>
          </w:p>
        </w:tc>
        <w:tc>
          <w:tcPr>
            <w:tcW w:w="50" w:type="pct"/>
            <w:shd w:val="clear" w:color="auto" w:fill="auto"/>
            <w:vAlign w:val="bottom"/>
          </w:tcPr>
          <w:p w14:paraId="2470D730" w14:textId="77777777" w:rsidR="009C6E2F" w:rsidRDefault="009C6E2F">
            <w:pPr>
              <w:rPr>
                <w:rFonts w:ascii="宋体"/>
              </w:rPr>
            </w:pPr>
          </w:p>
        </w:tc>
        <w:tc>
          <w:tcPr>
            <w:tcW w:w="400" w:type="pct"/>
            <w:shd w:val="clear" w:color="auto" w:fill="auto"/>
            <w:vAlign w:val="bottom"/>
          </w:tcPr>
          <w:p w14:paraId="2470D731" w14:textId="77777777" w:rsidR="009C6E2F" w:rsidRDefault="009C6E2F">
            <w:pPr>
              <w:rPr>
                <w:rFonts w:ascii="宋体"/>
              </w:rPr>
            </w:pPr>
          </w:p>
        </w:tc>
        <w:tc>
          <w:tcPr>
            <w:tcW w:w="5" w:type="pct"/>
            <w:shd w:val="clear" w:color="auto" w:fill="auto"/>
            <w:vAlign w:val="bottom"/>
          </w:tcPr>
          <w:p w14:paraId="2470D732" w14:textId="77777777" w:rsidR="009C6E2F" w:rsidRDefault="009C6E2F">
            <w:pPr>
              <w:rPr>
                <w:rFonts w:ascii="宋体"/>
              </w:rPr>
            </w:pPr>
          </w:p>
        </w:tc>
        <w:tc>
          <w:tcPr>
            <w:tcW w:w="50" w:type="pct"/>
            <w:shd w:val="clear" w:color="auto" w:fill="auto"/>
            <w:vAlign w:val="bottom"/>
          </w:tcPr>
          <w:p w14:paraId="2470D733" w14:textId="77777777" w:rsidR="009C6E2F" w:rsidRDefault="009C6E2F">
            <w:pPr>
              <w:rPr>
                <w:rFonts w:ascii="宋体"/>
              </w:rPr>
            </w:pPr>
          </w:p>
        </w:tc>
        <w:tc>
          <w:tcPr>
            <w:tcW w:w="400" w:type="pct"/>
            <w:shd w:val="clear" w:color="auto" w:fill="auto"/>
            <w:vAlign w:val="bottom"/>
          </w:tcPr>
          <w:p w14:paraId="2470D734" w14:textId="77777777" w:rsidR="009C6E2F" w:rsidRDefault="009C6E2F">
            <w:pPr>
              <w:rPr>
                <w:rFonts w:ascii="宋体"/>
              </w:rPr>
            </w:pPr>
          </w:p>
        </w:tc>
        <w:tc>
          <w:tcPr>
            <w:tcW w:w="5" w:type="pct"/>
            <w:shd w:val="clear" w:color="auto" w:fill="auto"/>
            <w:vAlign w:val="bottom"/>
          </w:tcPr>
          <w:p w14:paraId="2470D735" w14:textId="77777777" w:rsidR="009C6E2F" w:rsidRDefault="009C6E2F">
            <w:pPr>
              <w:rPr>
                <w:rFonts w:ascii="宋体"/>
              </w:rPr>
            </w:pPr>
          </w:p>
        </w:tc>
        <w:tc>
          <w:tcPr>
            <w:tcW w:w="50" w:type="pct"/>
            <w:shd w:val="clear" w:color="auto" w:fill="auto"/>
            <w:vAlign w:val="bottom"/>
          </w:tcPr>
          <w:p w14:paraId="2470D736" w14:textId="77777777" w:rsidR="009C6E2F" w:rsidRDefault="009C6E2F">
            <w:pPr>
              <w:rPr>
                <w:rFonts w:ascii="宋体"/>
              </w:rPr>
            </w:pPr>
          </w:p>
        </w:tc>
        <w:tc>
          <w:tcPr>
            <w:tcW w:w="400" w:type="pct"/>
            <w:shd w:val="clear" w:color="auto" w:fill="auto"/>
            <w:vAlign w:val="bottom"/>
          </w:tcPr>
          <w:p w14:paraId="2470D737" w14:textId="77777777" w:rsidR="009C6E2F" w:rsidRDefault="009C6E2F">
            <w:pPr>
              <w:rPr>
                <w:rFonts w:ascii="宋体"/>
              </w:rPr>
            </w:pPr>
          </w:p>
        </w:tc>
        <w:tc>
          <w:tcPr>
            <w:tcW w:w="5" w:type="pct"/>
            <w:shd w:val="clear" w:color="auto" w:fill="auto"/>
            <w:vAlign w:val="bottom"/>
          </w:tcPr>
          <w:p w14:paraId="2470D738" w14:textId="77777777" w:rsidR="009C6E2F" w:rsidRDefault="009C6E2F">
            <w:pPr>
              <w:rPr>
                <w:rFonts w:ascii="宋体"/>
              </w:rPr>
            </w:pPr>
          </w:p>
        </w:tc>
        <w:tc>
          <w:tcPr>
            <w:tcW w:w="50" w:type="pct"/>
            <w:shd w:val="clear" w:color="auto" w:fill="auto"/>
            <w:vAlign w:val="bottom"/>
          </w:tcPr>
          <w:p w14:paraId="2470D739" w14:textId="77777777" w:rsidR="009C6E2F" w:rsidRDefault="009C6E2F">
            <w:pPr>
              <w:rPr>
                <w:rFonts w:ascii="宋体"/>
              </w:rPr>
            </w:pPr>
          </w:p>
        </w:tc>
        <w:tc>
          <w:tcPr>
            <w:tcW w:w="400" w:type="pct"/>
            <w:shd w:val="clear" w:color="auto" w:fill="auto"/>
            <w:vAlign w:val="bottom"/>
          </w:tcPr>
          <w:p w14:paraId="2470D73A" w14:textId="77777777" w:rsidR="009C6E2F" w:rsidRDefault="009C6E2F">
            <w:pPr>
              <w:rPr>
                <w:rFonts w:ascii="宋体"/>
              </w:rPr>
            </w:pPr>
          </w:p>
        </w:tc>
        <w:tc>
          <w:tcPr>
            <w:tcW w:w="5" w:type="pct"/>
            <w:shd w:val="clear" w:color="auto" w:fill="auto"/>
            <w:vAlign w:val="bottom"/>
          </w:tcPr>
          <w:p w14:paraId="2470D73B" w14:textId="77777777" w:rsidR="009C6E2F" w:rsidRDefault="009C6E2F">
            <w:pPr>
              <w:rPr>
                <w:rFonts w:ascii="宋体"/>
              </w:rPr>
            </w:pPr>
          </w:p>
        </w:tc>
        <w:tc>
          <w:tcPr>
            <w:tcW w:w="0" w:type="auto"/>
            <w:shd w:val="clear" w:color="auto" w:fill="auto"/>
            <w:vAlign w:val="bottom"/>
          </w:tcPr>
          <w:p w14:paraId="2470D73C" w14:textId="77777777" w:rsidR="009C6E2F" w:rsidRDefault="009C6E2F">
            <w:pPr>
              <w:rPr>
                <w:rFonts w:ascii="宋体"/>
                <w:vanish/>
              </w:rPr>
            </w:pPr>
          </w:p>
        </w:tc>
        <w:tc>
          <w:tcPr>
            <w:tcW w:w="0" w:type="auto"/>
            <w:shd w:val="clear" w:color="auto" w:fill="auto"/>
            <w:vAlign w:val="bottom"/>
          </w:tcPr>
          <w:p w14:paraId="2470D73D" w14:textId="77777777" w:rsidR="009C6E2F" w:rsidRDefault="009C6E2F">
            <w:pPr>
              <w:rPr>
                <w:rFonts w:ascii="宋体"/>
                <w:vanish/>
              </w:rPr>
            </w:pPr>
          </w:p>
        </w:tc>
        <w:tc>
          <w:tcPr>
            <w:tcW w:w="0" w:type="auto"/>
            <w:gridSpan w:val="3"/>
            <w:shd w:val="clear" w:color="auto" w:fill="auto"/>
            <w:vAlign w:val="bottom"/>
          </w:tcPr>
          <w:p w14:paraId="2470D73E" w14:textId="77777777" w:rsidR="009C6E2F" w:rsidRDefault="009C6E2F">
            <w:pPr>
              <w:rPr>
                <w:rFonts w:ascii="宋体"/>
                <w:vanish/>
              </w:rPr>
            </w:pPr>
          </w:p>
        </w:tc>
        <w:tc>
          <w:tcPr>
            <w:tcW w:w="0" w:type="auto"/>
            <w:gridSpan w:val="3"/>
            <w:shd w:val="clear" w:color="auto" w:fill="auto"/>
            <w:vAlign w:val="bottom"/>
          </w:tcPr>
          <w:p w14:paraId="2470D73F" w14:textId="77777777" w:rsidR="009C6E2F" w:rsidRDefault="009C6E2F">
            <w:pPr>
              <w:rPr>
                <w:rFonts w:ascii="宋体"/>
                <w:vanish/>
              </w:rPr>
            </w:pPr>
          </w:p>
        </w:tc>
        <w:tc>
          <w:tcPr>
            <w:tcW w:w="0" w:type="auto"/>
            <w:gridSpan w:val="3"/>
            <w:shd w:val="clear" w:color="auto" w:fill="auto"/>
            <w:vAlign w:val="bottom"/>
          </w:tcPr>
          <w:p w14:paraId="2470D740" w14:textId="77777777" w:rsidR="009C6E2F" w:rsidRDefault="009C6E2F">
            <w:pPr>
              <w:rPr>
                <w:rFonts w:ascii="宋体"/>
                <w:vanish/>
              </w:rPr>
            </w:pPr>
          </w:p>
        </w:tc>
      </w:tr>
      <w:tr w:rsidR="009C6E2F" w14:paraId="2470D751" w14:textId="77777777">
        <w:tc>
          <w:tcPr>
            <w:tcW w:w="0" w:type="auto"/>
            <w:gridSpan w:val="3"/>
            <w:shd w:val="clear" w:color="auto" w:fill="auto"/>
            <w:tcMar>
              <w:top w:w="0" w:type="dxa"/>
              <w:left w:w="20" w:type="dxa"/>
              <w:bottom w:w="0" w:type="dxa"/>
              <w:right w:w="20" w:type="dxa"/>
            </w:tcMar>
            <w:vAlign w:val="bottom"/>
          </w:tcPr>
          <w:p w14:paraId="2470D742"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743"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744"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745"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746" w14:textId="77777777" w:rsidR="009C6E2F" w:rsidRDefault="009C6E2F">
            <w:pPr>
              <w:rPr>
                <w:rFonts w:ascii="宋体"/>
                <w:vanish/>
              </w:rPr>
            </w:pPr>
          </w:p>
        </w:tc>
        <w:tc>
          <w:tcPr>
            <w:tcW w:w="0" w:type="auto"/>
            <w:shd w:val="clear" w:color="auto" w:fill="auto"/>
            <w:vAlign w:val="bottom"/>
          </w:tcPr>
          <w:p w14:paraId="2470D747" w14:textId="77777777" w:rsidR="009C6E2F" w:rsidRDefault="009C6E2F">
            <w:pPr>
              <w:rPr>
                <w:rFonts w:ascii="宋体"/>
                <w:vanish/>
              </w:rPr>
            </w:pPr>
          </w:p>
        </w:tc>
        <w:tc>
          <w:tcPr>
            <w:tcW w:w="0" w:type="auto"/>
            <w:shd w:val="clear" w:color="auto" w:fill="auto"/>
            <w:vAlign w:val="bottom"/>
          </w:tcPr>
          <w:p w14:paraId="2470D748" w14:textId="77777777" w:rsidR="009C6E2F" w:rsidRDefault="009C6E2F">
            <w:pPr>
              <w:rPr>
                <w:rFonts w:ascii="宋体"/>
              </w:rPr>
            </w:pPr>
          </w:p>
        </w:tc>
        <w:tc>
          <w:tcPr>
            <w:tcW w:w="0" w:type="auto"/>
            <w:shd w:val="clear" w:color="auto" w:fill="auto"/>
            <w:vAlign w:val="bottom"/>
          </w:tcPr>
          <w:p w14:paraId="2470D749" w14:textId="77777777" w:rsidR="009C6E2F" w:rsidRDefault="009C6E2F">
            <w:pPr>
              <w:rPr>
                <w:rFonts w:ascii="宋体"/>
              </w:rPr>
            </w:pPr>
          </w:p>
        </w:tc>
        <w:tc>
          <w:tcPr>
            <w:tcW w:w="0" w:type="auto"/>
            <w:shd w:val="clear" w:color="auto" w:fill="auto"/>
            <w:vAlign w:val="bottom"/>
          </w:tcPr>
          <w:p w14:paraId="2470D74A" w14:textId="77777777" w:rsidR="009C6E2F" w:rsidRDefault="009C6E2F">
            <w:pPr>
              <w:rPr>
                <w:rFonts w:ascii="宋体"/>
              </w:rPr>
            </w:pPr>
          </w:p>
        </w:tc>
        <w:tc>
          <w:tcPr>
            <w:tcW w:w="0" w:type="auto"/>
            <w:shd w:val="clear" w:color="auto" w:fill="auto"/>
            <w:vAlign w:val="bottom"/>
          </w:tcPr>
          <w:p w14:paraId="2470D74B" w14:textId="77777777" w:rsidR="009C6E2F" w:rsidRDefault="009C6E2F">
            <w:pPr>
              <w:rPr>
                <w:rFonts w:ascii="宋体"/>
              </w:rPr>
            </w:pPr>
          </w:p>
        </w:tc>
        <w:tc>
          <w:tcPr>
            <w:tcW w:w="0" w:type="auto"/>
            <w:shd w:val="clear" w:color="auto" w:fill="auto"/>
            <w:vAlign w:val="bottom"/>
          </w:tcPr>
          <w:p w14:paraId="2470D74C" w14:textId="77777777" w:rsidR="009C6E2F" w:rsidRDefault="009C6E2F">
            <w:pPr>
              <w:rPr>
                <w:rFonts w:ascii="宋体"/>
              </w:rPr>
            </w:pPr>
          </w:p>
        </w:tc>
        <w:tc>
          <w:tcPr>
            <w:tcW w:w="0" w:type="auto"/>
            <w:shd w:val="clear" w:color="auto" w:fill="auto"/>
            <w:vAlign w:val="bottom"/>
          </w:tcPr>
          <w:p w14:paraId="2470D74D" w14:textId="77777777" w:rsidR="009C6E2F" w:rsidRDefault="009C6E2F">
            <w:pPr>
              <w:rPr>
                <w:rFonts w:ascii="宋体"/>
              </w:rPr>
            </w:pPr>
          </w:p>
        </w:tc>
        <w:tc>
          <w:tcPr>
            <w:tcW w:w="0" w:type="auto"/>
            <w:shd w:val="clear" w:color="auto" w:fill="auto"/>
            <w:vAlign w:val="bottom"/>
          </w:tcPr>
          <w:p w14:paraId="2470D74E" w14:textId="77777777" w:rsidR="009C6E2F" w:rsidRDefault="009C6E2F">
            <w:pPr>
              <w:rPr>
                <w:rFonts w:ascii="宋体"/>
              </w:rPr>
            </w:pPr>
          </w:p>
        </w:tc>
        <w:tc>
          <w:tcPr>
            <w:tcW w:w="0" w:type="auto"/>
            <w:shd w:val="clear" w:color="auto" w:fill="auto"/>
            <w:vAlign w:val="bottom"/>
          </w:tcPr>
          <w:p w14:paraId="2470D74F" w14:textId="77777777" w:rsidR="009C6E2F" w:rsidRDefault="009C6E2F">
            <w:pPr>
              <w:rPr>
                <w:rFonts w:ascii="宋体"/>
              </w:rPr>
            </w:pPr>
          </w:p>
        </w:tc>
        <w:tc>
          <w:tcPr>
            <w:tcW w:w="0" w:type="auto"/>
            <w:shd w:val="clear" w:color="auto" w:fill="auto"/>
            <w:vAlign w:val="bottom"/>
          </w:tcPr>
          <w:p w14:paraId="2470D750" w14:textId="77777777" w:rsidR="009C6E2F" w:rsidRDefault="009C6E2F">
            <w:pPr>
              <w:rPr>
                <w:rFonts w:ascii="宋体"/>
              </w:rPr>
            </w:pPr>
          </w:p>
        </w:tc>
      </w:tr>
      <w:tr w:rsidR="009C6E2F" w14:paraId="2470D761" w14:textId="77777777">
        <w:tc>
          <w:tcPr>
            <w:tcW w:w="0" w:type="auto"/>
            <w:gridSpan w:val="3"/>
            <w:shd w:val="clear" w:color="auto" w:fill="auto"/>
            <w:tcMar>
              <w:top w:w="40" w:type="dxa"/>
              <w:left w:w="20" w:type="dxa"/>
              <w:bottom w:w="40" w:type="dxa"/>
              <w:right w:w="20" w:type="dxa"/>
            </w:tcMar>
            <w:vAlign w:val="bottom"/>
          </w:tcPr>
          <w:p w14:paraId="2470D752"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3"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4"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5"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6"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2470D757"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8"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9"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A"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5B" w14:textId="77777777" w:rsidR="009C6E2F" w:rsidRDefault="007972BE">
            <w:pPr>
              <w:pBdr>
                <w:top w:val="none" w:sz="0" w:space="0" w:color="auto"/>
                <w:left w:val="none" w:sz="0" w:space="0" w:color="auto"/>
                <w:bottom w:val="none" w:sz="0" w:space="0" w:color="auto"/>
                <w:right w:val="none" w:sz="0" w:space="0" w:color="auto"/>
              </w:pBdr>
              <w:jc w:val="right"/>
              <w:textAlignment w:val="bottom"/>
            </w:pPr>
            <w:r>
              <w:rPr>
                <w:rFonts w:ascii="sans-serif" w:eastAsia="sans-serif" w:hAnsi="sans-serif" w:cs="sans-serif"/>
                <w:b/>
                <w:bCs/>
                <w:color w:val="000000"/>
                <w:sz w:val="17"/>
                <w:szCs w:val="17"/>
              </w:rPr>
              <w:t>% CHANGE EXCLUDING CURRENCY CHANGES</w:t>
            </w:r>
            <w:r>
              <w:rPr>
                <w:rFonts w:ascii="sans-serif" w:eastAsia="sans-serif" w:hAnsi="sans-serif" w:cs="sans-serif"/>
                <w:b/>
                <w:bCs/>
                <w:color w:val="000000"/>
                <w:sz w:val="9"/>
                <w:szCs w:val="9"/>
              </w:rPr>
              <w:t>(1)</w:t>
            </w:r>
          </w:p>
        </w:tc>
        <w:tc>
          <w:tcPr>
            <w:tcW w:w="0" w:type="auto"/>
            <w:shd w:val="clear" w:color="auto" w:fill="auto"/>
            <w:vAlign w:val="bottom"/>
          </w:tcPr>
          <w:p w14:paraId="2470D75C" w14:textId="77777777" w:rsidR="009C6E2F" w:rsidRDefault="009C6E2F">
            <w:pPr>
              <w:rPr>
                <w:rFonts w:ascii="宋体"/>
                <w:vanish/>
              </w:rPr>
            </w:pPr>
          </w:p>
        </w:tc>
        <w:tc>
          <w:tcPr>
            <w:tcW w:w="0" w:type="auto"/>
            <w:shd w:val="clear" w:color="auto" w:fill="auto"/>
            <w:vAlign w:val="bottom"/>
          </w:tcPr>
          <w:p w14:paraId="2470D75D" w14:textId="77777777" w:rsidR="009C6E2F" w:rsidRDefault="009C6E2F">
            <w:pPr>
              <w:rPr>
                <w:rFonts w:ascii="宋体"/>
                <w:vanish/>
              </w:rPr>
            </w:pPr>
          </w:p>
        </w:tc>
        <w:tc>
          <w:tcPr>
            <w:tcW w:w="0" w:type="auto"/>
            <w:gridSpan w:val="3"/>
            <w:shd w:val="clear" w:color="auto" w:fill="auto"/>
            <w:vAlign w:val="bottom"/>
          </w:tcPr>
          <w:p w14:paraId="2470D75E" w14:textId="77777777" w:rsidR="009C6E2F" w:rsidRDefault="009C6E2F">
            <w:pPr>
              <w:rPr>
                <w:rFonts w:ascii="宋体"/>
                <w:vanish/>
              </w:rPr>
            </w:pPr>
          </w:p>
        </w:tc>
        <w:tc>
          <w:tcPr>
            <w:tcW w:w="0" w:type="auto"/>
            <w:gridSpan w:val="3"/>
            <w:shd w:val="clear" w:color="auto" w:fill="auto"/>
            <w:vAlign w:val="bottom"/>
          </w:tcPr>
          <w:p w14:paraId="2470D75F" w14:textId="77777777" w:rsidR="009C6E2F" w:rsidRDefault="009C6E2F">
            <w:pPr>
              <w:rPr>
                <w:rFonts w:ascii="宋体"/>
                <w:vanish/>
              </w:rPr>
            </w:pPr>
          </w:p>
        </w:tc>
        <w:tc>
          <w:tcPr>
            <w:tcW w:w="0" w:type="auto"/>
            <w:gridSpan w:val="3"/>
            <w:shd w:val="clear" w:color="auto" w:fill="auto"/>
            <w:vAlign w:val="bottom"/>
          </w:tcPr>
          <w:p w14:paraId="2470D760" w14:textId="77777777" w:rsidR="009C6E2F" w:rsidRDefault="009C6E2F">
            <w:pPr>
              <w:rPr>
                <w:rFonts w:ascii="宋体"/>
                <w:vanish/>
              </w:rPr>
            </w:pPr>
          </w:p>
        </w:tc>
      </w:tr>
      <w:tr w:rsidR="009C6E2F" w14:paraId="2470D77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62" w14:textId="77777777" w:rsidR="009C6E2F" w:rsidRDefault="007972BE">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763"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764" w14:textId="77777777" w:rsidR="009C6E2F" w:rsidRDefault="007972BE">
            <w:pPr>
              <w:jc w:val="right"/>
              <w:textAlignment w:val="bottom"/>
            </w:pPr>
            <w:r>
              <w:rPr>
                <w:rFonts w:ascii="Arial" w:eastAsia="宋体" w:hAnsi="Arial" w:cs="Arial"/>
                <w:color w:val="000000"/>
                <w:sz w:val="17"/>
                <w:szCs w:val="17"/>
              </w:rPr>
              <w:t>4,477 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765"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766"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767" w14:textId="77777777" w:rsidR="009C6E2F" w:rsidRDefault="007972BE">
            <w:pPr>
              <w:jc w:val="right"/>
              <w:textAlignment w:val="bottom"/>
            </w:pPr>
            <w:r>
              <w:rPr>
                <w:rFonts w:ascii="Arial" w:eastAsia="宋体" w:hAnsi="Arial" w:cs="Arial"/>
                <w:color w:val="000000"/>
                <w:sz w:val="17"/>
                <w:szCs w:val="17"/>
              </w:rPr>
              <w:t>4,006 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68"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69"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6A"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6B"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6C"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76D"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76E"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76F" w14:textId="77777777" w:rsidR="009C6E2F" w:rsidRDefault="007972BE">
            <w:pPr>
              <w:jc w:val="right"/>
              <w:textAlignment w:val="bottom"/>
            </w:pPr>
            <w:r>
              <w:rPr>
                <w:rFonts w:ascii="Arial" w:eastAsia="宋体" w:hAnsi="Arial" w:cs="Arial"/>
                <w:color w:val="000000"/>
                <w:sz w:val="17"/>
                <w:szCs w:val="17"/>
              </w:rPr>
              <w:t>9,356 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770"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771"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772" w14:textId="77777777" w:rsidR="009C6E2F" w:rsidRDefault="007972BE">
            <w:pPr>
              <w:jc w:val="right"/>
              <w:textAlignment w:val="bottom"/>
            </w:pPr>
            <w:r>
              <w:rPr>
                <w:rFonts w:ascii="Arial" w:eastAsia="宋体" w:hAnsi="Arial" w:cs="Arial"/>
                <w:color w:val="000000"/>
                <w:sz w:val="17"/>
                <w:szCs w:val="17"/>
              </w:rPr>
              <w:t>8,231 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7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74"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7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76"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77"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778" w14:textId="77777777" w:rsidR="009C6E2F" w:rsidRDefault="009C6E2F">
            <w:pPr>
              <w:rPr>
                <w:rFonts w:ascii="宋体"/>
                <w:vanish/>
              </w:rPr>
            </w:pPr>
          </w:p>
        </w:tc>
        <w:tc>
          <w:tcPr>
            <w:tcW w:w="0" w:type="auto"/>
            <w:shd w:val="clear" w:color="auto" w:fill="auto"/>
            <w:vAlign w:val="bottom"/>
          </w:tcPr>
          <w:p w14:paraId="2470D779" w14:textId="77777777" w:rsidR="009C6E2F" w:rsidRDefault="009C6E2F">
            <w:pPr>
              <w:rPr>
                <w:rFonts w:ascii="宋体"/>
                <w:vanish/>
              </w:rPr>
            </w:pPr>
          </w:p>
        </w:tc>
        <w:tc>
          <w:tcPr>
            <w:tcW w:w="0" w:type="auto"/>
            <w:gridSpan w:val="3"/>
            <w:shd w:val="clear" w:color="auto" w:fill="auto"/>
            <w:vAlign w:val="bottom"/>
          </w:tcPr>
          <w:p w14:paraId="2470D77A" w14:textId="77777777" w:rsidR="009C6E2F" w:rsidRDefault="009C6E2F">
            <w:pPr>
              <w:rPr>
                <w:rFonts w:ascii="宋体"/>
                <w:vanish/>
              </w:rPr>
            </w:pPr>
          </w:p>
        </w:tc>
        <w:tc>
          <w:tcPr>
            <w:tcW w:w="0" w:type="auto"/>
            <w:gridSpan w:val="3"/>
            <w:shd w:val="clear" w:color="auto" w:fill="auto"/>
            <w:vAlign w:val="bottom"/>
          </w:tcPr>
          <w:p w14:paraId="2470D77B" w14:textId="77777777" w:rsidR="009C6E2F" w:rsidRDefault="009C6E2F">
            <w:pPr>
              <w:rPr>
                <w:rFonts w:ascii="宋体"/>
                <w:vanish/>
              </w:rPr>
            </w:pPr>
          </w:p>
        </w:tc>
        <w:tc>
          <w:tcPr>
            <w:tcW w:w="0" w:type="auto"/>
            <w:gridSpan w:val="3"/>
            <w:shd w:val="clear" w:color="auto" w:fill="auto"/>
            <w:vAlign w:val="bottom"/>
          </w:tcPr>
          <w:p w14:paraId="2470D77C" w14:textId="77777777" w:rsidR="009C6E2F" w:rsidRDefault="009C6E2F">
            <w:pPr>
              <w:rPr>
                <w:rFonts w:ascii="宋体"/>
                <w:vanish/>
              </w:rPr>
            </w:pPr>
          </w:p>
        </w:tc>
      </w:tr>
      <w:tr w:rsidR="009C6E2F" w14:paraId="2470D79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77E" w14:textId="77777777" w:rsidR="009C6E2F" w:rsidRDefault="007972BE">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7F" w14:textId="77777777" w:rsidR="009C6E2F" w:rsidRDefault="007972BE">
            <w:pPr>
              <w:jc w:val="right"/>
              <w:textAlignment w:val="bottom"/>
            </w:pPr>
            <w:r>
              <w:rPr>
                <w:rFonts w:ascii="Arial" w:eastAsia="宋体" w:hAnsi="Arial" w:cs="Arial"/>
                <w:color w:val="000000"/>
                <w:sz w:val="17"/>
                <w:szCs w:val="17"/>
              </w:rPr>
              <w:t>3,142 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8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81" w14:textId="77777777" w:rsidR="009C6E2F" w:rsidRDefault="007972BE">
            <w:pPr>
              <w:jc w:val="right"/>
              <w:textAlignment w:val="bottom"/>
            </w:pPr>
            <w:r>
              <w:rPr>
                <w:rFonts w:ascii="Arial" w:eastAsia="宋体" w:hAnsi="Arial" w:cs="Arial"/>
                <w:color w:val="000000"/>
                <w:sz w:val="17"/>
                <w:szCs w:val="17"/>
              </w:rPr>
              <w:t>2,958 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8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83"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84"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85"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86"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78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88" w14:textId="77777777" w:rsidR="009C6E2F" w:rsidRDefault="007972BE">
            <w:pPr>
              <w:jc w:val="right"/>
              <w:textAlignment w:val="bottom"/>
            </w:pPr>
            <w:r>
              <w:rPr>
                <w:rFonts w:ascii="Arial" w:eastAsia="宋体" w:hAnsi="Arial" w:cs="Arial"/>
                <w:color w:val="000000"/>
                <w:sz w:val="17"/>
                <w:szCs w:val="17"/>
              </w:rPr>
              <w:t>6,449 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8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8A" w14:textId="77777777" w:rsidR="009C6E2F" w:rsidRDefault="007972BE">
            <w:pPr>
              <w:jc w:val="right"/>
              <w:textAlignment w:val="bottom"/>
            </w:pPr>
            <w:r>
              <w:rPr>
                <w:rFonts w:ascii="Arial" w:eastAsia="宋体" w:hAnsi="Arial" w:cs="Arial"/>
                <w:color w:val="000000"/>
                <w:sz w:val="17"/>
                <w:szCs w:val="17"/>
              </w:rPr>
              <w:t>5,868 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8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8C"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8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8E"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8F"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790" w14:textId="77777777" w:rsidR="009C6E2F" w:rsidRDefault="009C6E2F">
            <w:pPr>
              <w:rPr>
                <w:rFonts w:ascii="宋体"/>
                <w:vanish/>
              </w:rPr>
            </w:pPr>
          </w:p>
        </w:tc>
        <w:tc>
          <w:tcPr>
            <w:tcW w:w="0" w:type="auto"/>
            <w:shd w:val="clear" w:color="auto" w:fill="auto"/>
            <w:vAlign w:val="bottom"/>
          </w:tcPr>
          <w:p w14:paraId="2470D791" w14:textId="77777777" w:rsidR="009C6E2F" w:rsidRDefault="009C6E2F">
            <w:pPr>
              <w:rPr>
                <w:rFonts w:ascii="宋体"/>
                <w:vanish/>
              </w:rPr>
            </w:pPr>
          </w:p>
        </w:tc>
        <w:tc>
          <w:tcPr>
            <w:tcW w:w="0" w:type="auto"/>
            <w:gridSpan w:val="3"/>
            <w:shd w:val="clear" w:color="auto" w:fill="auto"/>
            <w:vAlign w:val="bottom"/>
          </w:tcPr>
          <w:p w14:paraId="2470D792" w14:textId="77777777" w:rsidR="009C6E2F" w:rsidRDefault="009C6E2F">
            <w:pPr>
              <w:rPr>
                <w:rFonts w:ascii="宋体"/>
                <w:vanish/>
              </w:rPr>
            </w:pPr>
          </w:p>
        </w:tc>
        <w:tc>
          <w:tcPr>
            <w:tcW w:w="0" w:type="auto"/>
            <w:gridSpan w:val="3"/>
            <w:shd w:val="clear" w:color="auto" w:fill="auto"/>
            <w:vAlign w:val="bottom"/>
          </w:tcPr>
          <w:p w14:paraId="2470D793" w14:textId="77777777" w:rsidR="009C6E2F" w:rsidRDefault="009C6E2F">
            <w:pPr>
              <w:rPr>
                <w:rFonts w:ascii="宋体"/>
                <w:vanish/>
              </w:rPr>
            </w:pPr>
          </w:p>
        </w:tc>
        <w:tc>
          <w:tcPr>
            <w:tcW w:w="0" w:type="auto"/>
            <w:gridSpan w:val="3"/>
            <w:shd w:val="clear" w:color="auto" w:fill="auto"/>
            <w:vAlign w:val="bottom"/>
          </w:tcPr>
          <w:p w14:paraId="2470D794" w14:textId="77777777" w:rsidR="009C6E2F" w:rsidRDefault="009C6E2F">
            <w:pPr>
              <w:rPr>
                <w:rFonts w:ascii="宋体"/>
                <w:vanish/>
              </w:rPr>
            </w:pPr>
          </w:p>
        </w:tc>
      </w:tr>
      <w:tr w:rsidR="009C6E2F" w14:paraId="2470D7A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796" w14:textId="77777777" w:rsidR="009C6E2F" w:rsidRDefault="007972BE">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97" w14:textId="77777777" w:rsidR="009C6E2F" w:rsidRDefault="007972BE">
            <w:pPr>
              <w:jc w:val="right"/>
              <w:textAlignment w:val="bottom"/>
            </w:pPr>
            <w:r>
              <w:rPr>
                <w:rFonts w:ascii="Arial" w:eastAsia="宋体" w:hAnsi="Arial" w:cs="Arial"/>
                <w:color w:val="000000"/>
                <w:sz w:val="17"/>
                <w:szCs w:val="17"/>
              </w:rPr>
              <w:t>1,844 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9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99" w14:textId="77777777" w:rsidR="009C6E2F" w:rsidRDefault="007972BE">
            <w:pPr>
              <w:jc w:val="right"/>
              <w:textAlignment w:val="bottom"/>
            </w:pPr>
            <w:r>
              <w:rPr>
                <w:rFonts w:ascii="Arial" w:eastAsia="宋体" w:hAnsi="Arial" w:cs="Arial"/>
                <w:color w:val="000000"/>
                <w:sz w:val="17"/>
                <w:szCs w:val="17"/>
              </w:rPr>
              <w:t>2,298 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9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9B" w14:textId="77777777" w:rsidR="009C6E2F" w:rsidRDefault="007972BE">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9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9D" w14:textId="77777777" w:rsidR="009C6E2F" w:rsidRDefault="007972BE">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9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79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A0" w14:textId="77777777" w:rsidR="009C6E2F" w:rsidRDefault="007972BE">
            <w:pPr>
              <w:jc w:val="right"/>
              <w:textAlignment w:val="bottom"/>
            </w:pPr>
            <w:r>
              <w:rPr>
                <w:rFonts w:ascii="Arial" w:eastAsia="宋体" w:hAnsi="Arial" w:cs="Arial"/>
                <w:color w:val="000000"/>
                <w:sz w:val="17"/>
                <w:szCs w:val="17"/>
              </w:rPr>
              <w:t>3,826 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A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A2" w14:textId="77777777" w:rsidR="009C6E2F" w:rsidRDefault="007972BE">
            <w:pPr>
              <w:jc w:val="right"/>
              <w:textAlignment w:val="bottom"/>
            </w:pPr>
            <w:r>
              <w:rPr>
                <w:rFonts w:ascii="Arial" w:eastAsia="宋体" w:hAnsi="Arial" w:cs="Arial"/>
                <w:color w:val="000000"/>
                <w:sz w:val="17"/>
                <w:szCs w:val="17"/>
              </w:rPr>
              <w:t>4,07</w:t>
            </w: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A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A4"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A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A6"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A7"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7A8" w14:textId="77777777" w:rsidR="009C6E2F" w:rsidRDefault="009C6E2F">
            <w:pPr>
              <w:rPr>
                <w:rFonts w:ascii="宋体"/>
                <w:vanish/>
              </w:rPr>
            </w:pPr>
          </w:p>
        </w:tc>
        <w:tc>
          <w:tcPr>
            <w:tcW w:w="0" w:type="auto"/>
            <w:shd w:val="clear" w:color="auto" w:fill="auto"/>
            <w:vAlign w:val="bottom"/>
          </w:tcPr>
          <w:p w14:paraId="2470D7A9" w14:textId="77777777" w:rsidR="009C6E2F" w:rsidRDefault="009C6E2F">
            <w:pPr>
              <w:rPr>
                <w:rFonts w:ascii="宋体"/>
                <w:vanish/>
              </w:rPr>
            </w:pPr>
          </w:p>
        </w:tc>
        <w:tc>
          <w:tcPr>
            <w:tcW w:w="0" w:type="auto"/>
            <w:gridSpan w:val="3"/>
            <w:shd w:val="clear" w:color="auto" w:fill="auto"/>
            <w:vAlign w:val="bottom"/>
          </w:tcPr>
          <w:p w14:paraId="2470D7AA" w14:textId="77777777" w:rsidR="009C6E2F" w:rsidRDefault="009C6E2F">
            <w:pPr>
              <w:rPr>
                <w:rFonts w:ascii="宋体"/>
                <w:vanish/>
              </w:rPr>
            </w:pPr>
          </w:p>
        </w:tc>
        <w:tc>
          <w:tcPr>
            <w:tcW w:w="0" w:type="auto"/>
            <w:gridSpan w:val="3"/>
            <w:shd w:val="clear" w:color="auto" w:fill="auto"/>
            <w:vAlign w:val="bottom"/>
          </w:tcPr>
          <w:p w14:paraId="2470D7AB" w14:textId="77777777" w:rsidR="009C6E2F" w:rsidRDefault="009C6E2F">
            <w:pPr>
              <w:rPr>
                <w:rFonts w:ascii="宋体"/>
                <w:vanish/>
              </w:rPr>
            </w:pPr>
          </w:p>
        </w:tc>
        <w:tc>
          <w:tcPr>
            <w:tcW w:w="0" w:type="auto"/>
            <w:gridSpan w:val="3"/>
            <w:shd w:val="clear" w:color="auto" w:fill="auto"/>
            <w:vAlign w:val="bottom"/>
          </w:tcPr>
          <w:p w14:paraId="2470D7AC" w14:textId="77777777" w:rsidR="009C6E2F" w:rsidRDefault="009C6E2F">
            <w:pPr>
              <w:rPr>
                <w:rFonts w:ascii="宋体"/>
                <w:vanish/>
              </w:rPr>
            </w:pPr>
          </w:p>
        </w:tc>
      </w:tr>
      <w:tr w:rsidR="009C6E2F" w14:paraId="2470D7C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7AE" w14:textId="77777777" w:rsidR="009C6E2F" w:rsidRDefault="007972BE">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AF" w14:textId="77777777" w:rsidR="009C6E2F" w:rsidRDefault="007972BE">
            <w:pPr>
              <w:jc w:val="right"/>
              <w:textAlignment w:val="bottom"/>
            </w:pPr>
            <w:r>
              <w:rPr>
                <w:rFonts w:ascii="Arial" w:eastAsia="宋体" w:hAnsi="Arial" w:cs="Arial"/>
                <w:color w:val="000000"/>
                <w:sz w:val="17"/>
                <w:szCs w:val="17"/>
              </w:rPr>
              <w:t>1,347 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B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B1" w14:textId="77777777" w:rsidR="009C6E2F" w:rsidRDefault="007972BE">
            <w:pPr>
              <w:jc w:val="right"/>
              <w:textAlignment w:val="bottom"/>
            </w:pPr>
            <w:r>
              <w:rPr>
                <w:rFonts w:ascii="Arial" w:eastAsia="宋体" w:hAnsi="Arial" w:cs="Arial"/>
                <w:color w:val="000000"/>
                <w:sz w:val="17"/>
                <w:szCs w:val="17"/>
              </w:rPr>
              <w:t>1,471 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B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B3"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B4"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B5"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B6"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7B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B8" w14:textId="77777777" w:rsidR="009C6E2F" w:rsidRDefault="007972BE">
            <w:pPr>
              <w:jc w:val="right"/>
              <w:textAlignment w:val="bottom"/>
            </w:pPr>
            <w:r>
              <w:rPr>
                <w:rFonts w:ascii="Arial" w:eastAsia="宋体" w:hAnsi="Arial" w:cs="Arial"/>
                <w:color w:val="000000"/>
                <w:sz w:val="17"/>
                <w:szCs w:val="17"/>
              </w:rPr>
              <w:t>2,812 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B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BA" w14:textId="77777777" w:rsidR="009C6E2F" w:rsidRDefault="007972BE">
            <w:pPr>
              <w:jc w:val="right"/>
              <w:textAlignment w:val="bottom"/>
            </w:pPr>
            <w:r>
              <w:rPr>
                <w:rFonts w:ascii="Arial" w:eastAsia="宋体" w:hAnsi="Arial" w:cs="Arial"/>
                <w:color w:val="000000"/>
                <w:sz w:val="17"/>
                <w:szCs w:val="17"/>
              </w:rPr>
              <w:t>2,570 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B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BC"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B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BE"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BF"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7C0" w14:textId="77777777" w:rsidR="009C6E2F" w:rsidRDefault="009C6E2F">
            <w:pPr>
              <w:rPr>
                <w:rFonts w:ascii="宋体"/>
                <w:vanish/>
              </w:rPr>
            </w:pPr>
          </w:p>
        </w:tc>
        <w:tc>
          <w:tcPr>
            <w:tcW w:w="0" w:type="auto"/>
            <w:shd w:val="clear" w:color="auto" w:fill="auto"/>
            <w:vAlign w:val="bottom"/>
          </w:tcPr>
          <w:p w14:paraId="2470D7C1" w14:textId="77777777" w:rsidR="009C6E2F" w:rsidRDefault="009C6E2F">
            <w:pPr>
              <w:rPr>
                <w:rFonts w:ascii="宋体"/>
                <w:vanish/>
              </w:rPr>
            </w:pPr>
          </w:p>
        </w:tc>
        <w:tc>
          <w:tcPr>
            <w:tcW w:w="0" w:type="auto"/>
            <w:gridSpan w:val="3"/>
            <w:shd w:val="clear" w:color="auto" w:fill="auto"/>
            <w:vAlign w:val="bottom"/>
          </w:tcPr>
          <w:p w14:paraId="2470D7C2" w14:textId="77777777" w:rsidR="009C6E2F" w:rsidRDefault="009C6E2F">
            <w:pPr>
              <w:rPr>
                <w:rFonts w:ascii="宋体"/>
                <w:vanish/>
              </w:rPr>
            </w:pPr>
          </w:p>
        </w:tc>
        <w:tc>
          <w:tcPr>
            <w:tcW w:w="0" w:type="auto"/>
            <w:gridSpan w:val="3"/>
            <w:shd w:val="clear" w:color="auto" w:fill="auto"/>
            <w:vAlign w:val="bottom"/>
          </w:tcPr>
          <w:p w14:paraId="2470D7C3" w14:textId="77777777" w:rsidR="009C6E2F" w:rsidRDefault="009C6E2F">
            <w:pPr>
              <w:rPr>
                <w:rFonts w:ascii="宋体"/>
                <w:vanish/>
              </w:rPr>
            </w:pPr>
          </w:p>
        </w:tc>
        <w:tc>
          <w:tcPr>
            <w:tcW w:w="0" w:type="auto"/>
            <w:gridSpan w:val="3"/>
            <w:shd w:val="clear" w:color="auto" w:fill="auto"/>
            <w:vAlign w:val="bottom"/>
          </w:tcPr>
          <w:p w14:paraId="2470D7C4" w14:textId="77777777" w:rsidR="009C6E2F" w:rsidRDefault="009C6E2F">
            <w:pPr>
              <w:rPr>
                <w:rFonts w:ascii="宋体"/>
                <w:vanish/>
              </w:rPr>
            </w:pPr>
          </w:p>
        </w:tc>
      </w:tr>
      <w:tr w:rsidR="009C6E2F" w14:paraId="2470D7D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7C6"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Global Brand Divisions</w:t>
            </w:r>
            <w:r>
              <w:rPr>
                <w:rFonts w:ascii="Arial" w:eastAsia="宋体" w:hAnsi="Arial" w:cs="Arial"/>
                <w:color w:val="000000"/>
                <w:sz w:val="11"/>
                <w:szCs w:val="11"/>
              </w:rPr>
              <w:t>(2)</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C7"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C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C9"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C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CB" w14:textId="77777777" w:rsidR="009C6E2F" w:rsidRDefault="007972BE">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C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CD"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C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7C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7D0"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7D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D2"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D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D4"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D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7D6"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7D7"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7D8" w14:textId="77777777" w:rsidR="009C6E2F" w:rsidRDefault="009C6E2F">
            <w:pPr>
              <w:rPr>
                <w:rFonts w:ascii="宋体"/>
                <w:vanish/>
              </w:rPr>
            </w:pPr>
          </w:p>
        </w:tc>
        <w:tc>
          <w:tcPr>
            <w:tcW w:w="0" w:type="auto"/>
            <w:shd w:val="clear" w:color="auto" w:fill="auto"/>
            <w:vAlign w:val="bottom"/>
          </w:tcPr>
          <w:p w14:paraId="2470D7D9" w14:textId="77777777" w:rsidR="009C6E2F" w:rsidRDefault="009C6E2F">
            <w:pPr>
              <w:rPr>
                <w:rFonts w:ascii="宋体"/>
                <w:vanish/>
              </w:rPr>
            </w:pPr>
          </w:p>
        </w:tc>
        <w:tc>
          <w:tcPr>
            <w:tcW w:w="0" w:type="auto"/>
            <w:gridSpan w:val="3"/>
            <w:shd w:val="clear" w:color="auto" w:fill="auto"/>
            <w:vAlign w:val="bottom"/>
          </w:tcPr>
          <w:p w14:paraId="2470D7DA" w14:textId="77777777" w:rsidR="009C6E2F" w:rsidRDefault="009C6E2F">
            <w:pPr>
              <w:rPr>
                <w:rFonts w:ascii="宋体"/>
                <w:vanish/>
              </w:rPr>
            </w:pPr>
          </w:p>
        </w:tc>
        <w:tc>
          <w:tcPr>
            <w:tcW w:w="0" w:type="auto"/>
            <w:gridSpan w:val="3"/>
            <w:shd w:val="clear" w:color="auto" w:fill="auto"/>
            <w:vAlign w:val="bottom"/>
          </w:tcPr>
          <w:p w14:paraId="2470D7DB" w14:textId="77777777" w:rsidR="009C6E2F" w:rsidRDefault="009C6E2F">
            <w:pPr>
              <w:rPr>
                <w:rFonts w:ascii="宋体"/>
                <w:vanish/>
              </w:rPr>
            </w:pPr>
          </w:p>
        </w:tc>
        <w:tc>
          <w:tcPr>
            <w:tcW w:w="0" w:type="auto"/>
            <w:gridSpan w:val="3"/>
            <w:shd w:val="clear" w:color="auto" w:fill="auto"/>
            <w:vAlign w:val="bottom"/>
          </w:tcPr>
          <w:p w14:paraId="2470D7DC" w14:textId="77777777" w:rsidR="009C6E2F" w:rsidRDefault="009C6E2F">
            <w:pPr>
              <w:rPr>
                <w:rFonts w:ascii="宋体"/>
                <w:vanish/>
              </w:rPr>
            </w:pPr>
          </w:p>
        </w:tc>
      </w:tr>
      <w:tr w:rsidR="009C6E2F" w14:paraId="2470D7F5"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DE" w14:textId="77777777" w:rsidR="009C6E2F" w:rsidRDefault="007972BE">
            <w:pPr>
              <w:textAlignment w:val="bottom"/>
            </w:pPr>
            <w:r>
              <w:rPr>
                <w:rFonts w:ascii="Arial" w:eastAsia="宋体" w:hAnsi="Arial" w:cs="Arial"/>
                <w:b/>
                <w:bCs/>
                <w:color w:val="000000"/>
                <w:sz w:val="17"/>
                <w:szCs w:val="17"/>
              </w:rPr>
              <w:t>TOTAL NIKE BRAND</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7DF" w14:textId="77777777" w:rsidR="009C6E2F" w:rsidRDefault="007972BE">
            <w:pPr>
              <w:jc w:val="right"/>
              <w:textAlignment w:val="bottom"/>
            </w:pPr>
            <w:r>
              <w:rPr>
                <w:rFonts w:ascii="Arial" w:eastAsia="宋体" w:hAnsi="Arial" w:cs="Arial"/>
                <w:b/>
                <w:bCs/>
                <w:color w:val="000000"/>
                <w:sz w:val="17"/>
                <w:szCs w:val="17"/>
              </w:rPr>
              <w:t>10,816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7E0"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E1" w14:textId="77777777" w:rsidR="009C6E2F" w:rsidRDefault="007972BE">
            <w:pPr>
              <w:jc w:val="right"/>
              <w:textAlignment w:val="bottom"/>
            </w:pPr>
            <w:r>
              <w:rPr>
                <w:rFonts w:ascii="Arial" w:eastAsia="宋体" w:hAnsi="Arial" w:cs="Arial"/>
                <w:b/>
                <w:bCs/>
                <w:color w:val="000000"/>
                <w:sz w:val="17"/>
                <w:szCs w:val="17"/>
              </w:rPr>
              <w:t>10,741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E2"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E3"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E4"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E5" w14:textId="77777777" w:rsidR="009C6E2F" w:rsidRDefault="007972BE">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E6"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7E7"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7E8" w14:textId="77777777" w:rsidR="009C6E2F" w:rsidRDefault="007972BE">
            <w:pPr>
              <w:jc w:val="right"/>
              <w:textAlignment w:val="bottom"/>
            </w:pPr>
            <w:r>
              <w:rPr>
                <w:rFonts w:ascii="Arial" w:eastAsia="宋体" w:hAnsi="Arial" w:cs="Arial"/>
                <w:b/>
                <w:bCs/>
                <w:color w:val="000000"/>
                <w:sz w:val="17"/>
                <w:szCs w:val="17"/>
              </w:rPr>
              <w:t>22,456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7E9"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EA" w14:textId="77777777" w:rsidR="009C6E2F" w:rsidRDefault="007972BE">
            <w:pPr>
              <w:jc w:val="right"/>
              <w:textAlignment w:val="bottom"/>
            </w:pPr>
            <w:r>
              <w:rPr>
                <w:rFonts w:ascii="Arial" w:eastAsia="宋体" w:hAnsi="Arial" w:cs="Arial"/>
                <w:b/>
                <w:bCs/>
                <w:color w:val="000000"/>
                <w:sz w:val="17"/>
                <w:szCs w:val="17"/>
              </w:rPr>
              <w:t>20,759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EB"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EC"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ED"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EE"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EF"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7F0" w14:textId="77777777" w:rsidR="009C6E2F" w:rsidRDefault="009C6E2F">
            <w:pPr>
              <w:rPr>
                <w:rFonts w:ascii="宋体"/>
                <w:vanish/>
              </w:rPr>
            </w:pPr>
          </w:p>
        </w:tc>
        <w:tc>
          <w:tcPr>
            <w:tcW w:w="0" w:type="auto"/>
            <w:shd w:val="clear" w:color="auto" w:fill="auto"/>
            <w:vAlign w:val="bottom"/>
          </w:tcPr>
          <w:p w14:paraId="2470D7F1" w14:textId="77777777" w:rsidR="009C6E2F" w:rsidRDefault="009C6E2F">
            <w:pPr>
              <w:rPr>
                <w:rFonts w:ascii="宋体"/>
                <w:vanish/>
              </w:rPr>
            </w:pPr>
          </w:p>
        </w:tc>
        <w:tc>
          <w:tcPr>
            <w:tcW w:w="0" w:type="auto"/>
            <w:gridSpan w:val="3"/>
            <w:shd w:val="clear" w:color="auto" w:fill="auto"/>
            <w:vAlign w:val="bottom"/>
          </w:tcPr>
          <w:p w14:paraId="2470D7F2" w14:textId="77777777" w:rsidR="009C6E2F" w:rsidRDefault="009C6E2F">
            <w:pPr>
              <w:rPr>
                <w:rFonts w:ascii="宋体"/>
                <w:vanish/>
              </w:rPr>
            </w:pPr>
          </w:p>
        </w:tc>
        <w:tc>
          <w:tcPr>
            <w:tcW w:w="0" w:type="auto"/>
            <w:gridSpan w:val="3"/>
            <w:shd w:val="clear" w:color="auto" w:fill="auto"/>
            <w:vAlign w:val="bottom"/>
          </w:tcPr>
          <w:p w14:paraId="2470D7F3" w14:textId="77777777" w:rsidR="009C6E2F" w:rsidRDefault="009C6E2F">
            <w:pPr>
              <w:rPr>
                <w:rFonts w:ascii="宋体"/>
                <w:vanish/>
              </w:rPr>
            </w:pPr>
          </w:p>
        </w:tc>
        <w:tc>
          <w:tcPr>
            <w:tcW w:w="0" w:type="auto"/>
            <w:gridSpan w:val="3"/>
            <w:shd w:val="clear" w:color="auto" w:fill="auto"/>
            <w:vAlign w:val="bottom"/>
          </w:tcPr>
          <w:p w14:paraId="2470D7F4" w14:textId="77777777" w:rsidR="009C6E2F" w:rsidRDefault="009C6E2F">
            <w:pPr>
              <w:rPr>
                <w:rFonts w:ascii="宋体"/>
                <w:vanish/>
              </w:rPr>
            </w:pPr>
          </w:p>
        </w:tc>
      </w:tr>
      <w:tr w:rsidR="009C6E2F" w14:paraId="2470D80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7F6"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7F7" w14:textId="77777777" w:rsidR="009C6E2F" w:rsidRDefault="007972BE">
            <w:pPr>
              <w:jc w:val="right"/>
              <w:textAlignment w:val="bottom"/>
            </w:pPr>
            <w:r>
              <w:rPr>
                <w:rFonts w:ascii="Arial" w:eastAsia="宋体" w:hAnsi="Arial" w:cs="Arial"/>
                <w:color w:val="000000"/>
                <w:sz w:val="17"/>
                <w:szCs w:val="17"/>
              </w:rPr>
              <w:t>557 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7F8"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F9" w14:textId="77777777" w:rsidR="009C6E2F" w:rsidRDefault="007972BE">
            <w:pPr>
              <w:jc w:val="right"/>
              <w:textAlignment w:val="bottom"/>
            </w:pPr>
            <w:r>
              <w:rPr>
                <w:rFonts w:ascii="Arial" w:eastAsia="宋体" w:hAnsi="Arial" w:cs="Arial"/>
                <w:color w:val="000000"/>
                <w:sz w:val="17"/>
                <w:szCs w:val="17"/>
              </w:rPr>
              <w:t>476 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F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FB"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F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7FD"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7F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7FF"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800" w14:textId="77777777" w:rsidR="009C6E2F" w:rsidRDefault="007972BE">
            <w:pPr>
              <w:jc w:val="right"/>
              <w:textAlignment w:val="bottom"/>
            </w:pPr>
            <w:r>
              <w:rPr>
                <w:rFonts w:ascii="Arial" w:eastAsia="宋体" w:hAnsi="Arial" w:cs="Arial"/>
                <w:color w:val="000000"/>
                <w:sz w:val="17"/>
                <w:szCs w:val="17"/>
              </w:rPr>
              <w:t>1,186 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80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02" w14:textId="77777777" w:rsidR="009C6E2F" w:rsidRDefault="007972BE">
            <w:pPr>
              <w:jc w:val="right"/>
              <w:textAlignment w:val="bottom"/>
            </w:pPr>
            <w:r>
              <w:rPr>
                <w:rFonts w:ascii="Arial" w:eastAsia="宋体" w:hAnsi="Arial" w:cs="Arial"/>
                <w:color w:val="000000"/>
                <w:sz w:val="17"/>
                <w:szCs w:val="17"/>
              </w:rPr>
              <w:t>1,039 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0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04"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0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06"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07"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808" w14:textId="77777777" w:rsidR="009C6E2F" w:rsidRDefault="009C6E2F">
            <w:pPr>
              <w:rPr>
                <w:rFonts w:ascii="宋体"/>
                <w:vanish/>
              </w:rPr>
            </w:pPr>
          </w:p>
        </w:tc>
        <w:tc>
          <w:tcPr>
            <w:tcW w:w="0" w:type="auto"/>
            <w:shd w:val="clear" w:color="auto" w:fill="auto"/>
            <w:vAlign w:val="bottom"/>
          </w:tcPr>
          <w:p w14:paraId="2470D809" w14:textId="77777777" w:rsidR="009C6E2F" w:rsidRDefault="009C6E2F">
            <w:pPr>
              <w:rPr>
                <w:rFonts w:ascii="宋体"/>
                <w:vanish/>
              </w:rPr>
            </w:pPr>
          </w:p>
        </w:tc>
        <w:tc>
          <w:tcPr>
            <w:tcW w:w="0" w:type="auto"/>
            <w:gridSpan w:val="3"/>
            <w:shd w:val="clear" w:color="auto" w:fill="auto"/>
            <w:vAlign w:val="bottom"/>
          </w:tcPr>
          <w:p w14:paraId="2470D80A" w14:textId="77777777" w:rsidR="009C6E2F" w:rsidRDefault="009C6E2F">
            <w:pPr>
              <w:rPr>
                <w:rFonts w:ascii="宋体"/>
                <w:vanish/>
              </w:rPr>
            </w:pPr>
          </w:p>
        </w:tc>
        <w:tc>
          <w:tcPr>
            <w:tcW w:w="0" w:type="auto"/>
            <w:gridSpan w:val="3"/>
            <w:shd w:val="clear" w:color="auto" w:fill="auto"/>
            <w:vAlign w:val="bottom"/>
          </w:tcPr>
          <w:p w14:paraId="2470D80B" w14:textId="77777777" w:rsidR="009C6E2F" w:rsidRDefault="009C6E2F">
            <w:pPr>
              <w:rPr>
                <w:rFonts w:ascii="宋体"/>
                <w:vanish/>
              </w:rPr>
            </w:pPr>
          </w:p>
        </w:tc>
        <w:tc>
          <w:tcPr>
            <w:tcW w:w="0" w:type="auto"/>
            <w:gridSpan w:val="3"/>
            <w:shd w:val="clear" w:color="auto" w:fill="auto"/>
            <w:vAlign w:val="bottom"/>
          </w:tcPr>
          <w:p w14:paraId="2470D80C" w14:textId="77777777" w:rsidR="009C6E2F" w:rsidRDefault="009C6E2F">
            <w:pPr>
              <w:rPr>
                <w:rFonts w:ascii="宋体"/>
                <w:vanish/>
              </w:rPr>
            </w:pPr>
          </w:p>
        </w:tc>
      </w:tr>
      <w:tr w:rsidR="009C6E2F" w14:paraId="2470D825"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80E"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Corporate</w:t>
            </w:r>
            <w:r>
              <w:rPr>
                <w:rFonts w:ascii="Arial" w:eastAsia="宋体" w:hAnsi="Arial" w:cs="Arial"/>
                <w:color w:val="000000"/>
                <w:sz w:val="11"/>
                <w:szCs w:val="11"/>
              </w:rPr>
              <w:t>(3)</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0F" w14:textId="77777777" w:rsidR="009C6E2F" w:rsidRDefault="007972BE">
            <w:pPr>
              <w:jc w:val="right"/>
              <w:textAlignment w:val="bottom"/>
            </w:pPr>
            <w:r>
              <w:rPr>
                <w:rFonts w:ascii="Arial" w:eastAsia="宋体" w:hAnsi="Arial" w:cs="Arial"/>
                <w:color w:val="000000"/>
                <w:sz w:val="17"/>
                <w:szCs w:val="17"/>
              </w:rPr>
              <w:t>(16)</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1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11"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1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13"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1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15"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16" w14:textId="77777777" w:rsidR="009C6E2F" w:rsidRDefault="009C6E2F">
            <w:pPr>
              <w:jc w:val="right"/>
              <w:rPr>
                <w:rFonts w:ascii="宋体"/>
              </w:rPr>
            </w:pP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81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18"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1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1A" w14:textId="77777777" w:rsidR="009C6E2F" w:rsidRDefault="007972BE">
            <w:pPr>
              <w:jc w:val="right"/>
              <w:textAlignment w:val="bottom"/>
            </w:pPr>
            <w:r>
              <w:rPr>
                <w:rFonts w:ascii="Arial" w:eastAsia="宋体" w:hAnsi="Arial" w:cs="Arial"/>
                <w:color w:val="000000"/>
                <w:sz w:val="17"/>
                <w:szCs w:val="17"/>
              </w:rPr>
              <w:t>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1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1C"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1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1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1F" w14:textId="77777777" w:rsidR="009C6E2F" w:rsidRDefault="009C6E2F">
            <w:pPr>
              <w:jc w:val="right"/>
              <w:rPr>
                <w:rFonts w:ascii="宋体"/>
              </w:rPr>
            </w:pPr>
          </w:p>
        </w:tc>
        <w:tc>
          <w:tcPr>
            <w:tcW w:w="0" w:type="auto"/>
            <w:shd w:val="clear" w:color="auto" w:fill="auto"/>
            <w:vAlign w:val="bottom"/>
          </w:tcPr>
          <w:p w14:paraId="2470D820" w14:textId="77777777" w:rsidR="009C6E2F" w:rsidRDefault="009C6E2F">
            <w:pPr>
              <w:rPr>
                <w:rFonts w:ascii="宋体"/>
                <w:vanish/>
              </w:rPr>
            </w:pPr>
          </w:p>
        </w:tc>
        <w:tc>
          <w:tcPr>
            <w:tcW w:w="0" w:type="auto"/>
            <w:shd w:val="clear" w:color="auto" w:fill="auto"/>
            <w:vAlign w:val="bottom"/>
          </w:tcPr>
          <w:p w14:paraId="2470D821" w14:textId="77777777" w:rsidR="009C6E2F" w:rsidRDefault="009C6E2F">
            <w:pPr>
              <w:rPr>
                <w:rFonts w:ascii="宋体"/>
                <w:vanish/>
              </w:rPr>
            </w:pPr>
          </w:p>
        </w:tc>
        <w:tc>
          <w:tcPr>
            <w:tcW w:w="0" w:type="auto"/>
            <w:gridSpan w:val="3"/>
            <w:shd w:val="clear" w:color="auto" w:fill="auto"/>
            <w:vAlign w:val="bottom"/>
          </w:tcPr>
          <w:p w14:paraId="2470D822" w14:textId="77777777" w:rsidR="009C6E2F" w:rsidRDefault="009C6E2F">
            <w:pPr>
              <w:rPr>
                <w:rFonts w:ascii="宋体"/>
                <w:vanish/>
              </w:rPr>
            </w:pPr>
          </w:p>
        </w:tc>
        <w:tc>
          <w:tcPr>
            <w:tcW w:w="0" w:type="auto"/>
            <w:gridSpan w:val="3"/>
            <w:shd w:val="clear" w:color="auto" w:fill="auto"/>
            <w:vAlign w:val="bottom"/>
          </w:tcPr>
          <w:p w14:paraId="2470D823" w14:textId="77777777" w:rsidR="009C6E2F" w:rsidRDefault="009C6E2F">
            <w:pPr>
              <w:rPr>
                <w:rFonts w:ascii="宋体"/>
                <w:vanish/>
              </w:rPr>
            </w:pPr>
          </w:p>
        </w:tc>
        <w:tc>
          <w:tcPr>
            <w:tcW w:w="0" w:type="auto"/>
            <w:gridSpan w:val="3"/>
            <w:shd w:val="clear" w:color="auto" w:fill="auto"/>
            <w:vAlign w:val="bottom"/>
          </w:tcPr>
          <w:p w14:paraId="2470D824" w14:textId="77777777" w:rsidR="009C6E2F" w:rsidRDefault="009C6E2F">
            <w:pPr>
              <w:rPr>
                <w:rFonts w:ascii="宋体"/>
                <w:vanish/>
              </w:rPr>
            </w:pPr>
          </w:p>
        </w:tc>
      </w:tr>
      <w:tr w:rsidR="009C6E2F" w14:paraId="2470D841"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826" w14:textId="77777777" w:rsidR="009C6E2F" w:rsidRDefault="007972BE">
            <w:pPr>
              <w:textAlignment w:val="bottom"/>
            </w:pPr>
            <w:r>
              <w:rPr>
                <w:rFonts w:ascii="Arial" w:eastAsia="宋体" w:hAnsi="Arial" w:cs="Arial"/>
                <w:b/>
                <w:bCs/>
                <w:color w:val="000000"/>
                <w:sz w:val="17"/>
                <w:szCs w:val="17"/>
              </w:rPr>
              <w:t>TOTAL NIKE, INC. REVENUES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82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828" w14:textId="77777777" w:rsidR="009C6E2F" w:rsidRDefault="007972BE">
            <w:pPr>
              <w:jc w:val="right"/>
              <w:textAlignment w:val="bottom"/>
            </w:pPr>
            <w:r>
              <w:rPr>
                <w:rFonts w:ascii="Arial" w:eastAsia="宋体" w:hAnsi="Arial" w:cs="Arial"/>
                <w:b/>
                <w:bCs/>
                <w:color w:val="000000"/>
                <w:sz w:val="17"/>
                <w:szCs w:val="17"/>
              </w:rPr>
              <w:t>11,357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829"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82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82B" w14:textId="77777777" w:rsidR="009C6E2F" w:rsidRDefault="007972BE">
            <w:pPr>
              <w:jc w:val="right"/>
              <w:textAlignment w:val="bottom"/>
            </w:pPr>
            <w:r>
              <w:rPr>
                <w:rFonts w:ascii="Arial" w:eastAsia="宋体" w:hAnsi="Arial" w:cs="Arial"/>
                <w:b/>
                <w:bCs/>
                <w:color w:val="000000"/>
                <w:sz w:val="17"/>
                <w:szCs w:val="17"/>
              </w:rPr>
              <w:t>11,243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82C"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82D" w14:textId="77777777" w:rsidR="009C6E2F" w:rsidRDefault="007972BE">
            <w:pPr>
              <w:jc w:val="right"/>
              <w:textAlignment w:val="bottom"/>
            </w:pPr>
            <w:r>
              <w:rPr>
                <w:rFonts w:ascii="Arial" w:eastAsia="宋体" w:hAnsi="Arial" w:cs="Arial"/>
                <w:b/>
                <w:bCs/>
                <w:color w:val="000000"/>
                <w:sz w:val="17"/>
                <w:szCs w:val="17"/>
              </w:rPr>
              <w:t>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82E"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82F" w14:textId="77777777" w:rsidR="009C6E2F" w:rsidRDefault="007972BE">
            <w:pPr>
              <w:jc w:val="right"/>
              <w:textAlignment w:val="bottom"/>
            </w:pPr>
            <w:r>
              <w:rPr>
                <w:rFonts w:ascii="Arial" w:eastAsia="宋体" w:hAnsi="Arial" w:cs="Arial"/>
                <w:b/>
                <w:bCs/>
                <w:color w:val="000000"/>
                <w:sz w:val="17"/>
                <w:szCs w:val="17"/>
              </w:rPr>
              <w:t>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830"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831"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83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833" w14:textId="77777777" w:rsidR="009C6E2F" w:rsidRDefault="007972BE">
            <w:pPr>
              <w:jc w:val="right"/>
              <w:textAlignment w:val="bottom"/>
            </w:pPr>
            <w:r>
              <w:rPr>
                <w:rFonts w:ascii="Arial" w:eastAsia="宋体" w:hAnsi="Arial" w:cs="Arial"/>
                <w:b/>
                <w:bCs/>
                <w:color w:val="000000"/>
                <w:sz w:val="17"/>
                <w:szCs w:val="17"/>
              </w:rPr>
              <w:t>23,605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834"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83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836" w14:textId="77777777" w:rsidR="009C6E2F" w:rsidRDefault="007972BE">
            <w:pPr>
              <w:jc w:val="right"/>
              <w:textAlignment w:val="bottom"/>
            </w:pPr>
            <w:r>
              <w:rPr>
                <w:rFonts w:ascii="Arial" w:eastAsia="宋体" w:hAnsi="Arial" w:cs="Arial"/>
                <w:b/>
                <w:bCs/>
                <w:color w:val="000000"/>
                <w:sz w:val="17"/>
                <w:szCs w:val="17"/>
              </w:rPr>
              <w:t>21,837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837"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838"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839"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83A"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83B"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83C" w14:textId="77777777" w:rsidR="009C6E2F" w:rsidRDefault="009C6E2F">
            <w:pPr>
              <w:rPr>
                <w:rFonts w:ascii="宋体"/>
                <w:vanish/>
              </w:rPr>
            </w:pPr>
          </w:p>
        </w:tc>
        <w:tc>
          <w:tcPr>
            <w:tcW w:w="0" w:type="auto"/>
            <w:shd w:val="clear" w:color="auto" w:fill="auto"/>
            <w:vAlign w:val="bottom"/>
          </w:tcPr>
          <w:p w14:paraId="2470D83D" w14:textId="77777777" w:rsidR="009C6E2F" w:rsidRDefault="009C6E2F">
            <w:pPr>
              <w:rPr>
                <w:rFonts w:ascii="宋体"/>
                <w:vanish/>
              </w:rPr>
            </w:pPr>
          </w:p>
        </w:tc>
        <w:tc>
          <w:tcPr>
            <w:tcW w:w="0" w:type="auto"/>
            <w:gridSpan w:val="3"/>
            <w:shd w:val="clear" w:color="auto" w:fill="auto"/>
            <w:vAlign w:val="bottom"/>
          </w:tcPr>
          <w:p w14:paraId="2470D83E" w14:textId="77777777" w:rsidR="009C6E2F" w:rsidRDefault="009C6E2F">
            <w:pPr>
              <w:rPr>
                <w:rFonts w:ascii="宋体"/>
                <w:vanish/>
              </w:rPr>
            </w:pPr>
          </w:p>
        </w:tc>
        <w:tc>
          <w:tcPr>
            <w:tcW w:w="0" w:type="auto"/>
            <w:gridSpan w:val="3"/>
            <w:shd w:val="clear" w:color="auto" w:fill="auto"/>
            <w:vAlign w:val="bottom"/>
          </w:tcPr>
          <w:p w14:paraId="2470D83F" w14:textId="77777777" w:rsidR="009C6E2F" w:rsidRDefault="009C6E2F">
            <w:pPr>
              <w:rPr>
                <w:rFonts w:ascii="宋体"/>
                <w:vanish/>
              </w:rPr>
            </w:pPr>
          </w:p>
        </w:tc>
        <w:tc>
          <w:tcPr>
            <w:tcW w:w="0" w:type="auto"/>
            <w:gridSpan w:val="3"/>
            <w:shd w:val="clear" w:color="auto" w:fill="auto"/>
            <w:vAlign w:val="bottom"/>
          </w:tcPr>
          <w:p w14:paraId="2470D840" w14:textId="77777777" w:rsidR="009C6E2F" w:rsidRDefault="009C6E2F">
            <w:pPr>
              <w:rPr>
                <w:rFonts w:ascii="宋体"/>
                <w:vanish/>
              </w:rPr>
            </w:pPr>
          </w:p>
        </w:tc>
      </w:tr>
    </w:tbl>
    <w:p w14:paraId="2470D842"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    The percent change excluding currency changes represents a non-GAAP financial measure. See "Use of Non-GAAP Financial Measures" for further information.</w:t>
      </w:r>
    </w:p>
    <w:p w14:paraId="2470D843"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(2)    Global Brand Divisions revenues include NIKE Brand licensing and other miscell</w:t>
      </w:r>
      <w:r>
        <w:rPr>
          <w:rFonts w:ascii="Arial" w:eastAsia="宋体" w:hAnsi="Arial" w:cs="Arial"/>
          <w:i/>
          <w:iCs/>
          <w:color w:val="000000"/>
          <w:sz w:val="14"/>
          <w:szCs w:val="14"/>
        </w:rPr>
        <w:t>aneous revenues that are not part of a geographic operating segment.</w:t>
      </w:r>
    </w:p>
    <w:p w14:paraId="2470D844"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(3)    Corporate revenues primarily consist of foreign currency hedge gains and losses related to revenues generated by entities within the NIKE Brand geographic operating segments and Co</w:t>
      </w:r>
      <w:r>
        <w:rPr>
          <w:rFonts w:ascii="Arial" w:eastAsia="宋体" w:hAnsi="Arial" w:cs="Arial"/>
          <w:i/>
          <w:iCs/>
          <w:color w:val="000000"/>
          <w:sz w:val="14"/>
          <w:szCs w:val="14"/>
        </w:rPr>
        <w:t>nverse, but managed through our central foreign exchange risk management program.</w:t>
      </w:r>
    </w:p>
    <w:p w14:paraId="2470D845" w14:textId="77777777" w:rsidR="009C6E2F" w:rsidRDefault="007972BE">
      <w:pPr>
        <w:spacing w:before="120" w:after="120"/>
      </w:pPr>
      <w:r>
        <w:rPr>
          <w:rFonts w:ascii="Arial" w:eastAsia="宋体" w:hAnsi="Arial" w:cs="Arial"/>
          <w:color w:val="000000"/>
          <w:sz w:val="17"/>
          <w:szCs w:val="17"/>
        </w:rPr>
        <w:t>The primary financial measure used by the Company to evaluate performance of individual operating segments is EBIT, which represents Net income before Interest expense (incom</w:t>
      </w:r>
      <w:r>
        <w:rPr>
          <w:rFonts w:ascii="Arial" w:eastAsia="宋体" w:hAnsi="Arial" w:cs="Arial"/>
          <w:color w:val="000000"/>
          <w:sz w:val="17"/>
          <w:szCs w:val="17"/>
        </w:rPr>
        <w:t>e), net and Income tax expense in the Unaudited Condensed Consolidated Statements of Income. As discussed in Note 11 — Operating Segments in the accompanying Notes to the Unaudited Condensed Consolidated Financial Statements, certain corporate costs are no</w:t>
      </w:r>
      <w:r>
        <w:rPr>
          <w:rFonts w:ascii="Arial" w:eastAsia="宋体" w:hAnsi="Arial" w:cs="Arial"/>
          <w:color w:val="000000"/>
          <w:sz w:val="17"/>
          <w:szCs w:val="17"/>
        </w:rPr>
        <w:t>t included in EBIT of our operating segments.</w:t>
      </w:r>
    </w:p>
    <w:p w14:paraId="2470D846" w14:textId="77777777" w:rsidR="009C6E2F" w:rsidRDefault="007972BE">
      <w:pPr>
        <w:spacing w:before="120" w:after="120"/>
      </w:pPr>
      <w:r>
        <w:rPr>
          <w:rFonts w:ascii="Arial" w:eastAsia="宋体" w:hAnsi="Arial" w:cs="Arial"/>
          <w:color w:val="E87722"/>
          <w:sz w:val="17"/>
          <w:szCs w:val="17"/>
        </w:rPr>
        <w:t>32</w:t>
      </w:r>
      <w:r>
        <w:rPr>
          <w:rFonts w:ascii="sans-serif" w:eastAsia="sans-serif" w:hAnsi="sans-serif" w:cs="sans-serif"/>
          <w:color w:val="000000"/>
          <w:sz w:val="17"/>
          <w:szCs w:val="17"/>
        </w:rPr>
        <w:t xml:space="preserve"> </w:t>
      </w:r>
    </w:p>
    <w:p w14:paraId="2470D847" w14:textId="77777777" w:rsidR="009C6E2F" w:rsidRDefault="007972BE">
      <w:r>
        <w:pict w14:anchorId="2470E205">
          <v:rect id="_x0000_i1058" style="width:415.3pt;height:1.5pt" o:hralign="center" o:hrstd="t" o:hr="t" fillcolor="#a0a0a0" stroked="f"/>
        </w:pict>
      </w:r>
    </w:p>
    <w:p w14:paraId="2470D848" w14:textId="77777777" w:rsidR="009C6E2F" w:rsidRDefault="009C6E2F"/>
    <w:p w14:paraId="2470D849" w14:textId="77777777" w:rsidR="009C6E2F" w:rsidRDefault="007972BE">
      <w:hyperlink r:id="rId101" w:anchor="i9e023a7388204bdbacd6aa338988f838_7" w:history="1">
        <w:r>
          <w:rPr>
            <w:rStyle w:val="a5"/>
            <w:rFonts w:ascii="sans-serif" w:eastAsia="sans-serif" w:hAnsi="sans-serif" w:cs="sans-serif"/>
            <w:sz w:val="17"/>
            <w:szCs w:val="17"/>
          </w:rPr>
          <w:t>Table of Contents</w:t>
        </w:r>
      </w:hyperlink>
    </w:p>
    <w:p w14:paraId="2470D84A" w14:textId="77777777" w:rsidR="009C6E2F" w:rsidRDefault="009C6E2F"/>
    <w:p w14:paraId="2470D84B" w14:textId="77777777" w:rsidR="009C6E2F" w:rsidRDefault="007972BE">
      <w:pPr>
        <w:spacing w:before="120" w:after="120"/>
      </w:pPr>
      <w:r>
        <w:rPr>
          <w:rFonts w:ascii="Arial" w:eastAsia="宋体" w:hAnsi="Arial" w:cs="Arial"/>
          <w:color w:val="000000"/>
          <w:sz w:val="17"/>
          <w:szCs w:val="17"/>
        </w:rPr>
        <w:t>The breakdown of earnings before</w:t>
      </w:r>
      <w:r>
        <w:rPr>
          <w:rFonts w:ascii="Arial" w:eastAsia="宋体" w:hAnsi="Arial" w:cs="Arial"/>
          <w:color w:val="000000"/>
          <w:sz w:val="17"/>
          <w:szCs w:val="17"/>
        </w:rPr>
        <w:t xml:space="preserve"> interest and taxes is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2404"/>
        <w:gridCol w:w="40"/>
        <w:gridCol w:w="115"/>
        <w:gridCol w:w="675"/>
        <w:gridCol w:w="172"/>
        <w:gridCol w:w="115"/>
        <w:gridCol w:w="675"/>
        <w:gridCol w:w="172"/>
        <w:gridCol w:w="59"/>
        <w:gridCol w:w="586"/>
        <w:gridCol w:w="172"/>
        <w:gridCol w:w="36"/>
        <w:gridCol w:w="36"/>
        <w:gridCol w:w="36"/>
        <w:gridCol w:w="115"/>
        <w:gridCol w:w="574"/>
        <w:gridCol w:w="172"/>
        <w:gridCol w:w="115"/>
        <w:gridCol w:w="675"/>
        <w:gridCol w:w="172"/>
        <w:gridCol w:w="59"/>
        <w:gridCol w:w="588"/>
        <w:gridCol w:w="172"/>
        <w:gridCol w:w="36"/>
        <w:gridCol w:w="36"/>
        <w:gridCol w:w="36"/>
        <w:gridCol w:w="36"/>
        <w:gridCol w:w="36"/>
        <w:gridCol w:w="36"/>
        <w:gridCol w:w="36"/>
        <w:gridCol w:w="36"/>
        <w:gridCol w:w="36"/>
        <w:gridCol w:w="36"/>
      </w:tblGrid>
      <w:tr w:rsidR="009C6E2F" w14:paraId="2470D868" w14:textId="77777777">
        <w:tc>
          <w:tcPr>
            <w:tcW w:w="50" w:type="pct"/>
            <w:shd w:val="clear" w:color="auto" w:fill="auto"/>
            <w:vAlign w:val="bottom"/>
          </w:tcPr>
          <w:p w14:paraId="2470D84C" w14:textId="77777777" w:rsidR="009C6E2F" w:rsidRDefault="009C6E2F">
            <w:pPr>
              <w:rPr>
                <w:rFonts w:ascii="宋体"/>
              </w:rPr>
            </w:pPr>
          </w:p>
        </w:tc>
        <w:tc>
          <w:tcPr>
            <w:tcW w:w="1619" w:type="pct"/>
            <w:shd w:val="clear" w:color="auto" w:fill="auto"/>
            <w:vAlign w:val="bottom"/>
          </w:tcPr>
          <w:p w14:paraId="2470D84D" w14:textId="77777777" w:rsidR="009C6E2F" w:rsidRDefault="009C6E2F">
            <w:pPr>
              <w:rPr>
                <w:rFonts w:ascii="宋体"/>
              </w:rPr>
            </w:pPr>
          </w:p>
        </w:tc>
        <w:tc>
          <w:tcPr>
            <w:tcW w:w="5" w:type="pct"/>
            <w:shd w:val="clear" w:color="auto" w:fill="auto"/>
            <w:vAlign w:val="bottom"/>
          </w:tcPr>
          <w:p w14:paraId="2470D84E" w14:textId="77777777" w:rsidR="009C6E2F" w:rsidRDefault="009C6E2F">
            <w:pPr>
              <w:rPr>
                <w:rFonts w:ascii="宋体"/>
              </w:rPr>
            </w:pPr>
          </w:p>
        </w:tc>
        <w:tc>
          <w:tcPr>
            <w:tcW w:w="50" w:type="pct"/>
            <w:shd w:val="clear" w:color="auto" w:fill="auto"/>
            <w:vAlign w:val="bottom"/>
          </w:tcPr>
          <w:p w14:paraId="2470D84F" w14:textId="77777777" w:rsidR="009C6E2F" w:rsidRDefault="009C6E2F">
            <w:pPr>
              <w:rPr>
                <w:rFonts w:ascii="宋体"/>
              </w:rPr>
            </w:pPr>
          </w:p>
        </w:tc>
        <w:tc>
          <w:tcPr>
            <w:tcW w:w="492" w:type="pct"/>
            <w:shd w:val="clear" w:color="auto" w:fill="auto"/>
            <w:vAlign w:val="bottom"/>
          </w:tcPr>
          <w:p w14:paraId="2470D850" w14:textId="77777777" w:rsidR="009C6E2F" w:rsidRDefault="009C6E2F">
            <w:pPr>
              <w:rPr>
                <w:rFonts w:ascii="宋体"/>
              </w:rPr>
            </w:pPr>
          </w:p>
        </w:tc>
        <w:tc>
          <w:tcPr>
            <w:tcW w:w="5" w:type="pct"/>
            <w:shd w:val="clear" w:color="auto" w:fill="auto"/>
            <w:vAlign w:val="bottom"/>
          </w:tcPr>
          <w:p w14:paraId="2470D851" w14:textId="77777777" w:rsidR="009C6E2F" w:rsidRDefault="009C6E2F">
            <w:pPr>
              <w:rPr>
                <w:rFonts w:ascii="宋体"/>
              </w:rPr>
            </w:pPr>
          </w:p>
        </w:tc>
        <w:tc>
          <w:tcPr>
            <w:tcW w:w="50" w:type="pct"/>
            <w:shd w:val="clear" w:color="auto" w:fill="auto"/>
            <w:vAlign w:val="bottom"/>
          </w:tcPr>
          <w:p w14:paraId="2470D852" w14:textId="77777777" w:rsidR="009C6E2F" w:rsidRDefault="009C6E2F">
            <w:pPr>
              <w:rPr>
                <w:rFonts w:ascii="宋体"/>
              </w:rPr>
            </w:pPr>
          </w:p>
        </w:tc>
        <w:tc>
          <w:tcPr>
            <w:tcW w:w="492" w:type="pct"/>
            <w:shd w:val="clear" w:color="auto" w:fill="auto"/>
            <w:vAlign w:val="bottom"/>
          </w:tcPr>
          <w:p w14:paraId="2470D853" w14:textId="77777777" w:rsidR="009C6E2F" w:rsidRDefault="009C6E2F">
            <w:pPr>
              <w:rPr>
                <w:rFonts w:ascii="宋体"/>
              </w:rPr>
            </w:pPr>
          </w:p>
        </w:tc>
        <w:tc>
          <w:tcPr>
            <w:tcW w:w="5" w:type="pct"/>
            <w:shd w:val="clear" w:color="auto" w:fill="auto"/>
            <w:vAlign w:val="bottom"/>
          </w:tcPr>
          <w:p w14:paraId="2470D854" w14:textId="77777777" w:rsidR="009C6E2F" w:rsidRDefault="009C6E2F">
            <w:pPr>
              <w:rPr>
                <w:rFonts w:ascii="宋体"/>
              </w:rPr>
            </w:pPr>
          </w:p>
        </w:tc>
        <w:tc>
          <w:tcPr>
            <w:tcW w:w="50" w:type="pct"/>
            <w:shd w:val="clear" w:color="auto" w:fill="auto"/>
            <w:vAlign w:val="bottom"/>
          </w:tcPr>
          <w:p w14:paraId="2470D855" w14:textId="77777777" w:rsidR="009C6E2F" w:rsidRDefault="009C6E2F">
            <w:pPr>
              <w:rPr>
                <w:rFonts w:ascii="宋体"/>
              </w:rPr>
            </w:pPr>
          </w:p>
        </w:tc>
        <w:tc>
          <w:tcPr>
            <w:tcW w:w="492" w:type="pct"/>
            <w:shd w:val="clear" w:color="auto" w:fill="auto"/>
            <w:vAlign w:val="bottom"/>
          </w:tcPr>
          <w:p w14:paraId="2470D856" w14:textId="77777777" w:rsidR="009C6E2F" w:rsidRDefault="009C6E2F">
            <w:pPr>
              <w:rPr>
                <w:rFonts w:ascii="宋体"/>
              </w:rPr>
            </w:pPr>
          </w:p>
        </w:tc>
        <w:tc>
          <w:tcPr>
            <w:tcW w:w="5" w:type="pct"/>
            <w:shd w:val="clear" w:color="auto" w:fill="auto"/>
            <w:vAlign w:val="bottom"/>
          </w:tcPr>
          <w:p w14:paraId="2470D857" w14:textId="77777777" w:rsidR="009C6E2F" w:rsidRDefault="009C6E2F">
            <w:pPr>
              <w:rPr>
                <w:rFonts w:ascii="宋体"/>
              </w:rPr>
            </w:pPr>
          </w:p>
        </w:tc>
        <w:tc>
          <w:tcPr>
            <w:tcW w:w="5" w:type="pct"/>
            <w:shd w:val="clear" w:color="auto" w:fill="auto"/>
            <w:vAlign w:val="bottom"/>
          </w:tcPr>
          <w:p w14:paraId="2470D858" w14:textId="77777777" w:rsidR="009C6E2F" w:rsidRDefault="009C6E2F">
            <w:pPr>
              <w:rPr>
                <w:rFonts w:ascii="宋体"/>
              </w:rPr>
            </w:pPr>
          </w:p>
        </w:tc>
        <w:tc>
          <w:tcPr>
            <w:tcW w:w="28" w:type="pct"/>
            <w:shd w:val="clear" w:color="auto" w:fill="auto"/>
            <w:vAlign w:val="bottom"/>
          </w:tcPr>
          <w:p w14:paraId="2470D859" w14:textId="77777777" w:rsidR="009C6E2F" w:rsidRDefault="009C6E2F">
            <w:pPr>
              <w:rPr>
                <w:rFonts w:ascii="宋体"/>
              </w:rPr>
            </w:pPr>
          </w:p>
        </w:tc>
        <w:tc>
          <w:tcPr>
            <w:tcW w:w="5" w:type="pct"/>
            <w:shd w:val="clear" w:color="auto" w:fill="auto"/>
            <w:vAlign w:val="bottom"/>
          </w:tcPr>
          <w:p w14:paraId="2470D85A" w14:textId="77777777" w:rsidR="009C6E2F" w:rsidRDefault="009C6E2F">
            <w:pPr>
              <w:rPr>
                <w:rFonts w:ascii="宋体"/>
              </w:rPr>
            </w:pPr>
          </w:p>
        </w:tc>
        <w:tc>
          <w:tcPr>
            <w:tcW w:w="50" w:type="pct"/>
            <w:shd w:val="clear" w:color="auto" w:fill="auto"/>
            <w:vAlign w:val="bottom"/>
          </w:tcPr>
          <w:p w14:paraId="2470D85B" w14:textId="77777777" w:rsidR="009C6E2F" w:rsidRDefault="009C6E2F">
            <w:pPr>
              <w:rPr>
                <w:rFonts w:ascii="宋体"/>
              </w:rPr>
            </w:pPr>
          </w:p>
        </w:tc>
        <w:tc>
          <w:tcPr>
            <w:tcW w:w="492" w:type="pct"/>
            <w:shd w:val="clear" w:color="auto" w:fill="auto"/>
            <w:vAlign w:val="bottom"/>
          </w:tcPr>
          <w:p w14:paraId="2470D85C" w14:textId="77777777" w:rsidR="009C6E2F" w:rsidRDefault="009C6E2F">
            <w:pPr>
              <w:rPr>
                <w:rFonts w:ascii="宋体"/>
              </w:rPr>
            </w:pPr>
          </w:p>
        </w:tc>
        <w:tc>
          <w:tcPr>
            <w:tcW w:w="5" w:type="pct"/>
            <w:shd w:val="clear" w:color="auto" w:fill="auto"/>
            <w:vAlign w:val="bottom"/>
          </w:tcPr>
          <w:p w14:paraId="2470D85D" w14:textId="77777777" w:rsidR="009C6E2F" w:rsidRDefault="009C6E2F">
            <w:pPr>
              <w:rPr>
                <w:rFonts w:ascii="宋体"/>
              </w:rPr>
            </w:pPr>
          </w:p>
        </w:tc>
        <w:tc>
          <w:tcPr>
            <w:tcW w:w="50" w:type="pct"/>
            <w:shd w:val="clear" w:color="auto" w:fill="auto"/>
            <w:vAlign w:val="bottom"/>
          </w:tcPr>
          <w:p w14:paraId="2470D85E" w14:textId="77777777" w:rsidR="009C6E2F" w:rsidRDefault="009C6E2F">
            <w:pPr>
              <w:rPr>
                <w:rFonts w:ascii="宋体"/>
              </w:rPr>
            </w:pPr>
          </w:p>
        </w:tc>
        <w:tc>
          <w:tcPr>
            <w:tcW w:w="492" w:type="pct"/>
            <w:shd w:val="clear" w:color="auto" w:fill="auto"/>
            <w:vAlign w:val="bottom"/>
          </w:tcPr>
          <w:p w14:paraId="2470D85F" w14:textId="77777777" w:rsidR="009C6E2F" w:rsidRDefault="009C6E2F">
            <w:pPr>
              <w:rPr>
                <w:rFonts w:ascii="宋体"/>
              </w:rPr>
            </w:pPr>
          </w:p>
        </w:tc>
        <w:tc>
          <w:tcPr>
            <w:tcW w:w="5" w:type="pct"/>
            <w:shd w:val="clear" w:color="auto" w:fill="auto"/>
            <w:vAlign w:val="bottom"/>
          </w:tcPr>
          <w:p w14:paraId="2470D860" w14:textId="77777777" w:rsidR="009C6E2F" w:rsidRDefault="009C6E2F">
            <w:pPr>
              <w:rPr>
                <w:rFonts w:ascii="宋体"/>
              </w:rPr>
            </w:pPr>
          </w:p>
        </w:tc>
        <w:tc>
          <w:tcPr>
            <w:tcW w:w="50" w:type="pct"/>
            <w:shd w:val="clear" w:color="auto" w:fill="auto"/>
            <w:vAlign w:val="bottom"/>
          </w:tcPr>
          <w:p w14:paraId="2470D861" w14:textId="77777777" w:rsidR="009C6E2F" w:rsidRDefault="009C6E2F">
            <w:pPr>
              <w:rPr>
                <w:rFonts w:ascii="宋体"/>
              </w:rPr>
            </w:pPr>
          </w:p>
        </w:tc>
        <w:tc>
          <w:tcPr>
            <w:tcW w:w="493" w:type="pct"/>
            <w:shd w:val="clear" w:color="auto" w:fill="auto"/>
            <w:vAlign w:val="bottom"/>
          </w:tcPr>
          <w:p w14:paraId="2470D862" w14:textId="77777777" w:rsidR="009C6E2F" w:rsidRDefault="009C6E2F">
            <w:pPr>
              <w:rPr>
                <w:rFonts w:ascii="宋体"/>
              </w:rPr>
            </w:pPr>
          </w:p>
        </w:tc>
        <w:tc>
          <w:tcPr>
            <w:tcW w:w="5" w:type="pct"/>
            <w:shd w:val="clear" w:color="auto" w:fill="auto"/>
            <w:vAlign w:val="bottom"/>
          </w:tcPr>
          <w:p w14:paraId="2470D863" w14:textId="77777777" w:rsidR="009C6E2F" w:rsidRDefault="009C6E2F">
            <w:pPr>
              <w:rPr>
                <w:rFonts w:ascii="宋体"/>
              </w:rPr>
            </w:pPr>
          </w:p>
        </w:tc>
        <w:tc>
          <w:tcPr>
            <w:tcW w:w="0" w:type="auto"/>
            <w:shd w:val="clear" w:color="auto" w:fill="auto"/>
            <w:vAlign w:val="bottom"/>
          </w:tcPr>
          <w:p w14:paraId="2470D864" w14:textId="77777777" w:rsidR="009C6E2F" w:rsidRDefault="009C6E2F">
            <w:pPr>
              <w:rPr>
                <w:rFonts w:ascii="宋体"/>
                <w:vanish/>
              </w:rPr>
            </w:pPr>
          </w:p>
        </w:tc>
        <w:tc>
          <w:tcPr>
            <w:tcW w:w="0" w:type="auto"/>
            <w:gridSpan w:val="3"/>
            <w:shd w:val="clear" w:color="auto" w:fill="auto"/>
            <w:vAlign w:val="bottom"/>
          </w:tcPr>
          <w:p w14:paraId="2470D865" w14:textId="77777777" w:rsidR="009C6E2F" w:rsidRDefault="009C6E2F">
            <w:pPr>
              <w:rPr>
                <w:rFonts w:ascii="宋体"/>
                <w:vanish/>
              </w:rPr>
            </w:pPr>
          </w:p>
        </w:tc>
        <w:tc>
          <w:tcPr>
            <w:tcW w:w="0" w:type="auto"/>
            <w:gridSpan w:val="3"/>
            <w:shd w:val="clear" w:color="auto" w:fill="auto"/>
            <w:vAlign w:val="bottom"/>
          </w:tcPr>
          <w:p w14:paraId="2470D866" w14:textId="77777777" w:rsidR="009C6E2F" w:rsidRDefault="009C6E2F">
            <w:pPr>
              <w:rPr>
                <w:rFonts w:ascii="宋体"/>
                <w:vanish/>
              </w:rPr>
            </w:pPr>
          </w:p>
        </w:tc>
        <w:tc>
          <w:tcPr>
            <w:tcW w:w="0" w:type="auto"/>
            <w:gridSpan w:val="3"/>
            <w:shd w:val="clear" w:color="auto" w:fill="auto"/>
            <w:vAlign w:val="bottom"/>
          </w:tcPr>
          <w:p w14:paraId="2470D867" w14:textId="77777777" w:rsidR="009C6E2F" w:rsidRDefault="009C6E2F">
            <w:pPr>
              <w:rPr>
                <w:rFonts w:ascii="宋体"/>
                <w:vanish/>
              </w:rPr>
            </w:pPr>
          </w:p>
        </w:tc>
      </w:tr>
      <w:tr w:rsidR="009C6E2F" w14:paraId="2470D877" w14:textId="77777777">
        <w:tc>
          <w:tcPr>
            <w:tcW w:w="0" w:type="auto"/>
            <w:gridSpan w:val="3"/>
            <w:shd w:val="clear" w:color="auto" w:fill="auto"/>
            <w:tcMar>
              <w:top w:w="0" w:type="dxa"/>
              <w:left w:w="20" w:type="dxa"/>
              <w:bottom w:w="0" w:type="dxa"/>
              <w:right w:w="20" w:type="dxa"/>
            </w:tcMar>
            <w:vAlign w:val="bottom"/>
          </w:tcPr>
          <w:p w14:paraId="2470D869"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86A"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86B"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D86C"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86D" w14:textId="77777777" w:rsidR="009C6E2F" w:rsidRDefault="009C6E2F">
            <w:pPr>
              <w:rPr>
                <w:rFonts w:ascii="宋体"/>
                <w:vanish/>
              </w:rPr>
            </w:pPr>
          </w:p>
        </w:tc>
        <w:tc>
          <w:tcPr>
            <w:tcW w:w="0" w:type="auto"/>
            <w:shd w:val="clear" w:color="auto" w:fill="auto"/>
            <w:vAlign w:val="bottom"/>
          </w:tcPr>
          <w:p w14:paraId="2470D86E" w14:textId="77777777" w:rsidR="009C6E2F" w:rsidRDefault="009C6E2F">
            <w:pPr>
              <w:rPr>
                <w:rFonts w:ascii="宋体"/>
              </w:rPr>
            </w:pPr>
          </w:p>
        </w:tc>
        <w:tc>
          <w:tcPr>
            <w:tcW w:w="0" w:type="auto"/>
            <w:shd w:val="clear" w:color="auto" w:fill="auto"/>
            <w:vAlign w:val="bottom"/>
          </w:tcPr>
          <w:p w14:paraId="2470D86F" w14:textId="77777777" w:rsidR="009C6E2F" w:rsidRDefault="009C6E2F">
            <w:pPr>
              <w:rPr>
                <w:rFonts w:ascii="宋体"/>
              </w:rPr>
            </w:pPr>
          </w:p>
        </w:tc>
        <w:tc>
          <w:tcPr>
            <w:tcW w:w="0" w:type="auto"/>
            <w:shd w:val="clear" w:color="auto" w:fill="auto"/>
            <w:vAlign w:val="bottom"/>
          </w:tcPr>
          <w:p w14:paraId="2470D870" w14:textId="77777777" w:rsidR="009C6E2F" w:rsidRDefault="009C6E2F">
            <w:pPr>
              <w:rPr>
                <w:rFonts w:ascii="宋体"/>
              </w:rPr>
            </w:pPr>
          </w:p>
        </w:tc>
        <w:tc>
          <w:tcPr>
            <w:tcW w:w="0" w:type="auto"/>
            <w:shd w:val="clear" w:color="auto" w:fill="auto"/>
            <w:vAlign w:val="bottom"/>
          </w:tcPr>
          <w:p w14:paraId="2470D871" w14:textId="77777777" w:rsidR="009C6E2F" w:rsidRDefault="009C6E2F">
            <w:pPr>
              <w:rPr>
                <w:rFonts w:ascii="宋体"/>
              </w:rPr>
            </w:pPr>
          </w:p>
        </w:tc>
        <w:tc>
          <w:tcPr>
            <w:tcW w:w="0" w:type="auto"/>
            <w:shd w:val="clear" w:color="auto" w:fill="auto"/>
            <w:vAlign w:val="bottom"/>
          </w:tcPr>
          <w:p w14:paraId="2470D872" w14:textId="77777777" w:rsidR="009C6E2F" w:rsidRDefault="009C6E2F">
            <w:pPr>
              <w:rPr>
                <w:rFonts w:ascii="宋体"/>
              </w:rPr>
            </w:pPr>
          </w:p>
        </w:tc>
        <w:tc>
          <w:tcPr>
            <w:tcW w:w="0" w:type="auto"/>
            <w:shd w:val="clear" w:color="auto" w:fill="auto"/>
            <w:vAlign w:val="bottom"/>
          </w:tcPr>
          <w:p w14:paraId="2470D873" w14:textId="77777777" w:rsidR="009C6E2F" w:rsidRDefault="009C6E2F">
            <w:pPr>
              <w:rPr>
                <w:rFonts w:ascii="宋体"/>
              </w:rPr>
            </w:pPr>
          </w:p>
        </w:tc>
        <w:tc>
          <w:tcPr>
            <w:tcW w:w="0" w:type="auto"/>
            <w:shd w:val="clear" w:color="auto" w:fill="auto"/>
            <w:vAlign w:val="bottom"/>
          </w:tcPr>
          <w:p w14:paraId="2470D874" w14:textId="77777777" w:rsidR="009C6E2F" w:rsidRDefault="009C6E2F">
            <w:pPr>
              <w:rPr>
                <w:rFonts w:ascii="宋体"/>
              </w:rPr>
            </w:pPr>
          </w:p>
        </w:tc>
        <w:tc>
          <w:tcPr>
            <w:tcW w:w="0" w:type="auto"/>
            <w:shd w:val="clear" w:color="auto" w:fill="auto"/>
            <w:vAlign w:val="bottom"/>
          </w:tcPr>
          <w:p w14:paraId="2470D875" w14:textId="77777777" w:rsidR="009C6E2F" w:rsidRDefault="009C6E2F">
            <w:pPr>
              <w:rPr>
                <w:rFonts w:ascii="宋体"/>
              </w:rPr>
            </w:pPr>
          </w:p>
        </w:tc>
        <w:tc>
          <w:tcPr>
            <w:tcW w:w="0" w:type="auto"/>
            <w:shd w:val="clear" w:color="auto" w:fill="auto"/>
            <w:vAlign w:val="bottom"/>
          </w:tcPr>
          <w:p w14:paraId="2470D876" w14:textId="77777777" w:rsidR="009C6E2F" w:rsidRDefault="009C6E2F">
            <w:pPr>
              <w:rPr>
                <w:rFonts w:ascii="宋体"/>
              </w:rPr>
            </w:pPr>
          </w:p>
        </w:tc>
      </w:tr>
      <w:tr w:rsidR="009C6E2F" w14:paraId="2470D884" w14:textId="77777777">
        <w:tc>
          <w:tcPr>
            <w:tcW w:w="0" w:type="auto"/>
            <w:gridSpan w:val="3"/>
            <w:shd w:val="clear" w:color="auto" w:fill="auto"/>
            <w:tcMar>
              <w:top w:w="40" w:type="dxa"/>
              <w:left w:w="20" w:type="dxa"/>
              <w:bottom w:w="40" w:type="dxa"/>
              <w:right w:w="20" w:type="dxa"/>
            </w:tcMar>
            <w:vAlign w:val="bottom"/>
          </w:tcPr>
          <w:p w14:paraId="2470D87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79"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7A"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7B"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470D87C"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7D"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7E"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7F"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470D880" w14:textId="77777777" w:rsidR="009C6E2F" w:rsidRDefault="009C6E2F">
            <w:pPr>
              <w:rPr>
                <w:rFonts w:ascii="宋体"/>
                <w:vanish/>
              </w:rPr>
            </w:pPr>
          </w:p>
        </w:tc>
        <w:tc>
          <w:tcPr>
            <w:tcW w:w="0" w:type="auto"/>
            <w:gridSpan w:val="3"/>
            <w:shd w:val="clear" w:color="auto" w:fill="auto"/>
            <w:vAlign w:val="bottom"/>
          </w:tcPr>
          <w:p w14:paraId="2470D881" w14:textId="77777777" w:rsidR="009C6E2F" w:rsidRDefault="009C6E2F">
            <w:pPr>
              <w:rPr>
                <w:rFonts w:ascii="宋体"/>
                <w:vanish/>
              </w:rPr>
            </w:pPr>
          </w:p>
        </w:tc>
        <w:tc>
          <w:tcPr>
            <w:tcW w:w="0" w:type="auto"/>
            <w:gridSpan w:val="3"/>
            <w:shd w:val="clear" w:color="auto" w:fill="auto"/>
            <w:vAlign w:val="bottom"/>
          </w:tcPr>
          <w:p w14:paraId="2470D882" w14:textId="77777777" w:rsidR="009C6E2F" w:rsidRDefault="009C6E2F">
            <w:pPr>
              <w:rPr>
                <w:rFonts w:ascii="宋体"/>
                <w:vanish/>
              </w:rPr>
            </w:pPr>
          </w:p>
        </w:tc>
        <w:tc>
          <w:tcPr>
            <w:tcW w:w="0" w:type="auto"/>
            <w:gridSpan w:val="3"/>
            <w:shd w:val="clear" w:color="auto" w:fill="auto"/>
            <w:vAlign w:val="bottom"/>
          </w:tcPr>
          <w:p w14:paraId="2470D883" w14:textId="77777777" w:rsidR="009C6E2F" w:rsidRDefault="009C6E2F">
            <w:pPr>
              <w:rPr>
                <w:rFonts w:ascii="宋体"/>
                <w:vanish/>
              </w:rPr>
            </w:pPr>
          </w:p>
        </w:tc>
      </w:tr>
      <w:tr w:rsidR="009C6E2F" w14:paraId="2470D89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85" w14:textId="77777777" w:rsidR="009C6E2F" w:rsidRDefault="007972BE">
            <w:pPr>
              <w:textAlignment w:val="bottom"/>
            </w:pPr>
            <w:r>
              <w:rPr>
                <w:rFonts w:ascii="Arial" w:eastAsia="宋体" w:hAnsi="Arial" w:cs="Arial"/>
                <w:color w:val="000000"/>
                <w:sz w:val="17"/>
                <w:szCs w:val="17"/>
              </w:rPr>
              <w:t>North America</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886"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887" w14:textId="77777777" w:rsidR="009C6E2F" w:rsidRDefault="007972BE">
            <w:pPr>
              <w:jc w:val="right"/>
              <w:textAlignment w:val="bottom"/>
            </w:pPr>
            <w:r>
              <w:rPr>
                <w:rFonts w:ascii="Arial" w:eastAsia="宋体" w:hAnsi="Arial" w:cs="Arial"/>
                <w:color w:val="000000"/>
                <w:sz w:val="17"/>
                <w:szCs w:val="17"/>
              </w:rPr>
              <w:t>1,235 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888"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889"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88A" w14:textId="77777777" w:rsidR="009C6E2F" w:rsidRDefault="007972BE">
            <w:pPr>
              <w:jc w:val="right"/>
              <w:textAlignment w:val="bottom"/>
            </w:pPr>
            <w:r>
              <w:rPr>
                <w:rFonts w:ascii="Arial" w:eastAsia="宋体" w:hAnsi="Arial" w:cs="Arial"/>
                <w:color w:val="000000"/>
                <w:sz w:val="17"/>
                <w:szCs w:val="17"/>
              </w:rPr>
              <w:t>1,023 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8B"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8C"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8D"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88E"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88F"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890" w14:textId="77777777" w:rsidR="009C6E2F" w:rsidRDefault="007972BE">
            <w:pPr>
              <w:jc w:val="right"/>
              <w:textAlignment w:val="bottom"/>
            </w:pPr>
            <w:r>
              <w:rPr>
                <w:rFonts w:ascii="Arial" w:eastAsia="宋体" w:hAnsi="Arial" w:cs="Arial"/>
                <w:color w:val="000000"/>
                <w:sz w:val="17"/>
                <w:szCs w:val="17"/>
              </w:rPr>
              <w:t>2,669 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89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892"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893" w14:textId="77777777" w:rsidR="009C6E2F" w:rsidRDefault="007972BE">
            <w:pPr>
              <w:jc w:val="right"/>
              <w:textAlignment w:val="bottom"/>
            </w:pPr>
            <w:r>
              <w:rPr>
                <w:rFonts w:ascii="Arial" w:eastAsia="宋体" w:hAnsi="Arial" w:cs="Arial"/>
                <w:color w:val="000000"/>
                <w:sz w:val="17"/>
                <w:szCs w:val="17"/>
              </w:rPr>
              <w:t>2,325 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9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95"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96"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897" w14:textId="77777777" w:rsidR="009C6E2F" w:rsidRDefault="009C6E2F">
            <w:pPr>
              <w:rPr>
                <w:rFonts w:ascii="宋体"/>
                <w:vanish/>
              </w:rPr>
            </w:pPr>
          </w:p>
        </w:tc>
        <w:tc>
          <w:tcPr>
            <w:tcW w:w="0" w:type="auto"/>
            <w:gridSpan w:val="3"/>
            <w:shd w:val="clear" w:color="auto" w:fill="auto"/>
            <w:vAlign w:val="bottom"/>
          </w:tcPr>
          <w:p w14:paraId="2470D898" w14:textId="77777777" w:rsidR="009C6E2F" w:rsidRDefault="009C6E2F">
            <w:pPr>
              <w:rPr>
                <w:rFonts w:ascii="宋体"/>
                <w:vanish/>
              </w:rPr>
            </w:pPr>
          </w:p>
        </w:tc>
        <w:tc>
          <w:tcPr>
            <w:tcW w:w="0" w:type="auto"/>
            <w:gridSpan w:val="3"/>
            <w:shd w:val="clear" w:color="auto" w:fill="auto"/>
            <w:vAlign w:val="bottom"/>
          </w:tcPr>
          <w:p w14:paraId="2470D899" w14:textId="77777777" w:rsidR="009C6E2F" w:rsidRDefault="009C6E2F">
            <w:pPr>
              <w:rPr>
                <w:rFonts w:ascii="宋体"/>
                <w:vanish/>
              </w:rPr>
            </w:pPr>
          </w:p>
        </w:tc>
        <w:tc>
          <w:tcPr>
            <w:tcW w:w="0" w:type="auto"/>
            <w:gridSpan w:val="3"/>
            <w:shd w:val="clear" w:color="auto" w:fill="auto"/>
            <w:vAlign w:val="bottom"/>
          </w:tcPr>
          <w:p w14:paraId="2470D89A" w14:textId="77777777" w:rsidR="009C6E2F" w:rsidRDefault="009C6E2F">
            <w:pPr>
              <w:rPr>
                <w:rFonts w:ascii="宋体"/>
                <w:vanish/>
              </w:rPr>
            </w:pPr>
          </w:p>
        </w:tc>
      </w:tr>
      <w:tr w:rsidR="009C6E2F" w14:paraId="2470D8AE"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89C" w14:textId="77777777" w:rsidR="009C6E2F" w:rsidRDefault="007972BE">
            <w:pPr>
              <w:textAlignment w:val="bottom"/>
            </w:pPr>
            <w:r>
              <w:rPr>
                <w:rFonts w:ascii="Arial" w:eastAsia="宋体" w:hAnsi="Arial" w:cs="Arial"/>
                <w:color w:val="000000"/>
                <w:sz w:val="17"/>
                <w:szCs w:val="17"/>
              </w:rPr>
              <w:t>Europe, Middle East &amp; Africa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9D" w14:textId="77777777" w:rsidR="009C6E2F" w:rsidRDefault="007972BE">
            <w:pPr>
              <w:jc w:val="right"/>
              <w:textAlignment w:val="bottom"/>
            </w:pPr>
            <w:r>
              <w:rPr>
                <w:rFonts w:ascii="Arial" w:eastAsia="宋体" w:hAnsi="Arial" w:cs="Arial"/>
                <w:color w:val="000000"/>
                <w:sz w:val="17"/>
                <w:szCs w:val="17"/>
              </w:rPr>
              <w:t>806 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9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9F" w14:textId="77777777" w:rsidR="009C6E2F" w:rsidRDefault="007972BE">
            <w:pPr>
              <w:jc w:val="right"/>
              <w:textAlignment w:val="bottom"/>
            </w:pPr>
            <w:r>
              <w:rPr>
                <w:rFonts w:ascii="Arial" w:eastAsia="宋体" w:hAnsi="Arial" w:cs="Arial"/>
                <w:color w:val="000000"/>
                <w:sz w:val="17"/>
                <w:szCs w:val="17"/>
              </w:rPr>
              <w:t>660 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A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A1" w14:textId="77777777" w:rsidR="009C6E2F" w:rsidRDefault="007972BE">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A2"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8A3"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A4" w14:textId="77777777" w:rsidR="009C6E2F" w:rsidRDefault="007972BE">
            <w:pPr>
              <w:jc w:val="right"/>
              <w:textAlignment w:val="bottom"/>
            </w:pPr>
            <w:r>
              <w:rPr>
                <w:rFonts w:ascii="Arial" w:eastAsia="宋体" w:hAnsi="Arial" w:cs="Arial"/>
                <w:color w:val="000000"/>
                <w:sz w:val="17"/>
                <w:szCs w:val="17"/>
              </w:rPr>
              <w:t>1,681 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A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A6" w14:textId="77777777" w:rsidR="009C6E2F" w:rsidRDefault="007972BE">
            <w:pPr>
              <w:jc w:val="right"/>
              <w:textAlignment w:val="bottom"/>
            </w:pPr>
            <w:r>
              <w:rPr>
                <w:rFonts w:ascii="Arial" w:eastAsia="宋体" w:hAnsi="Arial" w:cs="Arial"/>
                <w:color w:val="000000"/>
                <w:sz w:val="17"/>
                <w:szCs w:val="17"/>
              </w:rPr>
              <w:t>1,352 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A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A8" w14:textId="77777777" w:rsidR="009C6E2F" w:rsidRDefault="007972BE">
            <w:pPr>
              <w:jc w:val="right"/>
              <w:textAlignment w:val="bottom"/>
            </w:pPr>
            <w:r>
              <w:rPr>
                <w:rFonts w:ascii="Arial" w:eastAsia="宋体" w:hAnsi="Arial" w:cs="Arial"/>
                <w:color w:val="000000"/>
                <w:sz w:val="17"/>
                <w:szCs w:val="17"/>
              </w:rPr>
              <w:t>24 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A9"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8AA" w14:textId="77777777" w:rsidR="009C6E2F" w:rsidRDefault="009C6E2F">
            <w:pPr>
              <w:rPr>
                <w:rFonts w:ascii="宋体"/>
                <w:vanish/>
              </w:rPr>
            </w:pPr>
          </w:p>
        </w:tc>
        <w:tc>
          <w:tcPr>
            <w:tcW w:w="0" w:type="auto"/>
            <w:gridSpan w:val="3"/>
            <w:shd w:val="clear" w:color="auto" w:fill="auto"/>
            <w:vAlign w:val="bottom"/>
          </w:tcPr>
          <w:p w14:paraId="2470D8AB" w14:textId="77777777" w:rsidR="009C6E2F" w:rsidRDefault="009C6E2F">
            <w:pPr>
              <w:rPr>
                <w:rFonts w:ascii="宋体"/>
                <w:vanish/>
              </w:rPr>
            </w:pPr>
          </w:p>
        </w:tc>
        <w:tc>
          <w:tcPr>
            <w:tcW w:w="0" w:type="auto"/>
            <w:gridSpan w:val="3"/>
            <w:shd w:val="clear" w:color="auto" w:fill="auto"/>
            <w:vAlign w:val="bottom"/>
          </w:tcPr>
          <w:p w14:paraId="2470D8AC" w14:textId="77777777" w:rsidR="009C6E2F" w:rsidRDefault="009C6E2F">
            <w:pPr>
              <w:rPr>
                <w:rFonts w:ascii="宋体"/>
                <w:vanish/>
              </w:rPr>
            </w:pPr>
          </w:p>
        </w:tc>
        <w:tc>
          <w:tcPr>
            <w:tcW w:w="0" w:type="auto"/>
            <w:gridSpan w:val="3"/>
            <w:shd w:val="clear" w:color="auto" w:fill="auto"/>
            <w:vAlign w:val="bottom"/>
          </w:tcPr>
          <w:p w14:paraId="2470D8AD" w14:textId="77777777" w:rsidR="009C6E2F" w:rsidRDefault="009C6E2F">
            <w:pPr>
              <w:rPr>
                <w:rFonts w:ascii="宋体"/>
                <w:vanish/>
              </w:rPr>
            </w:pPr>
          </w:p>
        </w:tc>
      </w:tr>
      <w:tr w:rsidR="009C6E2F" w14:paraId="2470D8C1"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8AF" w14:textId="77777777" w:rsidR="009C6E2F" w:rsidRDefault="007972BE">
            <w:pPr>
              <w:textAlignment w:val="bottom"/>
            </w:pPr>
            <w:r>
              <w:rPr>
                <w:rFonts w:ascii="Arial" w:eastAsia="宋体" w:hAnsi="Arial" w:cs="Arial"/>
                <w:color w:val="000000"/>
                <w:sz w:val="17"/>
                <w:szCs w:val="17"/>
              </w:rPr>
              <w:t>Greater China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B0" w14:textId="77777777" w:rsidR="009C6E2F" w:rsidRDefault="007972BE">
            <w:pPr>
              <w:jc w:val="right"/>
              <w:textAlignment w:val="bottom"/>
            </w:pPr>
            <w:r>
              <w:rPr>
                <w:rFonts w:ascii="Arial" w:eastAsia="宋体" w:hAnsi="Arial" w:cs="Arial"/>
                <w:color w:val="000000"/>
                <w:sz w:val="17"/>
                <w:szCs w:val="17"/>
              </w:rPr>
              <w:t>569 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B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B2" w14:textId="77777777" w:rsidR="009C6E2F" w:rsidRDefault="007972BE">
            <w:pPr>
              <w:jc w:val="right"/>
              <w:textAlignment w:val="bottom"/>
            </w:pPr>
            <w:r>
              <w:rPr>
                <w:rFonts w:ascii="Arial" w:eastAsia="宋体" w:hAnsi="Arial" w:cs="Arial"/>
                <w:color w:val="000000"/>
                <w:sz w:val="17"/>
                <w:szCs w:val="17"/>
              </w:rPr>
              <w:t>891 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B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B4" w14:textId="77777777" w:rsidR="009C6E2F" w:rsidRDefault="007972BE">
            <w:pPr>
              <w:jc w:val="right"/>
              <w:textAlignment w:val="bottom"/>
            </w:pPr>
            <w:r>
              <w:rPr>
                <w:rFonts w:ascii="Arial" w:eastAsia="宋体" w:hAnsi="Arial" w:cs="Arial"/>
                <w:color w:val="000000"/>
                <w:sz w:val="17"/>
                <w:szCs w:val="17"/>
              </w:rPr>
              <w:t>-36 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B5"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8B6"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B7" w14:textId="77777777" w:rsidR="009C6E2F" w:rsidRDefault="007972BE">
            <w:pPr>
              <w:jc w:val="right"/>
              <w:textAlignment w:val="bottom"/>
            </w:pPr>
            <w:r>
              <w:rPr>
                <w:rFonts w:ascii="Arial" w:eastAsia="宋体" w:hAnsi="Arial" w:cs="Arial"/>
                <w:color w:val="000000"/>
                <w:sz w:val="17"/>
                <w:szCs w:val="17"/>
              </w:rPr>
              <w:t>1,270 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B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B9" w14:textId="77777777" w:rsidR="009C6E2F" w:rsidRDefault="007972BE">
            <w:pPr>
              <w:jc w:val="right"/>
              <w:textAlignment w:val="bottom"/>
            </w:pPr>
            <w:r>
              <w:rPr>
                <w:rFonts w:ascii="Arial" w:eastAsia="宋体" w:hAnsi="Arial" w:cs="Arial"/>
                <w:color w:val="000000"/>
                <w:sz w:val="17"/>
                <w:szCs w:val="17"/>
              </w:rPr>
              <w:t>1,579 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B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BB" w14:textId="77777777" w:rsidR="009C6E2F" w:rsidRDefault="007972BE">
            <w:pPr>
              <w:jc w:val="right"/>
              <w:textAlignment w:val="bottom"/>
            </w:pPr>
            <w:r>
              <w:rPr>
                <w:rFonts w:ascii="Arial" w:eastAsia="宋体" w:hAnsi="Arial" w:cs="Arial"/>
                <w:color w:val="000000"/>
                <w:sz w:val="17"/>
                <w:szCs w:val="17"/>
              </w:rPr>
              <w:t>-20 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BC"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8BD" w14:textId="77777777" w:rsidR="009C6E2F" w:rsidRDefault="009C6E2F">
            <w:pPr>
              <w:rPr>
                <w:rFonts w:ascii="宋体"/>
                <w:vanish/>
              </w:rPr>
            </w:pPr>
          </w:p>
        </w:tc>
        <w:tc>
          <w:tcPr>
            <w:tcW w:w="0" w:type="auto"/>
            <w:gridSpan w:val="3"/>
            <w:shd w:val="clear" w:color="auto" w:fill="auto"/>
            <w:vAlign w:val="bottom"/>
          </w:tcPr>
          <w:p w14:paraId="2470D8BE" w14:textId="77777777" w:rsidR="009C6E2F" w:rsidRDefault="009C6E2F">
            <w:pPr>
              <w:rPr>
                <w:rFonts w:ascii="宋体"/>
                <w:vanish/>
              </w:rPr>
            </w:pPr>
          </w:p>
        </w:tc>
        <w:tc>
          <w:tcPr>
            <w:tcW w:w="0" w:type="auto"/>
            <w:gridSpan w:val="3"/>
            <w:shd w:val="clear" w:color="auto" w:fill="auto"/>
            <w:vAlign w:val="bottom"/>
          </w:tcPr>
          <w:p w14:paraId="2470D8BF" w14:textId="77777777" w:rsidR="009C6E2F" w:rsidRDefault="009C6E2F">
            <w:pPr>
              <w:rPr>
                <w:rFonts w:ascii="宋体"/>
                <w:vanish/>
              </w:rPr>
            </w:pPr>
          </w:p>
        </w:tc>
        <w:tc>
          <w:tcPr>
            <w:tcW w:w="0" w:type="auto"/>
            <w:gridSpan w:val="3"/>
            <w:shd w:val="clear" w:color="auto" w:fill="auto"/>
            <w:vAlign w:val="bottom"/>
          </w:tcPr>
          <w:p w14:paraId="2470D8C0" w14:textId="77777777" w:rsidR="009C6E2F" w:rsidRDefault="009C6E2F">
            <w:pPr>
              <w:rPr>
                <w:rFonts w:ascii="宋体"/>
                <w:vanish/>
              </w:rPr>
            </w:pPr>
          </w:p>
        </w:tc>
      </w:tr>
      <w:tr w:rsidR="009C6E2F" w14:paraId="2470D8D4"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8C2" w14:textId="77777777" w:rsidR="009C6E2F" w:rsidRDefault="007972BE">
            <w:pPr>
              <w:textAlignment w:val="bottom"/>
            </w:pPr>
            <w:r>
              <w:rPr>
                <w:rFonts w:ascii="Arial" w:eastAsia="宋体" w:hAnsi="Arial" w:cs="Arial"/>
                <w:color w:val="000000"/>
                <w:sz w:val="17"/>
                <w:szCs w:val="17"/>
              </w:rPr>
              <w:t>Asia Pacific &amp; Latin America</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C3" w14:textId="77777777" w:rsidR="009C6E2F" w:rsidRDefault="007972BE">
            <w:pPr>
              <w:jc w:val="right"/>
              <w:textAlignment w:val="bottom"/>
            </w:pPr>
            <w:r>
              <w:rPr>
                <w:rFonts w:ascii="Arial" w:eastAsia="宋体" w:hAnsi="Arial" w:cs="Arial"/>
                <w:color w:val="000000"/>
                <w:sz w:val="17"/>
                <w:szCs w:val="17"/>
              </w:rPr>
              <w:t>388 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C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C5" w14:textId="77777777" w:rsidR="009C6E2F" w:rsidRDefault="007972BE">
            <w:pPr>
              <w:jc w:val="right"/>
              <w:textAlignment w:val="bottom"/>
            </w:pPr>
            <w:r>
              <w:rPr>
                <w:rFonts w:ascii="Arial" w:eastAsia="宋体" w:hAnsi="Arial" w:cs="Arial"/>
                <w:color w:val="000000"/>
                <w:sz w:val="17"/>
                <w:szCs w:val="17"/>
              </w:rPr>
              <w:t>424 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C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C7"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C8"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8C9"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CA" w14:textId="77777777" w:rsidR="009C6E2F" w:rsidRDefault="007972BE">
            <w:pPr>
              <w:jc w:val="right"/>
              <w:textAlignment w:val="bottom"/>
            </w:pPr>
            <w:r>
              <w:rPr>
                <w:rFonts w:ascii="Arial" w:eastAsia="宋体" w:hAnsi="Arial" w:cs="Arial"/>
                <w:color w:val="000000"/>
                <w:sz w:val="17"/>
                <w:szCs w:val="17"/>
              </w:rPr>
              <w:t>869 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C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CC" w14:textId="77777777" w:rsidR="009C6E2F" w:rsidRDefault="007972BE">
            <w:pPr>
              <w:jc w:val="right"/>
              <w:textAlignment w:val="bottom"/>
            </w:pPr>
            <w:r>
              <w:rPr>
                <w:rFonts w:ascii="Arial" w:eastAsia="宋体" w:hAnsi="Arial" w:cs="Arial"/>
                <w:color w:val="000000"/>
                <w:sz w:val="17"/>
                <w:szCs w:val="17"/>
              </w:rPr>
              <w:t>704 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C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CE" w14:textId="77777777" w:rsidR="009C6E2F" w:rsidRDefault="007972BE">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CF"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8D0" w14:textId="77777777" w:rsidR="009C6E2F" w:rsidRDefault="009C6E2F">
            <w:pPr>
              <w:rPr>
                <w:rFonts w:ascii="宋体"/>
                <w:vanish/>
              </w:rPr>
            </w:pPr>
          </w:p>
        </w:tc>
        <w:tc>
          <w:tcPr>
            <w:tcW w:w="0" w:type="auto"/>
            <w:gridSpan w:val="3"/>
            <w:shd w:val="clear" w:color="auto" w:fill="auto"/>
            <w:vAlign w:val="bottom"/>
          </w:tcPr>
          <w:p w14:paraId="2470D8D1" w14:textId="77777777" w:rsidR="009C6E2F" w:rsidRDefault="009C6E2F">
            <w:pPr>
              <w:rPr>
                <w:rFonts w:ascii="宋体"/>
                <w:vanish/>
              </w:rPr>
            </w:pPr>
          </w:p>
        </w:tc>
        <w:tc>
          <w:tcPr>
            <w:tcW w:w="0" w:type="auto"/>
            <w:gridSpan w:val="3"/>
            <w:shd w:val="clear" w:color="auto" w:fill="auto"/>
            <w:vAlign w:val="bottom"/>
          </w:tcPr>
          <w:p w14:paraId="2470D8D2" w14:textId="77777777" w:rsidR="009C6E2F" w:rsidRDefault="009C6E2F">
            <w:pPr>
              <w:rPr>
                <w:rFonts w:ascii="宋体"/>
                <w:vanish/>
              </w:rPr>
            </w:pPr>
          </w:p>
        </w:tc>
        <w:tc>
          <w:tcPr>
            <w:tcW w:w="0" w:type="auto"/>
            <w:gridSpan w:val="3"/>
            <w:shd w:val="clear" w:color="auto" w:fill="auto"/>
            <w:vAlign w:val="bottom"/>
          </w:tcPr>
          <w:p w14:paraId="2470D8D3" w14:textId="77777777" w:rsidR="009C6E2F" w:rsidRDefault="009C6E2F">
            <w:pPr>
              <w:rPr>
                <w:rFonts w:ascii="宋体"/>
                <w:vanish/>
              </w:rPr>
            </w:pPr>
          </w:p>
        </w:tc>
      </w:tr>
      <w:tr w:rsidR="009C6E2F" w14:paraId="2470D8E7"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8D5" w14:textId="77777777" w:rsidR="009C6E2F" w:rsidRDefault="007972BE">
            <w:pPr>
              <w:textAlignment w:val="bottom"/>
            </w:pPr>
            <w:r>
              <w:rPr>
                <w:rFonts w:ascii="Arial" w:eastAsia="宋体" w:hAnsi="Arial" w:cs="Arial"/>
                <w:color w:val="000000"/>
                <w:sz w:val="17"/>
                <w:szCs w:val="17"/>
              </w:rPr>
              <w:t>Global Brand Divisions</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D6" w14:textId="77777777" w:rsidR="009C6E2F" w:rsidRDefault="007972BE">
            <w:pPr>
              <w:jc w:val="right"/>
              <w:textAlignment w:val="bottom"/>
            </w:pPr>
            <w:r>
              <w:rPr>
                <w:rFonts w:ascii="Arial" w:eastAsia="宋体" w:hAnsi="Arial" w:cs="Arial"/>
                <w:color w:val="000000"/>
                <w:sz w:val="17"/>
                <w:szCs w:val="17"/>
              </w:rPr>
              <w:t>(1,071)</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D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D8" w14:textId="77777777" w:rsidR="009C6E2F" w:rsidRDefault="007972BE">
            <w:pPr>
              <w:jc w:val="right"/>
              <w:textAlignment w:val="bottom"/>
            </w:pPr>
            <w:r>
              <w:rPr>
                <w:rFonts w:ascii="Arial" w:eastAsia="宋体" w:hAnsi="Arial" w:cs="Arial"/>
                <w:color w:val="000000"/>
                <w:sz w:val="17"/>
                <w:szCs w:val="17"/>
              </w:rPr>
              <w:t>(841)</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D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DA" w14:textId="77777777" w:rsidR="009C6E2F" w:rsidRDefault="007972BE">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DB"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8DC"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8DD" w14:textId="77777777" w:rsidR="009C6E2F" w:rsidRDefault="007972BE">
            <w:pPr>
              <w:jc w:val="right"/>
              <w:textAlignment w:val="bottom"/>
            </w:pPr>
            <w:r>
              <w:rPr>
                <w:rFonts w:ascii="Arial" w:eastAsia="宋体" w:hAnsi="Arial" w:cs="Arial"/>
                <w:color w:val="000000"/>
                <w:sz w:val="17"/>
                <w:szCs w:val="17"/>
              </w:rPr>
              <w:t>(2,058)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8D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DF" w14:textId="77777777" w:rsidR="009C6E2F" w:rsidRDefault="007972BE">
            <w:pPr>
              <w:jc w:val="right"/>
              <w:textAlignment w:val="bottom"/>
            </w:pPr>
            <w:r>
              <w:rPr>
                <w:rFonts w:ascii="Arial" w:eastAsia="宋体" w:hAnsi="Arial" w:cs="Arial"/>
                <w:color w:val="000000"/>
                <w:sz w:val="17"/>
                <w:szCs w:val="17"/>
              </w:rPr>
              <w:t>(1,694)</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E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8E1"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8E2"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8E3" w14:textId="77777777" w:rsidR="009C6E2F" w:rsidRDefault="009C6E2F">
            <w:pPr>
              <w:rPr>
                <w:rFonts w:ascii="宋体"/>
                <w:vanish/>
              </w:rPr>
            </w:pPr>
          </w:p>
        </w:tc>
        <w:tc>
          <w:tcPr>
            <w:tcW w:w="0" w:type="auto"/>
            <w:gridSpan w:val="3"/>
            <w:shd w:val="clear" w:color="auto" w:fill="auto"/>
            <w:vAlign w:val="bottom"/>
          </w:tcPr>
          <w:p w14:paraId="2470D8E4" w14:textId="77777777" w:rsidR="009C6E2F" w:rsidRDefault="009C6E2F">
            <w:pPr>
              <w:rPr>
                <w:rFonts w:ascii="宋体"/>
                <w:vanish/>
              </w:rPr>
            </w:pPr>
          </w:p>
        </w:tc>
        <w:tc>
          <w:tcPr>
            <w:tcW w:w="0" w:type="auto"/>
            <w:gridSpan w:val="3"/>
            <w:shd w:val="clear" w:color="auto" w:fill="auto"/>
            <w:vAlign w:val="bottom"/>
          </w:tcPr>
          <w:p w14:paraId="2470D8E5" w14:textId="77777777" w:rsidR="009C6E2F" w:rsidRDefault="009C6E2F">
            <w:pPr>
              <w:rPr>
                <w:rFonts w:ascii="宋体"/>
                <w:vanish/>
              </w:rPr>
            </w:pPr>
          </w:p>
        </w:tc>
        <w:tc>
          <w:tcPr>
            <w:tcW w:w="0" w:type="auto"/>
            <w:gridSpan w:val="3"/>
            <w:shd w:val="clear" w:color="auto" w:fill="auto"/>
            <w:vAlign w:val="bottom"/>
          </w:tcPr>
          <w:p w14:paraId="2470D8E6" w14:textId="77777777" w:rsidR="009C6E2F" w:rsidRDefault="009C6E2F">
            <w:pPr>
              <w:rPr>
                <w:rFonts w:ascii="宋体"/>
                <w:vanish/>
              </w:rPr>
            </w:pPr>
          </w:p>
        </w:tc>
      </w:tr>
      <w:tr w:rsidR="009C6E2F" w14:paraId="2470D8FA"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E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7"/>
                <w:szCs w:val="17"/>
              </w:rPr>
              <w:t>TOTAL NIKE BRAND</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8E9" w14:textId="77777777" w:rsidR="009C6E2F" w:rsidRDefault="007972BE">
            <w:pPr>
              <w:jc w:val="right"/>
              <w:textAlignment w:val="bottom"/>
            </w:pPr>
            <w:r>
              <w:rPr>
                <w:rFonts w:ascii="Arial" w:eastAsia="宋体" w:hAnsi="Arial" w:cs="Arial"/>
                <w:b/>
                <w:bCs/>
                <w:color w:val="000000"/>
                <w:sz w:val="17"/>
                <w:szCs w:val="17"/>
              </w:rPr>
              <w:t>1,927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8E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EB" w14:textId="77777777" w:rsidR="009C6E2F" w:rsidRDefault="007972BE">
            <w:pPr>
              <w:jc w:val="right"/>
              <w:textAlignment w:val="bottom"/>
            </w:pPr>
            <w:r>
              <w:rPr>
                <w:rFonts w:ascii="Arial" w:eastAsia="宋体" w:hAnsi="Arial" w:cs="Arial"/>
                <w:b/>
                <w:bCs/>
                <w:color w:val="000000"/>
                <w:sz w:val="17"/>
                <w:szCs w:val="17"/>
              </w:rPr>
              <w:t>2,157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EC"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ED" w14:textId="77777777" w:rsidR="009C6E2F" w:rsidRDefault="007972BE">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EE"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8EF"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8F0" w14:textId="77777777" w:rsidR="009C6E2F" w:rsidRDefault="007972BE">
            <w:pPr>
              <w:jc w:val="right"/>
              <w:textAlignment w:val="bottom"/>
            </w:pPr>
            <w:r>
              <w:rPr>
                <w:rFonts w:ascii="Arial" w:eastAsia="宋体" w:hAnsi="Arial" w:cs="Arial"/>
                <w:b/>
                <w:bCs/>
                <w:color w:val="000000"/>
                <w:sz w:val="17"/>
                <w:szCs w:val="17"/>
              </w:rPr>
              <w:t>4,431</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8F1"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F2" w14:textId="77777777" w:rsidR="009C6E2F" w:rsidRDefault="007972BE">
            <w:pPr>
              <w:jc w:val="right"/>
              <w:textAlignment w:val="bottom"/>
            </w:pPr>
            <w:r>
              <w:rPr>
                <w:rFonts w:ascii="Arial" w:eastAsia="宋体" w:hAnsi="Arial" w:cs="Arial"/>
                <w:b/>
                <w:bCs/>
                <w:color w:val="000000"/>
                <w:sz w:val="17"/>
                <w:szCs w:val="17"/>
              </w:rPr>
              <w:t>4,266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F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F4" w14:textId="77777777" w:rsidR="009C6E2F" w:rsidRDefault="007972BE">
            <w:pPr>
              <w:jc w:val="right"/>
              <w:textAlignment w:val="bottom"/>
            </w:pPr>
            <w:r>
              <w:rPr>
                <w:rFonts w:ascii="Arial" w:eastAsia="宋体" w:hAnsi="Arial" w:cs="Arial"/>
                <w:b/>
                <w:bCs/>
                <w:color w:val="000000"/>
                <w:sz w:val="17"/>
                <w:szCs w:val="17"/>
              </w:rPr>
              <w:t>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F5"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8F6" w14:textId="77777777" w:rsidR="009C6E2F" w:rsidRDefault="009C6E2F">
            <w:pPr>
              <w:rPr>
                <w:rFonts w:ascii="宋体"/>
                <w:vanish/>
              </w:rPr>
            </w:pPr>
          </w:p>
        </w:tc>
        <w:tc>
          <w:tcPr>
            <w:tcW w:w="0" w:type="auto"/>
            <w:gridSpan w:val="3"/>
            <w:shd w:val="clear" w:color="auto" w:fill="auto"/>
            <w:vAlign w:val="bottom"/>
          </w:tcPr>
          <w:p w14:paraId="2470D8F7" w14:textId="77777777" w:rsidR="009C6E2F" w:rsidRDefault="009C6E2F">
            <w:pPr>
              <w:rPr>
                <w:rFonts w:ascii="宋体"/>
                <w:vanish/>
              </w:rPr>
            </w:pPr>
          </w:p>
        </w:tc>
        <w:tc>
          <w:tcPr>
            <w:tcW w:w="0" w:type="auto"/>
            <w:gridSpan w:val="3"/>
            <w:shd w:val="clear" w:color="auto" w:fill="auto"/>
            <w:vAlign w:val="bottom"/>
          </w:tcPr>
          <w:p w14:paraId="2470D8F8" w14:textId="77777777" w:rsidR="009C6E2F" w:rsidRDefault="009C6E2F">
            <w:pPr>
              <w:rPr>
                <w:rFonts w:ascii="宋体"/>
                <w:vanish/>
              </w:rPr>
            </w:pPr>
          </w:p>
        </w:tc>
        <w:tc>
          <w:tcPr>
            <w:tcW w:w="0" w:type="auto"/>
            <w:gridSpan w:val="3"/>
            <w:shd w:val="clear" w:color="auto" w:fill="auto"/>
            <w:vAlign w:val="bottom"/>
          </w:tcPr>
          <w:p w14:paraId="2470D8F9" w14:textId="77777777" w:rsidR="009C6E2F" w:rsidRDefault="009C6E2F">
            <w:pPr>
              <w:rPr>
                <w:rFonts w:ascii="宋体"/>
                <w:vanish/>
              </w:rPr>
            </w:pPr>
          </w:p>
        </w:tc>
      </w:tr>
      <w:tr w:rsidR="009C6E2F" w14:paraId="2470D90D"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8FB" w14:textId="77777777" w:rsidR="009C6E2F" w:rsidRDefault="007972BE">
            <w:pPr>
              <w:textAlignment w:val="bottom"/>
            </w:pPr>
            <w:r>
              <w:rPr>
                <w:rFonts w:ascii="Arial" w:eastAsia="宋体" w:hAnsi="Arial" w:cs="Arial"/>
                <w:color w:val="000000"/>
                <w:sz w:val="17"/>
                <w:szCs w:val="17"/>
              </w:rPr>
              <w:t>Converse</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8FC" w14:textId="77777777" w:rsidR="009C6E2F" w:rsidRDefault="007972BE">
            <w:pPr>
              <w:jc w:val="right"/>
              <w:textAlignment w:val="bottom"/>
            </w:pPr>
            <w:r>
              <w:rPr>
                <w:rFonts w:ascii="Arial" w:eastAsia="宋体" w:hAnsi="Arial" w:cs="Arial"/>
                <w:color w:val="000000"/>
                <w:sz w:val="17"/>
                <w:szCs w:val="17"/>
              </w:rPr>
              <w:t>132 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8FD"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8FE" w14:textId="77777777" w:rsidR="009C6E2F" w:rsidRDefault="007972BE">
            <w:pPr>
              <w:jc w:val="right"/>
              <w:textAlignment w:val="bottom"/>
            </w:pPr>
            <w:r>
              <w:rPr>
                <w:rFonts w:ascii="Arial" w:eastAsia="宋体" w:hAnsi="Arial" w:cs="Arial"/>
                <w:color w:val="000000"/>
                <w:sz w:val="17"/>
                <w:szCs w:val="17"/>
              </w:rPr>
              <w:t>87 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8F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00" w14:textId="77777777" w:rsidR="009C6E2F" w:rsidRDefault="007972BE">
            <w:pPr>
              <w:jc w:val="right"/>
              <w:textAlignment w:val="bottom"/>
            </w:pPr>
            <w:r>
              <w:rPr>
                <w:rFonts w:ascii="Arial" w:eastAsia="宋体" w:hAnsi="Arial" w:cs="Arial"/>
                <w:color w:val="000000"/>
                <w:sz w:val="17"/>
                <w:szCs w:val="17"/>
              </w:rPr>
              <w:t>52 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0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02"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903" w14:textId="77777777" w:rsidR="009C6E2F" w:rsidRDefault="007972BE">
            <w:pPr>
              <w:jc w:val="right"/>
              <w:textAlignment w:val="bottom"/>
            </w:pPr>
            <w:r>
              <w:rPr>
                <w:rFonts w:ascii="Arial" w:eastAsia="宋体" w:hAnsi="Arial" w:cs="Arial"/>
                <w:color w:val="000000"/>
                <w:sz w:val="17"/>
                <w:szCs w:val="17"/>
              </w:rPr>
              <w:t>336 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90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05" w14:textId="77777777" w:rsidR="009C6E2F" w:rsidRDefault="007972BE">
            <w:pPr>
              <w:jc w:val="right"/>
              <w:textAlignment w:val="bottom"/>
            </w:pPr>
            <w:r>
              <w:rPr>
                <w:rFonts w:ascii="Arial" w:eastAsia="宋体" w:hAnsi="Arial" w:cs="Arial"/>
                <w:color w:val="000000"/>
                <w:sz w:val="17"/>
                <w:szCs w:val="17"/>
              </w:rPr>
              <w:t>255 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06"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07" w14:textId="77777777" w:rsidR="009C6E2F" w:rsidRDefault="007972BE">
            <w:pPr>
              <w:jc w:val="right"/>
              <w:textAlignment w:val="bottom"/>
            </w:pPr>
            <w:r>
              <w:rPr>
                <w:rFonts w:ascii="Arial" w:eastAsia="宋体" w:hAnsi="Arial" w:cs="Arial"/>
                <w:color w:val="000000"/>
                <w:sz w:val="17"/>
                <w:szCs w:val="17"/>
              </w:rPr>
              <w:t>32 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08"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909" w14:textId="77777777" w:rsidR="009C6E2F" w:rsidRDefault="009C6E2F">
            <w:pPr>
              <w:rPr>
                <w:rFonts w:ascii="宋体"/>
                <w:vanish/>
              </w:rPr>
            </w:pPr>
          </w:p>
        </w:tc>
        <w:tc>
          <w:tcPr>
            <w:tcW w:w="0" w:type="auto"/>
            <w:gridSpan w:val="3"/>
            <w:shd w:val="clear" w:color="auto" w:fill="auto"/>
            <w:vAlign w:val="bottom"/>
          </w:tcPr>
          <w:p w14:paraId="2470D90A" w14:textId="77777777" w:rsidR="009C6E2F" w:rsidRDefault="009C6E2F">
            <w:pPr>
              <w:rPr>
                <w:rFonts w:ascii="宋体"/>
                <w:vanish/>
              </w:rPr>
            </w:pPr>
          </w:p>
        </w:tc>
        <w:tc>
          <w:tcPr>
            <w:tcW w:w="0" w:type="auto"/>
            <w:gridSpan w:val="3"/>
            <w:shd w:val="clear" w:color="auto" w:fill="auto"/>
            <w:vAlign w:val="bottom"/>
          </w:tcPr>
          <w:p w14:paraId="2470D90B" w14:textId="77777777" w:rsidR="009C6E2F" w:rsidRDefault="009C6E2F">
            <w:pPr>
              <w:rPr>
                <w:rFonts w:ascii="宋体"/>
                <w:vanish/>
              </w:rPr>
            </w:pPr>
          </w:p>
        </w:tc>
        <w:tc>
          <w:tcPr>
            <w:tcW w:w="0" w:type="auto"/>
            <w:gridSpan w:val="3"/>
            <w:shd w:val="clear" w:color="auto" w:fill="auto"/>
            <w:vAlign w:val="bottom"/>
          </w:tcPr>
          <w:p w14:paraId="2470D90C" w14:textId="77777777" w:rsidR="009C6E2F" w:rsidRDefault="009C6E2F">
            <w:pPr>
              <w:rPr>
                <w:rFonts w:ascii="宋体"/>
                <w:vanish/>
              </w:rPr>
            </w:pPr>
          </w:p>
        </w:tc>
      </w:tr>
      <w:tr w:rsidR="009C6E2F" w14:paraId="2470D920"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90E"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Corporate</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90F" w14:textId="77777777" w:rsidR="009C6E2F" w:rsidRDefault="007972BE">
            <w:pPr>
              <w:jc w:val="right"/>
              <w:textAlignment w:val="bottom"/>
            </w:pPr>
            <w:r>
              <w:rPr>
                <w:rFonts w:ascii="Arial" w:eastAsia="宋体" w:hAnsi="Arial" w:cs="Arial"/>
                <w:color w:val="000000"/>
                <w:sz w:val="17"/>
                <w:szCs w:val="17"/>
              </w:rPr>
              <w:t>(503)</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91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11" w14:textId="77777777" w:rsidR="009C6E2F" w:rsidRDefault="007972BE">
            <w:pPr>
              <w:jc w:val="right"/>
              <w:textAlignment w:val="bottom"/>
            </w:pPr>
            <w:r>
              <w:rPr>
                <w:rFonts w:ascii="Arial" w:eastAsia="宋体" w:hAnsi="Arial" w:cs="Arial"/>
                <w:color w:val="000000"/>
                <w:sz w:val="17"/>
                <w:szCs w:val="17"/>
              </w:rPr>
              <w:t>(718)</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1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13" w14:textId="77777777" w:rsidR="009C6E2F" w:rsidRDefault="007972BE">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14"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915"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916" w14:textId="77777777" w:rsidR="009C6E2F" w:rsidRDefault="007972BE">
            <w:pPr>
              <w:jc w:val="right"/>
              <w:textAlignment w:val="bottom"/>
            </w:pPr>
            <w:r>
              <w:rPr>
                <w:rFonts w:ascii="Arial" w:eastAsia="宋体" w:hAnsi="Arial" w:cs="Arial"/>
                <w:color w:val="000000"/>
                <w:sz w:val="17"/>
                <w:szCs w:val="17"/>
              </w:rPr>
              <w:t>(1,048)</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91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18" w14:textId="77777777" w:rsidR="009C6E2F" w:rsidRDefault="007972BE">
            <w:pPr>
              <w:jc w:val="right"/>
              <w:textAlignment w:val="bottom"/>
            </w:pPr>
            <w:r>
              <w:rPr>
                <w:rFonts w:ascii="Arial" w:eastAsia="宋体" w:hAnsi="Arial" w:cs="Arial"/>
                <w:color w:val="000000"/>
                <w:sz w:val="17"/>
                <w:szCs w:val="17"/>
              </w:rPr>
              <w:t>(1,215)</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1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1A"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1B"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91C" w14:textId="77777777" w:rsidR="009C6E2F" w:rsidRDefault="009C6E2F">
            <w:pPr>
              <w:rPr>
                <w:rFonts w:ascii="宋体"/>
                <w:vanish/>
              </w:rPr>
            </w:pPr>
          </w:p>
        </w:tc>
        <w:tc>
          <w:tcPr>
            <w:tcW w:w="0" w:type="auto"/>
            <w:gridSpan w:val="3"/>
            <w:shd w:val="clear" w:color="auto" w:fill="auto"/>
            <w:vAlign w:val="bottom"/>
          </w:tcPr>
          <w:p w14:paraId="2470D91D" w14:textId="77777777" w:rsidR="009C6E2F" w:rsidRDefault="009C6E2F">
            <w:pPr>
              <w:rPr>
                <w:rFonts w:ascii="宋体"/>
                <w:vanish/>
              </w:rPr>
            </w:pPr>
          </w:p>
        </w:tc>
        <w:tc>
          <w:tcPr>
            <w:tcW w:w="0" w:type="auto"/>
            <w:gridSpan w:val="3"/>
            <w:shd w:val="clear" w:color="auto" w:fill="auto"/>
            <w:vAlign w:val="bottom"/>
          </w:tcPr>
          <w:p w14:paraId="2470D91E" w14:textId="77777777" w:rsidR="009C6E2F" w:rsidRDefault="009C6E2F">
            <w:pPr>
              <w:rPr>
                <w:rFonts w:ascii="宋体"/>
                <w:vanish/>
              </w:rPr>
            </w:pPr>
          </w:p>
        </w:tc>
        <w:tc>
          <w:tcPr>
            <w:tcW w:w="0" w:type="auto"/>
            <w:gridSpan w:val="3"/>
            <w:shd w:val="clear" w:color="auto" w:fill="auto"/>
            <w:vAlign w:val="bottom"/>
          </w:tcPr>
          <w:p w14:paraId="2470D91F" w14:textId="77777777" w:rsidR="009C6E2F" w:rsidRDefault="009C6E2F">
            <w:pPr>
              <w:rPr>
                <w:rFonts w:ascii="宋体"/>
                <w:vanish/>
              </w:rPr>
            </w:pPr>
          </w:p>
        </w:tc>
      </w:tr>
      <w:tr w:rsidR="009C6E2F" w14:paraId="2470D93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2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7"/>
                <w:szCs w:val="17"/>
              </w:rPr>
              <w:t>TOTAL NIKE, INC. EARNINGS BEFORE INTEREST AND TAXES</w:t>
            </w:r>
            <w:r>
              <w:rPr>
                <w:rFonts w:ascii="Arial" w:eastAsia="宋体" w:hAnsi="Arial" w:cs="Arial"/>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922" w14:textId="77777777" w:rsidR="009C6E2F" w:rsidRDefault="007972BE">
            <w:pPr>
              <w:jc w:val="right"/>
              <w:textAlignment w:val="bottom"/>
            </w:pPr>
            <w:r>
              <w:rPr>
                <w:rFonts w:ascii="Arial" w:eastAsia="宋体" w:hAnsi="Arial" w:cs="Arial"/>
                <w:b/>
                <w:bCs/>
                <w:color w:val="000000"/>
                <w:sz w:val="17"/>
                <w:szCs w:val="17"/>
              </w:rPr>
              <w:t>1,556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92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24" w14:textId="77777777" w:rsidR="009C6E2F" w:rsidRDefault="007972BE">
            <w:pPr>
              <w:jc w:val="right"/>
              <w:textAlignment w:val="bottom"/>
            </w:pPr>
            <w:r>
              <w:rPr>
                <w:rFonts w:ascii="Arial" w:eastAsia="宋体" w:hAnsi="Arial" w:cs="Arial"/>
                <w:b/>
                <w:bCs/>
                <w:color w:val="000000"/>
                <w:sz w:val="17"/>
                <w:szCs w:val="17"/>
              </w:rPr>
              <w:t>1,526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2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26" w14:textId="77777777" w:rsidR="009C6E2F" w:rsidRDefault="007972BE">
            <w:pPr>
              <w:jc w:val="right"/>
              <w:textAlignment w:val="bottom"/>
            </w:pPr>
            <w:r>
              <w:rPr>
                <w:rFonts w:ascii="Arial" w:eastAsia="宋体" w:hAnsi="Arial" w:cs="Arial"/>
                <w:b/>
                <w:bCs/>
                <w:color w:val="000000"/>
                <w:sz w:val="17"/>
                <w:szCs w:val="17"/>
              </w:rPr>
              <w:t>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27"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28"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929" w14:textId="77777777" w:rsidR="009C6E2F" w:rsidRDefault="007972BE">
            <w:pPr>
              <w:jc w:val="right"/>
              <w:textAlignment w:val="bottom"/>
            </w:pPr>
            <w:r>
              <w:rPr>
                <w:rFonts w:ascii="Arial" w:eastAsia="宋体" w:hAnsi="Arial" w:cs="Arial"/>
                <w:b/>
                <w:bCs/>
                <w:color w:val="000000"/>
                <w:sz w:val="17"/>
                <w:szCs w:val="17"/>
              </w:rPr>
              <w:t>3,719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92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2B" w14:textId="77777777" w:rsidR="009C6E2F" w:rsidRDefault="007972BE">
            <w:pPr>
              <w:jc w:val="right"/>
              <w:textAlignment w:val="bottom"/>
            </w:pPr>
            <w:r>
              <w:rPr>
                <w:rFonts w:ascii="Arial" w:eastAsia="宋体" w:hAnsi="Arial" w:cs="Arial"/>
                <w:b/>
                <w:bCs/>
                <w:color w:val="000000"/>
                <w:sz w:val="17"/>
                <w:szCs w:val="17"/>
              </w:rPr>
              <w:t>3,306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2C"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2D" w14:textId="77777777" w:rsidR="009C6E2F" w:rsidRDefault="007972BE">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2E"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92F" w14:textId="77777777" w:rsidR="009C6E2F" w:rsidRDefault="009C6E2F">
            <w:pPr>
              <w:rPr>
                <w:rFonts w:ascii="宋体"/>
                <w:vanish/>
              </w:rPr>
            </w:pPr>
          </w:p>
        </w:tc>
        <w:tc>
          <w:tcPr>
            <w:tcW w:w="0" w:type="auto"/>
            <w:gridSpan w:val="3"/>
            <w:shd w:val="clear" w:color="auto" w:fill="auto"/>
            <w:vAlign w:val="bottom"/>
          </w:tcPr>
          <w:p w14:paraId="2470D930" w14:textId="77777777" w:rsidR="009C6E2F" w:rsidRDefault="009C6E2F">
            <w:pPr>
              <w:rPr>
                <w:rFonts w:ascii="宋体"/>
                <w:vanish/>
              </w:rPr>
            </w:pPr>
          </w:p>
        </w:tc>
        <w:tc>
          <w:tcPr>
            <w:tcW w:w="0" w:type="auto"/>
            <w:gridSpan w:val="3"/>
            <w:shd w:val="clear" w:color="auto" w:fill="auto"/>
            <w:vAlign w:val="bottom"/>
          </w:tcPr>
          <w:p w14:paraId="2470D931" w14:textId="77777777" w:rsidR="009C6E2F" w:rsidRDefault="009C6E2F">
            <w:pPr>
              <w:rPr>
                <w:rFonts w:ascii="宋体"/>
                <w:vanish/>
              </w:rPr>
            </w:pPr>
          </w:p>
        </w:tc>
        <w:tc>
          <w:tcPr>
            <w:tcW w:w="0" w:type="auto"/>
            <w:gridSpan w:val="3"/>
            <w:shd w:val="clear" w:color="auto" w:fill="auto"/>
            <w:vAlign w:val="bottom"/>
          </w:tcPr>
          <w:p w14:paraId="2470D932" w14:textId="77777777" w:rsidR="009C6E2F" w:rsidRDefault="009C6E2F">
            <w:pPr>
              <w:rPr>
                <w:rFonts w:ascii="宋体"/>
                <w:vanish/>
              </w:rPr>
            </w:pPr>
          </w:p>
        </w:tc>
      </w:tr>
      <w:tr w:rsidR="009C6E2F" w14:paraId="2470D94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34"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i/>
                <w:iCs/>
                <w:color w:val="000000"/>
                <w:sz w:val="17"/>
                <w:szCs w:val="17"/>
              </w:rPr>
              <w:t>EBIT margin</w:t>
            </w:r>
            <w:r>
              <w:rPr>
                <w:rFonts w:ascii="Arial" w:eastAsia="宋体" w:hAnsi="Arial" w:cs="Arial"/>
                <w:i/>
                <w:iCs/>
                <w:color w:val="000000"/>
                <w:sz w:val="11"/>
                <w:szCs w:val="11"/>
              </w:rPr>
              <w:t>(1)</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935" w14:textId="77777777" w:rsidR="009C6E2F" w:rsidRDefault="007972BE">
            <w:pPr>
              <w:jc w:val="right"/>
              <w:textAlignment w:val="bottom"/>
            </w:pPr>
            <w:r>
              <w:rPr>
                <w:rFonts w:ascii="Arial" w:eastAsia="宋体" w:hAnsi="Arial" w:cs="Arial"/>
                <w:i/>
                <w:iCs/>
                <w:color w:val="000000"/>
                <w:sz w:val="17"/>
                <w:szCs w:val="17"/>
              </w:rPr>
              <w:t>13.7 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936" w14:textId="77777777" w:rsidR="009C6E2F" w:rsidRDefault="007972BE">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37" w14:textId="77777777" w:rsidR="009C6E2F" w:rsidRDefault="007972BE">
            <w:pPr>
              <w:jc w:val="right"/>
              <w:textAlignment w:val="bottom"/>
            </w:pPr>
            <w:r>
              <w:rPr>
                <w:rFonts w:ascii="Arial" w:eastAsia="宋体" w:hAnsi="Arial" w:cs="Arial"/>
                <w:i/>
                <w:iCs/>
                <w:color w:val="000000"/>
                <w:sz w:val="17"/>
                <w:szCs w:val="17"/>
              </w:rPr>
              <w:t>13.6 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38" w14:textId="77777777" w:rsidR="009C6E2F" w:rsidRDefault="007972BE">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3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3A"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93B" w14:textId="77777777" w:rsidR="009C6E2F" w:rsidRDefault="007972BE">
            <w:pPr>
              <w:jc w:val="right"/>
              <w:textAlignment w:val="bottom"/>
            </w:pPr>
            <w:r>
              <w:rPr>
                <w:rFonts w:ascii="Arial" w:eastAsia="宋体" w:hAnsi="Arial" w:cs="Arial"/>
                <w:i/>
                <w:iCs/>
                <w:color w:val="000000"/>
                <w:sz w:val="17"/>
                <w:szCs w:val="17"/>
              </w:rPr>
              <w:t>15.8 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93C" w14:textId="77777777" w:rsidR="009C6E2F" w:rsidRDefault="007972BE">
            <w:pPr>
              <w:jc w:val="right"/>
              <w:textAlignment w:val="bottom"/>
            </w:pPr>
            <w:r>
              <w:rPr>
                <w:rFonts w:ascii="Arial" w:eastAsia="宋体" w:hAnsi="Arial" w:cs="Arial"/>
                <w:i/>
                <w:i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3D" w14:textId="77777777" w:rsidR="009C6E2F" w:rsidRDefault="007972BE">
            <w:pPr>
              <w:jc w:val="right"/>
              <w:textAlignment w:val="bottom"/>
            </w:pPr>
            <w:r>
              <w:rPr>
                <w:rFonts w:ascii="Arial" w:eastAsia="宋体" w:hAnsi="Arial" w:cs="Arial"/>
                <w:i/>
                <w:iCs/>
                <w:color w:val="000000"/>
                <w:sz w:val="17"/>
                <w:szCs w:val="17"/>
              </w:rPr>
              <w:t>15.1 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3E" w14:textId="77777777" w:rsidR="009C6E2F" w:rsidRDefault="007972BE">
            <w:pPr>
              <w:jc w:val="right"/>
              <w:textAlignment w:val="bottom"/>
            </w:pPr>
            <w:r>
              <w:rPr>
                <w:rFonts w:ascii="Arial" w:eastAsia="宋体" w:hAnsi="Arial" w:cs="Arial"/>
                <w:i/>
                <w:i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3F" w14:textId="77777777" w:rsidR="009C6E2F" w:rsidRDefault="009C6E2F">
            <w:pPr>
              <w:rPr>
                <w:rFonts w:ascii="宋体"/>
              </w:rPr>
            </w:pPr>
          </w:p>
        </w:tc>
        <w:tc>
          <w:tcPr>
            <w:tcW w:w="0" w:type="auto"/>
            <w:shd w:val="clear" w:color="auto" w:fill="auto"/>
            <w:vAlign w:val="bottom"/>
          </w:tcPr>
          <w:p w14:paraId="2470D940" w14:textId="77777777" w:rsidR="009C6E2F" w:rsidRDefault="009C6E2F">
            <w:pPr>
              <w:rPr>
                <w:rFonts w:ascii="宋体"/>
                <w:vanish/>
              </w:rPr>
            </w:pPr>
          </w:p>
        </w:tc>
        <w:tc>
          <w:tcPr>
            <w:tcW w:w="0" w:type="auto"/>
            <w:gridSpan w:val="3"/>
            <w:shd w:val="clear" w:color="auto" w:fill="auto"/>
            <w:vAlign w:val="bottom"/>
          </w:tcPr>
          <w:p w14:paraId="2470D941" w14:textId="77777777" w:rsidR="009C6E2F" w:rsidRDefault="009C6E2F">
            <w:pPr>
              <w:rPr>
                <w:rFonts w:ascii="宋体"/>
                <w:vanish/>
              </w:rPr>
            </w:pPr>
          </w:p>
        </w:tc>
        <w:tc>
          <w:tcPr>
            <w:tcW w:w="0" w:type="auto"/>
            <w:gridSpan w:val="3"/>
            <w:shd w:val="clear" w:color="auto" w:fill="auto"/>
            <w:vAlign w:val="bottom"/>
          </w:tcPr>
          <w:p w14:paraId="2470D942" w14:textId="77777777" w:rsidR="009C6E2F" w:rsidRDefault="009C6E2F">
            <w:pPr>
              <w:rPr>
                <w:rFonts w:ascii="宋体"/>
                <w:vanish/>
              </w:rPr>
            </w:pPr>
          </w:p>
        </w:tc>
        <w:tc>
          <w:tcPr>
            <w:tcW w:w="0" w:type="auto"/>
            <w:gridSpan w:val="3"/>
            <w:shd w:val="clear" w:color="auto" w:fill="auto"/>
            <w:vAlign w:val="bottom"/>
          </w:tcPr>
          <w:p w14:paraId="2470D943" w14:textId="77777777" w:rsidR="009C6E2F" w:rsidRDefault="009C6E2F">
            <w:pPr>
              <w:rPr>
                <w:rFonts w:ascii="宋体"/>
                <w:vanish/>
              </w:rPr>
            </w:pPr>
          </w:p>
        </w:tc>
      </w:tr>
      <w:tr w:rsidR="009C6E2F" w14:paraId="2470D957"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45" w14:textId="77777777" w:rsidR="009C6E2F" w:rsidRDefault="007972BE">
            <w:pPr>
              <w:textAlignment w:val="bottom"/>
            </w:pPr>
            <w:r>
              <w:rPr>
                <w:rFonts w:ascii="Arial" w:eastAsia="宋体" w:hAnsi="Arial" w:cs="Arial"/>
                <w:color w:val="000000"/>
                <w:sz w:val="17"/>
                <w:szCs w:val="17"/>
              </w:rPr>
              <w:t>Interest expense (income), net</w:t>
            </w: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946"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947"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48" w14:textId="77777777" w:rsidR="009C6E2F" w:rsidRDefault="007972BE">
            <w:pPr>
              <w:jc w:val="right"/>
              <w:textAlignment w:val="bottom"/>
            </w:pPr>
            <w:r>
              <w:rPr>
                <w:rFonts w:ascii="Arial" w:eastAsia="宋体" w:hAnsi="Arial" w:cs="Arial"/>
                <w:color w:val="000000"/>
                <w:sz w:val="17"/>
                <w:szCs w:val="17"/>
              </w:rPr>
              <w:t>70 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49"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4A"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4B"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4C" w14:textId="77777777" w:rsidR="009C6E2F" w:rsidRDefault="009C6E2F">
            <w:pPr>
              <w:rPr>
                <w:rFonts w:ascii="宋体"/>
              </w:rPr>
            </w:pPr>
          </w:p>
        </w:tc>
        <w:tc>
          <w:tcPr>
            <w:tcW w:w="0" w:type="auto"/>
            <w:gridSpan w:val="2"/>
            <w:tcBorders>
              <w:top w:val="single" w:sz="8" w:space="0" w:color="E87722"/>
            </w:tcBorders>
            <w:shd w:val="clear" w:color="auto" w:fill="FFF1E7"/>
            <w:tcMar>
              <w:top w:w="40" w:type="dxa"/>
              <w:left w:w="20" w:type="dxa"/>
              <w:bottom w:w="40" w:type="dxa"/>
              <w:right w:w="0" w:type="dxa"/>
            </w:tcMar>
            <w:vAlign w:val="bottom"/>
          </w:tcPr>
          <w:p w14:paraId="2470D94D" w14:textId="77777777" w:rsidR="009C6E2F" w:rsidRDefault="007972BE">
            <w:pPr>
              <w:jc w:val="right"/>
              <w:textAlignment w:val="bottom"/>
            </w:pPr>
            <w:r>
              <w:rPr>
                <w:rFonts w:ascii="Arial" w:eastAsia="宋体" w:hAnsi="Arial" w:cs="Arial"/>
                <w:color w:val="000000"/>
                <w:sz w:val="17"/>
                <w:szCs w:val="17"/>
              </w:rPr>
              <w:t>112 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94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4F" w14:textId="77777777" w:rsidR="009C6E2F" w:rsidRDefault="007972BE">
            <w:pPr>
              <w:jc w:val="right"/>
              <w:textAlignment w:val="bottom"/>
            </w:pPr>
            <w:r>
              <w:rPr>
                <w:rFonts w:ascii="Arial" w:eastAsia="宋体" w:hAnsi="Arial" w:cs="Arial"/>
                <w:color w:val="000000"/>
                <w:sz w:val="17"/>
                <w:szCs w:val="17"/>
              </w:rPr>
              <w:t>135 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50"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951"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952" w14:textId="77777777" w:rsidR="009C6E2F" w:rsidRDefault="009C6E2F">
            <w:pPr>
              <w:jc w:val="right"/>
              <w:rPr>
                <w:rFonts w:ascii="宋体"/>
              </w:rPr>
            </w:pPr>
          </w:p>
        </w:tc>
        <w:tc>
          <w:tcPr>
            <w:tcW w:w="0" w:type="auto"/>
            <w:shd w:val="clear" w:color="auto" w:fill="auto"/>
            <w:vAlign w:val="bottom"/>
          </w:tcPr>
          <w:p w14:paraId="2470D953" w14:textId="77777777" w:rsidR="009C6E2F" w:rsidRDefault="009C6E2F">
            <w:pPr>
              <w:rPr>
                <w:rFonts w:ascii="宋体"/>
                <w:vanish/>
              </w:rPr>
            </w:pPr>
          </w:p>
        </w:tc>
        <w:tc>
          <w:tcPr>
            <w:tcW w:w="0" w:type="auto"/>
            <w:gridSpan w:val="3"/>
            <w:shd w:val="clear" w:color="auto" w:fill="auto"/>
            <w:vAlign w:val="bottom"/>
          </w:tcPr>
          <w:p w14:paraId="2470D954" w14:textId="77777777" w:rsidR="009C6E2F" w:rsidRDefault="009C6E2F">
            <w:pPr>
              <w:rPr>
                <w:rFonts w:ascii="宋体"/>
                <w:vanish/>
              </w:rPr>
            </w:pPr>
          </w:p>
        </w:tc>
        <w:tc>
          <w:tcPr>
            <w:tcW w:w="0" w:type="auto"/>
            <w:gridSpan w:val="3"/>
            <w:shd w:val="clear" w:color="auto" w:fill="auto"/>
            <w:vAlign w:val="bottom"/>
          </w:tcPr>
          <w:p w14:paraId="2470D955" w14:textId="77777777" w:rsidR="009C6E2F" w:rsidRDefault="009C6E2F">
            <w:pPr>
              <w:rPr>
                <w:rFonts w:ascii="宋体"/>
                <w:vanish/>
              </w:rPr>
            </w:pPr>
          </w:p>
        </w:tc>
        <w:tc>
          <w:tcPr>
            <w:tcW w:w="0" w:type="auto"/>
            <w:gridSpan w:val="3"/>
            <w:shd w:val="clear" w:color="auto" w:fill="auto"/>
            <w:vAlign w:val="bottom"/>
          </w:tcPr>
          <w:p w14:paraId="2470D956" w14:textId="77777777" w:rsidR="009C6E2F" w:rsidRDefault="009C6E2F">
            <w:pPr>
              <w:rPr>
                <w:rFonts w:ascii="宋体"/>
                <w:vanish/>
              </w:rPr>
            </w:pPr>
          </w:p>
        </w:tc>
      </w:tr>
      <w:tr w:rsidR="009C6E2F" w14:paraId="2470D96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958" w14:textId="77777777" w:rsidR="009C6E2F" w:rsidRDefault="007972BE">
            <w:pPr>
              <w:textAlignment w:val="bottom"/>
            </w:pPr>
            <w:r>
              <w:rPr>
                <w:rFonts w:ascii="Arial" w:eastAsia="宋体" w:hAnsi="Arial" w:cs="Arial"/>
                <w:b/>
                <w:bCs/>
                <w:color w:val="000000"/>
                <w:sz w:val="17"/>
                <w:szCs w:val="17"/>
              </w:rPr>
              <w:t xml:space="preserve">TOTAL NIKE, INC. INCOME BEFORE </w:t>
            </w:r>
            <w:r>
              <w:rPr>
                <w:rFonts w:ascii="Arial" w:eastAsia="宋体" w:hAnsi="Arial" w:cs="Arial"/>
                <w:b/>
                <w:bCs/>
                <w:color w:val="000000"/>
                <w:sz w:val="17"/>
                <w:szCs w:val="17"/>
              </w:rPr>
              <w:t>INCOME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95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95A" w14:textId="77777777" w:rsidR="009C6E2F" w:rsidRDefault="007972BE">
            <w:pPr>
              <w:jc w:val="right"/>
              <w:textAlignment w:val="bottom"/>
            </w:pPr>
            <w:r>
              <w:rPr>
                <w:rFonts w:ascii="Arial" w:eastAsia="宋体" w:hAnsi="Arial" w:cs="Arial"/>
                <w:b/>
                <w:bCs/>
                <w:color w:val="000000"/>
                <w:sz w:val="17"/>
                <w:szCs w:val="17"/>
              </w:rPr>
              <w:t>1,501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95B"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95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95D" w14:textId="77777777" w:rsidR="009C6E2F" w:rsidRDefault="007972BE">
            <w:pPr>
              <w:jc w:val="right"/>
              <w:textAlignment w:val="bottom"/>
            </w:pPr>
            <w:r>
              <w:rPr>
                <w:rFonts w:ascii="Arial" w:eastAsia="宋体" w:hAnsi="Arial" w:cs="Arial"/>
                <w:b/>
                <w:bCs/>
                <w:color w:val="000000"/>
                <w:sz w:val="17"/>
                <w:szCs w:val="17"/>
              </w:rPr>
              <w:t>1,456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95E"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95F" w14:textId="77777777" w:rsidR="009C6E2F" w:rsidRDefault="007972BE">
            <w:pPr>
              <w:jc w:val="right"/>
              <w:textAlignment w:val="bottom"/>
            </w:pPr>
            <w:r>
              <w:rPr>
                <w:rFonts w:ascii="Arial" w:eastAsia="宋体" w:hAnsi="Arial" w:cs="Arial"/>
                <w:b/>
                <w:bCs/>
                <w:color w:val="000000"/>
                <w:sz w:val="17"/>
                <w:szCs w:val="17"/>
              </w:rPr>
              <w:t>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960"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961"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96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963" w14:textId="77777777" w:rsidR="009C6E2F" w:rsidRDefault="007972BE">
            <w:pPr>
              <w:jc w:val="right"/>
              <w:textAlignment w:val="bottom"/>
            </w:pPr>
            <w:r>
              <w:rPr>
                <w:rFonts w:ascii="Arial" w:eastAsia="宋体" w:hAnsi="Arial" w:cs="Arial"/>
                <w:b/>
                <w:bCs/>
                <w:color w:val="000000"/>
                <w:sz w:val="17"/>
                <w:szCs w:val="17"/>
              </w:rPr>
              <w:t>3,607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964"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96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966" w14:textId="77777777" w:rsidR="009C6E2F" w:rsidRDefault="007972BE">
            <w:pPr>
              <w:jc w:val="right"/>
              <w:textAlignment w:val="bottom"/>
            </w:pPr>
            <w:r>
              <w:rPr>
                <w:rFonts w:ascii="Arial" w:eastAsia="宋体" w:hAnsi="Arial" w:cs="Arial"/>
                <w:b/>
                <w:bCs/>
                <w:color w:val="000000"/>
                <w:sz w:val="17"/>
                <w:szCs w:val="17"/>
              </w:rPr>
              <w:t>3,171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967"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968" w14:textId="77777777" w:rsidR="009C6E2F" w:rsidRDefault="007972BE">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969"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96A" w14:textId="77777777" w:rsidR="009C6E2F" w:rsidRDefault="009C6E2F">
            <w:pPr>
              <w:rPr>
                <w:rFonts w:ascii="宋体"/>
                <w:vanish/>
              </w:rPr>
            </w:pPr>
          </w:p>
        </w:tc>
        <w:tc>
          <w:tcPr>
            <w:tcW w:w="0" w:type="auto"/>
            <w:gridSpan w:val="3"/>
            <w:shd w:val="clear" w:color="auto" w:fill="auto"/>
            <w:vAlign w:val="bottom"/>
          </w:tcPr>
          <w:p w14:paraId="2470D96B" w14:textId="77777777" w:rsidR="009C6E2F" w:rsidRDefault="009C6E2F">
            <w:pPr>
              <w:rPr>
                <w:rFonts w:ascii="宋体"/>
                <w:vanish/>
              </w:rPr>
            </w:pPr>
          </w:p>
        </w:tc>
        <w:tc>
          <w:tcPr>
            <w:tcW w:w="0" w:type="auto"/>
            <w:gridSpan w:val="3"/>
            <w:shd w:val="clear" w:color="auto" w:fill="auto"/>
            <w:vAlign w:val="bottom"/>
          </w:tcPr>
          <w:p w14:paraId="2470D96C" w14:textId="77777777" w:rsidR="009C6E2F" w:rsidRDefault="009C6E2F">
            <w:pPr>
              <w:rPr>
                <w:rFonts w:ascii="宋体"/>
                <w:vanish/>
              </w:rPr>
            </w:pPr>
          </w:p>
        </w:tc>
        <w:tc>
          <w:tcPr>
            <w:tcW w:w="0" w:type="auto"/>
            <w:gridSpan w:val="3"/>
            <w:shd w:val="clear" w:color="auto" w:fill="auto"/>
            <w:vAlign w:val="bottom"/>
          </w:tcPr>
          <w:p w14:paraId="2470D96D" w14:textId="77777777" w:rsidR="009C6E2F" w:rsidRDefault="009C6E2F">
            <w:pPr>
              <w:rPr>
                <w:rFonts w:ascii="宋体"/>
                <w:vanish/>
              </w:rPr>
            </w:pPr>
          </w:p>
        </w:tc>
      </w:tr>
    </w:tbl>
    <w:p w14:paraId="2470D96F"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(1)    Total NIKE Brand EBIT, Total NIKE, Inc. EBIT and EBIT margin represent non-</w:t>
      </w:r>
      <w:r>
        <w:rPr>
          <w:rFonts w:ascii="Arial" w:eastAsia="宋体" w:hAnsi="Arial" w:cs="Arial"/>
          <w:i/>
          <w:iCs/>
          <w:color w:val="000000"/>
          <w:sz w:val="14"/>
          <w:szCs w:val="14"/>
        </w:rPr>
        <w:t>GAAP financial measures. See "Use of Non-GAAP Financial Measures" for further information.</w:t>
      </w:r>
    </w:p>
    <w:p w14:paraId="2470D970" w14:textId="77777777" w:rsidR="009C6E2F" w:rsidRDefault="007972BE">
      <w:pPr>
        <w:spacing w:before="240" w:after="120"/>
      </w:pPr>
      <w:r>
        <w:rPr>
          <w:rFonts w:ascii="sans-serif" w:eastAsia="sans-serif" w:hAnsi="sans-serif" w:cs="sans-serif"/>
          <w:b/>
          <w:bCs/>
          <w:color w:val="000000"/>
          <w:sz w:val="28"/>
          <w:szCs w:val="28"/>
        </w:rPr>
        <w:t>NORTH AMERICA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9C6E2F" w14:paraId="2470D994" w14:textId="77777777">
        <w:tc>
          <w:tcPr>
            <w:tcW w:w="50" w:type="pct"/>
            <w:shd w:val="clear" w:color="auto" w:fill="auto"/>
            <w:vAlign w:val="bottom"/>
          </w:tcPr>
          <w:p w14:paraId="2470D971" w14:textId="77777777" w:rsidR="009C6E2F" w:rsidRDefault="009C6E2F">
            <w:pPr>
              <w:rPr>
                <w:rFonts w:ascii="宋体"/>
              </w:rPr>
            </w:pPr>
          </w:p>
        </w:tc>
        <w:tc>
          <w:tcPr>
            <w:tcW w:w="1387" w:type="pct"/>
            <w:shd w:val="clear" w:color="auto" w:fill="auto"/>
            <w:vAlign w:val="bottom"/>
          </w:tcPr>
          <w:p w14:paraId="2470D972" w14:textId="77777777" w:rsidR="009C6E2F" w:rsidRDefault="009C6E2F">
            <w:pPr>
              <w:rPr>
                <w:rFonts w:ascii="宋体"/>
              </w:rPr>
            </w:pPr>
          </w:p>
        </w:tc>
        <w:tc>
          <w:tcPr>
            <w:tcW w:w="5" w:type="pct"/>
            <w:shd w:val="clear" w:color="auto" w:fill="auto"/>
            <w:vAlign w:val="bottom"/>
          </w:tcPr>
          <w:p w14:paraId="2470D973" w14:textId="77777777" w:rsidR="009C6E2F" w:rsidRDefault="009C6E2F">
            <w:pPr>
              <w:rPr>
                <w:rFonts w:ascii="宋体"/>
              </w:rPr>
            </w:pPr>
          </w:p>
        </w:tc>
        <w:tc>
          <w:tcPr>
            <w:tcW w:w="50" w:type="pct"/>
            <w:shd w:val="clear" w:color="auto" w:fill="auto"/>
            <w:vAlign w:val="bottom"/>
          </w:tcPr>
          <w:p w14:paraId="2470D974" w14:textId="77777777" w:rsidR="009C6E2F" w:rsidRDefault="009C6E2F">
            <w:pPr>
              <w:rPr>
                <w:rFonts w:ascii="宋体"/>
              </w:rPr>
            </w:pPr>
          </w:p>
        </w:tc>
        <w:tc>
          <w:tcPr>
            <w:tcW w:w="384" w:type="pct"/>
            <w:shd w:val="clear" w:color="auto" w:fill="auto"/>
            <w:vAlign w:val="bottom"/>
          </w:tcPr>
          <w:p w14:paraId="2470D975" w14:textId="77777777" w:rsidR="009C6E2F" w:rsidRDefault="009C6E2F">
            <w:pPr>
              <w:rPr>
                <w:rFonts w:ascii="宋体"/>
              </w:rPr>
            </w:pPr>
          </w:p>
        </w:tc>
        <w:tc>
          <w:tcPr>
            <w:tcW w:w="5" w:type="pct"/>
            <w:shd w:val="clear" w:color="auto" w:fill="auto"/>
            <w:vAlign w:val="bottom"/>
          </w:tcPr>
          <w:p w14:paraId="2470D976" w14:textId="77777777" w:rsidR="009C6E2F" w:rsidRDefault="009C6E2F">
            <w:pPr>
              <w:rPr>
                <w:rFonts w:ascii="宋体"/>
              </w:rPr>
            </w:pPr>
          </w:p>
        </w:tc>
        <w:tc>
          <w:tcPr>
            <w:tcW w:w="50" w:type="pct"/>
            <w:shd w:val="clear" w:color="auto" w:fill="auto"/>
            <w:vAlign w:val="bottom"/>
          </w:tcPr>
          <w:p w14:paraId="2470D977" w14:textId="77777777" w:rsidR="009C6E2F" w:rsidRDefault="009C6E2F">
            <w:pPr>
              <w:rPr>
                <w:rFonts w:ascii="宋体"/>
              </w:rPr>
            </w:pPr>
          </w:p>
        </w:tc>
        <w:tc>
          <w:tcPr>
            <w:tcW w:w="384" w:type="pct"/>
            <w:shd w:val="clear" w:color="auto" w:fill="auto"/>
            <w:vAlign w:val="bottom"/>
          </w:tcPr>
          <w:p w14:paraId="2470D978" w14:textId="77777777" w:rsidR="009C6E2F" w:rsidRDefault="009C6E2F">
            <w:pPr>
              <w:rPr>
                <w:rFonts w:ascii="宋体"/>
              </w:rPr>
            </w:pPr>
          </w:p>
        </w:tc>
        <w:tc>
          <w:tcPr>
            <w:tcW w:w="5" w:type="pct"/>
            <w:shd w:val="clear" w:color="auto" w:fill="auto"/>
            <w:vAlign w:val="bottom"/>
          </w:tcPr>
          <w:p w14:paraId="2470D979" w14:textId="77777777" w:rsidR="009C6E2F" w:rsidRDefault="009C6E2F">
            <w:pPr>
              <w:rPr>
                <w:rFonts w:ascii="宋体"/>
              </w:rPr>
            </w:pPr>
          </w:p>
        </w:tc>
        <w:tc>
          <w:tcPr>
            <w:tcW w:w="50" w:type="pct"/>
            <w:shd w:val="clear" w:color="auto" w:fill="auto"/>
            <w:vAlign w:val="bottom"/>
          </w:tcPr>
          <w:p w14:paraId="2470D97A" w14:textId="77777777" w:rsidR="009C6E2F" w:rsidRDefault="009C6E2F">
            <w:pPr>
              <w:rPr>
                <w:rFonts w:ascii="宋体"/>
              </w:rPr>
            </w:pPr>
          </w:p>
        </w:tc>
        <w:tc>
          <w:tcPr>
            <w:tcW w:w="384" w:type="pct"/>
            <w:shd w:val="clear" w:color="auto" w:fill="auto"/>
            <w:vAlign w:val="bottom"/>
          </w:tcPr>
          <w:p w14:paraId="2470D97B" w14:textId="77777777" w:rsidR="009C6E2F" w:rsidRDefault="009C6E2F">
            <w:pPr>
              <w:rPr>
                <w:rFonts w:ascii="宋体"/>
              </w:rPr>
            </w:pPr>
          </w:p>
        </w:tc>
        <w:tc>
          <w:tcPr>
            <w:tcW w:w="5" w:type="pct"/>
            <w:shd w:val="clear" w:color="auto" w:fill="auto"/>
            <w:vAlign w:val="bottom"/>
          </w:tcPr>
          <w:p w14:paraId="2470D97C" w14:textId="77777777" w:rsidR="009C6E2F" w:rsidRDefault="009C6E2F">
            <w:pPr>
              <w:rPr>
                <w:rFonts w:ascii="宋体"/>
              </w:rPr>
            </w:pPr>
          </w:p>
        </w:tc>
        <w:tc>
          <w:tcPr>
            <w:tcW w:w="50" w:type="pct"/>
            <w:shd w:val="clear" w:color="auto" w:fill="auto"/>
            <w:vAlign w:val="bottom"/>
          </w:tcPr>
          <w:p w14:paraId="2470D97D" w14:textId="77777777" w:rsidR="009C6E2F" w:rsidRDefault="009C6E2F">
            <w:pPr>
              <w:rPr>
                <w:rFonts w:ascii="宋体"/>
              </w:rPr>
            </w:pPr>
          </w:p>
        </w:tc>
        <w:tc>
          <w:tcPr>
            <w:tcW w:w="384" w:type="pct"/>
            <w:shd w:val="clear" w:color="auto" w:fill="auto"/>
            <w:vAlign w:val="bottom"/>
          </w:tcPr>
          <w:p w14:paraId="2470D97E" w14:textId="77777777" w:rsidR="009C6E2F" w:rsidRDefault="009C6E2F">
            <w:pPr>
              <w:rPr>
                <w:rFonts w:ascii="宋体"/>
              </w:rPr>
            </w:pPr>
          </w:p>
        </w:tc>
        <w:tc>
          <w:tcPr>
            <w:tcW w:w="5" w:type="pct"/>
            <w:shd w:val="clear" w:color="auto" w:fill="auto"/>
            <w:vAlign w:val="bottom"/>
          </w:tcPr>
          <w:p w14:paraId="2470D97F" w14:textId="77777777" w:rsidR="009C6E2F" w:rsidRDefault="009C6E2F">
            <w:pPr>
              <w:rPr>
                <w:rFonts w:ascii="宋体"/>
              </w:rPr>
            </w:pPr>
          </w:p>
        </w:tc>
        <w:tc>
          <w:tcPr>
            <w:tcW w:w="5" w:type="pct"/>
            <w:shd w:val="clear" w:color="auto" w:fill="auto"/>
            <w:vAlign w:val="bottom"/>
          </w:tcPr>
          <w:p w14:paraId="2470D980" w14:textId="77777777" w:rsidR="009C6E2F" w:rsidRDefault="009C6E2F">
            <w:pPr>
              <w:rPr>
                <w:rFonts w:ascii="宋体"/>
              </w:rPr>
            </w:pPr>
          </w:p>
        </w:tc>
        <w:tc>
          <w:tcPr>
            <w:tcW w:w="28" w:type="pct"/>
            <w:shd w:val="clear" w:color="auto" w:fill="auto"/>
            <w:vAlign w:val="bottom"/>
          </w:tcPr>
          <w:p w14:paraId="2470D981" w14:textId="77777777" w:rsidR="009C6E2F" w:rsidRDefault="009C6E2F">
            <w:pPr>
              <w:rPr>
                <w:rFonts w:ascii="宋体"/>
              </w:rPr>
            </w:pPr>
          </w:p>
        </w:tc>
        <w:tc>
          <w:tcPr>
            <w:tcW w:w="5" w:type="pct"/>
            <w:shd w:val="clear" w:color="auto" w:fill="auto"/>
            <w:vAlign w:val="bottom"/>
          </w:tcPr>
          <w:p w14:paraId="2470D982" w14:textId="77777777" w:rsidR="009C6E2F" w:rsidRDefault="009C6E2F">
            <w:pPr>
              <w:rPr>
                <w:rFonts w:ascii="宋体"/>
              </w:rPr>
            </w:pPr>
          </w:p>
        </w:tc>
        <w:tc>
          <w:tcPr>
            <w:tcW w:w="50" w:type="pct"/>
            <w:shd w:val="clear" w:color="auto" w:fill="auto"/>
            <w:vAlign w:val="bottom"/>
          </w:tcPr>
          <w:p w14:paraId="2470D983" w14:textId="77777777" w:rsidR="009C6E2F" w:rsidRDefault="009C6E2F">
            <w:pPr>
              <w:rPr>
                <w:rFonts w:ascii="宋体"/>
              </w:rPr>
            </w:pPr>
          </w:p>
        </w:tc>
        <w:tc>
          <w:tcPr>
            <w:tcW w:w="384" w:type="pct"/>
            <w:shd w:val="clear" w:color="auto" w:fill="auto"/>
            <w:vAlign w:val="bottom"/>
          </w:tcPr>
          <w:p w14:paraId="2470D984" w14:textId="77777777" w:rsidR="009C6E2F" w:rsidRDefault="009C6E2F">
            <w:pPr>
              <w:rPr>
                <w:rFonts w:ascii="宋体"/>
              </w:rPr>
            </w:pPr>
          </w:p>
        </w:tc>
        <w:tc>
          <w:tcPr>
            <w:tcW w:w="5" w:type="pct"/>
            <w:shd w:val="clear" w:color="auto" w:fill="auto"/>
            <w:vAlign w:val="bottom"/>
          </w:tcPr>
          <w:p w14:paraId="2470D985" w14:textId="77777777" w:rsidR="009C6E2F" w:rsidRDefault="009C6E2F">
            <w:pPr>
              <w:rPr>
                <w:rFonts w:ascii="宋体"/>
              </w:rPr>
            </w:pPr>
          </w:p>
        </w:tc>
        <w:tc>
          <w:tcPr>
            <w:tcW w:w="50" w:type="pct"/>
            <w:shd w:val="clear" w:color="auto" w:fill="auto"/>
            <w:vAlign w:val="bottom"/>
          </w:tcPr>
          <w:p w14:paraId="2470D986" w14:textId="77777777" w:rsidR="009C6E2F" w:rsidRDefault="009C6E2F">
            <w:pPr>
              <w:rPr>
                <w:rFonts w:ascii="宋体"/>
              </w:rPr>
            </w:pPr>
          </w:p>
        </w:tc>
        <w:tc>
          <w:tcPr>
            <w:tcW w:w="384" w:type="pct"/>
            <w:shd w:val="clear" w:color="auto" w:fill="auto"/>
            <w:vAlign w:val="bottom"/>
          </w:tcPr>
          <w:p w14:paraId="2470D987" w14:textId="77777777" w:rsidR="009C6E2F" w:rsidRDefault="009C6E2F">
            <w:pPr>
              <w:rPr>
                <w:rFonts w:ascii="宋体"/>
              </w:rPr>
            </w:pPr>
          </w:p>
        </w:tc>
        <w:tc>
          <w:tcPr>
            <w:tcW w:w="5" w:type="pct"/>
            <w:shd w:val="clear" w:color="auto" w:fill="auto"/>
            <w:vAlign w:val="bottom"/>
          </w:tcPr>
          <w:p w14:paraId="2470D988" w14:textId="77777777" w:rsidR="009C6E2F" w:rsidRDefault="009C6E2F">
            <w:pPr>
              <w:rPr>
                <w:rFonts w:ascii="宋体"/>
              </w:rPr>
            </w:pPr>
          </w:p>
        </w:tc>
        <w:tc>
          <w:tcPr>
            <w:tcW w:w="50" w:type="pct"/>
            <w:shd w:val="clear" w:color="auto" w:fill="auto"/>
            <w:vAlign w:val="bottom"/>
          </w:tcPr>
          <w:p w14:paraId="2470D989" w14:textId="77777777" w:rsidR="009C6E2F" w:rsidRDefault="009C6E2F">
            <w:pPr>
              <w:rPr>
                <w:rFonts w:ascii="宋体"/>
              </w:rPr>
            </w:pPr>
          </w:p>
        </w:tc>
        <w:tc>
          <w:tcPr>
            <w:tcW w:w="384" w:type="pct"/>
            <w:shd w:val="clear" w:color="auto" w:fill="auto"/>
            <w:vAlign w:val="bottom"/>
          </w:tcPr>
          <w:p w14:paraId="2470D98A" w14:textId="77777777" w:rsidR="009C6E2F" w:rsidRDefault="009C6E2F">
            <w:pPr>
              <w:rPr>
                <w:rFonts w:ascii="宋体"/>
              </w:rPr>
            </w:pPr>
          </w:p>
        </w:tc>
        <w:tc>
          <w:tcPr>
            <w:tcW w:w="5" w:type="pct"/>
            <w:shd w:val="clear" w:color="auto" w:fill="auto"/>
            <w:vAlign w:val="bottom"/>
          </w:tcPr>
          <w:p w14:paraId="2470D98B" w14:textId="77777777" w:rsidR="009C6E2F" w:rsidRDefault="009C6E2F">
            <w:pPr>
              <w:rPr>
                <w:rFonts w:ascii="宋体"/>
              </w:rPr>
            </w:pPr>
          </w:p>
        </w:tc>
        <w:tc>
          <w:tcPr>
            <w:tcW w:w="50" w:type="pct"/>
            <w:shd w:val="clear" w:color="auto" w:fill="auto"/>
            <w:vAlign w:val="bottom"/>
          </w:tcPr>
          <w:p w14:paraId="2470D98C" w14:textId="77777777" w:rsidR="009C6E2F" w:rsidRDefault="009C6E2F">
            <w:pPr>
              <w:rPr>
                <w:rFonts w:ascii="宋体"/>
              </w:rPr>
            </w:pPr>
          </w:p>
        </w:tc>
        <w:tc>
          <w:tcPr>
            <w:tcW w:w="384" w:type="pct"/>
            <w:shd w:val="clear" w:color="auto" w:fill="auto"/>
            <w:vAlign w:val="bottom"/>
          </w:tcPr>
          <w:p w14:paraId="2470D98D" w14:textId="77777777" w:rsidR="009C6E2F" w:rsidRDefault="009C6E2F">
            <w:pPr>
              <w:rPr>
                <w:rFonts w:ascii="宋体"/>
              </w:rPr>
            </w:pPr>
          </w:p>
        </w:tc>
        <w:tc>
          <w:tcPr>
            <w:tcW w:w="5" w:type="pct"/>
            <w:shd w:val="clear" w:color="auto" w:fill="auto"/>
            <w:vAlign w:val="bottom"/>
          </w:tcPr>
          <w:p w14:paraId="2470D98E" w14:textId="77777777" w:rsidR="009C6E2F" w:rsidRDefault="009C6E2F">
            <w:pPr>
              <w:rPr>
                <w:rFonts w:ascii="宋体"/>
              </w:rPr>
            </w:pPr>
          </w:p>
        </w:tc>
        <w:tc>
          <w:tcPr>
            <w:tcW w:w="0" w:type="auto"/>
            <w:shd w:val="clear" w:color="auto" w:fill="auto"/>
            <w:vAlign w:val="bottom"/>
          </w:tcPr>
          <w:p w14:paraId="2470D98F" w14:textId="77777777" w:rsidR="009C6E2F" w:rsidRDefault="009C6E2F">
            <w:pPr>
              <w:rPr>
                <w:rFonts w:ascii="宋体"/>
                <w:vanish/>
              </w:rPr>
            </w:pPr>
          </w:p>
        </w:tc>
        <w:tc>
          <w:tcPr>
            <w:tcW w:w="0" w:type="auto"/>
            <w:shd w:val="clear" w:color="auto" w:fill="auto"/>
            <w:vAlign w:val="bottom"/>
          </w:tcPr>
          <w:p w14:paraId="2470D990" w14:textId="77777777" w:rsidR="009C6E2F" w:rsidRDefault="009C6E2F">
            <w:pPr>
              <w:rPr>
                <w:rFonts w:ascii="宋体"/>
                <w:vanish/>
              </w:rPr>
            </w:pPr>
          </w:p>
        </w:tc>
        <w:tc>
          <w:tcPr>
            <w:tcW w:w="0" w:type="auto"/>
            <w:gridSpan w:val="3"/>
            <w:shd w:val="clear" w:color="auto" w:fill="auto"/>
            <w:vAlign w:val="bottom"/>
          </w:tcPr>
          <w:p w14:paraId="2470D991" w14:textId="77777777" w:rsidR="009C6E2F" w:rsidRDefault="009C6E2F">
            <w:pPr>
              <w:rPr>
                <w:rFonts w:ascii="宋体"/>
                <w:vanish/>
              </w:rPr>
            </w:pPr>
          </w:p>
        </w:tc>
        <w:tc>
          <w:tcPr>
            <w:tcW w:w="0" w:type="auto"/>
            <w:gridSpan w:val="3"/>
            <w:shd w:val="clear" w:color="auto" w:fill="auto"/>
            <w:vAlign w:val="bottom"/>
          </w:tcPr>
          <w:p w14:paraId="2470D992" w14:textId="77777777" w:rsidR="009C6E2F" w:rsidRDefault="009C6E2F">
            <w:pPr>
              <w:rPr>
                <w:rFonts w:ascii="宋体"/>
                <w:vanish/>
              </w:rPr>
            </w:pPr>
          </w:p>
        </w:tc>
        <w:tc>
          <w:tcPr>
            <w:tcW w:w="0" w:type="auto"/>
            <w:gridSpan w:val="3"/>
            <w:shd w:val="clear" w:color="auto" w:fill="auto"/>
            <w:vAlign w:val="bottom"/>
          </w:tcPr>
          <w:p w14:paraId="2470D993" w14:textId="77777777" w:rsidR="009C6E2F" w:rsidRDefault="009C6E2F">
            <w:pPr>
              <w:rPr>
                <w:rFonts w:ascii="宋体"/>
                <w:vanish/>
              </w:rPr>
            </w:pPr>
          </w:p>
        </w:tc>
      </w:tr>
      <w:tr w:rsidR="009C6E2F" w14:paraId="2470D9A4" w14:textId="77777777">
        <w:tc>
          <w:tcPr>
            <w:tcW w:w="0" w:type="auto"/>
            <w:gridSpan w:val="3"/>
            <w:shd w:val="clear" w:color="auto" w:fill="auto"/>
            <w:tcMar>
              <w:top w:w="0" w:type="dxa"/>
              <w:left w:w="20" w:type="dxa"/>
              <w:bottom w:w="0" w:type="dxa"/>
              <w:right w:w="20" w:type="dxa"/>
            </w:tcMar>
            <w:vAlign w:val="bottom"/>
          </w:tcPr>
          <w:p w14:paraId="2470D995"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996"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997"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998"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999" w14:textId="77777777" w:rsidR="009C6E2F" w:rsidRDefault="009C6E2F">
            <w:pPr>
              <w:rPr>
                <w:rFonts w:ascii="宋体"/>
                <w:vanish/>
              </w:rPr>
            </w:pPr>
          </w:p>
        </w:tc>
        <w:tc>
          <w:tcPr>
            <w:tcW w:w="0" w:type="auto"/>
            <w:shd w:val="clear" w:color="auto" w:fill="auto"/>
            <w:vAlign w:val="bottom"/>
          </w:tcPr>
          <w:p w14:paraId="2470D99A" w14:textId="77777777" w:rsidR="009C6E2F" w:rsidRDefault="009C6E2F">
            <w:pPr>
              <w:rPr>
                <w:rFonts w:ascii="宋体"/>
                <w:vanish/>
              </w:rPr>
            </w:pPr>
          </w:p>
        </w:tc>
        <w:tc>
          <w:tcPr>
            <w:tcW w:w="0" w:type="auto"/>
            <w:shd w:val="clear" w:color="auto" w:fill="auto"/>
            <w:vAlign w:val="bottom"/>
          </w:tcPr>
          <w:p w14:paraId="2470D99B" w14:textId="77777777" w:rsidR="009C6E2F" w:rsidRDefault="009C6E2F">
            <w:pPr>
              <w:rPr>
                <w:rFonts w:ascii="宋体"/>
              </w:rPr>
            </w:pPr>
          </w:p>
        </w:tc>
        <w:tc>
          <w:tcPr>
            <w:tcW w:w="0" w:type="auto"/>
            <w:shd w:val="clear" w:color="auto" w:fill="auto"/>
            <w:vAlign w:val="bottom"/>
          </w:tcPr>
          <w:p w14:paraId="2470D99C" w14:textId="77777777" w:rsidR="009C6E2F" w:rsidRDefault="009C6E2F">
            <w:pPr>
              <w:rPr>
                <w:rFonts w:ascii="宋体"/>
              </w:rPr>
            </w:pPr>
          </w:p>
        </w:tc>
        <w:tc>
          <w:tcPr>
            <w:tcW w:w="0" w:type="auto"/>
            <w:shd w:val="clear" w:color="auto" w:fill="auto"/>
            <w:vAlign w:val="bottom"/>
          </w:tcPr>
          <w:p w14:paraId="2470D99D" w14:textId="77777777" w:rsidR="009C6E2F" w:rsidRDefault="009C6E2F">
            <w:pPr>
              <w:rPr>
                <w:rFonts w:ascii="宋体"/>
              </w:rPr>
            </w:pPr>
          </w:p>
        </w:tc>
        <w:tc>
          <w:tcPr>
            <w:tcW w:w="0" w:type="auto"/>
            <w:shd w:val="clear" w:color="auto" w:fill="auto"/>
            <w:vAlign w:val="bottom"/>
          </w:tcPr>
          <w:p w14:paraId="2470D99E" w14:textId="77777777" w:rsidR="009C6E2F" w:rsidRDefault="009C6E2F">
            <w:pPr>
              <w:rPr>
                <w:rFonts w:ascii="宋体"/>
              </w:rPr>
            </w:pPr>
          </w:p>
        </w:tc>
        <w:tc>
          <w:tcPr>
            <w:tcW w:w="0" w:type="auto"/>
            <w:shd w:val="clear" w:color="auto" w:fill="auto"/>
            <w:vAlign w:val="bottom"/>
          </w:tcPr>
          <w:p w14:paraId="2470D99F" w14:textId="77777777" w:rsidR="009C6E2F" w:rsidRDefault="009C6E2F">
            <w:pPr>
              <w:rPr>
                <w:rFonts w:ascii="宋体"/>
              </w:rPr>
            </w:pPr>
          </w:p>
        </w:tc>
        <w:tc>
          <w:tcPr>
            <w:tcW w:w="0" w:type="auto"/>
            <w:shd w:val="clear" w:color="auto" w:fill="auto"/>
            <w:vAlign w:val="bottom"/>
          </w:tcPr>
          <w:p w14:paraId="2470D9A0" w14:textId="77777777" w:rsidR="009C6E2F" w:rsidRDefault="009C6E2F">
            <w:pPr>
              <w:rPr>
                <w:rFonts w:ascii="宋体"/>
              </w:rPr>
            </w:pPr>
          </w:p>
        </w:tc>
        <w:tc>
          <w:tcPr>
            <w:tcW w:w="0" w:type="auto"/>
            <w:shd w:val="clear" w:color="auto" w:fill="auto"/>
            <w:vAlign w:val="bottom"/>
          </w:tcPr>
          <w:p w14:paraId="2470D9A1" w14:textId="77777777" w:rsidR="009C6E2F" w:rsidRDefault="009C6E2F">
            <w:pPr>
              <w:rPr>
                <w:rFonts w:ascii="宋体"/>
              </w:rPr>
            </w:pPr>
          </w:p>
        </w:tc>
        <w:tc>
          <w:tcPr>
            <w:tcW w:w="0" w:type="auto"/>
            <w:shd w:val="clear" w:color="auto" w:fill="auto"/>
            <w:vAlign w:val="bottom"/>
          </w:tcPr>
          <w:p w14:paraId="2470D9A2" w14:textId="77777777" w:rsidR="009C6E2F" w:rsidRDefault="009C6E2F">
            <w:pPr>
              <w:rPr>
                <w:rFonts w:ascii="宋体"/>
              </w:rPr>
            </w:pPr>
          </w:p>
        </w:tc>
        <w:tc>
          <w:tcPr>
            <w:tcW w:w="0" w:type="auto"/>
            <w:shd w:val="clear" w:color="auto" w:fill="auto"/>
            <w:vAlign w:val="bottom"/>
          </w:tcPr>
          <w:p w14:paraId="2470D9A3" w14:textId="77777777" w:rsidR="009C6E2F" w:rsidRDefault="009C6E2F">
            <w:pPr>
              <w:rPr>
                <w:rFonts w:ascii="宋体"/>
              </w:rPr>
            </w:pPr>
          </w:p>
        </w:tc>
      </w:tr>
      <w:tr w:rsidR="009C6E2F" w14:paraId="2470D9B4" w14:textId="77777777">
        <w:tc>
          <w:tcPr>
            <w:tcW w:w="0" w:type="auto"/>
            <w:gridSpan w:val="3"/>
            <w:shd w:val="clear" w:color="auto" w:fill="auto"/>
            <w:tcMar>
              <w:top w:w="40" w:type="dxa"/>
              <w:left w:w="20" w:type="dxa"/>
              <w:bottom w:w="40" w:type="dxa"/>
              <w:right w:w="20" w:type="dxa"/>
            </w:tcMar>
            <w:vAlign w:val="bottom"/>
          </w:tcPr>
          <w:p w14:paraId="2470D9A5" w14:textId="77777777" w:rsidR="009C6E2F" w:rsidRDefault="007972BE">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6"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7"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8"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9"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470D9AA"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B"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C"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D"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AE"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470D9AF" w14:textId="77777777" w:rsidR="009C6E2F" w:rsidRDefault="009C6E2F">
            <w:pPr>
              <w:rPr>
                <w:rFonts w:ascii="宋体"/>
                <w:vanish/>
              </w:rPr>
            </w:pPr>
          </w:p>
        </w:tc>
        <w:tc>
          <w:tcPr>
            <w:tcW w:w="0" w:type="auto"/>
            <w:shd w:val="clear" w:color="auto" w:fill="auto"/>
            <w:vAlign w:val="bottom"/>
          </w:tcPr>
          <w:p w14:paraId="2470D9B0" w14:textId="77777777" w:rsidR="009C6E2F" w:rsidRDefault="009C6E2F">
            <w:pPr>
              <w:rPr>
                <w:rFonts w:ascii="宋体"/>
                <w:vanish/>
              </w:rPr>
            </w:pPr>
          </w:p>
        </w:tc>
        <w:tc>
          <w:tcPr>
            <w:tcW w:w="0" w:type="auto"/>
            <w:gridSpan w:val="3"/>
            <w:shd w:val="clear" w:color="auto" w:fill="auto"/>
            <w:vAlign w:val="bottom"/>
          </w:tcPr>
          <w:p w14:paraId="2470D9B1" w14:textId="77777777" w:rsidR="009C6E2F" w:rsidRDefault="009C6E2F">
            <w:pPr>
              <w:rPr>
                <w:rFonts w:ascii="宋体"/>
                <w:vanish/>
              </w:rPr>
            </w:pPr>
          </w:p>
        </w:tc>
        <w:tc>
          <w:tcPr>
            <w:tcW w:w="0" w:type="auto"/>
            <w:gridSpan w:val="3"/>
            <w:shd w:val="clear" w:color="auto" w:fill="auto"/>
            <w:vAlign w:val="bottom"/>
          </w:tcPr>
          <w:p w14:paraId="2470D9B2" w14:textId="77777777" w:rsidR="009C6E2F" w:rsidRDefault="009C6E2F">
            <w:pPr>
              <w:rPr>
                <w:rFonts w:ascii="宋体"/>
                <w:vanish/>
              </w:rPr>
            </w:pPr>
          </w:p>
        </w:tc>
        <w:tc>
          <w:tcPr>
            <w:tcW w:w="0" w:type="auto"/>
            <w:gridSpan w:val="3"/>
            <w:shd w:val="clear" w:color="auto" w:fill="auto"/>
            <w:vAlign w:val="bottom"/>
          </w:tcPr>
          <w:p w14:paraId="2470D9B3" w14:textId="77777777" w:rsidR="009C6E2F" w:rsidRDefault="009C6E2F">
            <w:pPr>
              <w:rPr>
                <w:rFonts w:ascii="宋体"/>
                <w:vanish/>
              </w:rPr>
            </w:pPr>
          </w:p>
        </w:tc>
      </w:tr>
      <w:tr w:rsidR="009C6E2F" w14:paraId="2470D9C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9B5"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9B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9BE" w14:textId="77777777" w:rsidR="009C6E2F" w:rsidRDefault="009C6E2F">
            <w:pPr>
              <w:rPr>
                <w:rFonts w:ascii="宋体"/>
              </w:rPr>
            </w:pPr>
          </w:p>
        </w:tc>
        <w:tc>
          <w:tcPr>
            <w:tcW w:w="0" w:type="auto"/>
            <w:shd w:val="clear" w:color="auto" w:fill="auto"/>
            <w:vAlign w:val="bottom"/>
          </w:tcPr>
          <w:p w14:paraId="2470D9BF" w14:textId="77777777" w:rsidR="009C6E2F" w:rsidRDefault="009C6E2F">
            <w:pPr>
              <w:rPr>
                <w:rFonts w:ascii="宋体"/>
                <w:vanish/>
              </w:rPr>
            </w:pPr>
          </w:p>
        </w:tc>
        <w:tc>
          <w:tcPr>
            <w:tcW w:w="0" w:type="auto"/>
            <w:shd w:val="clear" w:color="auto" w:fill="auto"/>
            <w:vAlign w:val="bottom"/>
          </w:tcPr>
          <w:p w14:paraId="2470D9C0" w14:textId="77777777" w:rsidR="009C6E2F" w:rsidRDefault="009C6E2F">
            <w:pPr>
              <w:rPr>
                <w:rFonts w:ascii="宋体"/>
                <w:vanish/>
              </w:rPr>
            </w:pPr>
          </w:p>
        </w:tc>
        <w:tc>
          <w:tcPr>
            <w:tcW w:w="0" w:type="auto"/>
            <w:gridSpan w:val="3"/>
            <w:shd w:val="clear" w:color="auto" w:fill="auto"/>
            <w:vAlign w:val="bottom"/>
          </w:tcPr>
          <w:p w14:paraId="2470D9C1" w14:textId="77777777" w:rsidR="009C6E2F" w:rsidRDefault="009C6E2F">
            <w:pPr>
              <w:rPr>
                <w:rFonts w:ascii="宋体"/>
                <w:vanish/>
              </w:rPr>
            </w:pPr>
          </w:p>
        </w:tc>
        <w:tc>
          <w:tcPr>
            <w:tcW w:w="0" w:type="auto"/>
            <w:gridSpan w:val="3"/>
            <w:shd w:val="clear" w:color="auto" w:fill="auto"/>
            <w:vAlign w:val="bottom"/>
          </w:tcPr>
          <w:p w14:paraId="2470D9C2" w14:textId="77777777" w:rsidR="009C6E2F" w:rsidRDefault="009C6E2F">
            <w:pPr>
              <w:rPr>
                <w:rFonts w:ascii="宋体"/>
                <w:vanish/>
              </w:rPr>
            </w:pPr>
          </w:p>
        </w:tc>
        <w:tc>
          <w:tcPr>
            <w:tcW w:w="0" w:type="auto"/>
            <w:gridSpan w:val="3"/>
            <w:shd w:val="clear" w:color="auto" w:fill="auto"/>
            <w:vAlign w:val="bottom"/>
          </w:tcPr>
          <w:p w14:paraId="2470D9C3" w14:textId="77777777" w:rsidR="009C6E2F" w:rsidRDefault="009C6E2F">
            <w:pPr>
              <w:rPr>
                <w:rFonts w:ascii="宋体"/>
                <w:vanish/>
              </w:rPr>
            </w:pPr>
          </w:p>
        </w:tc>
      </w:tr>
      <w:tr w:rsidR="009C6E2F" w14:paraId="2470D9E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9C5"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9C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9C7" w14:textId="77777777" w:rsidR="009C6E2F" w:rsidRDefault="007972BE">
            <w:pPr>
              <w:jc w:val="right"/>
              <w:textAlignment w:val="bottom"/>
            </w:pPr>
            <w:r>
              <w:rPr>
                <w:rFonts w:ascii="Arial" w:eastAsia="宋体" w:hAnsi="Arial" w:cs="Arial"/>
                <w:color w:val="000000"/>
                <w:sz w:val="17"/>
                <w:szCs w:val="17"/>
              </w:rPr>
              <w:t>2,852 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9C8"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9C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9CA" w14:textId="77777777" w:rsidR="009C6E2F" w:rsidRDefault="007972BE">
            <w:pPr>
              <w:jc w:val="right"/>
              <w:textAlignment w:val="bottom"/>
            </w:pPr>
            <w:r>
              <w:rPr>
                <w:rFonts w:ascii="Arial" w:eastAsia="宋体" w:hAnsi="Arial" w:cs="Arial"/>
                <w:color w:val="000000"/>
                <w:sz w:val="17"/>
                <w:szCs w:val="17"/>
              </w:rPr>
              <w:t>2,512 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C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CC"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C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CE"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CF"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9D0"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9D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9D2" w14:textId="77777777" w:rsidR="009C6E2F" w:rsidRDefault="007972BE">
            <w:pPr>
              <w:jc w:val="right"/>
              <w:textAlignment w:val="bottom"/>
            </w:pPr>
            <w:r>
              <w:rPr>
                <w:rFonts w:ascii="Arial" w:eastAsia="宋体" w:hAnsi="Arial" w:cs="Arial"/>
                <w:color w:val="000000"/>
                <w:sz w:val="17"/>
                <w:szCs w:val="17"/>
              </w:rPr>
              <w:t>6,116 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9D3"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9D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9D5" w14:textId="77777777" w:rsidR="009C6E2F" w:rsidRDefault="007972BE">
            <w:pPr>
              <w:jc w:val="right"/>
              <w:textAlignment w:val="bottom"/>
            </w:pPr>
            <w:r>
              <w:rPr>
                <w:rFonts w:ascii="Arial" w:eastAsia="宋体" w:hAnsi="Arial" w:cs="Arial"/>
                <w:color w:val="000000"/>
                <w:sz w:val="17"/>
                <w:szCs w:val="17"/>
              </w:rPr>
              <w:t>5,469 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D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D7"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D8"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D9"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DA"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9DB" w14:textId="77777777" w:rsidR="009C6E2F" w:rsidRDefault="009C6E2F">
            <w:pPr>
              <w:rPr>
                <w:rFonts w:ascii="宋体"/>
                <w:vanish/>
              </w:rPr>
            </w:pPr>
          </w:p>
        </w:tc>
        <w:tc>
          <w:tcPr>
            <w:tcW w:w="0" w:type="auto"/>
            <w:shd w:val="clear" w:color="auto" w:fill="auto"/>
            <w:vAlign w:val="bottom"/>
          </w:tcPr>
          <w:p w14:paraId="2470D9DC" w14:textId="77777777" w:rsidR="009C6E2F" w:rsidRDefault="009C6E2F">
            <w:pPr>
              <w:rPr>
                <w:rFonts w:ascii="宋体"/>
                <w:vanish/>
              </w:rPr>
            </w:pPr>
          </w:p>
        </w:tc>
        <w:tc>
          <w:tcPr>
            <w:tcW w:w="0" w:type="auto"/>
            <w:gridSpan w:val="3"/>
            <w:shd w:val="clear" w:color="auto" w:fill="auto"/>
            <w:vAlign w:val="bottom"/>
          </w:tcPr>
          <w:p w14:paraId="2470D9DD" w14:textId="77777777" w:rsidR="009C6E2F" w:rsidRDefault="009C6E2F">
            <w:pPr>
              <w:rPr>
                <w:rFonts w:ascii="宋体"/>
                <w:vanish/>
              </w:rPr>
            </w:pPr>
          </w:p>
        </w:tc>
        <w:tc>
          <w:tcPr>
            <w:tcW w:w="0" w:type="auto"/>
            <w:gridSpan w:val="3"/>
            <w:shd w:val="clear" w:color="auto" w:fill="auto"/>
            <w:vAlign w:val="bottom"/>
          </w:tcPr>
          <w:p w14:paraId="2470D9DE" w14:textId="77777777" w:rsidR="009C6E2F" w:rsidRDefault="009C6E2F">
            <w:pPr>
              <w:rPr>
                <w:rFonts w:ascii="宋体"/>
                <w:vanish/>
              </w:rPr>
            </w:pPr>
          </w:p>
        </w:tc>
        <w:tc>
          <w:tcPr>
            <w:tcW w:w="0" w:type="auto"/>
            <w:gridSpan w:val="3"/>
            <w:shd w:val="clear" w:color="auto" w:fill="auto"/>
            <w:vAlign w:val="bottom"/>
          </w:tcPr>
          <w:p w14:paraId="2470D9DF" w14:textId="77777777" w:rsidR="009C6E2F" w:rsidRDefault="009C6E2F">
            <w:pPr>
              <w:rPr>
                <w:rFonts w:ascii="宋体"/>
                <w:vanish/>
              </w:rPr>
            </w:pPr>
          </w:p>
        </w:tc>
      </w:tr>
      <w:tr w:rsidR="009C6E2F" w14:paraId="2470D9F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9E1"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9E2" w14:textId="77777777" w:rsidR="009C6E2F" w:rsidRDefault="007972BE">
            <w:pPr>
              <w:jc w:val="right"/>
              <w:textAlignment w:val="bottom"/>
            </w:pPr>
            <w:r>
              <w:rPr>
                <w:rFonts w:ascii="Arial" w:eastAsia="宋体" w:hAnsi="Arial" w:cs="Arial"/>
                <w:color w:val="000000"/>
                <w:sz w:val="17"/>
                <w:szCs w:val="17"/>
              </w:rPr>
              <w:t>1,480 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9E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E4" w14:textId="77777777" w:rsidR="009C6E2F" w:rsidRDefault="007972BE">
            <w:pPr>
              <w:jc w:val="right"/>
              <w:textAlignment w:val="bottom"/>
            </w:pPr>
            <w:r>
              <w:rPr>
                <w:rFonts w:ascii="Arial" w:eastAsia="宋体" w:hAnsi="Arial" w:cs="Arial"/>
                <w:color w:val="000000"/>
                <w:sz w:val="17"/>
                <w:szCs w:val="17"/>
              </w:rPr>
              <w:t>1,368 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E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E6"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E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E8"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E9"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9E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9EB" w14:textId="77777777" w:rsidR="009C6E2F" w:rsidRDefault="007972BE">
            <w:pPr>
              <w:jc w:val="right"/>
              <w:textAlignment w:val="bottom"/>
            </w:pPr>
            <w:r>
              <w:rPr>
                <w:rFonts w:ascii="Arial" w:eastAsia="宋体" w:hAnsi="Arial" w:cs="Arial"/>
                <w:color w:val="000000"/>
                <w:sz w:val="17"/>
                <w:szCs w:val="17"/>
              </w:rPr>
              <w:t>2,910 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9E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ED" w14:textId="77777777" w:rsidR="009C6E2F" w:rsidRDefault="007972BE">
            <w:pPr>
              <w:jc w:val="right"/>
              <w:textAlignment w:val="bottom"/>
            </w:pPr>
            <w:r>
              <w:rPr>
                <w:rFonts w:ascii="Arial" w:eastAsia="宋体" w:hAnsi="Arial" w:cs="Arial"/>
                <w:color w:val="000000"/>
                <w:sz w:val="17"/>
                <w:szCs w:val="17"/>
              </w:rPr>
              <w:t>2,493 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E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EF"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F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F1"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F2"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9F3" w14:textId="77777777" w:rsidR="009C6E2F" w:rsidRDefault="009C6E2F">
            <w:pPr>
              <w:rPr>
                <w:rFonts w:ascii="宋体"/>
                <w:vanish/>
              </w:rPr>
            </w:pPr>
          </w:p>
        </w:tc>
        <w:tc>
          <w:tcPr>
            <w:tcW w:w="0" w:type="auto"/>
            <w:shd w:val="clear" w:color="auto" w:fill="auto"/>
            <w:vAlign w:val="bottom"/>
          </w:tcPr>
          <w:p w14:paraId="2470D9F4" w14:textId="77777777" w:rsidR="009C6E2F" w:rsidRDefault="009C6E2F">
            <w:pPr>
              <w:rPr>
                <w:rFonts w:ascii="宋体"/>
                <w:vanish/>
              </w:rPr>
            </w:pPr>
          </w:p>
        </w:tc>
        <w:tc>
          <w:tcPr>
            <w:tcW w:w="0" w:type="auto"/>
            <w:gridSpan w:val="3"/>
            <w:shd w:val="clear" w:color="auto" w:fill="auto"/>
            <w:vAlign w:val="bottom"/>
          </w:tcPr>
          <w:p w14:paraId="2470D9F5" w14:textId="77777777" w:rsidR="009C6E2F" w:rsidRDefault="009C6E2F">
            <w:pPr>
              <w:rPr>
                <w:rFonts w:ascii="宋体"/>
                <w:vanish/>
              </w:rPr>
            </w:pPr>
          </w:p>
        </w:tc>
        <w:tc>
          <w:tcPr>
            <w:tcW w:w="0" w:type="auto"/>
            <w:gridSpan w:val="3"/>
            <w:shd w:val="clear" w:color="auto" w:fill="auto"/>
            <w:vAlign w:val="bottom"/>
          </w:tcPr>
          <w:p w14:paraId="2470D9F6" w14:textId="77777777" w:rsidR="009C6E2F" w:rsidRDefault="009C6E2F">
            <w:pPr>
              <w:rPr>
                <w:rFonts w:ascii="宋体"/>
                <w:vanish/>
              </w:rPr>
            </w:pPr>
          </w:p>
        </w:tc>
        <w:tc>
          <w:tcPr>
            <w:tcW w:w="0" w:type="auto"/>
            <w:gridSpan w:val="3"/>
            <w:shd w:val="clear" w:color="auto" w:fill="auto"/>
            <w:vAlign w:val="bottom"/>
          </w:tcPr>
          <w:p w14:paraId="2470D9F7" w14:textId="77777777" w:rsidR="009C6E2F" w:rsidRDefault="009C6E2F">
            <w:pPr>
              <w:rPr>
                <w:rFonts w:ascii="宋体"/>
                <w:vanish/>
              </w:rPr>
            </w:pPr>
          </w:p>
        </w:tc>
      </w:tr>
      <w:tr w:rsidR="009C6E2F" w14:paraId="2470DA1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9F9"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9FA" w14:textId="77777777" w:rsidR="009C6E2F" w:rsidRDefault="007972BE">
            <w:pPr>
              <w:jc w:val="right"/>
              <w:textAlignment w:val="bottom"/>
            </w:pPr>
            <w:r>
              <w:rPr>
                <w:rFonts w:ascii="Arial" w:eastAsia="宋体" w:hAnsi="Arial" w:cs="Arial"/>
                <w:color w:val="000000"/>
                <w:sz w:val="17"/>
                <w:szCs w:val="17"/>
              </w:rPr>
              <w:t>145 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9F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FC" w14:textId="77777777" w:rsidR="009C6E2F" w:rsidRDefault="007972BE">
            <w:pPr>
              <w:jc w:val="right"/>
              <w:textAlignment w:val="bottom"/>
            </w:pPr>
            <w:r>
              <w:rPr>
                <w:rFonts w:ascii="Arial" w:eastAsia="宋体" w:hAnsi="Arial" w:cs="Arial"/>
                <w:color w:val="000000"/>
                <w:sz w:val="17"/>
                <w:szCs w:val="17"/>
              </w:rPr>
              <w:t>126 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F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9FE"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9F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00"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0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A0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A03" w14:textId="77777777" w:rsidR="009C6E2F" w:rsidRDefault="007972BE">
            <w:pPr>
              <w:jc w:val="right"/>
              <w:textAlignment w:val="bottom"/>
            </w:pPr>
            <w:r>
              <w:rPr>
                <w:rFonts w:ascii="Arial" w:eastAsia="宋体" w:hAnsi="Arial" w:cs="Arial"/>
                <w:color w:val="000000"/>
                <w:sz w:val="17"/>
                <w:szCs w:val="17"/>
              </w:rPr>
              <w:t>330 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A0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05" w14:textId="77777777" w:rsidR="009C6E2F" w:rsidRDefault="007972BE">
            <w:pPr>
              <w:jc w:val="right"/>
              <w:textAlignment w:val="bottom"/>
            </w:pPr>
            <w:r>
              <w:rPr>
                <w:rFonts w:ascii="Arial" w:eastAsia="宋体" w:hAnsi="Arial" w:cs="Arial"/>
                <w:color w:val="000000"/>
                <w:sz w:val="17"/>
                <w:szCs w:val="17"/>
              </w:rPr>
              <w:t>269 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0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07" w14:textId="77777777" w:rsidR="009C6E2F" w:rsidRDefault="007972BE">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08"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09" w14:textId="77777777" w:rsidR="009C6E2F" w:rsidRDefault="007972BE">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0A"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A0B" w14:textId="77777777" w:rsidR="009C6E2F" w:rsidRDefault="009C6E2F">
            <w:pPr>
              <w:rPr>
                <w:rFonts w:ascii="宋体"/>
                <w:vanish/>
              </w:rPr>
            </w:pPr>
          </w:p>
        </w:tc>
        <w:tc>
          <w:tcPr>
            <w:tcW w:w="0" w:type="auto"/>
            <w:shd w:val="clear" w:color="auto" w:fill="auto"/>
            <w:vAlign w:val="bottom"/>
          </w:tcPr>
          <w:p w14:paraId="2470DA0C" w14:textId="77777777" w:rsidR="009C6E2F" w:rsidRDefault="009C6E2F">
            <w:pPr>
              <w:rPr>
                <w:rFonts w:ascii="宋体"/>
                <w:vanish/>
              </w:rPr>
            </w:pPr>
          </w:p>
        </w:tc>
        <w:tc>
          <w:tcPr>
            <w:tcW w:w="0" w:type="auto"/>
            <w:gridSpan w:val="3"/>
            <w:shd w:val="clear" w:color="auto" w:fill="auto"/>
            <w:vAlign w:val="bottom"/>
          </w:tcPr>
          <w:p w14:paraId="2470DA0D" w14:textId="77777777" w:rsidR="009C6E2F" w:rsidRDefault="009C6E2F">
            <w:pPr>
              <w:rPr>
                <w:rFonts w:ascii="宋体"/>
                <w:vanish/>
              </w:rPr>
            </w:pPr>
          </w:p>
        </w:tc>
        <w:tc>
          <w:tcPr>
            <w:tcW w:w="0" w:type="auto"/>
            <w:gridSpan w:val="3"/>
            <w:shd w:val="clear" w:color="auto" w:fill="auto"/>
            <w:vAlign w:val="bottom"/>
          </w:tcPr>
          <w:p w14:paraId="2470DA0E" w14:textId="77777777" w:rsidR="009C6E2F" w:rsidRDefault="009C6E2F">
            <w:pPr>
              <w:rPr>
                <w:rFonts w:ascii="宋体"/>
                <w:vanish/>
              </w:rPr>
            </w:pPr>
          </w:p>
        </w:tc>
        <w:tc>
          <w:tcPr>
            <w:tcW w:w="0" w:type="auto"/>
            <w:gridSpan w:val="3"/>
            <w:shd w:val="clear" w:color="auto" w:fill="auto"/>
            <w:vAlign w:val="bottom"/>
          </w:tcPr>
          <w:p w14:paraId="2470DA0F" w14:textId="77777777" w:rsidR="009C6E2F" w:rsidRDefault="009C6E2F">
            <w:pPr>
              <w:rPr>
                <w:rFonts w:ascii="宋体"/>
                <w:vanish/>
              </w:rPr>
            </w:pPr>
          </w:p>
        </w:tc>
      </w:tr>
      <w:tr w:rsidR="009C6E2F" w14:paraId="2470DA2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11"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A1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A13" w14:textId="77777777" w:rsidR="009C6E2F" w:rsidRDefault="007972BE">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A14"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A1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A16" w14:textId="77777777" w:rsidR="009C6E2F" w:rsidRDefault="007972BE">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17"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18" w14:textId="77777777" w:rsidR="009C6E2F" w:rsidRDefault="007972BE">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19"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1A" w14:textId="77777777" w:rsidR="009C6E2F" w:rsidRDefault="007972BE">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1B"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1C"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A1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A1E" w14:textId="77777777" w:rsidR="009C6E2F" w:rsidRDefault="007972BE">
            <w:pPr>
              <w:jc w:val="right"/>
              <w:textAlignment w:val="bottom"/>
            </w:pPr>
            <w:r>
              <w:rPr>
                <w:rFonts w:ascii="Arial" w:eastAsia="宋体" w:hAnsi="Arial" w:cs="Arial"/>
                <w:b/>
                <w:bCs/>
                <w:color w:val="000000"/>
                <w:sz w:val="17"/>
                <w:szCs w:val="17"/>
              </w:rPr>
              <w:t>9,3</w:t>
            </w:r>
            <w:r>
              <w:rPr>
                <w:rFonts w:ascii="Arial" w:eastAsia="宋体" w:hAnsi="Arial" w:cs="Arial"/>
                <w:b/>
                <w:bCs/>
                <w:color w:val="000000"/>
                <w:sz w:val="17"/>
                <w:szCs w:val="17"/>
              </w:rPr>
              <w:t>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A1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A2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A21" w14:textId="77777777" w:rsidR="009C6E2F" w:rsidRDefault="007972BE">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22"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23" w14:textId="77777777" w:rsidR="009C6E2F" w:rsidRDefault="007972BE">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24"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25" w14:textId="77777777" w:rsidR="009C6E2F" w:rsidRDefault="007972BE">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26"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A27" w14:textId="77777777" w:rsidR="009C6E2F" w:rsidRDefault="009C6E2F">
            <w:pPr>
              <w:rPr>
                <w:rFonts w:ascii="宋体"/>
                <w:vanish/>
              </w:rPr>
            </w:pPr>
          </w:p>
        </w:tc>
        <w:tc>
          <w:tcPr>
            <w:tcW w:w="0" w:type="auto"/>
            <w:shd w:val="clear" w:color="auto" w:fill="auto"/>
            <w:vAlign w:val="bottom"/>
          </w:tcPr>
          <w:p w14:paraId="2470DA28" w14:textId="77777777" w:rsidR="009C6E2F" w:rsidRDefault="009C6E2F">
            <w:pPr>
              <w:rPr>
                <w:rFonts w:ascii="宋体"/>
                <w:vanish/>
              </w:rPr>
            </w:pPr>
          </w:p>
        </w:tc>
        <w:tc>
          <w:tcPr>
            <w:tcW w:w="0" w:type="auto"/>
            <w:gridSpan w:val="3"/>
            <w:shd w:val="clear" w:color="auto" w:fill="auto"/>
            <w:vAlign w:val="bottom"/>
          </w:tcPr>
          <w:p w14:paraId="2470DA29" w14:textId="77777777" w:rsidR="009C6E2F" w:rsidRDefault="009C6E2F">
            <w:pPr>
              <w:rPr>
                <w:rFonts w:ascii="宋体"/>
                <w:vanish/>
              </w:rPr>
            </w:pPr>
          </w:p>
        </w:tc>
        <w:tc>
          <w:tcPr>
            <w:tcW w:w="0" w:type="auto"/>
            <w:gridSpan w:val="3"/>
            <w:shd w:val="clear" w:color="auto" w:fill="auto"/>
            <w:vAlign w:val="bottom"/>
          </w:tcPr>
          <w:p w14:paraId="2470DA2A" w14:textId="77777777" w:rsidR="009C6E2F" w:rsidRDefault="009C6E2F">
            <w:pPr>
              <w:rPr>
                <w:rFonts w:ascii="宋体"/>
                <w:vanish/>
              </w:rPr>
            </w:pPr>
          </w:p>
        </w:tc>
        <w:tc>
          <w:tcPr>
            <w:tcW w:w="0" w:type="auto"/>
            <w:gridSpan w:val="3"/>
            <w:shd w:val="clear" w:color="auto" w:fill="auto"/>
            <w:vAlign w:val="bottom"/>
          </w:tcPr>
          <w:p w14:paraId="2470DA2B" w14:textId="77777777" w:rsidR="009C6E2F" w:rsidRDefault="009C6E2F">
            <w:pPr>
              <w:rPr>
                <w:rFonts w:ascii="宋体"/>
                <w:vanish/>
              </w:rPr>
            </w:pPr>
          </w:p>
        </w:tc>
      </w:tr>
      <w:tr w:rsidR="009C6E2F" w14:paraId="2470DA3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2D"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2470DA2E" w14:textId="77777777" w:rsidR="009C6E2F" w:rsidRDefault="007972BE">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2F" w14:textId="77777777" w:rsidR="009C6E2F" w:rsidRDefault="007972BE">
            <w:pPr>
              <w:textAlignment w:val="bottom"/>
            </w:pPr>
            <w:r>
              <w:rPr>
                <w:rFonts w:ascii="Arial" w:eastAsia="宋体" w:hAnsi="Arial" w:cs="Arial"/>
                <w:color w:val="000000"/>
                <w:sz w:val="17"/>
                <w:szCs w:val="17"/>
              </w:rPr>
              <w:t> </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30"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31"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3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3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3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3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36" w14:textId="77777777" w:rsidR="009C6E2F" w:rsidRDefault="009C6E2F">
            <w:pPr>
              <w:rPr>
                <w:rFonts w:ascii="宋体"/>
              </w:rPr>
            </w:pPr>
          </w:p>
        </w:tc>
        <w:tc>
          <w:tcPr>
            <w:tcW w:w="0" w:type="auto"/>
            <w:shd w:val="clear" w:color="auto" w:fill="auto"/>
            <w:vAlign w:val="bottom"/>
          </w:tcPr>
          <w:p w14:paraId="2470DA37" w14:textId="77777777" w:rsidR="009C6E2F" w:rsidRDefault="009C6E2F">
            <w:pPr>
              <w:rPr>
                <w:rFonts w:ascii="宋体"/>
                <w:vanish/>
              </w:rPr>
            </w:pPr>
          </w:p>
        </w:tc>
        <w:tc>
          <w:tcPr>
            <w:tcW w:w="0" w:type="auto"/>
            <w:shd w:val="clear" w:color="auto" w:fill="auto"/>
            <w:vAlign w:val="bottom"/>
          </w:tcPr>
          <w:p w14:paraId="2470DA38" w14:textId="77777777" w:rsidR="009C6E2F" w:rsidRDefault="009C6E2F">
            <w:pPr>
              <w:rPr>
                <w:rFonts w:ascii="宋体"/>
                <w:vanish/>
              </w:rPr>
            </w:pPr>
          </w:p>
        </w:tc>
        <w:tc>
          <w:tcPr>
            <w:tcW w:w="0" w:type="auto"/>
            <w:gridSpan w:val="3"/>
            <w:shd w:val="clear" w:color="auto" w:fill="auto"/>
            <w:vAlign w:val="bottom"/>
          </w:tcPr>
          <w:p w14:paraId="2470DA39" w14:textId="77777777" w:rsidR="009C6E2F" w:rsidRDefault="009C6E2F">
            <w:pPr>
              <w:rPr>
                <w:rFonts w:ascii="宋体"/>
                <w:vanish/>
              </w:rPr>
            </w:pPr>
          </w:p>
        </w:tc>
        <w:tc>
          <w:tcPr>
            <w:tcW w:w="0" w:type="auto"/>
            <w:gridSpan w:val="3"/>
            <w:shd w:val="clear" w:color="auto" w:fill="auto"/>
            <w:vAlign w:val="bottom"/>
          </w:tcPr>
          <w:p w14:paraId="2470DA3A" w14:textId="77777777" w:rsidR="009C6E2F" w:rsidRDefault="009C6E2F">
            <w:pPr>
              <w:rPr>
                <w:rFonts w:ascii="宋体"/>
                <w:vanish/>
              </w:rPr>
            </w:pPr>
          </w:p>
        </w:tc>
        <w:tc>
          <w:tcPr>
            <w:tcW w:w="0" w:type="auto"/>
            <w:gridSpan w:val="3"/>
            <w:shd w:val="clear" w:color="auto" w:fill="auto"/>
            <w:vAlign w:val="bottom"/>
          </w:tcPr>
          <w:p w14:paraId="2470DA3B" w14:textId="77777777" w:rsidR="009C6E2F" w:rsidRDefault="009C6E2F">
            <w:pPr>
              <w:rPr>
                <w:rFonts w:ascii="宋体"/>
                <w:vanish/>
              </w:rPr>
            </w:pPr>
          </w:p>
        </w:tc>
      </w:tr>
      <w:tr w:rsidR="009C6E2F" w14:paraId="2470DA5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A3D"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A3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A3F" w14:textId="77777777" w:rsidR="009C6E2F" w:rsidRDefault="007972BE">
            <w:pPr>
              <w:jc w:val="right"/>
              <w:textAlignment w:val="bottom"/>
            </w:pPr>
            <w:r>
              <w:rPr>
                <w:rFonts w:ascii="Arial" w:eastAsia="宋体" w:hAnsi="Arial" w:cs="Arial"/>
                <w:color w:val="000000"/>
                <w:sz w:val="17"/>
                <w:szCs w:val="17"/>
              </w:rPr>
              <w:t>2,327 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A40"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A4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A42" w14:textId="77777777" w:rsidR="009C6E2F" w:rsidRDefault="007972BE">
            <w:pPr>
              <w:jc w:val="right"/>
              <w:textAlignment w:val="bottom"/>
            </w:pPr>
            <w:r>
              <w:rPr>
                <w:rFonts w:ascii="Arial" w:eastAsia="宋体" w:hAnsi="Arial" w:cs="Arial"/>
                <w:color w:val="000000"/>
                <w:sz w:val="17"/>
                <w:szCs w:val="17"/>
              </w:rPr>
              <w:t>2,354 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4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44"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4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46"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47"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A48"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A4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A4A" w14:textId="77777777" w:rsidR="009C6E2F" w:rsidRDefault="007972BE">
            <w:pPr>
              <w:jc w:val="right"/>
              <w:textAlignment w:val="bottom"/>
            </w:pPr>
            <w:r>
              <w:rPr>
                <w:rFonts w:ascii="Arial" w:eastAsia="宋体" w:hAnsi="Arial" w:cs="Arial"/>
                <w:color w:val="000000"/>
                <w:sz w:val="17"/>
                <w:szCs w:val="17"/>
              </w:rPr>
              <w:t>5,005 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A4B"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A4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A4D" w14:textId="77777777" w:rsidR="009C6E2F" w:rsidRDefault="007972BE">
            <w:pPr>
              <w:jc w:val="right"/>
              <w:textAlignment w:val="bottom"/>
            </w:pPr>
            <w:r>
              <w:rPr>
                <w:rFonts w:ascii="Arial" w:eastAsia="宋体" w:hAnsi="Arial" w:cs="Arial"/>
                <w:color w:val="000000"/>
                <w:sz w:val="17"/>
                <w:szCs w:val="17"/>
              </w:rPr>
              <w:t>5,073 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4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4F"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5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51" w14:textId="77777777" w:rsidR="009C6E2F" w:rsidRDefault="007972BE">
            <w:pPr>
              <w:jc w:val="right"/>
              <w:textAlignment w:val="bottom"/>
            </w:pPr>
            <w:r>
              <w:rPr>
                <w:rFonts w:ascii="Arial" w:eastAsia="宋体" w:hAnsi="Arial" w:cs="Arial"/>
                <w:color w:val="000000"/>
                <w:sz w:val="17"/>
                <w:szCs w:val="17"/>
              </w:rPr>
              <w:t>-2 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52"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A53" w14:textId="77777777" w:rsidR="009C6E2F" w:rsidRDefault="009C6E2F">
            <w:pPr>
              <w:rPr>
                <w:rFonts w:ascii="宋体"/>
                <w:vanish/>
              </w:rPr>
            </w:pPr>
          </w:p>
        </w:tc>
        <w:tc>
          <w:tcPr>
            <w:tcW w:w="0" w:type="auto"/>
            <w:shd w:val="clear" w:color="auto" w:fill="auto"/>
            <w:vAlign w:val="bottom"/>
          </w:tcPr>
          <w:p w14:paraId="2470DA54" w14:textId="77777777" w:rsidR="009C6E2F" w:rsidRDefault="009C6E2F">
            <w:pPr>
              <w:rPr>
                <w:rFonts w:ascii="宋体"/>
                <w:vanish/>
              </w:rPr>
            </w:pPr>
          </w:p>
        </w:tc>
        <w:tc>
          <w:tcPr>
            <w:tcW w:w="0" w:type="auto"/>
            <w:gridSpan w:val="3"/>
            <w:shd w:val="clear" w:color="auto" w:fill="auto"/>
            <w:vAlign w:val="bottom"/>
          </w:tcPr>
          <w:p w14:paraId="2470DA55" w14:textId="77777777" w:rsidR="009C6E2F" w:rsidRDefault="009C6E2F">
            <w:pPr>
              <w:rPr>
                <w:rFonts w:ascii="宋体"/>
                <w:vanish/>
              </w:rPr>
            </w:pPr>
          </w:p>
        </w:tc>
        <w:tc>
          <w:tcPr>
            <w:tcW w:w="0" w:type="auto"/>
            <w:gridSpan w:val="3"/>
            <w:shd w:val="clear" w:color="auto" w:fill="auto"/>
            <w:vAlign w:val="bottom"/>
          </w:tcPr>
          <w:p w14:paraId="2470DA56" w14:textId="77777777" w:rsidR="009C6E2F" w:rsidRDefault="009C6E2F">
            <w:pPr>
              <w:rPr>
                <w:rFonts w:ascii="宋体"/>
                <w:vanish/>
              </w:rPr>
            </w:pPr>
          </w:p>
        </w:tc>
        <w:tc>
          <w:tcPr>
            <w:tcW w:w="0" w:type="auto"/>
            <w:gridSpan w:val="3"/>
            <w:shd w:val="clear" w:color="auto" w:fill="auto"/>
            <w:vAlign w:val="bottom"/>
          </w:tcPr>
          <w:p w14:paraId="2470DA57" w14:textId="77777777" w:rsidR="009C6E2F" w:rsidRDefault="009C6E2F">
            <w:pPr>
              <w:rPr>
                <w:rFonts w:ascii="宋体"/>
                <w:vanish/>
              </w:rPr>
            </w:pPr>
          </w:p>
        </w:tc>
      </w:tr>
      <w:tr w:rsidR="009C6E2F" w14:paraId="2470DA7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A59" w14:textId="77777777" w:rsidR="009C6E2F" w:rsidRDefault="007972BE">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A5A" w14:textId="77777777" w:rsidR="009C6E2F" w:rsidRDefault="007972BE">
            <w:pPr>
              <w:jc w:val="right"/>
              <w:textAlignment w:val="bottom"/>
            </w:pPr>
            <w:r>
              <w:rPr>
                <w:rFonts w:ascii="Arial" w:eastAsia="宋体" w:hAnsi="Arial" w:cs="Arial"/>
                <w:color w:val="000000"/>
                <w:sz w:val="17"/>
                <w:szCs w:val="17"/>
              </w:rPr>
              <w:t>2,150 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A5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5C" w14:textId="77777777" w:rsidR="009C6E2F" w:rsidRDefault="007972BE">
            <w:pPr>
              <w:jc w:val="right"/>
              <w:textAlignment w:val="bottom"/>
            </w:pPr>
            <w:r>
              <w:rPr>
                <w:rFonts w:ascii="Arial" w:eastAsia="宋体" w:hAnsi="Arial" w:cs="Arial"/>
                <w:color w:val="000000"/>
                <w:sz w:val="17"/>
                <w:szCs w:val="17"/>
              </w:rPr>
              <w:t>1,652 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5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5E" w14:textId="77777777" w:rsidR="009C6E2F" w:rsidRDefault="007972BE">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5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60" w14:textId="77777777" w:rsidR="009C6E2F" w:rsidRDefault="007972BE">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6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A6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A63" w14:textId="77777777" w:rsidR="009C6E2F" w:rsidRDefault="007972BE">
            <w:pPr>
              <w:jc w:val="right"/>
              <w:textAlignment w:val="bottom"/>
            </w:pPr>
            <w:r>
              <w:rPr>
                <w:rFonts w:ascii="Arial" w:eastAsia="宋体" w:hAnsi="Arial" w:cs="Arial"/>
                <w:color w:val="000000"/>
                <w:sz w:val="17"/>
                <w:szCs w:val="17"/>
              </w:rPr>
              <w:t>4,351 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A6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65" w14:textId="77777777" w:rsidR="009C6E2F" w:rsidRDefault="007972BE">
            <w:pPr>
              <w:jc w:val="right"/>
              <w:textAlignment w:val="bottom"/>
            </w:pPr>
            <w:r>
              <w:rPr>
                <w:rFonts w:ascii="Arial" w:eastAsia="宋体" w:hAnsi="Arial" w:cs="Arial"/>
                <w:color w:val="000000"/>
                <w:sz w:val="17"/>
                <w:szCs w:val="17"/>
              </w:rPr>
              <w:t>3,158 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6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67" w14:textId="77777777" w:rsidR="009C6E2F" w:rsidRDefault="007972BE">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68"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A69" w14:textId="77777777" w:rsidR="009C6E2F" w:rsidRDefault="007972BE">
            <w:pPr>
              <w:jc w:val="right"/>
              <w:textAlignment w:val="bottom"/>
            </w:pPr>
            <w:r>
              <w:rPr>
                <w:rFonts w:ascii="Arial" w:eastAsia="宋体" w:hAnsi="Arial" w:cs="Arial"/>
                <w:color w:val="000000"/>
                <w:sz w:val="17"/>
                <w:szCs w:val="17"/>
              </w:rPr>
              <w:t>38 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A6A"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A6B" w14:textId="77777777" w:rsidR="009C6E2F" w:rsidRDefault="009C6E2F">
            <w:pPr>
              <w:rPr>
                <w:rFonts w:ascii="宋体"/>
                <w:vanish/>
              </w:rPr>
            </w:pPr>
          </w:p>
        </w:tc>
        <w:tc>
          <w:tcPr>
            <w:tcW w:w="0" w:type="auto"/>
            <w:shd w:val="clear" w:color="auto" w:fill="auto"/>
            <w:vAlign w:val="bottom"/>
          </w:tcPr>
          <w:p w14:paraId="2470DA6C" w14:textId="77777777" w:rsidR="009C6E2F" w:rsidRDefault="009C6E2F">
            <w:pPr>
              <w:rPr>
                <w:rFonts w:ascii="宋体"/>
                <w:vanish/>
              </w:rPr>
            </w:pPr>
          </w:p>
        </w:tc>
        <w:tc>
          <w:tcPr>
            <w:tcW w:w="0" w:type="auto"/>
            <w:gridSpan w:val="3"/>
            <w:shd w:val="clear" w:color="auto" w:fill="auto"/>
            <w:vAlign w:val="bottom"/>
          </w:tcPr>
          <w:p w14:paraId="2470DA6D" w14:textId="77777777" w:rsidR="009C6E2F" w:rsidRDefault="009C6E2F">
            <w:pPr>
              <w:rPr>
                <w:rFonts w:ascii="宋体"/>
                <w:vanish/>
              </w:rPr>
            </w:pPr>
          </w:p>
        </w:tc>
        <w:tc>
          <w:tcPr>
            <w:tcW w:w="0" w:type="auto"/>
            <w:gridSpan w:val="3"/>
            <w:shd w:val="clear" w:color="auto" w:fill="auto"/>
            <w:vAlign w:val="bottom"/>
          </w:tcPr>
          <w:p w14:paraId="2470DA6E" w14:textId="77777777" w:rsidR="009C6E2F" w:rsidRDefault="009C6E2F">
            <w:pPr>
              <w:rPr>
                <w:rFonts w:ascii="宋体"/>
                <w:vanish/>
              </w:rPr>
            </w:pPr>
          </w:p>
        </w:tc>
        <w:tc>
          <w:tcPr>
            <w:tcW w:w="0" w:type="auto"/>
            <w:gridSpan w:val="3"/>
            <w:shd w:val="clear" w:color="auto" w:fill="auto"/>
            <w:vAlign w:val="bottom"/>
          </w:tcPr>
          <w:p w14:paraId="2470DA6F" w14:textId="77777777" w:rsidR="009C6E2F" w:rsidRDefault="009C6E2F">
            <w:pPr>
              <w:rPr>
                <w:rFonts w:ascii="宋体"/>
                <w:vanish/>
              </w:rPr>
            </w:pPr>
          </w:p>
        </w:tc>
      </w:tr>
      <w:tr w:rsidR="009C6E2F" w14:paraId="2470DA8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71"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A7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A73" w14:textId="77777777" w:rsidR="009C6E2F" w:rsidRDefault="007972BE">
            <w:pPr>
              <w:jc w:val="right"/>
              <w:textAlignment w:val="bottom"/>
            </w:pPr>
            <w:r>
              <w:rPr>
                <w:rFonts w:ascii="Arial" w:eastAsia="宋体" w:hAnsi="Arial" w:cs="Arial"/>
                <w:b/>
                <w:bCs/>
                <w:color w:val="000000"/>
                <w:sz w:val="17"/>
                <w:szCs w:val="17"/>
              </w:rPr>
              <w:t>4,477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A74"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A7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A76" w14:textId="77777777" w:rsidR="009C6E2F" w:rsidRDefault="007972BE">
            <w:pPr>
              <w:jc w:val="right"/>
              <w:textAlignment w:val="bottom"/>
            </w:pPr>
            <w:r>
              <w:rPr>
                <w:rFonts w:ascii="Arial" w:eastAsia="宋体" w:hAnsi="Arial" w:cs="Arial"/>
                <w:b/>
                <w:bCs/>
                <w:color w:val="000000"/>
                <w:sz w:val="17"/>
                <w:szCs w:val="17"/>
              </w:rPr>
              <w:t>4,006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77"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78" w14:textId="77777777" w:rsidR="009C6E2F" w:rsidRDefault="007972BE">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79"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7A" w14:textId="77777777" w:rsidR="009C6E2F" w:rsidRDefault="007972BE">
            <w:pPr>
              <w:jc w:val="right"/>
              <w:textAlignment w:val="bottom"/>
            </w:pP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7B"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7C"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A7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A7E" w14:textId="77777777" w:rsidR="009C6E2F" w:rsidRDefault="007972BE">
            <w:pPr>
              <w:jc w:val="right"/>
              <w:textAlignment w:val="bottom"/>
            </w:pPr>
            <w:r>
              <w:rPr>
                <w:rFonts w:ascii="Arial" w:eastAsia="宋体" w:hAnsi="Arial" w:cs="Arial"/>
                <w:b/>
                <w:bCs/>
                <w:color w:val="000000"/>
                <w:sz w:val="17"/>
                <w:szCs w:val="17"/>
              </w:rPr>
              <w:t>9,356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A7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A8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A81" w14:textId="77777777" w:rsidR="009C6E2F" w:rsidRDefault="007972BE">
            <w:pPr>
              <w:jc w:val="right"/>
              <w:textAlignment w:val="bottom"/>
            </w:pPr>
            <w:r>
              <w:rPr>
                <w:rFonts w:ascii="Arial" w:eastAsia="宋体" w:hAnsi="Arial" w:cs="Arial"/>
                <w:b/>
                <w:bCs/>
                <w:color w:val="000000"/>
                <w:sz w:val="17"/>
                <w:szCs w:val="17"/>
              </w:rPr>
              <w:t>8,231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82"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83" w14:textId="77777777" w:rsidR="009C6E2F" w:rsidRDefault="007972BE">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84"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A85" w14:textId="77777777" w:rsidR="009C6E2F" w:rsidRDefault="007972BE">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A86"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A87" w14:textId="77777777" w:rsidR="009C6E2F" w:rsidRDefault="009C6E2F">
            <w:pPr>
              <w:rPr>
                <w:rFonts w:ascii="宋体"/>
                <w:vanish/>
              </w:rPr>
            </w:pPr>
          </w:p>
        </w:tc>
        <w:tc>
          <w:tcPr>
            <w:tcW w:w="0" w:type="auto"/>
            <w:shd w:val="clear" w:color="auto" w:fill="auto"/>
            <w:vAlign w:val="bottom"/>
          </w:tcPr>
          <w:p w14:paraId="2470DA88" w14:textId="77777777" w:rsidR="009C6E2F" w:rsidRDefault="009C6E2F">
            <w:pPr>
              <w:rPr>
                <w:rFonts w:ascii="宋体"/>
                <w:vanish/>
              </w:rPr>
            </w:pPr>
          </w:p>
        </w:tc>
        <w:tc>
          <w:tcPr>
            <w:tcW w:w="0" w:type="auto"/>
            <w:gridSpan w:val="3"/>
            <w:shd w:val="clear" w:color="auto" w:fill="auto"/>
            <w:vAlign w:val="bottom"/>
          </w:tcPr>
          <w:p w14:paraId="2470DA89" w14:textId="77777777" w:rsidR="009C6E2F" w:rsidRDefault="009C6E2F">
            <w:pPr>
              <w:rPr>
                <w:rFonts w:ascii="宋体"/>
                <w:vanish/>
              </w:rPr>
            </w:pPr>
          </w:p>
        </w:tc>
        <w:tc>
          <w:tcPr>
            <w:tcW w:w="0" w:type="auto"/>
            <w:gridSpan w:val="3"/>
            <w:shd w:val="clear" w:color="auto" w:fill="auto"/>
            <w:vAlign w:val="bottom"/>
          </w:tcPr>
          <w:p w14:paraId="2470DA8A" w14:textId="77777777" w:rsidR="009C6E2F" w:rsidRDefault="009C6E2F">
            <w:pPr>
              <w:rPr>
                <w:rFonts w:ascii="宋体"/>
                <w:vanish/>
              </w:rPr>
            </w:pPr>
          </w:p>
        </w:tc>
        <w:tc>
          <w:tcPr>
            <w:tcW w:w="0" w:type="auto"/>
            <w:gridSpan w:val="3"/>
            <w:shd w:val="clear" w:color="auto" w:fill="auto"/>
            <w:vAlign w:val="bottom"/>
          </w:tcPr>
          <w:p w14:paraId="2470DA8B" w14:textId="77777777" w:rsidR="009C6E2F" w:rsidRDefault="009C6E2F">
            <w:pPr>
              <w:rPr>
                <w:rFonts w:ascii="宋体"/>
                <w:vanish/>
              </w:rPr>
            </w:pPr>
          </w:p>
        </w:tc>
      </w:tr>
      <w:tr w:rsidR="009C6E2F" w14:paraId="2470DAA6"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A8D" w14:textId="77777777" w:rsidR="009C6E2F" w:rsidRDefault="007972BE">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A8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A8F" w14:textId="77777777" w:rsidR="009C6E2F" w:rsidRDefault="007972BE">
            <w:pPr>
              <w:jc w:val="right"/>
              <w:textAlignment w:val="bottom"/>
            </w:pPr>
            <w:r>
              <w:rPr>
                <w:rFonts w:ascii="Arial" w:eastAsia="宋体" w:hAnsi="Arial" w:cs="Arial"/>
                <w:b/>
                <w:bCs/>
                <w:color w:val="000000"/>
                <w:sz w:val="17"/>
                <w:szCs w:val="17"/>
              </w:rPr>
              <w:t>1,235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A9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A9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A92" w14:textId="77777777" w:rsidR="009C6E2F" w:rsidRDefault="007972BE">
            <w:pPr>
              <w:jc w:val="right"/>
              <w:textAlignment w:val="bottom"/>
            </w:pPr>
            <w:r>
              <w:rPr>
                <w:rFonts w:ascii="Arial" w:eastAsia="宋体" w:hAnsi="Arial" w:cs="Arial"/>
                <w:b/>
                <w:bCs/>
                <w:color w:val="000000"/>
                <w:sz w:val="17"/>
                <w:szCs w:val="17"/>
              </w:rPr>
              <w:t>1,023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A93"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A94" w14:textId="77777777" w:rsidR="009C6E2F" w:rsidRDefault="007972BE">
            <w:pPr>
              <w:jc w:val="right"/>
              <w:textAlignment w:val="bottom"/>
            </w:pPr>
            <w:r>
              <w:rPr>
                <w:rFonts w:ascii="Arial" w:eastAsia="宋体" w:hAnsi="Arial" w:cs="Arial"/>
                <w:b/>
                <w:bCs/>
                <w:color w:val="000000"/>
                <w:sz w:val="17"/>
                <w:szCs w:val="17"/>
              </w:rPr>
              <w:t>21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A95"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A96"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A97"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A9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A99" w14:textId="77777777" w:rsidR="009C6E2F" w:rsidRDefault="007972BE">
            <w:pPr>
              <w:jc w:val="right"/>
              <w:textAlignment w:val="bottom"/>
            </w:pPr>
            <w:r>
              <w:rPr>
                <w:rFonts w:ascii="Arial" w:eastAsia="宋体" w:hAnsi="Arial" w:cs="Arial"/>
                <w:b/>
                <w:bCs/>
                <w:color w:val="000000"/>
                <w:sz w:val="17"/>
                <w:szCs w:val="17"/>
              </w:rPr>
              <w:t>2,669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A9A"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A9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A9C" w14:textId="77777777" w:rsidR="009C6E2F" w:rsidRDefault="007972BE">
            <w:pPr>
              <w:jc w:val="right"/>
              <w:textAlignment w:val="bottom"/>
            </w:pPr>
            <w:r>
              <w:rPr>
                <w:rFonts w:ascii="Arial" w:eastAsia="宋体" w:hAnsi="Arial" w:cs="Arial"/>
                <w:b/>
                <w:bCs/>
                <w:color w:val="000000"/>
                <w:sz w:val="17"/>
                <w:szCs w:val="17"/>
              </w:rPr>
              <w:t>2,325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A9D"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A9E" w14:textId="77777777" w:rsidR="009C6E2F" w:rsidRDefault="007972BE">
            <w:pPr>
              <w:jc w:val="right"/>
              <w:textAlignment w:val="bottom"/>
            </w:pPr>
            <w:r>
              <w:rPr>
                <w:rFonts w:ascii="Arial" w:eastAsia="宋体" w:hAnsi="Arial" w:cs="Arial"/>
                <w:b/>
                <w:bCs/>
                <w:color w:val="000000"/>
                <w:sz w:val="17"/>
                <w:szCs w:val="17"/>
              </w:rPr>
              <w:t>15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A9F"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AA0" w14:textId="77777777" w:rsidR="009C6E2F" w:rsidRDefault="009C6E2F">
            <w:pPr>
              <w:rPr>
                <w:rFonts w:ascii="宋体"/>
              </w:rPr>
            </w:pPr>
          </w:p>
        </w:tc>
        <w:tc>
          <w:tcPr>
            <w:tcW w:w="0" w:type="auto"/>
            <w:shd w:val="clear" w:color="auto" w:fill="auto"/>
            <w:vAlign w:val="bottom"/>
          </w:tcPr>
          <w:p w14:paraId="2470DAA1" w14:textId="77777777" w:rsidR="009C6E2F" w:rsidRDefault="009C6E2F">
            <w:pPr>
              <w:rPr>
                <w:rFonts w:ascii="宋体"/>
                <w:vanish/>
              </w:rPr>
            </w:pPr>
          </w:p>
        </w:tc>
        <w:tc>
          <w:tcPr>
            <w:tcW w:w="0" w:type="auto"/>
            <w:shd w:val="clear" w:color="auto" w:fill="auto"/>
            <w:vAlign w:val="bottom"/>
          </w:tcPr>
          <w:p w14:paraId="2470DAA2" w14:textId="77777777" w:rsidR="009C6E2F" w:rsidRDefault="009C6E2F">
            <w:pPr>
              <w:rPr>
                <w:rFonts w:ascii="宋体"/>
                <w:vanish/>
              </w:rPr>
            </w:pPr>
          </w:p>
        </w:tc>
        <w:tc>
          <w:tcPr>
            <w:tcW w:w="0" w:type="auto"/>
            <w:gridSpan w:val="3"/>
            <w:shd w:val="clear" w:color="auto" w:fill="auto"/>
            <w:vAlign w:val="bottom"/>
          </w:tcPr>
          <w:p w14:paraId="2470DAA3" w14:textId="77777777" w:rsidR="009C6E2F" w:rsidRDefault="009C6E2F">
            <w:pPr>
              <w:rPr>
                <w:rFonts w:ascii="宋体"/>
                <w:vanish/>
              </w:rPr>
            </w:pPr>
          </w:p>
        </w:tc>
        <w:tc>
          <w:tcPr>
            <w:tcW w:w="0" w:type="auto"/>
            <w:gridSpan w:val="3"/>
            <w:shd w:val="clear" w:color="auto" w:fill="auto"/>
            <w:vAlign w:val="bottom"/>
          </w:tcPr>
          <w:p w14:paraId="2470DAA4" w14:textId="77777777" w:rsidR="009C6E2F" w:rsidRDefault="009C6E2F">
            <w:pPr>
              <w:rPr>
                <w:rFonts w:ascii="宋体"/>
                <w:vanish/>
              </w:rPr>
            </w:pPr>
          </w:p>
        </w:tc>
        <w:tc>
          <w:tcPr>
            <w:tcW w:w="0" w:type="auto"/>
            <w:gridSpan w:val="3"/>
            <w:shd w:val="clear" w:color="auto" w:fill="auto"/>
            <w:vAlign w:val="bottom"/>
          </w:tcPr>
          <w:p w14:paraId="2470DAA5" w14:textId="77777777" w:rsidR="009C6E2F" w:rsidRDefault="009C6E2F">
            <w:pPr>
              <w:rPr>
                <w:rFonts w:ascii="宋体"/>
                <w:vanish/>
              </w:rPr>
            </w:pPr>
          </w:p>
        </w:tc>
      </w:tr>
    </w:tbl>
    <w:p w14:paraId="2470DAA7" w14:textId="77777777" w:rsidR="009C6E2F" w:rsidRDefault="007972BE">
      <w:pPr>
        <w:spacing w:before="120" w:after="120"/>
      </w:pPr>
      <w:r>
        <w:rPr>
          <w:rFonts w:ascii="Arial" w:eastAsia="宋体" w:hAnsi="Arial" w:cs="Arial"/>
          <w:color w:val="000000"/>
          <w:sz w:val="17"/>
          <w:szCs w:val="17"/>
        </w:rPr>
        <w:t>We believe there continues to be a meaningful shif</w:t>
      </w:r>
      <w:r>
        <w:rPr>
          <w:rFonts w:ascii="Arial" w:eastAsia="宋体" w:hAnsi="Arial" w:cs="Arial"/>
          <w:color w:val="000000"/>
          <w:sz w:val="17"/>
          <w:szCs w:val="17"/>
        </w:rPr>
        <w:t>t in the way consumers shop for product and make purchasing decisions across each of our geographies. Consumers are demanding a constant flow of fresh and innovative product, and have an expectation for superior service and rapid delivery, all fueled by th</w:t>
      </w:r>
      <w:r>
        <w:rPr>
          <w:rFonts w:ascii="Arial" w:eastAsia="宋体" w:hAnsi="Arial" w:cs="Arial"/>
          <w:color w:val="000000"/>
          <w:sz w:val="17"/>
          <w:szCs w:val="17"/>
        </w:rPr>
        <w:t>e shift toward digital and mono-brand experiences in NIKE Direct. We anticipate continued evolution within the retail landscape, driven by shifting consumer traffic patterns across digital and physical channels. Specifically in North America, we remain foc</w:t>
      </w:r>
      <w:r>
        <w:rPr>
          <w:rFonts w:ascii="Arial" w:eastAsia="宋体" w:hAnsi="Arial" w:cs="Arial"/>
          <w:color w:val="000000"/>
          <w:sz w:val="17"/>
          <w:szCs w:val="17"/>
        </w:rPr>
        <w:t>used on building long-term momentum with our strategic wholesale customers, which offer a differentiated retail experience. Additionally, over the last three years we have significantly reduced the number of undifferentiated wholesale accounts. During fisc</w:t>
      </w:r>
      <w:r>
        <w:rPr>
          <w:rFonts w:ascii="Arial" w:eastAsia="宋体" w:hAnsi="Arial" w:cs="Arial"/>
          <w:color w:val="000000"/>
          <w:sz w:val="17"/>
          <w:szCs w:val="17"/>
        </w:rPr>
        <w:t>al 2021 and the first six months of fiscal 2022, we took further steps towards account and channel consolidation by reprioritizing product allocation to benefit NIKE Direct and our differentiated strategic wholesale customers. We expect we will continue to</w:t>
      </w:r>
      <w:r>
        <w:rPr>
          <w:rFonts w:ascii="Arial" w:eastAsia="宋体" w:hAnsi="Arial" w:cs="Arial"/>
          <w:color w:val="000000"/>
          <w:sz w:val="17"/>
          <w:szCs w:val="17"/>
        </w:rPr>
        <w:t xml:space="preserve"> aggressively accelerate these changes over the next several fiscal years as we work to reprofile the shape of the marketplace and recapture wholesale revenue declines over time.</w:t>
      </w:r>
    </w:p>
    <w:p w14:paraId="2470DAA8"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 FISCAL 2021</w:t>
      </w:r>
    </w:p>
    <w:p w14:paraId="2470DAA9" w14:textId="77777777" w:rsidR="009C6E2F" w:rsidRDefault="007972BE">
      <w:pPr>
        <w:spacing w:before="60" w:after="120"/>
      </w:pPr>
      <w:r>
        <w:rPr>
          <w:rFonts w:ascii="Arial" w:eastAsia="宋体" w:hAnsi="Arial" w:cs="Arial"/>
          <w:color w:val="000000"/>
          <w:sz w:val="17"/>
          <w:szCs w:val="17"/>
        </w:rPr>
        <w:t xml:space="preserve">On a </w:t>
      </w:r>
      <w:r>
        <w:rPr>
          <w:rFonts w:ascii="Arial" w:eastAsia="宋体" w:hAnsi="Arial" w:cs="Arial"/>
          <w:color w:val="000000"/>
          <w:sz w:val="17"/>
          <w:szCs w:val="17"/>
        </w:rPr>
        <w:t>currency-neutral basis, North America revenues for the second quarter of fiscal 2022 increased 12%, due primarily to higher revenues in Women's and the Jordan Brand, partially offset by a decline in Men's. NIKE Direct revenues increased 30%, driven by stro</w:t>
      </w:r>
      <w:r>
        <w:rPr>
          <w:rFonts w:ascii="Arial" w:eastAsia="宋体" w:hAnsi="Arial" w:cs="Arial"/>
          <w:color w:val="000000"/>
          <w:sz w:val="17"/>
          <w:szCs w:val="17"/>
        </w:rPr>
        <w:t>ng digital sales growth of 40%, comparable store sales growth of 16%, in part due to improved physical retail traffic, and the addition of new stores.</w:t>
      </w:r>
    </w:p>
    <w:p w14:paraId="2470DAAA" w14:textId="77777777" w:rsidR="009C6E2F" w:rsidRDefault="007972BE">
      <w:pPr>
        <w:spacing w:before="120" w:after="120"/>
        <w:jc w:val="right"/>
      </w:pPr>
      <w:r>
        <w:rPr>
          <w:rFonts w:ascii="Arial" w:eastAsia="宋体" w:hAnsi="Arial" w:cs="Arial"/>
          <w:color w:val="E87722"/>
          <w:sz w:val="17"/>
          <w:szCs w:val="17"/>
        </w:rPr>
        <w:t>33</w:t>
      </w:r>
    </w:p>
    <w:p w14:paraId="2470DAAB" w14:textId="77777777" w:rsidR="009C6E2F" w:rsidRDefault="007972BE">
      <w:r>
        <w:pict w14:anchorId="2470E206">
          <v:rect id="_x0000_i1059" style="width:415.3pt;height:1.5pt" o:hralign="center" o:hrstd="t" o:hr="t" fillcolor="#a0a0a0" stroked="f"/>
        </w:pict>
      </w:r>
    </w:p>
    <w:p w14:paraId="2470DAAC" w14:textId="77777777" w:rsidR="009C6E2F" w:rsidRDefault="009C6E2F"/>
    <w:p w14:paraId="2470DAAD" w14:textId="77777777" w:rsidR="009C6E2F" w:rsidRDefault="007972BE">
      <w:hyperlink r:id="rId102" w:anchor="i9e023a7388204bdbacd6aa338988f838_7" w:history="1">
        <w:r>
          <w:rPr>
            <w:rStyle w:val="a5"/>
            <w:rFonts w:ascii="sans-serif" w:eastAsia="sans-serif" w:hAnsi="sans-serif" w:cs="sans-serif"/>
            <w:sz w:val="17"/>
            <w:szCs w:val="17"/>
          </w:rPr>
          <w:t>Table of Contents</w:t>
        </w:r>
      </w:hyperlink>
    </w:p>
    <w:p w14:paraId="2470DAAE" w14:textId="77777777" w:rsidR="009C6E2F" w:rsidRDefault="009C6E2F"/>
    <w:p w14:paraId="2470DAAF" w14:textId="77777777" w:rsidR="009C6E2F" w:rsidRDefault="007972BE">
      <w:pPr>
        <w:spacing w:before="120" w:after="120"/>
      </w:pPr>
      <w:r>
        <w:rPr>
          <w:rFonts w:ascii="Arial" w:eastAsia="宋体" w:hAnsi="Arial" w:cs="Arial"/>
          <w:color w:val="000000"/>
          <w:sz w:val="17"/>
          <w:szCs w:val="17"/>
        </w:rPr>
        <w:t>Footwear revenues increased 13% on a currency-neutral basis, largely driven by higher</w:t>
      </w:r>
      <w:r>
        <w:rPr>
          <w:rFonts w:ascii="Arial" w:eastAsia="宋体" w:hAnsi="Arial" w:cs="Arial"/>
          <w:color w:val="000000"/>
          <w:sz w:val="17"/>
          <w:szCs w:val="17"/>
        </w:rPr>
        <w:t xml:space="preserve"> revenues in Women's, partially offset by a decline in Men's. Unit sales of footwear increased 7%, while higher ASP per pair contributed approximately 6 percentage points of footwear revenue growth. Higher ASP per pair was primarily due to higher NIKE Dire</w:t>
      </w:r>
      <w:r>
        <w:rPr>
          <w:rFonts w:ascii="Arial" w:eastAsia="宋体" w:hAnsi="Arial" w:cs="Arial"/>
          <w:color w:val="000000"/>
          <w:sz w:val="17"/>
          <w:szCs w:val="17"/>
        </w:rPr>
        <w:t>ct ASP, the favorable impact of growth in our NIKE Direct business and a higher mix of full-price sales, partially offset by lower full-price ASP.</w:t>
      </w:r>
    </w:p>
    <w:p w14:paraId="2470DAB0" w14:textId="77777777" w:rsidR="009C6E2F" w:rsidRDefault="007972BE">
      <w:pPr>
        <w:spacing w:before="120" w:after="120"/>
      </w:pPr>
      <w:r>
        <w:rPr>
          <w:rFonts w:ascii="Arial" w:eastAsia="宋体" w:hAnsi="Arial" w:cs="Arial"/>
          <w:color w:val="000000"/>
          <w:sz w:val="17"/>
          <w:szCs w:val="17"/>
        </w:rPr>
        <w:t>On a currency-neutral basis, apparel revenues increased 8%, driven primarily by growth in NIKE Direct. Unit s</w:t>
      </w:r>
      <w:r>
        <w:rPr>
          <w:rFonts w:ascii="Arial" w:eastAsia="宋体" w:hAnsi="Arial" w:cs="Arial"/>
          <w:color w:val="000000"/>
          <w:sz w:val="17"/>
          <w:szCs w:val="17"/>
        </w:rPr>
        <w:t>ales of apparel decreased 5%, while higher ASP per unit contributed approximately 13 percentage points of apparel revenue growth. The increase in ASP per unit was primarily driven by higher NIKE Direct ASP, as well as higher full-price ASP, primarily due t</w:t>
      </w:r>
      <w:r>
        <w:rPr>
          <w:rFonts w:ascii="Arial" w:eastAsia="宋体" w:hAnsi="Arial" w:cs="Arial"/>
          <w:color w:val="000000"/>
          <w:sz w:val="17"/>
          <w:szCs w:val="17"/>
        </w:rPr>
        <w:t>o lower discounts, and a higher mix of full-price sales.</w:t>
      </w:r>
    </w:p>
    <w:p w14:paraId="2470DAB1" w14:textId="77777777" w:rsidR="009C6E2F" w:rsidRDefault="007972BE">
      <w:pPr>
        <w:spacing w:before="120" w:after="120"/>
      </w:pPr>
      <w:r>
        <w:rPr>
          <w:rFonts w:ascii="Arial" w:eastAsia="宋体" w:hAnsi="Arial" w:cs="Arial"/>
          <w:color w:val="000000"/>
          <w:sz w:val="17"/>
          <w:szCs w:val="17"/>
        </w:rPr>
        <w:t>Reported EBIT increased 21% as higher revenues and gross margin expansion more than offset higher selling and administrative expense. Gross margin increased approximately 280 basis points primarily d</w:t>
      </w:r>
      <w:r>
        <w:rPr>
          <w:rFonts w:ascii="Arial" w:eastAsia="宋体" w:hAnsi="Arial" w:cs="Arial"/>
          <w:color w:val="000000"/>
          <w:sz w:val="17"/>
          <w:szCs w:val="17"/>
        </w:rPr>
        <w:t>ue to higher margins and the favorable impact of growth in our NIKE Direct business, as well as a higher mix of full-price sales and higher full-price ASP, net of discounts. This activity was partially offset by higher product costs primarily due to increa</w:t>
      </w:r>
      <w:r>
        <w:rPr>
          <w:rFonts w:ascii="Arial" w:eastAsia="宋体" w:hAnsi="Arial" w:cs="Arial"/>
          <w:color w:val="000000"/>
          <w:sz w:val="17"/>
          <w:szCs w:val="17"/>
        </w:rPr>
        <w:t>sed freight and logistics costs. Selling and administrative expense increased due to higher demand creation and operating overhead expense. Demand creation expense increased primarily as a result of higher advertising and marketing expense as well as digit</w:t>
      </w:r>
      <w:r>
        <w:rPr>
          <w:rFonts w:ascii="Arial" w:eastAsia="宋体" w:hAnsi="Arial" w:cs="Arial"/>
          <w:color w:val="000000"/>
          <w:sz w:val="17"/>
          <w:szCs w:val="17"/>
        </w:rPr>
        <w:t>al marketing investments, partially offset by lower sports marketing costs. The increase in operating overhead expense reflected higher wage-related costs as well as an increase in strategic technology investments.</w:t>
      </w:r>
    </w:p>
    <w:p w14:paraId="2470DAB2" w14:textId="77777777" w:rsidR="009C6E2F" w:rsidRDefault="007972BE">
      <w:pPr>
        <w:spacing w:before="120"/>
      </w:pPr>
      <w:r>
        <w:rPr>
          <w:rFonts w:ascii="sans-serif" w:eastAsia="sans-serif" w:hAnsi="sans-serif" w:cs="sans-serif"/>
          <w:b/>
          <w:bCs/>
          <w:color w:val="808080"/>
          <w:sz w:val="22"/>
          <w:szCs w:val="22"/>
        </w:rPr>
        <w:t xml:space="preserve">FIRST SIX MONTHS OF FISCAL 2022 COMPARED </w:t>
      </w:r>
      <w:r>
        <w:rPr>
          <w:rFonts w:ascii="sans-serif" w:eastAsia="sans-serif" w:hAnsi="sans-serif" w:cs="sans-serif"/>
          <w:b/>
          <w:bCs/>
          <w:color w:val="808080"/>
          <w:sz w:val="22"/>
          <w:szCs w:val="22"/>
        </w:rPr>
        <w:t>TO FIRST SIX MONTHS OF FISCAL 2021</w:t>
      </w:r>
    </w:p>
    <w:p w14:paraId="2470DAB3" w14:textId="77777777" w:rsidR="009C6E2F" w:rsidRDefault="007972BE">
      <w:pPr>
        <w:spacing w:before="60" w:after="120"/>
      </w:pPr>
      <w:r>
        <w:rPr>
          <w:rFonts w:ascii="Arial" w:eastAsia="宋体" w:hAnsi="Arial" w:cs="Arial"/>
          <w:color w:val="000000"/>
          <w:sz w:val="17"/>
          <w:szCs w:val="17"/>
        </w:rPr>
        <w:t>On a currency-neutral basis, North America revenues for the first six months of fiscal 2022 increased 13%, due primarily to higher revenues in Women's. NIKE Direct revenues increased 38%, driven by strong digital sales gr</w:t>
      </w:r>
      <w:r>
        <w:rPr>
          <w:rFonts w:ascii="Arial" w:eastAsia="宋体" w:hAnsi="Arial" w:cs="Arial"/>
          <w:color w:val="000000"/>
          <w:sz w:val="17"/>
          <w:szCs w:val="17"/>
        </w:rPr>
        <w:t>owth of 41%, comparable store sales growth of 31%, in part due to improved physical retail traffic, and the addition of new stores.</w:t>
      </w:r>
    </w:p>
    <w:p w14:paraId="2470DAB4" w14:textId="77777777" w:rsidR="009C6E2F" w:rsidRDefault="007972BE">
      <w:pPr>
        <w:spacing w:before="120" w:after="120"/>
      </w:pPr>
      <w:r>
        <w:rPr>
          <w:rFonts w:ascii="Arial" w:eastAsia="宋体" w:hAnsi="Arial" w:cs="Arial"/>
          <w:color w:val="000000"/>
          <w:sz w:val="17"/>
          <w:szCs w:val="17"/>
        </w:rPr>
        <w:t>Footwear revenues increased 12% on a currency-neutral basis, largely driven by higher revenues in Women's and the Jordan Bra</w:t>
      </w:r>
      <w:r>
        <w:rPr>
          <w:rFonts w:ascii="Arial" w:eastAsia="宋体" w:hAnsi="Arial" w:cs="Arial"/>
          <w:color w:val="000000"/>
          <w:sz w:val="17"/>
          <w:szCs w:val="17"/>
        </w:rPr>
        <w:t>nd, partially offset by a decline in Men's. Unit sales of footwear increased 5%, while higher ASP per pair contributed approximately 7 percentage points of footwear revenue growth. Higher ASP per pair was primarily due to higher NIKE Direct ASP, the favora</w:t>
      </w:r>
      <w:r>
        <w:rPr>
          <w:rFonts w:ascii="Arial" w:eastAsia="宋体" w:hAnsi="Arial" w:cs="Arial"/>
          <w:color w:val="000000"/>
          <w:sz w:val="17"/>
          <w:szCs w:val="17"/>
        </w:rPr>
        <w:t>ble impact of growth in our NIKE Direct business and a higher mix of full-prices sales, partially offset by lower full-price ASP.</w:t>
      </w:r>
    </w:p>
    <w:p w14:paraId="2470DAB5" w14:textId="77777777" w:rsidR="009C6E2F" w:rsidRDefault="007972BE">
      <w:pPr>
        <w:spacing w:before="120" w:after="120"/>
      </w:pPr>
      <w:r>
        <w:rPr>
          <w:rFonts w:ascii="Arial" w:eastAsia="宋体" w:hAnsi="Arial" w:cs="Arial"/>
          <w:color w:val="000000"/>
          <w:sz w:val="17"/>
          <w:szCs w:val="17"/>
        </w:rPr>
        <w:t>On a currency-neutral basis, apparel revenues increased 16%, driven primarily by higher revenues in Men's. Unit sales of appar</w:t>
      </w:r>
      <w:r>
        <w:rPr>
          <w:rFonts w:ascii="Arial" w:eastAsia="宋体" w:hAnsi="Arial" w:cs="Arial"/>
          <w:color w:val="000000"/>
          <w:sz w:val="17"/>
          <w:szCs w:val="17"/>
        </w:rPr>
        <w:t>el increased 4%, while higher ASP per unit contributed approximately 12 percentage points of apparel revenue growth. The increase in ASP per unit was primarily driven by higher NIKE Direct ASP, the favorable impact of growth in our NIKE Direct business and</w:t>
      </w:r>
      <w:r>
        <w:rPr>
          <w:rFonts w:ascii="Arial" w:eastAsia="宋体" w:hAnsi="Arial" w:cs="Arial"/>
          <w:color w:val="000000"/>
          <w:sz w:val="17"/>
          <w:szCs w:val="17"/>
        </w:rPr>
        <w:t xml:space="preserve"> higher full-price ASP, as well as a higher mix of full-price sales.</w:t>
      </w:r>
    </w:p>
    <w:p w14:paraId="2470DAB6" w14:textId="77777777" w:rsidR="009C6E2F" w:rsidRDefault="007972BE">
      <w:pPr>
        <w:spacing w:before="120" w:after="120"/>
      </w:pPr>
      <w:r>
        <w:rPr>
          <w:rFonts w:ascii="Arial" w:eastAsia="宋体" w:hAnsi="Arial" w:cs="Arial"/>
          <w:color w:val="000000"/>
          <w:sz w:val="17"/>
          <w:szCs w:val="17"/>
        </w:rPr>
        <w:t>Reported EBIT increased 15% as higher revenues and gross margin expansion more than offset higher selling and administrative expense. Gross margin increased approximately 170 basis points</w:t>
      </w:r>
      <w:r>
        <w:rPr>
          <w:rFonts w:ascii="Arial" w:eastAsia="宋体" w:hAnsi="Arial" w:cs="Arial"/>
          <w:color w:val="000000"/>
          <w:sz w:val="17"/>
          <w:szCs w:val="17"/>
        </w:rPr>
        <w:t xml:space="preserve"> primarily due to higher margins and the favorable impact of growth in our NIKE Direct business, as well as a higher mix of full-price sales. This activity was partially offset by higher product costs primarily due to increased freight and logistics costs.</w:t>
      </w:r>
      <w:r>
        <w:rPr>
          <w:rFonts w:ascii="Arial" w:eastAsia="宋体" w:hAnsi="Arial" w:cs="Arial"/>
          <w:color w:val="000000"/>
          <w:sz w:val="17"/>
          <w:szCs w:val="17"/>
        </w:rPr>
        <w:t xml:space="preserve"> Selling and administrative expense increased due to higher demand creation and operating overhead expense. Demand creation expense increased primarily as a result of higher advertising and marketing expense, as well as higher digital marketing investments</w:t>
      </w:r>
      <w:r>
        <w:rPr>
          <w:rFonts w:ascii="Arial" w:eastAsia="宋体" w:hAnsi="Arial" w:cs="Arial"/>
          <w:color w:val="000000"/>
          <w:sz w:val="17"/>
          <w:szCs w:val="17"/>
        </w:rPr>
        <w:t xml:space="preserve">. The increase in operating overhead expense reflected higher wage-related costs as well as an increase in NIKE Direct strategic technology investments. </w:t>
      </w:r>
    </w:p>
    <w:p w14:paraId="2470DAB7" w14:textId="77777777" w:rsidR="009C6E2F" w:rsidRDefault="007972BE">
      <w:pPr>
        <w:spacing w:before="240" w:after="120"/>
      </w:pPr>
      <w:r>
        <w:rPr>
          <w:rFonts w:ascii="sans-serif" w:eastAsia="sans-serif" w:hAnsi="sans-serif" w:cs="sans-serif"/>
          <w:b/>
          <w:bCs/>
          <w:color w:val="000000"/>
          <w:sz w:val="28"/>
          <w:szCs w:val="28"/>
        </w:rPr>
        <w:t>EUROPE, MIDDLE EAST &amp; AFRICA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9C6E2F" w14:paraId="2470DADB" w14:textId="77777777">
        <w:tc>
          <w:tcPr>
            <w:tcW w:w="50" w:type="pct"/>
            <w:shd w:val="clear" w:color="auto" w:fill="auto"/>
            <w:vAlign w:val="bottom"/>
          </w:tcPr>
          <w:p w14:paraId="2470DAB8" w14:textId="77777777" w:rsidR="009C6E2F" w:rsidRDefault="009C6E2F">
            <w:pPr>
              <w:rPr>
                <w:rFonts w:ascii="宋体"/>
              </w:rPr>
            </w:pPr>
          </w:p>
        </w:tc>
        <w:tc>
          <w:tcPr>
            <w:tcW w:w="1387" w:type="pct"/>
            <w:shd w:val="clear" w:color="auto" w:fill="auto"/>
            <w:vAlign w:val="bottom"/>
          </w:tcPr>
          <w:p w14:paraId="2470DAB9" w14:textId="77777777" w:rsidR="009C6E2F" w:rsidRDefault="009C6E2F">
            <w:pPr>
              <w:rPr>
                <w:rFonts w:ascii="宋体"/>
              </w:rPr>
            </w:pPr>
          </w:p>
        </w:tc>
        <w:tc>
          <w:tcPr>
            <w:tcW w:w="5" w:type="pct"/>
            <w:shd w:val="clear" w:color="auto" w:fill="auto"/>
            <w:vAlign w:val="bottom"/>
          </w:tcPr>
          <w:p w14:paraId="2470DABA" w14:textId="77777777" w:rsidR="009C6E2F" w:rsidRDefault="009C6E2F">
            <w:pPr>
              <w:rPr>
                <w:rFonts w:ascii="宋体"/>
              </w:rPr>
            </w:pPr>
          </w:p>
        </w:tc>
        <w:tc>
          <w:tcPr>
            <w:tcW w:w="50" w:type="pct"/>
            <w:shd w:val="clear" w:color="auto" w:fill="auto"/>
            <w:vAlign w:val="bottom"/>
          </w:tcPr>
          <w:p w14:paraId="2470DABB" w14:textId="77777777" w:rsidR="009C6E2F" w:rsidRDefault="009C6E2F">
            <w:pPr>
              <w:rPr>
                <w:rFonts w:ascii="宋体"/>
              </w:rPr>
            </w:pPr>
          </w:p>
        </w:tc>
        <w:tc>
          <w:tcPr>
            <w:tcW w:w="384" w:type="pct"/>
            <w:shd w:val="clear" w:color="auto" w:fill="auto"/>
            <w:vAlign w:val="bottom"/>
          </w:tcPr>
          <w:p w14:paraId="2470DABC" w14:textId="77777777" w:rsidR="009C6E2F" w:rsidRDefault="009C6E2F">
            <w:pPr>
              <w:rPr>
                <w:rFonts w:ascii="宋体"/>
              </w:rPr>
            </w:pPr>
          </w:p>
        </w:tc>
        <w:tc>
          <w:tcPr>
            <w:tcW w:w="5" w:type="pct"/>
            <w:shd w:val="clear" w:color="auto" w:fill="auto"/>
            <w:vAlign w:val="bottom"/>
          </w:tcPr>
          <w:p w14:paraId="2470DABD" w14:textId="77777777" w:rsidR="009C6E2F" w:rsidRDefault="009C6E2F">
            <w:pPr>
              <w:rPr>
                <w:rFonts w:ascii="宋体"/>
              </w:rPr>
            </w:pPr>
          </w:p>
        </w:tc>
        <w:tc>
          <w:tcPr>
            <w:tcW w:w="50" w:type="pct"/>
            <w:shd w:val="clear" w:color="auto" w:fill="auto"/>
            <w:vAlign w:val="bottom"/>
          </w:tcPr>
          <w:p w14:paraId="2470DABE" w14:textId="77777777" w:rsidR="009C6E2F" w:rsidRDefault="009C6E2F">
            <w:pPr>
              <w:rPr>
                <w:rFonts w:ascii="宋体"/>
              </w:rPr>
            </w:pPr>
          </w:p>
        </w:tc>
        <w:tc>
          <w:tcPr>
            <w:tcW w:w="384" w:type="pct"/>
            <w:shd w:val="clear" w:color="auto" w:fill="auto"/>
            <w:vAlign w:val="bottom"/>
          </w:tcPr>
          <w:p w14:paraId="2470DABF" w14:textId="77777777" w:rsidR="009C6E2F" w:rsidRDefault="009C6E2F">
            <w:pPr>
              <w:rPr>
                <w:rFonts w:ascii="宋体"/>
              </w:rPr>
            </w:pPr>
          </w:p>
        </w:tc>
        <w:tc>
          <w:tcPr>
            <w:tcW w:w="5" w:type="pct"/>
            <w:shd w:val="clear" w:color="auto" w:fill="auto"/>
            <w:vAlign w:val="bottom"/>
          </w:tcPr>
          <w:p w14:paraId="2470DAC0" w14:textId="77777777" w:rsidR="009C6E2F" w:rsidRDefault="009C6E2F">
            <w:pPr>
              <w:rPr>
                <w:rFonts w:ascii="宋体"/>
              </w:rPr>
            </w:pPr>
          </w:p>
        </w:tc>
        <w:tc>
          <w:tcPr>
            <w:tcW w:w="50" w:type="pct"/>
            <w:shd w:val="clear" w:color="auto" w:fill="auto"/>
            <w:vAlign w:val="bottom"/>
          </w:tcPr>
          <w:p w14:paraId="2470DAC1" w14:textId="77777777" w:rsidR="009C6E2F" w:rsidRDefault="009C6E2F">
            <w:pPr>
              <w:rPr>
                <w:rFonts w:ascii="宋体"/>
              </w:rPr>
            </w:pPr>
          </w:p>
        </w:tc>
        <w:tc>
          <w:tcPr>
            <w:tcW w:w="384" w:type="pct"/>
            <w:shd w:val="clear" w:color="auto" w:fill="auto"/>
            <w:vAlign w:val="bottom"/>
          </w:tcPr>
          <w:p w14:paraId="2470DAC2" w14:textId="77777777" w:rsidR="009C6E2F" w:rsidRDefault="009C6E2F">
            <w:pPr>
              <w:rPr>
                <w:rFonts w:ascii="宋体"/>
              </w:rPr>
            </w:pPr>
          </w:p>
        </w:tc>
        <w:tc>
          <w:tcPr>
            <w:tcW w:w="5" w:type="pct"/>
            <w:shd w:val="clear" w:color="auto" w:fill="auto"/>
            <w:vAlign w:val="bottom"/>
          </w:tcPr>
          <w:p w14:paraId="2470DAC3" w14:textId="77777777" w:rsidR="009C6E2F" w:rsidRDefault="009C6E2F">
            <w:pPr>
              <w:rPr>
                <w:rFonts w:ascii="宋体"/>
              </w:rPr>
            </w:pPr>
          </w:p>
        </w:tc>
        <w:tc>
          <w:tcPr>
            <w:tcW w:w="50" w:type="pct"/>
            <w:shd w:val="clear" w:color="auto" w:fill="auto"/>
            <w:vAlign w:val="bottom"/>
          </w:tcPr>
          <w:p w14:paraId="2470DAC4" w14:textId="77777777" w:rsidR="009C6E2F" w:rsidRDefault="009C6E2F">
            <w:pPr>
              <w:rPr>
                <w:rFonts w:ascii="宋体"/>
              </w:rPr>
            </w:pPr>
          </w:p>
        </w:tc>
        <w:tc>
          <w:tcPr>
            <w:tcW w:w="384" w:type="pct"/>
            <w:shd w:val="clear" w:color="auto" w:fill="auto"/>
            <w:vAlign w:val="bottom"/>
          </w:tcPr>
          <w:p w14:paraId="2470DAC5" w14:textId="77777777" w:rsidR="009C6E2F" w:rsidRDefault="009C6E2F">
            <w:pPr>
              <w:rPr>
                <w:rFonts w:ascii="宋体"/>
              </w:rPr>
            </w:pPr>
          </w:p>
        </w:tc>
        <w:tc>
          <w:tcPr>
            <w:tcW w:w="5" w:type="pct"/>
            <w:shd w:val="clear" w:color="auto" w:fill="auto"/>
            <w:vAlign w:val="bottom"/>
          </w:tcPr>
          <w:p w14:paraId="2470DAC6" w14:textId="77777777" w:rsidR="009C6E2F" w:rsidRDefault="009C6E2F">
            <w:pPr>
              <w:rPr>
                <w:rFonts w:ascii="宋体"/>
              </w:rPr>
            </w:pPr>
          </w:p>
        </w:tc>
        <w:tc>
          <w:tcPr>
            <w:tcW w:w="5" w:type="pct"/>
            <w:shd w:val="clear" w:color="auto" w:fill="auto"/>
            <w:vAlign w:val="bottom"/>
          </w:tcPr>
          <w:p w14:paraId="2470DAC7" w14:textId="77777777" w:rsidR="009C6E2F" w:rsidRDefault="009C6E2F">
            <w:pPr>
              <w:rPr>
                <w:rFonts w:ascii="宋体"/>
              </w:rPr>
            </w:pPr>
          </w:p>
        </w:tc>
        <w:tc>
          <w:tcPr>
            <w:tcW w:w="28" w:type="pct"/>
            <w:shd w:val="clear" w:color="auto" w:fill="auto"/>
            <w:vAlign w:val="bottom"/>
          </w:tcPr>
          <w:p w14:paraId="2470DAC8" w14:textId="77777777" w:rsidR="009C6E2F" w:rsidRDefault="009C6E2F">
            <w:pPr>
              <w:rPr>
                <w:rFonts w:ascii="宋体"/>
              </w:rPr>
            </w:pPr>
          </w:p>
        </w:tc>
        <w:tc>
          <w:tcPr>
            <w:tcW w:w="5" w:type="pct"/>
            <w:shd w:val="clear" w:color="auto" w:fill="auto"/>
            <w:vAlign w:val="bottom"/>
          </w:tcPr>
          <w:p w14:paraId="2470DAC9" w14:textId="77777777" w:rsidR="009C6E2F" w:rsidRDefault="009C6E2F">
            <w:pPr>
              <w:rPr>
                <w:rFonts w:ascii="宋体"/>
              </w:rPr>
            </w:pPr>
          </w:p>
        </w:tc>
        <w:tc>
          <w:tcPr>
            <w:tcW w:w="50" w:type="pct"/>
            <w:shd w:val="clear" w:color="auto" w:fill="auto"/>
            <w:vAlign w:val="bottom"/>
          </w:tcPr>
          <w:p w14:paraId="2470DACA" w14:textId="77777777" w:rsidR="009C6E2F" w:rsidRDefault="009C6E2F">
            <w:pPr>
              <w:rPr>
                <w:rFonts w:ascii="宋体"/>
              </w:rPr>
            </w:pPr>
          </w:p>
        </w:tc>
        <w:tc>
          <w:tcPr>
            <w:tcW w:w="384" w:type="pct"/>
            <w:shd w:val="clear" w:color="auto" w:fill="auto"/>
            <w:vAlign w:val="bottom"/>
          </w:tcPr>
          <w:p w14:paraId="2470DACB" w14:textId="77777777" w:rsidR="009C6E2F" w:rsidRDefault="009C6E2F">
            <w:pPr>
              <w:rPr>
                <w:rFonts w:ascii="宋体"/>
              </w:rPr>
            </w:pPr>
          </w:p>
        </w:tc>
        <w:tc>
          <w:tcPr>
            <w:tcW w:w="5" w:type="pct"/>
            <w:shd w:val="clear" w:color="auto" w:fill="auto"/>
            <w:vAlign w:val="bottom"/>
          </w:tcPr>
          <w:p w14:paraId="2470DACC" w14:textId="77777777" w:rsidR="009C6E2F" w:rsidRDefault="009C6E2F">
            <w:pPr>
              <w:rPr>
                <w:rFonts w:ascii="宋体"/>
              </w:rPr>
            </w:pPr>
          </w:p>
        </w:tc>
        <w:tc>
          <w:tcPr>
            <w:tcW w:w="50" w:type="pct"/>
            <w:shd w:val="clear" w:color="auto" w:fill="auto"/>
            <w:vAlign w:val="bottom"/>
          </w:tcPr>
          <w:p w14:paraId="2470DACD" w14:textId="77777777" w:rsidR="009C6E2F" w:rsidRDefault="009C6E2F">
            <w:pPr>
              <w:rPr>
                <w:rFonts w:ascii="宋体"/>
              </w:rPr>
            </w:pPr>
          </w:p>
        </w:tc>
        <w:tc>
          <w:tcPr>
            <w:tcW w:w="384" w:type="pct"/>
            <w:shd w:val="clear" w:color="auto" w:fill="auto"/>
            <w:vAlign w:val="bottom"/>
          </w:tcPr>
          <w:p w14:paraId="2470DACE" w14:textId="77777777" w:rsidR="009C6E2F" w:rsidRDefault="009C6E2F">
            <w:pPr>
              <w:rPr>
                <w:rFonts w:ascii="宋体"/>
              </w:rPr>
            </w:pPr>
          </w:p>
        </w:tc>
        <w:tc>
          <w:tcPr>
            <w:tcW w:w="5" w:type="pct"/>
            <w:shd w:val="clear" w:color="auto" w:fill="auto"/>
            <w:vAlign w:val="bottom"/>
          </w:tcPr>
          <w:p w14:paraId="2470DACF" w14:textId="77777777" w:rsidR="009C6E2F" w:rsidRDefault="009C6E2F">
            <w:pPr>
              <w:rPr>
                <w:rFonts w:ascii="宋体"/>
              </w:rPr>
            </w:pPr>
          </w:p>
        </w:tc>
        <w:tc>
          <w:tcPr>
            <w:tcW w:w="50" w:type="pct"/>
            <w:shd w:val="clear" w:color="auto" w:fill="auto"/>
            <w:vAlign w:val="bottom"/>
          </w:tcPr>
          <w:p w14:paraId="2470DAD0" w14:textId="77777777" w:rsidR="009C6E2F" w:rsidRDefault="009C6E2F">
            <w:pPr>
              <w:rPr>
                <w:rFonts w:ascii="宋体"/>
              </w:rPr>
            </w:pPr>
          </w:p>
        </w:tc>
        <w:tc>
          <w:tcPr>
            <w:tcW w:w="384" w:type="pct"/>
            <w:shd w:val="clear" w:color="auto" w:fill="auto"/>
            <w:vAlign w:val="bottom"/>
          </w:tcPr>
          <w:p w14:paraId="2470DAD1" w14:textId="77777777" w:rsidR="009C6E2F" w:rsidRDefault="009C6E2F">
            <w:pPr>
              <w:rPr>
                <w:rFonts w:ascii="宋体"/>
              </w:rPr>
            </w:pPr>
          </w:p>
        </w:tc>
        <w:tc>
          <w:tcPr>
            <w:tcW w:w="5" w:type="pct"/>
            <w:shd w:val="clear" w:color="auto" w:fill="auto"/>
            <w:vAlign w:val="bottom"/>
          </w:tcPr>
          <w:p w14:paraId="2470DAD2" w14:textId="77777777" w:rsidR="009C6E2F" w:rsidRDefault="009C6E2F">
            <w:pPr>
              <w:rPr>
                <w:rFonts w:ascii="宋体"/>
              </w:rPr>
            </w:pPr>
          </w:p>
        </w:tc>
        <w:tc>
          <w:tcPr>
            <w:tcW w:w="50" w:type="pct"/>
            <w:shd w:val="clear" w:color="auto" w:fill="auto"/>
            <w:vAlign w:val="bottom"/>
          </w:tcPr>
          <w:p w14:paraId="2470DAD3" w14:textId="77777777" w:rsidR="009C6E2F" w:rsidRDefault="009C6E2F">
            <w:pPr>
              <w:rPr>
                <w:rFonts w:ascii="宋体"/>
              </w:rPr>
            </w:pPr>
          </w:p>
        </w:tc>
        <w:tc>
          <w:tcPr>
            <w:tcW w:w="384" w:type="pct"/>
            <w:shd w:val="clear" w:color="auto" w:fill="auto"/>
            <w:vAlign w:val="bottom"/>
          </w:tcPr>
          <w:p w14:paraId="2470DAD4" w14:textId="77777777" w:rsidR="009C6E2F" w:rsidRDefault="009C6E2F">
            <w:pPr>
              <w:rPr>
                <w:rFonts w:ascii="宋体"/>
              </w:rPr>
            </w:pPr>
          </w:p>
        </w:tc>
        <w:tc>
          <w:tcPr>
            <w:tcW w:w="5" w:type="pct"/>
            <w:shd w:val="clear" w:color="auto" w:fill="auto"/>
            <w:vAlign w:val="bottom"/>
          </w:tcPr>
          <w:p w14:paraId="2470DAD5" w14:textId="77777777" w:rsidR="009C6E2F" w:rsidRDefault="009C6E2F">
            <w:pPr>
              <w:rPr>
                <w:rFonts w:ascii="宋体"/>
              </w:rPr>
            </w:pPr>
          </w:p>
        </w:tc>
        <w:tc>
          <w:tcPr>
            <w:tcW w:w="0" w:type="auto"/>
            <w:shd w:val="clear" w:color="auto" w:fill="auto"/>
            <w:vAlign w:val="bottom"/>
          </w:tcPr>
          <w:p w14:paraId="2470DAD6" w14:textId="77777777" w:rsidR="009C6E2F" w:rsidRDefault="009C6E2F">
            <w:pPr>
              <w:rPr>
                <w:rFonts w:ascii="宋体"/>
                <w:vanish/>
              </w:rPr>
            </w:pPr>
          </w:p>
        </w:tc>
        <w:tc>
          <w:tcPr>
            <w:tcW w:w="0" w:type="auto"/>
            <w:shd w:val="clear" w:color="auto" w:fill="auto"/>
            <w:vAlign w:val="bottom"/>
          </w:tcPr>
          <w:p w14:paraId="2470DAD7" w14:textId="77777777" w:rsidR="009C6E2F" w:rsidRDefault="009C6E2F">
            <w:pPr>
              <w:rPr>
                <w:rFonts w:ascii="宋体"/>
                <w:vanish/>
              </w:rPr>
            </w:pPr>
          </w:p>
        </w:tc>
        <w:tc>
          <w:tcPr>
            <w:tcW w:w="0" w:type="auto"/>
            <w:gridSpan w:val="3"/>
            <w:shd w:val="clear" w:color="auto" w:fill="auto"/>
            <w:vAlign w:val="bottom"/>
          </w:tcPr>
          <w:p w14:paraId="2470DAD8" w14:textId="77777777" w:rsidR="009C6E2F" w:rsidRDefault="009C6E2F">
            <w:pPr>
              <w:rPr>
                <w:rFonts w:ascii="宋体"/>
                <w:vanish/>
              </w:rPr>
            </w:pPr>
          </w:p>
        </w:tc>
        <w:tc>
          <w:tcPr>
            <w:tcW w:w="0" w:type="auto"/>
            <w:gridSpan w:val="3"/>
            <w:shd w:val="clear" w:color="auto" w:fill="auto"/>
            <w:vAlign w:val="bottom"/>
          </w:tcPr>
          <w:p w14:paraId="2470DAD9" w14:textId="77777777" w:rsidR="009C6E2F" w:rsidRDefault="009C6E2F">
            <w:pPr>
              <w:rPr>
                <w:rFonts w:ascii="宋体"/>
                <w:vanish/>
              </w:rPr>
            </w:pPr>
          </w:p>
        </w:tc>
        <w:tc>
          <w:tcPr>
            <w:tcW w:w="0" w:type="auto"/>
            <w:gridSpan w:val="3"/>
            <w:shd w:val="clear" w:color="auto" w:fill="auto"/>
            <w:vAlign w:val="bottom"/>
          </w:tcPr>
          <w:p w14:paraId="2470DADA" w14:textId="77777777" w:rsidR="009C6E2F" w:rsidRDefault="009C6E2F">
            <w:pPr>
              <w:rPr>
                <w:rFonts w:ascii="宋体"/>
                <w:vanish/>
              </w:rPr>
            </w:pPr>
          </w:p>
        </w:tc>
      </w:tr>
      <w:tr w:rsidR="009C6E2F" w14:paraId="2470DAEB" w14:textId="77777777">
        <w:tc>
          <w:tcPr>
            <w:tcW w:w="0" w:type="auto"/>
            <w:gridSpan w:val="3"/>
            <w:shd w:val="clear" w:color="auto" w:fill="auto"/>
            <w:tcMar>
              <w:top w:w="0" w:type="dxa"/>
              <w:left w:w="20" w:type="dxa"/>
              <w:bottom w:w="0" w:type="dxa"/>
              <w:right w:w="20" w:type="dxa"/>
            </w:tcMar>
            <w:vAlign w:val="bottom"/>
          </w:tcPr>
          <w:p w14:paraId="2470DADC"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ADD"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ADE"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ADF"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AE0" w14:textId="77777777" w:rsidR="009C6E2F" w:rsidRDefault="009C6E2F">
            <w:pPr>
              <w:rPr>
                <w:rFonts w:ascii="宋体"/>
                <w:vanish/>
              </w:rPr>
            </w:pPr>
          </w:p>
        </w:tc>
        <w:tc>
          <w:tcPr>
            <w:tcW w:w="0" w:type="auto"/>
            <w:shd w:val="clear" w:color="auto" w:fill="auto"/>
            <w:vAlign w:val="bottom"/>
          </w:tcPr>
          <w:p w14:paraId="2470DAE1" w14:textId="77777777" w:rsidR="009C6E2F" w:rsidRDefault="009C6E2F">
            <w:pPr>
              <w:rPr>
                <w:rFonts w:ascii="宋体"/>
                <w:vanish/>
              </w:rPr>
            </w:pPr>
          </w:p>
        </w:tc>
        <w:tc>
          <w:tcPr>
            <w:tcW w:w="0" w:type="auto"/>
            <w:shd w:val="clear" w:color="auto" w:fill="auto"/>
            <w:vAlign w:val="bottom"/>
          </w:tcPr>
          <w:p w14:paraId="2470DAE2" w14:textId="77777777" w:rsidR="009C6E2F" w:rsidRDefault="009C6E2F">
            <w:pPr>
              <w:rPr>
                <w:rFonts w:ascii="宋体"/>
              </w:rPr>
            </w:pPr>
          </w:p>
        </w:tc>
        <w:tc>
          <w:tcPr>
            <w:tcW w:w="0" w:type="auto"/>
            <w:shd w:val="clear" w:color="auto" w:fill="auto"/>
            <w:vAlign w:val="bottom"/>
          </w:tcPr>
          <w:p w14:paraId="2470DAE3" w14:textId="77777777" w:rsidR="009C6E2F" w:rsidRDefault="009C6E2F">
            <w:pPr>
              <w:rPr>
                <w:rFonts w:ascii="宋体"/>
              </w:rPr>
            </w:pPr>
          </w:p>
        </w:tc>
        <w:tc>
          <w:tcPr>
            <w:tcW w:w="0" w:type="auto"/>
            <w:shd w:val="clear" w:color="auto" w:fill="auto"/>
            <w:vAlign w:val="bottom"/>
          </w:tcPr>
          <w:p w14:paraId="2470DAE4" w14:textId="77777777" w:rsidR="009C6E2F" w:rsidRDefault="009C6E2F">
            <w:pPr>
              <w:rPr>
                <w:rFonts w:ascii="宋体"/>
              </w:rPr>
            </w:pPr>
          </w:p>
        </w:tc>
        <w:tc>
          <w:tcPr>
            <w:tcW w:w="0" w:type="auto"/>
            <w:shd w:val="clear" w:color="auto" w:fill="auto"/>
            <w:vAlign w:val="bottom"/>
          </w:tcPr>
          <w:p w14:paraId="2470DAE5" w14:textId="77777777" w:rsidR="009C6E2F" w:rsidRDefault="009C6E2F">
            <w:pPr>
              <w:rPr>
                <w:rFonts w:ascii="宋体"/>
              </w:rPr>
            </w:pPr>
          </w:p>
        </w:tc>
        <w:tc>
          <w:tcPr>
            <w:tcW w:w="0" w:type="auto"/>
            <w:shd w:val="clear" w:color="auto" w:fill="auto"/>
            <w:vAlign w:val="bottom"/>
          </w:tcPr>
          <w:p w14:paraId="2470DAE6" w14:textId="77777777" w:rsidR="009C6E2F" w:rsidRDefault="009C6E2F">
            <w:pPr>
              <w:rPr>
                <w:rFonts w:ascii="宋体"/>
              </w:rPr>
            </w:pPr>
          </w:p>
        </w:tc>
        <w:tc>
          <w:tcPr>
            <w:tcW w:w="0" w:type="auto"/>
            <w:shd w:val="clear" w:color="auto" w:fill="auto"/>
            <w:vAlign w:val="bottom"/>
          </w:tcPr>
          <w:p w14:paraId="2470DAE7" w14:textId="77777777" w:rsidR="009C6E2F" w:rsidRDefault="009C6E2F">
            <w:pPr>
              <w:rPr>
                <w:rFonts w:ascii="宋体"/>
              </w:rPr>
            </w:pPr>
          </w:p>
        </w:tc>
        <w:tc>
          <w:tcPr>
            <w:tcW w:w="0" w:type="auto"/>
            <w:shd w:val="clear" w:color="auto" w:fill="auto"/>
            <w:vAlign w:val="bottom"/>
          </w:tcPr>
          <w:p w14:paraId="2470DAE8" w14:textId="77777777" w:rsidR="009C6E2F" w:rsidRDefault="009C6E2F">
            <w:pPr>
              <w:rPr>
                <w:rFonts w:ascii="宋体"/>
              </w:rPr>
            </w:pPr>
          </w:p>
        </w:tc>
        <w:tc>
          <w:tcPr>
            <w:tcW w:w="0" w:type="auto"/>
            <w:shd w:val="clear" w:color="auto" w:fill="auto"/>
            <w:vAlign w:val="bottom"/>
          </w:tcPr>
          <w:p w14:paraId="2470DAE9" w14:textId="77777777" w:rsidR="009C6E2F" w:rsidRDefault="009C6E2F">
            <w:pPr>
              <w:rPr>
                <w:rFonts w:ascii="宋体"/>
              </w:rPr>
            </w:pPr>
          </w:p>
        </w:tc>
        <w:tc>
          <w:tcPr>
            <w:tcW w:w="0" w:type="auto"/>
            <w:shd w:val="clear" w:color="auto" w:fill="auto"/>
            <w:vAlign w:val="bottom"/>
          </w:tcPr>
          <w:p w14:paraId="2470DAEA" w14:textId="77777777" w:rsidR="009C6E2F" w:rsidRDefault="009C6E2F">
            <w:pPr>
              <w:rPr>
                <w:rFonts w:ascii="宋体"/>
              </w:rPr>
            </w:pPr>
          </w:p>
        </w:tc>
      </w:tr>
      <w:tr w:rsidR="009C6E2F" w14:paraId="2470DAFB" w14:textId="77777777">
        <w:tc>
          <w:tcPr>
            <w:tcW w:w="0" w:type="auto"/>
            <w:gridSpan w:val="3"/>
            <w:shd w:val="clear" w:color="auto" w:fill="auto"/>
            <w:tcMar>
              <w:top w:w="40" w:type="dxa"/>
              <w:left w:w="20" w:type="dxa"/>
              <w:bottom w:w="40" w:type="dxa"/>
              <w:right w:w="20" w:type="dxa"/>
            </w:tcMar>
            <w:vAlign w:val="bottom"/>
          </w:tcPr>
          <w:p w14:paraId="2470DAEC" w14:textId="77777777" w:rsidR="009C6E2F" w:rsidRDefault="007972BE">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ED"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EE"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EF"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F0"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470DAF1"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F2"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F3"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F4"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F5"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470DAF6" w14:textId="77777777" w:rsidR="009C6E2F" w:rsidRDefault="009C6E2F">
            <w:pPr>
              <w:rPr>
                <w:rFonts w:ascii="宋体"/>
                <w:vanish/>
              </w:rPr>
            </w:pPr>
          </w:p>
        </w:tc>
        <w:tc>
          <w:tcPr>
            <w:tcW w:w="0" w:type="auto"/>
            <w:shd w:val="clear" w:color="auto" w:fill="auto"/>
            <w:vAlign w:val="bottom"/>
          </w:tcPr>
          <w:p w14:paraId="2470DAF7" w14:textId="77777777" w:rsidR="009C6E2F" w:rsidRDefault="009C6E2F">
            <w:pPr>
              <w:rPr>
                <w:rFonts w:ascii="宋体"/>
                <w:vanish/>
              </w:rPr>
            </w:pPr>
          </w:p>
        </w:tc>
        <w:tc>
          <w:tcPr>
            <w:tcW w:w="0" w:type="auto"/>
            <w:gridSpan w:val="3"/>
            <w:shd w:val="clear" w:color="auto" w:fill="auto"/>
            <w:vAlign w:val="bottom"/>
          </w:tcPr>
          <w:p w14:paraId="2470DAF8" w14:textId="77777777" w:rsidR="009C6E2F" w:rsidRDefault="009C6E2F">
            <w:pPr>
              <w:rPr>
                <w:rFonts w:ascii="宋体"/>
                <w:vanish/>
              </w:rPr>
            </w:pPr>
          </w:p>
        </w:tc>
        <w:tc>
          <w:tcPr>
            <w:tcW w:w="0" w:type="auto"/>
            <w:gridSpan w:val="3"/>
            <w:shd w:val="clear" w:color="auto" w:fill="auto"/>
            <w:vAlign w:val="bottom"/>
          </w:tcPr>
          <w:p w14:paraId="2470DAF9" w14:textId="77777777" w:rsidR="009C6E2F" w:rsidRDefault="009C6E2F">
            <w:pPr>
              <w:rPr>
                <w:rFonts w:ascii="宋体"/>
                <w:vanish/>
              </w:rPr>
            </w:pPr>
          </w:p>
        </w:tc>
        <w:tc>
          <w:tcPr>
            <w:tcW w:w="0" w:type="auto"/>
            <w:gridSpan w:val="3"/>
            <w:shd w:val="clear" w:color="auto" w:fill="auto"/>
            <w:vAlign w:val="bottom"/>
          </w:tcPr>
          <w:p w14:paraId="2470DAFA" w14:textId="77777777" w:rsidR="009C6E2F" w:rsidRDefault="009C6E2F">
            <w:pPr>
              <w:rPr>
                <w:rFonts w:ascii="宋体"/>
                <w:vanish/>
              </w:rPr>
            </w:pPr>
          </w:p>
        </w:tc>
      </w:tr>
      <w:tr w:rsidR="009C6E2F" w14:paraId="2470DB0B"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AFC"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AF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F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AFF"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00"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01"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B0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0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0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05" w14:textId="77777777" w:rsidR="009C6E2F" w:rsidRDefault="009C6E2F">
            <w:pPr>
              <w:rPr>
                <w:rFonts w:ascii="宋体"/>
              </w:rPr>
            </w:pPr>
          </w:p>
        </w:tc>
        <w:tc>
          <w:tcPr>
            <w:tcW w:w="0" w:type="auto"/>
            <w:shd w:val="clear" w:color="auto" w:fill="auto"/>
            <w:vAlign w:val="bottom"/>
          </w:tcPr>
          <w:p w14:paraId="2470DB06" w14:textId="77777777" w:rsidR="009C6E2F" w:rsidRDefault="009C6E2F">
            <w:pPr>
              <w:rPr>
                <w:rFonts w:ascii="宋体"/>
                <w:vanish/>
              </w:rPr>
            </w:pPr>
          </w:p>
        </w:tc>
        <w:tc>
          <w:tcPr>
            <w:tcW w:w="0" w:type="auto"/>
            <w:shd w:val="clear" w:color="auto" w:fill="auto"/>
            <w:vAlign w:val="bottom"/>
          </w:tcPr>
          <w:p w14:paraId="2470DB07" w14:textId="77777777" w:rsidR="009C6E2F" w:rsidRDefault="009C6E2F">
            <w:pPr>
              <w:rPr>
                <w:rFonts w:ascii="宋体"/>
                <w:vanish/>
              </w:rPr>
            </w:pPr>
          </w:p>
        </w:tc>
        <w:tc>
          <w:tcPr>
            <w:tcW w:w="0" w:type="auto"/>
            <w:gridSpan w:val="3"/>
            <w:shd w:val="clear" w:color="auto" w:fill="auto"/>
            <w:vAlign w:val="bottom"/>
          </w:tcPr>
          <w:p w14:paraId="2470DB08" w14:textId="77777777" w:rsidR="009C6E2F" w:rsidRDefault="009C6E2F">
            <w:pPr>
              <w:rPr>
                <w:rFonts w:ascii="宋体"/>
                <w:vanish/>
              </w:rPr>
            </w:pPr>
          </w:p>
        </w:tc>
        <w:tc>
          <w:tcPr>
            <w:tcW w:w="0" w:type="auto"/>
            <w:gridSpan w:val="3"/>
            <w:shd w:val="clear" w:color="auto" w:fill="auto"/>
            <w:vAlign w:val="bottom"/>
          </w:tcPr>
          <w:p w14:paraId="2470DB09" w14:textId="77777777" w:rsidR="009C6E2F" w:rsidRDefault="009C6E2F">
            <w:pPr>
              <w:rPr>
                <w:rFonts w:ascii="宋体"/>
                <w:vanish/>
              </w:rPr>
            </w:pPr>
          </w:p>
        </w:tc>
        <w:tc>
          <w:tcPr>
            <w:tcW w:w="0" w:type="auto"/>
            <w:gridSpan w:val="3"/>
            <w:shd w:val="clear" w:color="auto" w:fill="auto"/>
            <w:vAlign w:val="bottom"/>
          </w:tcPr>
          <w:p w14:paraId="2470DB0A" w14:textId="77777777" w:rsidR="009C6E2F" w:rsidRDefault="009C6E2F">
            <w:pPr>
              <w:rPr>
                <w:rFonts w:ascii="宋体"/>
                <w:vanish/>
              </w:rPr>
            </w:pPr>
          </w:p>
        </w:tc>
      </w:tr>
      <w:tr w:rsidR="009C6E2F" w14:paraId="2470DB2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B0C"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B0D"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B0E" w14:textId="77777777" w:rsidR="009C6E2F" w:rsidRDefault="007972BE">
            <w:pPr>
              <w:jc w:val="right"/>
              <w:textAlignment w:val="bottom"/>
            </w:pPr>
            <w:r>
              <w:rPr>
                <w:rFonts w:ascii="Arial" w:eastAsia="宋体" w:hAnsi="Arial" w:cs="Arial"/>
                <w:color w:val="000000"/>
                <w:sz w:val="17"/>
                <w:szCs w:val="17"/>
              </w:rPr>
              <w:t>1,806 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0F"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B1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B11" w14:textId="77777777" w:rsidR="009C6E2F" w:rsidRDefault="007972BE">
            <w:pPr>
              <w:jc w:val="right"/>
              <w:textAlignment w:val="bottom"/>
            </w:pPr>
            <w:r>
              <w:rPr>
                <w:rFonts w:ascii="Arial" w:eastAsia="宋体" w:hAnsi="Arial" w:cs="Arial"/>
                <w:color w:val="000000"/>
                <w:sz w:val="17"/>
                <w:szCs w:val="17"/>
              </w:rPr>
              <w:t>1,731 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1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13"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14"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15"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16"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B17"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B1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B19" w14:textId="77777777" w:rsidR="009C6E2F" w:rsidRDefault="007972BE">
            <w:pPr>
              <w:jc w:val="right"/>
              <w:textAlignment w:val="bottom"/>
            </w:pPr>
            <w:r>
              <w:rPr>
                <w:rFonts w:ascii="Arial" w:eastAsia="宋体" w:hAnsi="Arial" w:cs="Arial"/>
                <w:color w:val="000000"/>
                <w:sz w:val="17"/>
                <w:szCs w:val="17"/>
              </w:rPr>
              <w:t>3,789 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1A"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B1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B1C" w14:textId="77777777" w:rsidR="009C6E2F" w:rsidRDefault="007972BE">
            <w:pPr>
              <w:jc w:val="right"/>
              <w:textAlignment w:val="bottom"/>
            </w:pPr>
            <w:r>
              <w:rPr>
                <w:rFonts w:ascii="Arial" w:eastAsia="宋体" w:hAnsi="Arial" w:cs="Arial"/>
                <w:color w:val="000000"/>
                <w:sz w:val="17"/>
                <w:szCs w:val="17"/>
              </w:rPr>
              <w:t>3,533 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1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1E"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1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20" w14:textId="77777777" w:rsidR="009C6E2F" w:rsidRDefault="007972BE">
            <w:pPr>
              <w:jc w:val="right"/>
              <w:textAlignment w:val="bottom"/>
            </w:pPr>
            <w:r>
              <w:rPr>
                <w:rFonts w:ascii="Arial" w:eastAsia="宋体" w:hAnsi="Arial" w:cs="Arial"/>
                <w:color w:val="000000"/>
                <w:sz w:val="17"/>
                <w:szCs w:val="17"/>
              </w:rPr>
              <w:t>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21"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B22" w14:textId="77777777" w:rsidR="009C6E2F" w:rsidRDefault="009C6E2F">
            <w:pPr>
              <w:rPr>
                <w:rFonts w:ascii="宋体"/>
                <w:vanish/>
              </w:rPr>
            </w:pPr>
          </w:p>
        </w:tc>
        <w:tc>
          <w:tcPr>
            <w:tcW w:w="0" w:type="auto"/>
            <w:shd w:val="clear" w:color="auto" w:fill="auto"/>
            <w:vAlign w:val="bottom"/>
          </w:tcPr>
          <w:p w14:paraId="2470DB23" w14:textId="77777777" w:rsidR="009C6E2F" w:rsidRDefault="009C6E2F">
            <w:pPr>
              <w:rPr>
                <w:rFonts w:ascii="宋体"/>
                <w:vanish/>
              </w:rPr>
            </w:pPr>
          </w:p>
        </w:tc>
        <w:tc>
          <w:tcPr>
            <w:tcW w:w="0" w:type="auto"/>
            <w:gridSpan w:val="3"/>
            <w:shd w:val="clear" w:color="auto" w:fill="auto"/>
            <w:vAlign w:val="bottom"/>
          </w:tcPr>
          <w:p w14:paraId="2470DB24" w14:textId="77777777" w:rsidR="009C6E2F" w:rsidRDefault="009C6E2F">
            <w:pPr>
              <w:rPr>
                <w:rFonts w:ascii="宋体"/>
                <w:vanish/>
              </w:rPr>
            </w:pPr>
          </w:p>
        </w:tc>
        <w:tc>
          <w:tcPr>
            <w:tcW w:w="0" w:type="auto"/>
            <w:gridSpan w:val="3"/>
            <w:shd w:val="clear" w:color="auto" w:fill="auto"/>
            <w:vAlign w:val="bottom"/>
          </w:tcPr>
          <w:p w14:paraId="2470DB25" w14:textId="77777777" w:rsidR="009C6E2F" w:rsidRDefault="009C6E2F">
            <w:pPr>
              <w:rPr>
                <w:rFonts w:ascii="宋体"/>
                <w:vanish/>
              </w:rPr>
            </w:pPr>
          </w:p>
        </w:tc>
        <w:tc>
          <w:tcPr>
            <w:tcW w:w="0" w:type="auto"/>
            <w:gridSpan w:val="3"/>
            <w:shd w:val="clear" w:color="auto" w:fill="auto"/>
            <w:vAlign w:val="bottom"/>
          </w:tcPr>
          <w:p w14:paraId="2470DB26" w14:textId="77777777" w:rsidR="009C6E2F" w:rsidRDefault="009C6E2F">
            <w:pPr>
              <w:rPr>
                <w:rFonts w:ascii="宋体"/>
                <w:vanish/>
              </w:rPr>
            </w:pPr>
          </w:p>
        </w:tc>
      </w:tr>
      <w:tr w:rsidR="009C6E2F" w14:paraId="2470DB3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B28"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B29" w14:textId="77777777" w:rsidR="009C6E2F" w:rsidRDefault="007972BE">
            <w:pPr>
              <w:jc w:val="right"/>
              <w:textAlignment w:val="bottom"/>
            </w:pPr>
            <w:r>
              <w:rPr>
                <w:rFonts w:ascii="Arial" w:eastAsia="宋体" w:hAnsi="Arial" w:cs="Arial"/>
                <w:color w:val="000000"/>
                <w:sz w:val="17"/>
                <w:szCs w:val="17"/>
              </w:rPr>
              <w:t>1,202 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2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2B" w14:textId="77777777" w:rsidR="009C6E2F" w:rsidRDefault="007972BE">
            <w:pPr>
              <w:jc w:val="right"/>
              <w:textAlignment w:val="bottom"/>
            </w:pPr>
            <w:r>
              <w:rPr>
                <w:rFonts w:ascii="Arial" w:eastAsia="宋体" w:hAnsi="Arial" w:cs="Arial"/>
                <w:color w:val="000000"/>
                <w:sz w:val="17"/>
                <w:szCs w:val="17"/>
              </w:rPr>
              <w:t>1,104 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2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2D"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2E"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2F"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30"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B31"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B32" w14:textId="77777777" w:rsidR="009C6E2F" w:rsidRDefault="007972BE">
            <w:pPr>
              <w:jc w:val="right"/>
              <w:textAlignment w:val="bottom"/>
            </w:pPr>
            <w:r>
              <w:rPr>
                <w:rFonts w:ascii="Arial" w:eastAsia="宋体" w:hAnsi="Arial" w:cs="Arial"/>
                <w:color w:val="000000"/>
                <w:sz w:val="17"/>
                <w:szCs w:val="17"/>
              </w:rPr>
              <w:t>2,361 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3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34" w14:textId="77777777" w:rsidR="009C6E2F" w:rsidRDefault="007972BE">
            <w:pPr>
              <w:jc w:val="right"/>
              <w:textAlignment w:val="bottom"/>
            </w:pPr>
            <w:r>
              <w:rPr>
                <w:rFonts w:ascii="Arial" w:eastAsia="宋体" w:hAnsi="Arial" w:cs="Arial"/>
                <w:color w:val="000000"/>
                <w:sz w:val="17"/>
                <w:szCs w:val="17"/>
              </w:rPr>
              <w:t>2,075 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3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36"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3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38"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39"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B3A" w14:textId="77777777" w:rsidR="009C6E2F" w:rsidRDefault="009C6E2F">
            <w:pPr>
              <w:rPr>
                <w:rFonts w:ascii="宋体"/>
                <w:vanish/>
              </w:rPr>
            </w:pPr>
          </w:p>
        </w:tc>
        <w:tc>
          <w:tcPr>
            <w:tcW w:w="0" w:type="auto"/>
            <w:shd w:val="clear" w:color="auto" w:fill="auto"/>
            <w:vAlign w:val="bottom"/>
          </w:tcPr>
          <w:p w14:paraId="2470DB3B" w14:textId="77777777" w:rsidR="009C6E2F" w:rsidRDefault="009C6E2F">
            <w:pPr>
              <w:rPr>
                <w:rFonts w:ascii="宋体"/>
                <w:vanish/>
              </w:rPr>
            </w:pPr>
          </w:p>
        </w:tc>
        <w:tc>
          <w:tcPr>
            <w:tcW w:w="0" w:type="auto"/>
            <w:gridSpan w:val="3"/>
            <w:shd w:val="clear" w:color="auto" w:fill="auto"/>
            <w:vAlign w:val="bottom"/>
          </w:tcPr>
          <w:p w14:paraId="2470DB3C" w14:textId="77777777" w:rsidR="009C6E2F" w:rsidRDefault="009C6E2F">
            <w:pPr>
              <w:rPr>
                <w:rFonts w:ascii="宋体"/>
                <w:vanish/>
              </w:rPr>
            </w:pPr>
          </w:p>
        </w:tc>
        <w:tc>
          <w:tcPr>
            <w:tcW w:w="0" w:type="auto"/>
            <w:gridSpan w:val="3"/>
            <w:shd w:val="clear" w:color="auto" w:fill="auto"/>
            <w:vAlign w:val="bottom"/>
          </w:tcPr>
          <w:p w14:paraId="2470DB3D" w14:textId="77777777" w:rsidR="009C6E2F" w:rsidRDefault="009C6E2F">
            <w:pPr>
              <w:rPr>
                <w:rFonts w:ascii="宋体"/>
                <w:vanish/>
              </w:rPr>
            </w:pPr>
          </w:p>
        </w:tc>
        <w:tc>
          <w:tcPr>
            <w:tcW w:w="0" w:type="auto"/>
            <w:gridSpan w:val="3"/>
            <w:shd w:val="clear" w:color="auto" w:fill="auto"/>
            <w:vAlign w:val="bottom"/>
          </w:tcPr>
          <w:p w14:paraId="2470DB3E" w14:textId="77777777" w:rsidR="009C6E2F" w:rsidRDefault="009C6E2F">
            <w:pPr>
              <w:rPr>
                <w:rFonts w:ascii="宋体"/>
                <w:vanish/>
              </w:rPr>
            </w:pPr>
          </w:p>
        </w:tc>
      </w:tr>
      <w:tr w:rsidR="009C6E2F" w14:paraId="2470DB5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B40"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B41" w14:textId="77777777" w:rsidR="009C6E2F" w:rsidRDefault="007972BE">
            <w:pPr>
              <w:jc w:val="right"/>
              <w:textAlignment w:val="bottom"/>
            </w:pPr>
            <w:r>
              <w:rPr>
                <w:rFonts w:ascii="Arial" w:eastAsia="宋体" w:hAnsi="Arial" w:cs="Arial"/>
                <w:color w:val="000000"/>
                <w:sz w:val="17"/>
                <w:szCs w:val="17"/>
              </w:rPr>
              <w:t>134 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4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43" w14:textId="77777777" w:rsidR="009C6E2F" w:rsidRDefault="007972BE">
            <w:pPr>
              <w:jc w:val="right"/>
              <w:textAlignment w:val="bottom"/>
            </w:pPr>
            <w:r>
              <w:rPr>
                <w:rFonts w:ascii="Arial" w:eastAsia="宋体" w:hAnsi="Arial" w:cs="Arial"/>
                <w:color w:val="000000"/>
                <w:sz w:val="17"/>
                <w:szCs w:val="17"/>
              </w:rPr>
              <w:t>123 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4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45"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46"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47"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48"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B49"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B4A" w14:textId="77777777" w:rsidR="009C6E2F" w:rsidRDefault="007972BE">
            <w:pPr>
              <w:jc w:val="right"/>
              <w:textAlignment w:val="bottom"/>
            </w:pPr>
            <w:r>
              <w:rPr>
                <w:rFonts w:ascii="Arial" w:eastAsia="宋体" w:hAnsi="Arial" w:cs="Arial"/>
                <w:color w:val="000000"/>
                <w:sz w:val="17"/>
                <w:szCs w:val="17"/>
              </w:rPr>
              <w:t>299 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4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4C" w14:textId="77777777" w:rsidR="009C6E2F" w:rsidRDefault="007972BE">
            <w:pPr>
              <w:jc w:val="right"/>
              <w:textAlignment w:val="bottom"/>
            </w:pPr>
            <w:r>
              <w:rPr>
                <w:rFonts w:ascii="Arial" w:eastAsia="宋体" w:hAnsi="Arial" w:cs="Arial"/>
                <w:color w:val="000000"/>
                <w:sz w:val="17"/>
                <w:szCs w:val="17"/>
              </w:rPr>
              <w:t>260 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4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4E"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4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50" w14:textId="77777777" w:rsidR="009C6E2F" w:rsidRDefault="007972BE">
            <w:pPr>
              <w:jc w:val="right"/>
              <w:textAlignment w:val="bottom"/>
            </w:pPr>
            <w:r>
              <w:rPr>
                <w:rFonts w:ascii="Arial" w:eastAsia="宋体" w:hAnsi="Arial" w:cs="Arial"/>
                <w:color w:val="000000"/>
                <w:sz w:val="17"/>
                <w:szCs w:val="17"/>
              </w:rPr>
              <w:t>11</w:t>
            </w:r>
            <w:r>
              <w:rPr>
                <w:rFonts w:ascii="Arial" w:eastAsia="宋体" w:hAnsi="Arial" w:cs="Arial"/>
                <w:color w:val="000000"/>
                <w:sz w:val="17"/>
                <w:szCs w:val="17"/>
              </w:rPr>
              <w:t>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51"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B52" w14:textId="77777777" w:rsidR="009C6E2F" w:rsidRDefault="009C6E2F">
            <w:pPr>
              <w:rPr>
                <w:rFonts w:ascii="宋体"/>
                <w:vanish/>
              </w:rPr>
            </w:pPr>
          </w:p>
        </w:tc>
        <w:tc>
          <w:tcPr>
            <w:tcW w:w="0" w:type="auto"/>
            <w:shd w:val="clear" w:color="auto" w:fill="auto"/>
            <w:vAlign w:val="bottom"/>
          </w:tcPr>
          <w:p w14:paraId="2470DB53" w14:textId="77777777" w:rsidR="009C6E2F" w:rsidRDefault="009C6E2F">
            <w:pPr>
              <w:rPr>
                <w:rFonts w:ascii="宋体"/>
                <w:vanish/>
              </w:rPr>
            </w:pPr>
          </w:p>
        </w:tc>
        <w:tc>
          <w:tcPr>
            <w:tcW w:w="0" w:type="auto"/>
            <w:gridSpan w:val="3"/>
            <w:shd w:val="clear" w:color="auto" w:fill="auto"/>
            <w:vAlign w:val="bottom"/>
          </w:tcPr>
          <w:p w14:paraId="2470DB54" w14:textId="77777777" w:rsidR="009C6E2F" w:rsidRDefault="009C6E2F">
            <w:pPr>
              <w:rPr>
                <w:rFonts w:ascii="宋体"/>
                <w:vanish/>
              </w:rPr>
            </w:pPr>
          </w:p>
        </w:tc>
        <w:tc>
          <w:tcPr>
            <w:tcW w:w="0" w:type="auto"/>
            <w:gridSpan w:val="3"/>
            <w:shd w:val="clear" w:color="auto" w:fill="auto"/>
            <w:vAlign w:val="bottom"/>
          </w:tcPr>
          <w:p w14:paraId="2470DB55" w14:textId="77777777" w:rsidR="009C6E2F" w:rsidRDefault="009C6E2F">
            <w:pPr>
              <w:rPr>
                <w:rFonts w:ascii="宋体"/>
                <w:vanish/>
              </w:rPr>
            </w:pPr>
          </w:p>
        </w:tc>
        <w:tc>
          <w:tcPr>
            <w:tcW w:w="0" w:type="auto"/>
            <w:gridSpan w:val="3"/>
            <w:shd w:val="clear" w:color="auto" w:fill="auto"/>
            <w:vAlign w:val="bottom"/>
          </w:tcPr>
          <w:p w14:paraId="2470DB56" w14:textId="77777777" w:rsidR="009C6E2F" w:rsidRDefault="009C6E2F">
            <w:pPr>
              <w:rPr>
                <w:rFonts w:ascii="宋体"/>
                <w:vanish/>
              </w:rPr>
            </w:pPr>
          </w:p>
        </w:tc>
      </w:tr>
      <w:tr w:rsidR="009C6E2F" w14:paraId="2470DB7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B58"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B5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B5A" w14:textId="77777777" w:rsidR="009C6E2F" w:rsidRDefault="007972BE">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B5B"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B5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B5D" w14:textId="77777777" w:rsidR="009C6E2F" w:rsidRDefault="007972BE">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5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5F"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60"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61"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62"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63"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B6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B65" w14:textId="77777777" w:rsidR="009C6E2F" w:rsidRDefault="007972BE">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B66"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B6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B68" w14:textId="77777777" w:rsidR="009C6E2F" w:rsidRDefault="007972BE">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69"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6A" w14:textId="77777777" w:rsidR="009C6E2F" w:rsidRDefault="007972BE">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6B"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6C" w14:textId="77777777" w:rsidR="009C6E2F" w:rsidRDefault="007972BE">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6D"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B6E" w14:textId="77777777" w:rsidR="009C6E2F" w:rsidRDefault="009C6E2F">
            <w:pPr>
              <w:rPr>
                <w:rFonts w:ascii="宋体"/>
                <w:vanish/>
              </w:rPr>
            </w:pPr>
          </w:p>
        </w:tc>
        <w:tc>
          <w:tcPr>
            <w:tcW w:w="0" w:type="auto"/>
            <w:shd w:val="clear" w:color="auto" w:fill="auto"/>
            <w:vAlign w:val="bottom"/>
          </w:tcPr>
          <w:p w14:paraId="2470DB6F" w14:textId="77777777" w:rsidR="009C6E2F" w:rsidRDefault="009C6E2F">
            <w:pPr>
              <w:rPr>
                <w:rFonts w:ascii="宋体"/>
                <w:vanish/>
              </w:rPr>
            </w:pPr>
          </w:p>
        </w:tc>
        <w:tc>
          <w:tcPr>
            <w:tcW w:w="0" w:type="auto"/>
            <w:gridSpan w:val="3"/>
            <w:shd w:val="clear" w:color="auto" w:fill="auto"/>
            <w:vAlign w:val="bottom"/>
          </w:tcPr>
          <w:p w14:paraId="2470DB70" w14:textId="77777777" w:rsidR="009C6E2F" w:rsidRDefault="009C6E2F">
            <w:pPr>
              <w:rPr>
                <w:rFonts w:ascii="宋体"/>
                <w:vanish/>
              </w:rPr>
            </w:pPr>
          </w:p>
        </w:tc>
        <w:tc>
          <w:tcPr>
            <w:tcW w:w="0" w:type="auto"/>
            <w:gridSpan w:val="3"/>
            <w:shd w:val="clear" w:color="auto" w:fill="auto"/>
            <w:vAlign w:val="bottom"/>
          </w:tcPr>
          <w:p w14:paraId="2470DB71" w14:textId="77777777" w:rsidR="009C6E2F" w:rsidRDefault="009C6E2F">
            <w:pPr>
              <w:rPr>
                <w:rFonts w:ascii="宋体"/>
                <w:vanish/>
              </w:rPr>
            </w:pPr>
          </w:p>
        </w:tc>
        <w:tc>
          <w:tcPr>
            <w:tcW w:w="0" w:type="auto"/>
            <w:gridSpan w:val="3"/>
            <w:shd w:val="clear" w:color="auto" w:fill="auto"/>
            <w:vAlign w:val="bottom"/>
          </w:tcPr>
          <w:p w14:paraId="2470DB72" w14:textId="77777777" w:rsidR="009C6E2F" w:rsidRDefault="009C6E2F">
            <w:pPr>
              <w:rPr>
                <w:rFonts w:ascii="宋体"/>
                <w:vanish/>
              </w:rPr>
            </w:pPr>
          </w:p>
        </w:tc>
      </w:tr>
      <w:tr w:rsidR="009C6E2F" w14:paraId="2470DB8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B74"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B7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7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7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7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79"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B7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7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7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7D" w14:textId="77777777" w:rsidR="009C6E2F" w:rsidRDefault="009C6E2F">
            <w:pPr>
              <w:rPr>
                <w:rFonts w:ascii="宋体"/>
              </w:rPr>
            </w:pPr>
          </w:p>
        </w:tc>
        <w:tc>
          <w:tcPr>
            <w:tcW w:w="0" w:type="auto"/>
            <w:shd w:val="clear" w:color="auto" w:fill="auto"/>
            <w:vAlign w:val="bottom"/>
          </w:tcPr>
          <w:p w14:paraId="2470DB7E" w14:textId="77777777" w:rsidR="009C6E2F" w:rsidRDefault="009C6E2F">
            <w:pPr>
              <w:rPr>
                <w:rFonts w:ascii="宋体"/>
                <w:vanish/>
              </w:rPr>
            </w:pPr>
          </w:p>
        </w:tc>
        <w:tc>
          <w:tcPr>
            <w:tcW w:w="0" w:type="auto"/>
            <w:shd w:val="clear" w:color="auto" w:fill="auto"/>
            <w:vAlign w:val="bottom"/>
          </w:tcPr>
          <w:p w14:paraId="2470DB7F" w14:textId="77777777" w:rsidR="009C6E2F" w:rsidRDefault="009C6E2F">
            <w:pPr>
              <w:rPr>
                <w:rFonts w:ascii="宋体"/>
                <w:vanish/>
              </w:rPr>
            </w:pPr>
          </w:p>
        </w:tc>
        <w:tc>
          <w:tcPr>
            <w:tcW w:w="0" w:type="auto"/>
            <w:gridSpan w:val="3"/>
            <w:shd w:val="clear" w:color="auto" w:fill="auto"/>
            <w:vAlign w:val="bottom"/>
          </w:tcPr>
          <w:p w14:paraId="2470DB80" w14:textId="77777777" w:rsidR="009C6E2F" w:rsidRDefault="009C6E2F">
            <w:pPr>
              <w:rPr>
                <w:rFonts w:ascii="宋体"/>
                <w:vanish/>
              </w:rPr>
            </w:pPr>
          </w:p>
        </w:tc>
        <w:tc>
          <w:tcPr>
            <w:tcW w:w="0" w:type="auto"/>
            <w:gridSpan w:val="3"/>
            <w:shd w:val="clear" w:color="auto" w:fill="auto"/>
            <w:vAlign w:val="bottom"/>
          </w:tcPr>
          <w:p w14:paraId="2470DB81" w14:textId="77777777" w:rsidR="009C6E2F" w:rsidRDefault="009C6E2F">
            <w:pPr>
              <w:rPr>
                <w:rFonts w:ascii="宋体"/>
                <w:vanish/>
              </w:rPr>
            </w:pPr>
          </w:p>
        </w:tc>
        <w:tc>
          <w:tcPr>
            <w:tcW w:w="0" w:type="auto"/>
            <w:gridSpan w:val="3"/>
            <w:shd w:val="clear" w:color="auto" w:fill="auto"/>
            <w:vAlign w:val="bottom"/>
          </w:tcPr>
          <w:p w14:paraId="2470DB82" w14:textId="77777777" w:rsidR="009C6E2F" w:rsidRDefault="009C6E2F">
            <w:pPr>
              <w:rPr>
                <w:rFonts w:ascii="宋体"/>
                <w:vanish/>
              </w:rPr>
            </w:pPr>
          </w:p>
        </w:tc>
      </w:tr>
      <w:tr w:rsidR="009C6E2F" w14:paraId="2470DB9F"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B84"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B85"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B86" w14:textId="77777777" w:rsidR="009C6E2F" w:rsidRDefault="007972BE">
            <w:pPr>
              <w:jc w:val="right"/>
              <w:textAlignment w:val="bottom"/>
            </w:pPr>
            <w:r>
              <w:rPr>
                <w:rFonts w:ascii="Arial" w:eastAsia="宋体" w:hAnsi="Arial" w:cs="Arial"/>
                <w:color w:val="000000"/>
                <w:sz w:val="17"/>
                <w:szCs w:val="17"/>
              </w:rPr>
              <w:t>2,112 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87"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B88"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B89" w14:textId="77777777" w:rsidR="009C6E2F" w:rsidRDefault="007972BE">
            <w:pPr>
              <w:jc w:val="right"/>
              <w:textAlignment w:val="bottom"/>
            </w:pPr>
            <w:r>
              <w:rPr>
                <w:rFonts w:ascii="Arial" w:eastAsia="宋体" w:hAnsi="Arial" w:cs="Arial"/>
                <w:color w:val="000000"/>
                <w:sz w:val="17"/>
                <w:szCs w:val="17"/>
              </w:rPr>
              <w:t>1,985 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8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8B"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8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8D"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8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B8F"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B9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B91" w14:textId="77777777" w:rsidR="009C6E2F" w:rsidRDefault="007972BE">
            <w:pPr>
              <w:jc w:val="right"/>
              <w:textAlignment w:val="bottom"/>
            </w:pPr>
            <w:r>
              <w:rPr>
                <w:rFonts w:ascii="Arial" w:eastAsia="宋体" w:hAnsi="Arial" w:cs="Arial"/>
                <w:color w:val="000000"/>
                <w:sz w:val="17"/>
                <w:szCs w:val="17"/>
              </w:rPr>
              <w:t>4,336 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92"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B9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B94" w14:textId="77777777" w:rsidR="009C6E2F" w:rsidRDefault="007972BE">
            <w:pPr>
              <w:jc w:val="right"/>
              <w:textAlignment w:val="bottom"/>
            </w:pPr>
            <w:r>
              <w:rPr>
                <w:rFonts w:ascii="Arial" w:eastAsia="宋体" w:hAnsi="Arial" w:cs="Arial"/>
                <w:color w:val="000000"/>
                <w:sz w:val="17"/>
                <w:szCs w:val="17"/>
              </w:rPr>
              <w:t>3,958 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9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96"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9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98"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99"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B9A" w14:textId="77777777" w:rsidR="009C6E2F" w:rsidRDefault="009C6E2F">
            <w:pPr>
              <w:rPr>
                <w:rFonts w:ascii="宋体"/>
                <w:vanish/>
              </w:rPr>
            </w:pPr>
          </w:p>
        </w:tc>
        <w:tc>
          <w:tcPr>
            <w:tcW w:w="0" w:type="auto"/>
            <w:shd w:val="clear" w:color="auto" w:fill="auto"/>
            <w:vAlign w:val="bottom"/>
          </w:tcPr>
          <w:p w14:paraId="2470DB9B" w14:textId="77777777" w:rsidR="009C6E2F" w:rsidRDefault="009C6E2F">
            <w:pPr>
              <w:rPr>
                <w:rFonts w:ascii="宋体"/>
                <w:vanish/>
              </w:rPr>
            </w:pPr>
          </w:p>
        </w:tc>
        <w:tc>
          <w:tcPr>
            <w:tcW w:w="0" w:type="auto"/>
            <w:gridSpan w:val="3"/>
            <w:shd w:val="clear" w:color="auto" w:fill="auto"/>
            <w:vAlign w:val="bottom"/>
          </w:tcPr>
          <w:p w14:paraId="2470DB9C" w14:textId="77777777" w:rsidR="009C6E2F" w:rsidRDefault="009C6E2F">
            <w:pPr>
              <w:rPr>
                <w:rFonts w:ascii="宋体"/>
                <w:vanish/>
              </w:rPr>
            </w:pPr>
          </w:p>
        </w:tc>
        <w:tc>
          <w:tcPr>
            <w:tcW w:w="0" w:type="auto"/>
            <w:gridSpan w:val="3"/>
            <w:shd w:val="clear" w:color="auto" w:fill="auto"/>
            <w:vAlign w:val="bottom"/>
          </w:tcPr>
          <w:p w14:paraId="2470DB9D" w14:textId="77777777" w:rsidR="009C6E2F" w:rsidRDefault="009C6E2F">
            <w:pPr>
              <w:rPr>
                <w:rFonts w:ascii="宋体"/>
                <w:vanish/>
              </w:rPr>
            </w:pPr>
          </w:p>
        </w:tc>
        <w:tc>
          <w:tcPr>
            <w:tcW w:w="0" w:type="auto"/>
            <w:gridSpan w:val="3"/>
            <w:shd w:val="clear" w:color="auto" w:fill="auto"/>
            <w:vAlign w:val="bottom"/>
          </w:tcPr>
          <w:p w14:paraId="2470DB9E" w14:textId="77777777" w:rsidR="009C6E2F" w:rsidRDefault="009C6E2F">
            <w:pPr>
              <w:rPr>
                <w:rFonts w:ascii="宋体"/>
                <w:vanish/>
              </w:rPr>
            </w:pPr>
          </w:p>
        </w:tc>
      </w:tr>
      <w:tr w:rsidR="009C6E2F" w14:paraId="2470DBB7"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BA0" w14:textId="77777777" w:rsidR="009C6E2F" w:rsidRDefault="007972BE">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BA1" w14:textId="77777777" w:rsidR="009C6E2F" w:rsidRDefault="007972BE">
            <w:pPr>
              <w:jc w:val="right"/>
              <w:textAlignment w:val="bottom"/>
            </w:pPr>
            <w:r>
              <w:rPr>
                <w:rFonts w:ascii="Arial" w:eastAsia="宋体" w:hAnsi="Arial" w:cs="Arial"/>
                <w:color w:val="000000"/>
                <w:sz w:val="17"/>
                <w:szCs w:val="17"/>
              </w:rPr>
              <w:t>1,030 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A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A3" w14:textId="77777777" w:rsidR="009C6E2F" w:rsidRDefault="007972BE">
            <w:pPr>
              <w:jc w:val="right"/>
              <w:textAlignment w:val="bottom"/>
            </w:pPr>
            <w:r>
              <w:rPr>
                <w:rFonts w:ascii="Arial" w:eastAsia="宋体" w:hAnsi="Arial" w:cs="Arial"/>
                <w:color w:val="000000"/>
                <w:sz w:val="17"/>
                <w:szCs w:val="17"/>
              </w:rPr>
              <w:t>973 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A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A5"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A6"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A7"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A8"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BA9"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BAA" w14:textId="77777777" w:rsidR="009C6E2F" w:rsidRDefault="007972BE">
            <w:pPr>
              <w:jc w:val="right"/>
              <w:textAlignment w:val="bottom"/>
            </w:pPr>
            <w:r>
              <w:rPr>
                <w:rFonts w:ascii="Arial" w:eastAsia="宋体" w:hAnsi="Arial" w:cs="Arial"/>
                <w:color w:val="000000"/>
                <w:sz w:val="17"/>
                <w:szCs w:val="17"/>
              </w:rPr>
              <w:t>2,113 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BA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AC" w14:textId="77777777" w:rsidR="009C6E2F" w:rsidRDefault="007972BE">
            <w:pPr>
              <w:jc w:val="right"/>
              <w:textAlignment w:val="bottom"/>
            </w:pPr>
            <w:r>
              <w:rPr>
                <w:rFonts w:ascii="Arial" w:eastAsia="宋体" w:hAnsi="Arial" w:cs="Arial"/>
                <w:color w:val="000000"/>
                <w:sz w:val="17"/>
                <w:szCs w:val="17"/>
              </w:rPr>
              <w:t>1,910 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A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AE"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A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BB0"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BB1"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BB2" w14:textId="77777777" w:rsidR="009C6E2F" w:rsidRDefault="009C6E2F">
            <w:pPr>
              <w:rPr>
                <w:rFonts w:ascii="宋体"/>
                <w:vanish/>
              </w:rPr>
            </w:pPr>
          </w:p>
        </w:tc>
        <w:tc>
          <w:tcPr>
            <w:tcW w:w="0" w:type="auto"/>
            <w:shd w:val="clear" w:color="auto" w:fill="auto"/>
            <w:vAlign w:val="bottom"/>
          </w:tcPr>
          <w:p w14:paraId="2470DBB3" w14:textId="77777777" w:rsidR="009C6E2F" w:rsidRDefault="009C6E2F">
            <w:pPr>
              <w:rPr>
                <w:rFonts w:ascii="宋体"/>
                <w:vanish/>
              </w:rPr>
            </w:pPr>
          </w:p>
        </w:tc>
        <w:tc>
          <w:tcPr>
            <w:tcW w:w="0" w:type="auto"/>
            <w:gridSpan w:val="3"/>
            <w:shd w:val="clear" w:color="auto" w:fill="auto"/>
            <w:vAlign w:val="bottom"/>
          </w:tcPr>
          <w:p w14:paraId="2470DBB4" w14:textId="77777777" w:rsidR="009C6E2F" w:rsidRDefault="009C6E2F">
            <w:pPr>
              <w:rPr>
                <w:rFonts w:ascii="宋体"/>
                <w:vanish/>
              </w:rPr>
            </w:pPr>
          </w:p>
        </w:tc>
        <w:tc>
          <w:tcPr>
            <w:tcW w:w="0" w:type="auto"/>
            <w:gridSpan w:val="3"/>
            <w:shd w:val="clear" w:color="auto" w:fill="auto"/>
            <w:vAlign w:val="bottom"/>
          </w:tcPr>
          <w:p w14:paraId="2470DBB5" w14:textId="77777777" w:rsidR="009C6E2F" w:rsidRDefault="009C6E2F">
            <w:pPr>
              <w:rPr>
                <w:rFonts w:ascii="宋体"/>
                <w:vanish/>
              </w:rPr>
            </w:pPr>
          </w:p>
        </w:tc>
        <w:tc>
          <w:tcPr>
            <w:tcW w:w="0" w:type="auto"/>
            <w:gridSpan w:val="3"/>
            <w:shd w:val="clear" w:color="auto" w:fill="auto"/>
            <w:vAlign w:val="bottom"/>
          </w:tcPr>
          <w:p w14:paraId="2470DBB6" w14:textId="77777777" w:rsidR="009C6E2F" w:rsidRDefault="009C6E2F">
            <w:pPr>
              <w:rPr>
                <w:rFonts w:ascii="宋体"/>
                <w:vanish/>
              </w:rPr>
            </w:pPr>
          </w:p>
        </w:tc>
      </w:tr>
      <w:tr w:rsidR="009C6E2F" w14:paraId="2470DBD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BB8"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BB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BBA" w14:textId="77777777" w:rsidR="009C6E2F" w:rsidRDefault="007972BE">
            <w:pPr>
              <w:jc w:val="right"/>
              <w:textAlignment w:val="bottom"/>
            </w:pPr>
            <w:r>
              <w:rPr>
                <w:rFonts w:ascii="Arial" w:eastAsia="宋体" w:hAnsi="Arial" w:cs="Arial"/>
                <w:b/>
                <w:bCs/>
                <w:color w:val="000000"/>
                <w:sz w:val="17"/>
                <w:szCs w:val="17"/>
              </w:rPr>
              <w:t>3,142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BBB"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BB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BBD" w14:textId="77777777" w:rsidR="009C6E2F" w:rsidRDefault="007972BE">
            <w:pPr>
              <w:jc w:val="right"/>
              <w:textAlignment w:val="bottom"/>
            </w:pPr>
            <w:r>
              <w:rPr>
                <w:rFonts w:ascii="Arial" w:eastAsia="宋体" w:hAnsi="Arial" w:cs="Arial"/>
                <w:b/>
                <w:bCs/>
                <w:color w:val="000000"/>
                <w:sz w:val="17"/>
                <w:szCs w:val="17"/>
              </w:rPr>
              <w:t>2,958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B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BF"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C0"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C1"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C2"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BC3"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BC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BC5" w14:textId="77777777" w:rsidR="009C6E2F" w:rsidRDefault="007972BE">
            <w:pPr>
              <w:jc w:val="right"/>
              <w:textAlignment w:val="bottom"/>
            </w:pPr>
            <w:r>
              <w:rPr>
                <w:rFonts w:ascii="Arial" w:eastAsia="宋体" w:hAnsi="Arial" w:cs="Arial"/>
                <w:b/>
                <w:bCs/>
                <w:color w:val="000000"/>
                <w:sz w:val="17"/>
                <w:szCs w:val="17"/>
              </w:rPr>
              <w:t>6,449</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BC6"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BC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BC8" w14:textId="77777777" w:rsidR="009C6E2F" w:rsidRDefault="007972BE">
            <w:pPr>
              <w:jc w:val="right"/>
              <w:textAlignment w:val="bottom"/>
            </w:pPr>
            <w:r>
              <w:rPr>
                <w:rFonts w:ascii="Arial" w:eastAsia="宋体" w:hAnsi="Arial" w:cs="Arial"/>
                <w:b/>
                <w:bCs/>
                <w:color w:val="000000"/>
                <w:sz w:val="17"/>
                <w:szCs w:val="17"/>
              </w:rPr>
              <w:t>5,868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C9"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CA" w14:textId="77777777" w:rsidR="009C6E2F" w:rsidRDefault="007972BE">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CB"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BCC" w14:textId="77777777" w:rsidR="009C6E2F" w:rsidRDefault="007972BE">
            <w:pPr>
              <w:jc w:val="right"/>
              <w:textAlignment w:val="bottom"/>
            </w:pPr>
            <w:r>
              <w:rPr>
                <w:rFonts w:ascii="Arial" w:eastAsia="宋体" w:hAnsi="Arial" w:cs="Arial"/>
                <w:b/>
                <w:bCs/>
                <w:color w:val="000000"/>
                <w:sz w:val="17"/>
                <w:szCs w:val="17"/>
              </w:rPr>
              <w:t>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BCD"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BCE" w14:textId="77777777" w:rsidR="009C6E2F" w:rsidRDefault="009C6E2F">
            <w:pPr>
              <w:rPr>
                <w:rFonts w:ascii="宋体"/>
                <w:vanish/>
              </w:rPr>
            </w:pPr>
          </w:p>
        </w:tc>
        <w:tc>
          <w:tcPr>
            <w:tcW w:w="0" w:type="auto"/>
            <w:shd w:val="clear" w:color="auto" w:fill="auto"/>
            <w:vAlign w:val="bottom"/>
          </w:tcPr>
          <w:p w14:paraId="2470DBCF" w14:textId="77777777" w:rsidR="009C6E2F" w:rsidRDefault="009C6E2F">
            <w:pPr>
              <w:rPr>
                <w:rFonts w:ascii="宋体"/>
                <w:vanish/>
              </w:rPr>
            </w:pPr>
          </w:p>
        </w:tc>
        <w:tc>
          <w:tcPr>
            <w:tcW w:w="0" w:type="auto"/>
            <w:gridSpan w:val="3"/>
            <w:shd w:val="clear" w:color="auto" w:fill="auto"/>
            <w:vAlign w:val="bottom"/>
          </w:tcPr>
          <w:p w14:paraId="2470DBD0" w14:textId="77777777" w:rsidR="009C6E2F" w:rsidRDefault="009C6E2F">
            <w:pPr>
              <w:rPr>
                <w:rFonts w:ascii="宋体"/>
                <w:vanish/>
              </w:rPr>
            </w:pPr>
          </w:p>
        </w:tc>
        <w:tc>
          <w:tcPr>
            <w:tcW w:w="0" w:type="auto"/>
            <w:gridSpan w:val="3"/>
            <w:shd w:val="clear" w:color="auto" w:fill="auto"/>
            <w:vAlign w:val="bottom"/>
          </w:tcPr>
          <w:p w14:paraId="2470DBD1" w14:textId="77777777" w:rsidR="009C6E2F" w:rsidRDefault="009C6E2F">
            <w:pPr>
              <w:rPr>
                <w:rFonts w:ascii="宋体"/>
                <w:vanish/>
              </w:rPr>
            </w:pPr>
          </w:p>
        </w:tc>
        <w:tc>
          <w:tcPr>
            <w:tcW w:w="0" w:type="auto"/>
            <w:gridSpan w:val="3"/>
            <w:shd w:val="clear" w:color="auto" w:fill="auto"/>
            <w:vAlign w:val="bottom"/>
          </w:tcPr>
          <w:p w14:paraId="2470DBD2" w14:textId="77777777" w:rsidR="009C6E2F" w:rsidRDefault="009C6E2F">
            <w:pPr>
              <w:rPr>
                <w:rFonts w:ascii="宋体"/>
                <w:vanish/>
              </w:rPr>
            </w:pPr>
          </w:p>
        </w:tc>
      </w:tr>
      <w:tr w:rsidR="009C6E2F" w14:paraId="2470DBED"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BD4" w14:textId="77777777" w:rsidR="009C6E2F" w:rsidRDefault="007972BE">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BD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BD6" w14:textId="77777777" w:rsidR="009C6E2F" w:rsidRDefault="007972BE">
            <w:pPr>
              <w:jc w:val="right"/>
              <w:textAlignment w:val="bottom"/>
            </w:pPr>
            <w:r>
              <w:rPr>
                <w:rFonts w:ascii="Arial" w:eastAsia="宋体" w:hAnsi="Arial" w:cs="Arial"/>
                <w:b/>
                <w:bCs/>
                <w:color w:val="000000"/>
                <w:sz w:val="17"/>
                <w:szCs w:val="17"/>
              </w:rPr>
              <w:t>806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BD7"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BD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BD9" w14:textId="77777777" w:rsidR="009C6E2F" w:rsidRDefault="007972BE">
            <w:pPr>
              <w:jc w:val="right"/>
              <w:textAlignment w:val="bottom"/>
            </w:pPr>
            <w:r>
              <w:rPr>
                <w:rFonts w:ascii="Arial" w:eastAsia="宋体" w:hAnsi="Arial" w:cs="Arial"/>
                <w:b/>
                <w:bCs/>
                <w:color w:val="000000"/>
                <w:sz w:val="17"/>
                <w:szCs w:val="17"/>
              </w:rPr>
              <w:t>660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BDA"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BDB" w14:textId="77777777" w:rsidR="009C6E2F" w:rsidRDefault="007972BE">
            <w:pPr>
              <w:jc w:val="right"/>
              <w:textAlignment w:val="bottom"/>
            </w:pPr>
            <w:r>
              <w:rPr>
                <w:rFonts w:ascii="Arial" w:eastAsia="宋体" w:hAnsi="Arial" w:cs="Arial"/>
                <w:b/>
                <w:bCs/>
                <w:color w:val="000000"/>
                <w:sz w:val="17"/>
                <w:szCs w:val="17"/>
              </w:rPr>
              <w:t>22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BDC"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BDD"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BDE"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BD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BE0" w14:textId="77777777" w:rsidR="009C6E2F" w:rsidRDefault="007972BE">
            <w:pPr>
              <w:jc w:val="right"/>
              <w:textAlignment w:val="bottom"/>
            </w:pPr>
            <w:r>
              <w:rPr>
                <w:rFonts w:ascii="Arial" w:eastAsia="宋体" w:hAnsi="Arial" w:cs="Arial"/>
                <w:b/>
                <w:bCs/>
                <w:color w:val="000000"/>
                <w:sz w:val="17"/>
                <w:szCs w:val="17"/>
              </w:rPr>
              <w:t>1,681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BE1"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BE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BE3" w14:textId="77777777" w:rsidR="009C6E2F" w:rsidRDefault="007972BE">
            <w:pPr>
              <w:jc w:val="right"/>
              <w:textAlignment w:val="bottom"/>
            </w:pPr>
            <w:r>
              <w:rPr>
                <w:rFonts w:ascii="Arial" w:eastAsia="宋体" w:hAnsi="Arial" w:cs="Arial"/>
                <w:b/>
                <w:bCs/>
                <w:color w:val="000000"/>
                <w:sz w:val="17"/>
                <w:szCs w:val="17"/>
              </w:rPr>
              <w:t>1,352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BE4"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BE5" w14:textId="77777777" w:rsidR="009C6E2F" w:rsidRDefault="007972BE">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BE6"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BE7" w14:textId="77777777" w:rsidR="009C6E2F" w:rsidRDefault="009C6E2F">
            <w:pPr>
              <w:rPr>
                <w:rFonts w:ascii="宋体"/>
              </w:rPr>
            </w:pPr>
          </w:p>
        </w:tc>
        <w:tc>
          <w:tcPr>
            <w:tcW w:w="0" w:type="auto"/>
            <w:shd w:val="clear" w:color="auto" w:fill="auto"/>
            <w:vAlign w:val="bottom"/>
          </w:tcPr>
          <w:p w14:paraId="2470DBE8" w14:textId="77777777" w:rsidR="009C6E2F" w:rsidRDefault="009C6E2F">
            <w:pPr>
              <w:rPr>
                <w:rFonts w:ascii="宋体"/>
                <w:vanish/>
              </w:rPr>
            </w:pPr>
          </w:p>
        </w:tc>
        <w:tc>
          <w:tcPr>
            <w:tcW w:w="0" w:type="auto"/>
            <w:shd w:val="clear" w:color="auto" w:fill="auto"/>
            <w:vAlign w:val="bottom"/>
          </w:tcPr>
          <w:p w14:paraId="2470DBE9" w14:textId="77777777" w:rsidR="009C6E2F" w:rsidRDefault="009C6E2F">
            <w:pPr>
              <w:rPr>
                <w:rFonts w:ascii="宋体"/>
                <w:vanish/>
              </w:rPr>
            </w:pPr>
          </w:p>
        </w:tc>
        <w:tc>
          <w:tcPr>
            <w:tcW w:w="0" w:type="auto"/>
            <w:gridSpan w:val="3"/>
            <w:shd w:val="clear" w:color="auto" w:fill="auto"/>
            <w:vAlign w:val="bottom"/>
          </w:tcPr>
          <w:p w14:paraId="2470DBEA" w14:textId="77777777" w:rsidR="009C6E2F" w:rsidRDefault="009C6E2F">
            <w:pPr>
              <w:rPr>
                <w:rFonts w:ascii="宋体"/>
                <w:vanish/>
              </w:rPr>
            </w:pPr>
          </w:p>
        </w:tc>
        <w:tc>
          <w:tcPr>
            <w:tcW w:w="0" w:type="auto"/>
            <w:gridSpan w:val="3"/>
            <w:shd w:val="clear" w:color="auto" w:fill="auto"/>
            <w:vAlign w:val="bottom"/>
          </w:tcPr>
          <w:p w14:paraId="2470DBEB" w14:textId="77777777" w:rsidR="009C6E2F" w:rsidRDefault="009C6E2F">
            <w:pPr>
              <w:rPr>
                <w:rFonts w:ascii="宋体"/>
                <w:vanish/>
              </w:rPr>
            </w:pPr>
          </w:p>
        </w:tc>
        <w:tc>
          <w:tcPr>
            <w:tcW w:w="0" w:type="auto"/>
            <w:gridSpan w:val="3"/>
            <w:shd w:val="clear" w:color="auto" w:fill="auto"/>
            <w:vAlign w:val="bottom"/>
          </w:tcPr>
          <w:p w14:paraId="2470DBEC" w14:textId="77777777" w:rsidR="009C6E2F" w:rsidRDefault="009C6E2F">
            <w:pPr>
              <w:rPr>
                <w:rFonts w:ascii="宋体"/>
                <w:vanish/>
              </w:rPr>
            </w:pPr>
          </w:p>
        </w:tc>
      </w:tr>
    </w:tbl>
    <w:p w14:paraId="2470DBEE" w14:textId="77777777" w:rsidR="009C6E2F" w:rsidRDefault="007972BE">
      <w:pPr>
        <w:spacing w:before="120" w:after="120"/>
      </w:pPr>
      <w:r>
        <w:rPr>
          <w:rFonts w:ascii="Arial" w:eastAsia="宋体" w:hAnsi="Arial" w:cs="Arial"/>
          <w:color w:val="E87722"/>
          <w:sz w:val="17"/>
          <w:szCs w:val="17"/>
        </w:rPr>
        <w:t>34</w:t>
      </w:r>
      <w:r>
        <w:rPr>
          <w:rFonts w:ascii="sans-serif" w:eastAsia="sans-serif" w:hAnsi="sans-serif" w:cs="sans-serif"/>
          <w:color w:val="000000"/>
          <w:sz w:val="17"/>
          <w:szCs w:val="17"/>
        </w:rPr>
        <w:t xml:space="preserve"> </w:t>
      </w:r>
    </w:p>
    <w:p w14:paraId="2470DBEF" w14:textId="77777777" w:rsidR="009C6E2F" w:rsidRDefault="007972BE">
      <w:r>
        <w:pict w14:anchorId="2470E207">
          <v:rect id="_x0000_i1060" style="width:415.3pt;height:1.5pt" o:hralign="center" o:hrstd="t" o:hr="t" fillcolor="#a0a0a0" stroked="f"/>
        </w:pict>
      </w:r>
    </w:p>
    <w:p w14:paraId="2470DBF0" w14:textId="77777777" w:rsidR="009C6E2F" w:rsidRDefault="009C6E2F"/>
    <w:p w14:paraId="2470DBF1" w14:textId="77777777" w:rsidR="009C6E2F" w:rsidRDefault="007972BE">
      <w:hyperlink r:id="rId103" w:anchor="i9e023a7388204bdbacd6aa338988f838_7" w:history="1">
        <w:r>
          <w:rPr>
            <w:rStyle w:val="a5"/>
            <w:rFonts w:ascii="sans-serif" w:eastAsia="sans-serif" w:hAnsi="sans-serif" w:cs="sans-serif"/>
            <w:sz w:val="17"/>
            <w:szCs w:val="17"/>
          </w:rPr>
          <w:t>Table of Contents</w:t>
        </w:r>
      </w:hyperlink>
    </w:p>
    <w:p w14:paraId="2470DBF2" w14:textId="77777777" w:rsidR="009C6E2F" w:rsidRDefault="009C6E2F"/>
    <w:p w14:paraId="2470DBF3"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 FISCAL 2021</w:t>
      </w:r>
    </w:p>
    <w:p w14:paraId="2470DBF4" w14:textId="77777777" w:rsidR="009C6E2F" w:rsidRDefault="007972BE">
      <w:pPr>
        <w:spacing w:after="120"/>
      </w:pPr>
      <w:r>
        <w:rPr>
          <w:rFonts w:ascii="Arial" w:eastAsia="宋体" w:hAnsi="Arial" w:cs="Arial"/>
          <w:color w:val="000000"/>
          <w:sz w:val="17"/>
          <w:szCs w:val="17"/>
        </w:rPr>
        <w:t xml:space="preserve">On a currency-neutral basis, EMEA revenues for the </w:t>
      </w:r>
      <w:r>
        <w:rPr>
          <w:rFonts w:ascii="Arial" w:eastAsia="宋体" w:hAnsi="Arial" w:cs="Arial"/>
          <w:color w:val="000000"/>
          <w:sz w:val="17"/>
          <w:szCs w:val="17"/>
        </w:rPr>
        <w:t>second quarter of fiscal 2022 increased 6%, driven by growth in our wholesale business and NIKE Direct. NIKE Direct revenues increased 6% primarily due to comparable store sales growth of 14%, in part due to improved physical retail traffic, and the additi</w:t>
      </w:r>
      <w:r>
        <w:rPr>
          <w:rFonts w:ascii="Arial" w:eastAsia="宋体" w:hAnsi="Arial" w:cs="Arial"/>
          <w:color w:val="000000"/>
          <w:sz w:val="17"/>
          <w:szCs w:val="17"/>
        </w:rPr>
        <w:t>on of new stores, partially offset by a decline in digital sales of 1%.</w:t>
      </w:r>
    </w:p>
    <w:p w14:paraId="2470DBF5" w14:textId="77777777" w:rsidR="009C6E2F" w:rsidRDefault="007972BE">
      <w:pPr>
        <w:spacing w:before="120" w:after="120"/>
      </w:pPr>
      <w:r>
        <w:rPr>
          <w:rFonts w:ascii="Arial" w:eastAsia="宋体" w:hAnsi="Arial" w:cs="Arial"/>
          <w:color w:val="000000"/>
          <w:sz w:val="17"/>
          <w:szCs w:val="17"/>
        </w:rPr>
        <w:t>Currency-neutral footwear revenues increased 4%, driven by growth in wholesale and NIKE Direct. Unit sales of footwear decreased 4%, while higher ASP per pair contributed approximately</w:t>
      </w:r>
      <w:r>
        <w:rPr>
          <w:rFonts w:ascii="Arial" w:eastAsia="宋体" w:hAnsi="Arial" w:cs="Arial"/>
          <w:color w:val="000000"/>
          <w:sz w:val="17"/>
          <w:szCs w:val="17"/>
        </w:rPr>
        <w:t xml:space="preserve"> 8 percentage points of footwear revenue growth. Higher ASP per pair was primarily due to higher NIKE Direct and full-price ASPs, as well as a higher mix of full-price sales.</w:t>
      </w:r>
    </w:p>
    <w:p w14:paraId="2470DBF6" w14:textId="77777777" w:rsidR="009C6E2F" w:rsidRDefault="007972BE">
      <w:pPr>
        <w:spacing w:before="120" w:after="120"/>
      </w:pPr>
      <w:r>
        <w:rPr>
          <w:rFonts w:ascii="Arial" w:eastAsia="宋体" w:hAnsi="Arial" w:cs="Arial"/>
          <w:color w:val="000000"/>
          <w:sz w:val="17"/>
          <w:szCs w:val="17"/>
        </w:rPr>
        <w:t>Currency-neutral apparel revenues increased 8% due primarily to higher revenues i</w:t>
      </w:r>
      <w:r>
        <w:rPr>
          <w:rFonts w:ascii="Arial" w:eastAsia="宋体" w:hAnsi="Arial" w:cs="Arial"/>
          <w:color w:val="000000"/>
          <w:sz w:val="17"/>
          <w:szCs w:val="17"/>
        </w:rPr>
        <w:t>n Men's. Unit sales of apparel increased 3%, while higher ASP per unit contributed approximately 5 percentage points of apparel revenue growth, primarily due to higher NIKE Direct ASP, a higher mix of full-price sales and higher full-price ASP.</w:t>
      </w:r>
    </w:p>
    <w:p w14:paraId="2470DBF7" w14:textId="77777777" w:rsidR="009C6E2F" w:rsidRDefault="007972BE">
      <w:pPr>
        <w:spacing w:before="120" w:after="120"/>
      </w:pPr>
      <w:r>
        <w:rPr>
          <w:rFonts w:ascii="Arial" w:eastAsia="宋体" w:hAnsi="Arial" w:cs="Arial"/>
          <w:color w:val="000000"/>
          <w:sz w:val="17"/>
          <w:szCs w:val="17"/>
        </w:rPr>
        <w:t>Reported EB</w:t>
      </w:r>
      <w:r>
        <w:rPr>
          <w:rFonts w:ascii="Arial" w:eastAsia="宋体" w:hAnsi="Arial" w:cs="Arial"/>
          <w:color w:val="000000"/>
          <w:sz w:val="17"/>
          <w:szCs w:val="17"/>
        </w:rPr>
        <w:t>IT increased 22% as gross margin expansion and higher revenues more than offset higher selling and administrative expense. Gross margin increased approximately 670 basis points primarily due to higher NIKE Direct margins, favorable changes in standard fore</w:t>
      </w:r>
      <w:r>
        <w:rPr>
          <w:rFonts w:ascii="Arial" w:eastAsia="宋体" w:hAnsi="Arial" w:cs="Arial"/>
          <w:color w:val="000000"/>
          <w:sz w:val="17"/>
          <w:szCs w:val="17"/>
        </w:rPr>
        <w:t xml:space="preserve">ign currency exchange rates, a higher mix of full-price sales and lower other costs. Selling and administrative expense increased due to higher demand creation and operating overhead expense. Higher demand creation expense was driven by higher advertising </w:t>
      </w:r>
      <w:r>
        <w:rPr>
          <w:rFonts w:ascii="Arial" w:eastAsia="宋体" w:hAnsi="Arial" w:cs="Arial"/>
          <w:color w:val="000000"/>
          <w:sz w:val="17"/>
          <w:szCs w:val="17"/>
        </w:rPr>
        <w:t>and marketing expenses as well as higher sports marketing costs. Higher operating overhead expense was primarily due to higher wage-related expenses.</w:t>
      </w:r>
    </w:p>
    <w:p w14:paraId="2470DBF8"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MONTHS OF FISCAL 2021</w:t>
      </w:r>
    </w:p>
    <w:p w14:paraId="2470DBF9" w14:textId="77777777" w:rsidR="009C6E2F" w:rsidRDefault="007972BE">
      <w:pPr>
        <w:spacing w:after="120"/>
      </w:pPr>
      <w:r>
        <w:rPr>
          <w:rFonts w:ascii="Arial" w:eastAsia="宋体" w:hAnsi="Arial" w:cs="Arial"/>
          <w:color w:val="000000"/>
          <w:sz w:val="17"/>
          <w:szCs w:val="17"/>
        </w:rPr>
        <w:t>On a currency-neutral basis, E</w:t>
      </w:r>
      <w:r>
        <w:rPr>
          <w:rFonts w:ascii="Arial" w:eastAsia="宋体" w:hAnsi="Arial" w:cs="Arial"/>
          <w:color w:val="000000"/>
          <w:sz w:val="17"/>
          <w:szCs w:val="17"/>
        </w:rPr>
        <w:t xml:space="preserve">MEA revenues for the first six months of fiscal 2022 increased 7%, due primarily to higher revenues in Men’s. NIKE Direct revenues increased 8% primarily due to comparable store sales growth of 15%, in part due to improved physical retail traffic, and the </w:t>
      </w:r>
      <w:r>
        <w:rPr>
          <w:rFonts w:ascii="Arial" w:eastAsia="宋体" w:hAnsi="Arial" w:cs="Arial"/>
          <w:color w:val="000000"/>
          <w:sz w:val="17"/>
          <w:szCs w:val="17"/>
        </w:rPr>
        <w:t>addition of new stores, while digital sales was relatively flat compared to prior year.</w:t>
      </w:r>
    </w:p>
    <w:p w14:paraId="2470DBFA" w14:textId="77777777" w:rsidR="009C6E2F" w:rsidRDefault="007972BE">
      <w:pPr>
        <w:spacing w:before="120" w:after="120"/>
      </w:pPr>
      <w:r>
        <w:rPr>
          <w:rFonts w:ascii="Arial" w:eastAsia="宋体" w:hAnsi="Arial" w:cs="Arial"/>
          <w:color w:val="000000"/>
          <w:sz w:val="17"/>
          <w:szCs w:val="17"/>
        </w:rPr>
        <w:t>Currency-neutral footwear revenues increased 4%, driven by growth in NIKE Direct and our wholesale business. Unit sales of footwear decreased 1%, while higher ASP per p</w:t>
      </w:r>
      <w:r>
        <w:rPr>
          <w:rFonts w:ascii="Arial" w:eastAsia="宋体" w:hAnsi="Arial" w:cs="Arial"/>
          <w:color w:val="000000"/>
          <w:sz w:val="17"/>
          <w:szCs w:val="17"/>
        </w:rPr>
        <w:t>air contributed approximately 5 percentage points of footwear revenue growth. Higher ASP per pair was primarily due to higher NIKE Direct and full-price ASPs, as well as a higher mix of full-price sales.</w:t>
      </w:r>
    </w:p>
    <w:p w14:paraId="2470DBFB" w14:textId="77777777" w:rsidR="009C6E2F" w:rsidRDefault="007972BE">
      <w:pPr>
        <w:spacing w:before="120" w:after="120"/>
      </w:pPr>
      <w:r>
        <w:rPr>
          <w:rFonts w:ascii="Arial" w:eastAsia="宋体" w:hAnsi="Arial" w:cs="Arial"/>
          <w:color w:val="000000"/>
          <w:sz w:val="17"/>
          <w:szCs w:val="17"/>
        </w:rPr>
        <w:t xml:space="preserve">Currency-neutral apparel revenues increased 11% due </w:t>
      </w:r>
      <w:r>
        <w:rPr>
          <w:rFonts w:ascii="Arial" w:eastAsia="宋体" w:hAnsi="Arial" w:cs="Arial"/>
          <w:color w:val="000000"/>
          <w:sz w:val="17"/>
          <w:szCs w:val="17"/>
        </w:rPr>
        <w:t>primarily to higher revenues in Men's. Unit sales of apparel increased 5%, while higher ASP per unit contributed approximately 6 percentage points of apparel revenue growth, primarily due to higher full-price and NIKE Direct ASPs, as well as a higher mix o</w:t>
      </w:r>
      <w:r>
        <w:rPr>
          <w:rFonts w:ascii="Arial" w:eastAsia="宋体" w:hAnsi="Arial" w:cs="Arial"/>
          <w:color w:val="000000"/>
          <w:sz w:val="17"/>
          <w:szCs w:val="17"/>
        </w:rPr>
        <w:t>f full-price sales.</w:t>
      </w:r>
    </w:p>
    <w:p w14:paraId="2470DBFC" w14:textId="77777777" w:rsidR="009C6E2F" w:rsidRDefault="007972BE">
      <w:pPr>
        <w:spacing w:before="120" w:after="120"/>
      </w:pPr>
      <w:r>
        <w:rPr>
          <w:rFonts w:ascii="Arial" w:eastAsia="宋体" w:hAnsi="Arial" w:cs="Arial"/>
          <w:color w:val="000000"/>
          <w:sz w:val="17"/>
          <w:szCs w:val="17"/>
        </w:rPr>
        <w:t>Reported EBIT increased 24% as higher revenues and gross margin expansion more than offset higher selling and administrative expense. Gross margin increased approximately 460 basis points primarily due to higher NIKE Direct margins, fav</w:t>
      </w:r>
      <w:r>
        <w:rPr>
          <w:rFonts w:ascii="Arial" w:eastAsia="宋体" w:hAnsi="Arial" w:cs="Arial"/>
          <w:color w:val="000000"/>
          <w:sz w:val="17"/>
          <w:szCs w:val="17"/>
        </w:rPr>
        <w:t>orable changes in standard foreign currency exchange rates and a higher mix of full-price sales, partially offset by higher product costs primarily due to increased freight and logistics costs. Selling and administrative expense increased due to higher dem</w:t>
      </w:r>
      <w:r>
        <w:rPr>
          <w:rFonts w:ascii="Arial" w:eastAsia="宋体" w:hAnsi="Arial" w:cs="Arial"/>
          <w:color w:val="000000"/>
          <w:sz w:val="17"/>
          <w:szCs w:val="17"/>
        </w:rPr>
        <w:t xml:space="preserve">and creation and operating overhead expense. Higher demand creation expense was driven by higher advertising and marketing expenses. Higher operating overhead expense was primarily due to higher wage-related expenses. </w:t>
      </w:r>
    </w:p>
    <w:p w14:paraId="2470DBFD" w14:textId="77777777" w:rsidR="009C6E2F" w:rsidRDefault="007972BE">
      <w:pPr>
        <w:spacing w:before="240" w:after="120"/>
      </w:pPr>
      <w:r>
        <w:rPr>
          <w:rFonts w:ascii="sans-serif" w:eastAsia="sans-serif" w:hAnsi="sans-serif" w:cs="sans-serif"/>
          <w:b/>
          <w:bCs/>
          <w:color w:val="000000"/>
          <w:sz w:val="28"/>
          <w:szCs w:val="28"/>
        </w:rPr>
        <w:t>GREATER CHINA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9C6E2F" w14:paraId="2470DC21" w14:textId="77777777">
        <w:tc>
          <w:tcPr>
            <w:tcW w:w="50" w:type="pct"/>
            <w:shd w:val="clear" w:color="auto" w:fill="auto"/>
            <w:vAlign w:val="bottom"/>
          </w:tcPr>
          <w:p w14:paraId="2470DBFE" w14:textId="77777777" w:rsidR="009C6E2F" w:rsidRDefault="009C6E2F">
            <w:pPr>
              <w:rPr>
                <w:rFonts w:ascii="宋体"/>
              </w:rPr>
            </w:pPr>
          </w:p>
        </w:tc>
        <w:tc>
          <w:tcPr>
            <w:tcW w:w="1387" w:type="pct"/>
            <w:shd w:val="clear" w:color="auto" w:fill="auto"/>
            <w:vAlign w:val="bottom"/>
          </w:tcPr>
          <w:p w14:paraId="2470DBFF" w14:textId="77777777" w:rsidR="009C6E2F" w:rsidRDefault="009C6E2F">
            <w:pPr>
              <w:rPr>
                <w:rFonts w:ascii="宋体"/>
              </w:rPr>
            </w:pPr>
          </w:p>
        </w:tc>
        <w:tc>
          <w:tcPr>
            <w:tcW w:w="5" w:type="pct"/>
            <w:shd w:val="clear" w:color="auto" w:fill="auto"/>
            <w:vAlign w:val="bottom"/>
          </w:tcPr>
          <w:p w14:paraId="2470DC00" w14:textId="77777777" w:rsidR="009C6E2F" w:rsidRDefault="009C6E2F">
            <w:pPr>
              <w:rPr>
                <w:rFonts w:ascii="宋体"/>
              </w:rPr>
            </w:pPr>
          </w:p>
        </w:tc>
        <w:tc>
          <w:tcPr>
            <w:tcW w:w="50" w:type="pct"/>
            <w:shd w:val="clear" w:color="auto" w:fill="auto"/>
            <w:vAlign w:val="bottom"/>
          </w:tcPr>
          <w:p w14:paraId="2470DC01" w14:textId="77777777" w:rsidR="009C6E2F" w:rsidRDefault="009C6E2F">
            <w:pPr>
              <w:rPr>
                <w:rFonts w:ascii="宋体"/>
              </w:rPr>
            </w:pPr>
          </w:p>
        </w:tc>
        <w:tc>
          <w:tcPr>
            <w:tcW w:w="384" w:type="pct"/>
            <w:shd w:val="clear" w:color="auto" w:fill="auto"/>
            <w:vAlign w:val="bottom"/>
          </w:tcPr>
          <w:p w14:paraId="2470DC02" w14:textId="77777777" w:rsidR="009C6E2F" w:rsidRDefault="009C6E2F">
            <w:pPr>
              <w:rPr>
                <w:rFonts w:ascii="宋体"/>
              </w:rPr>
            </w:pPr>
          </w:p>
        </w:tc>
        <w:tc>
          <w:tcPr>
            <w:tcW w:w="5" w:type="pct"/>
            <w:shd w:val="clear" w:color="auto" w:fill="auto"/>
            <w:vAlign w:val="bottom"/>
          </w:tcPr>
          <w:p w14:paraId="2470DC03" w14:textId="77777777" w:rsidR="009C6E2F" w:rsidRDefault="009C6E2F">
            <w:pPr>
              <w:rPr>
                <w:rFonts w:ascii="宋体"/>
              </w:rPr>
            </w:pPr>
          </w:p>
        </w:tc>
        <w:tc>
          <w:tcPr>
            <w:tcW w:w="50" w:type="pct"/>
            <w:shd w:val="clear" w:color="auto" w:fill="auto"/>
            <w:vAlign w:val="bottom"/>
          </w:tcPr>
          <w:p w14:paraId="2470DC04" w14:textId="77777777" w:rsidR="009C6E2F" w:rsidRDefault="009C6E2F">
            <w:pPr>
              <w:rPr>
                <w:rFonts w:ascii="宋体"/>
              </w:rPr>
            </w:pPr>
          </w:p>
        </w:tc>
        <w:tc>
          <w:tcPr>
            <w:tcW w:w="384" w:type="pct"/>
            <w:shd w:val="clear" w:color="auto" w:fill="auto"/>
            <w:vAlign w:val="bottom"/>
          </w:tcPr>
          <w:p w14:paraId="2470DC05" w14:textId="77777777" w:rsidR="009C6E2F" w:rsidRDefault="009C6E2F">
            <w:pPr>
              <w:rPr>
                <w:rFonts w:ascii="宋体"/>
              </w:rPr>
            </w:pPr>
          </w:p>
        </w:tc>
        <w:tc>
          <w:tcPr>
            <w:tcW w:w="5" w:type="pct"/>
            <w:shd w:val="clear" w:color="auto" w:fill="auto"/>
            <w:vAlign w:val="bottom"/>
          </w:tcPr>
          <w:p w14:paraId="2470DC06" w14:textId="77777777" w:rsidR="009C6E2F" w:rsidRDefault="009C6E2F">
            <w:pPr>
              <w:rPr>
                <w:rFonts w:ascii="宋体"/>
              </w:rPr>
            </w:pPr>
          </w:p>
        </w:tc>
        <w:tc>
          <w:tcPr>
            <w:tcW w:w="50" w:type="pct"/>
            <w:shd w:val="clear" w:color="auto" w:fill="auto"/>
            <w:vAlign w:val="bottom"/>
          </w:tcPr>
          <w:p w14:paraId="2470DC07" w14:textId="77777777" w:rsidR="009C6E2F" w:rsidRDefault="009C6E2F">
            <w:pPr>
              <w:rPr>
                <w:rFonts w:ascii="宋体"/>
              </w:rPr>
            </w:pPr>
          </w:p>
        </w:tc>
        <w:tc>
          <w:tcPr>
            <w:tcW w:w="384" w:type="pct"/>
            <w:shd w:val="clear" w:color="auto" w:fill="auto"/>
            <w:vAlign w:val="bottom"/>
          </w:tcPr>
          <w:p w14:paraId="2470DC08" w14:textId="77777777" w:rsidR="009C6E2F" w:rsidRDefault="009C6E2F">
            <w:pPr>
              <w:rPr>
                <w:rFonts w:ascii="宋体"/>
              </w:rPr>
            </w:pPr>
          </w:p>
        </w:tc>
        <w:tc>
          <w:tcPr>
            <w:tcW w:w="5" w:type="pct"/>
            <w:shd w:val="clear" w:color="auto" w:fill="auto"/>
            <w:vAlign w:val="bottom"/>
          </w:tcPr>
          <w:p w14:paraId="2470DC09" w14:textId="77777777" w:rsidR="009C6E2F" w:rsidRDefault="009C6E2F">
            <w:pPr>
              <w:rPr>
                <w:rFonts w:ascii="宋体"/>
              </w:rPr>
            </w:pPr>
          </w:p>
        </w:tc>
        <w:tc>
          <w:tcPr>
            <w:tcW w:w="50" w:type="pct"/>
            <w:shd w:val="clear" w:color="auto" w:fill="auto"/>
            <w:vAlign w:val="bottom"/>
          </w:tcPr>
          <w:p w14:paraId="2470DC0A" w14:textId="77777777" w:rsidR="009C6E2F" w:rsidRDefault="009C6E2F">
            <w:pPr>
              <w:rPr>
                <w:rFonts w:ascii="宋体"/>
              </w:rPr>
            </w:pPr>
          </w:p>
        </w:tc>
        <w:tc>
          <w:tcPr>
            <w:tcW w:w="384" w:type="pct"/>
            <w:shd w:val="clear" w:color="auto" w:fill="auto"/>
            <w:vAlign w:val="bottom"/>
          </w:tcPr>
          <w:p w14:paraId="2470DC0B" w14:textId="77777777" w:rsidR="009C6E2F" w:rsidRDefault="009C6E2F">
            <w:pPr>
              <w:rPr>
                <w:rFonts w:ascii="宋体"/>
              </w:rPr>
            </w:pPr>
          </w:p>
        </w:tc>
        <w:tc>
          <w:tcPr>
            <w:tcW w:w="5" w:type="pct"/>
            <w:shd w:val="clear" w:color="auto" w:fill="auto"/>
            <w:vAlign w:val="bottom"/>
          </w:tcPr>
          <w:p w14:paraId="2470DC0C" w14:textId="77777777" w:rsidR="009C6E2F" w:rsidRDefault="009C6E2F">
            <w:pPr>
              <w:rPr>
                <w:rFonts w:ascii="宋体"/>
              </w:rPr>
            </w:pPr>
          </w:p>
        </w:tc>
        <w:tc>
          <w:tcPr>
            <w:tcW w:w="5" w:type="pct"/>
            <w:shd w:val="clear" w:color="auto" w:fill="auto"/>
            <w:vAlign w:val="bottom"/>
          </w:tcPr>
          <w:p w14:paraId="2470DC0D" w14:textId="77777777" w:rsidR="009C6E2F" w:rsidRDefault="009C6E2F">
            <w:pPr>
              <w:rPr>
                <w:rFonts w:ascii="宋体"/>
              </w:rPr>
            </w:pPr>
          </w:p>
        </w:tc>
        <w:tc>
          <w:tcPr>
            <w:tcW w:w="28" w:type="pct"/>
            <w:shd w:val="clear" w:color="auto" w:fill="auto"/>
            <w:vAlign w:val="bottom"/>
          </w:tcPr>
          <w:p w14:paraId="2470DC0E" w14:textId="77777777" w:rsidR="009C6E2F" w:rsidRDefault="009C6E2F">
            <w:pPr>
              <w:rPr>
                <w:rFonts w:ascii="宋体"/>
              </w:rPr>
            </w:pPr>
          </w:p>
        </w:tc>
        <w:tc>
          <w:tcPr>
            <w:tcW w:w="5" w:type="pct"/>
            <w:shd w:val="clear" w:color="auto" w:fill="auto"/>
            <w:vAlign w:val="bottom"/>
          </w:tcPr>
          <w:p w14:paraId="2470DC0F" w14:textId="77777777" w:rsidR="009C6E2F" w:rsidRDefault="009C6E2F">
            <w:pPr>
              <w:rPr>
                <w:rFonts w:ascii="宋体"/>
              </w:rPr>
            </w:pPr>
          </w:p>
        </w:tc>
        <w:tc>
          <w:tcPr>
            <w:tcW w:w="50" w:type="pct"/>
            <w:shd w:val="clear" w:color="auto" w:fill="auto"/>
            <w:vAlign w:val="bottom"/>
          </w:tcPr>
          <w:p w14:paraId="2470DC10" w14:textId="77777777" w:rsidR="009C6E2F" w:rsidRDefault="009C6E2F">
            <w:pPr>
              <w:rPr>
                <w:rFonts w:ascii="宋体"/>
              </w:rPr>
            </w:pPr>
          </w:p>
        </w:tc>
        <w:tc>
          <w:tcPr>
            <w:tcW w:w="384" w:type="pct"/>
            <w:shd w:val="clear" w:color="auto" w:fill="auto"/>
            <w:vAlign w:val="bottom"/>
          </w:tcPr>
          <w:p w14:paraId="2470DC11" w14:textId="77777777" w:rsidR="009C6E2F" w:rsidRDefault="009C6E2F">
            <w:pPr>
              <w:rPr>
                <w:rFonts w:ascii="宋体"/>
              </w:rPr>
            </w:pPr>
          </w:p>
        </w:tc>
        <w:tc>
          <w:tcPr>
            <w:tcW w:w="5" w:type="pct"/>
            <w:shd w:val="clear" w:color="auto" w:fill="auto"/>
            <w:vAlign w:val="bottom"/>
          </w:tcPr>
          <w:p w14:paraId="2470DC12" w14:textId="77777777" w:rsidR="009C6E2F" w:rsidRDefault="009C6E2F">
            <w:pPr>
              <w:rPr>
                <w:rFonts w:ascii="宋体"/>
              </w:rPr>
            </w:pPr>
          </w:p>
        </w:tc>
        <w:tc>
          <w:tcPr>
            <w:tcW w:w="50" w:type="pct"/>
            <w:shd w:val="clear" w:color="auto" w:fill="auto"/>
            <w:vAlign w:val="bottom"/>
          </w:tcPr>
          <w:p w14:paraId="2470DC13" w14:textId="77777777" w:rsidR="009C6E2F" w:rsidRDefault="009C6E2F">
            <w:pPr>
              <w:rPr>
                <w:rFonts w:ascii="宋体"/>
              </w:rPr>
            </w:pPr>
          </w:p>
        </w:tc>
        <w:tc>
          <w:tcPr>
            <w:tcW w:w="384" w:type="pct"/>
            <w:shd w:val="clear" w:color="auto" w:fill="auto"/>
            <w:vAlign w:val="bottom"/>
          </w:tcPr>
          <w:p w14:paraId="2470DC14" w14:textId="77777777" w:rsidR="009C6E2F" w:rsidRDefault="009C6E2F">
            <w:pPr>
              <w:rPr>
                <w:rFonts w:ascii="宋体"/>
              </w:rPr>
            </w:pPr>
          </w:p>
        </w:tc>
        <w:tc>
          <w:tcPr>
            <w:tcW w:w="5" w:type="pct"/>
            <w:shd w:val="clear" w:color="auto" w:fill="auto"/>
            <w:vAlign w:val="bottom"/>
          </w:tcPr>
          <w:p w14:paraId="2470DC15" w14:textId="77777777" w:rsidR="009C6E2F" w:rsidRDefault="009C6E2F">
            <w:pPr>
              <w:rPr>
                <w:rFonts w:ascii="宋体"/>
              </w:rPr>
            </w:pPr>
          </w:p>
        </w:tc>
        <w:tc>
          <w:tcPr>
            <w:tcW w:w="50" w:type="pct"/>
            <w:shd w:val="clear" w:color="auto" w:fill="auto"/>
            <w:vAlign w:val="bottom"/>
          </w:tcPr>
          <w:p w14:paraId="2470DC16" w14:textId="77777777" w:rsidR="009C6E2F" w:rsidRDefault="009C6E2F">
            <w:pPr>
              <w:rPr>
                <w:rFonts w:ascii="宋体"/>
              </w:rPr>
            </w:pPr>
          </w:p>
        </w:tc>
        <w:tc>
          <w:tcPr>
            <w:tcW w:w="384" w:type="pct"/>
            <w:shd w:val="clear" w:color="auto" w:fill="auto"/>
            <w:vAlign w:val="bottom"/>
          </w:tcPr>
          <w:p w14:paraId="2470DC17" w14:textId="77777777" w:rsidR="009C6E2F" w:rsidRDefault="009C6E2F">
            <w:pPr>
              <w:rPr>
                <w:rFonts w:ascii="宋体"/>
              </w:rPr>
            </w:pPr>
          </w:p>
        </w:tc>
        <w:tc>
          <w:tcPr>
            <w:tcW w:w="5" w:type="pct"/>
            <w:shd w:val="clear" w:color="auto" w:fill="auto"/>
            <w:vAlign w:val="bottom"/>
          </w:tcPr>
          <w:p w14:paraId="2470DC18" w14:textId="77777777" w:rsidR="009C6E2F" w:rsidRDefault="009C6E2F">
            <w:pPr>
              <w:rPr>
                <w:rFonts w:ascii="宋体"/>
              </w:rPr>
            </w:pPr>
          </w:p>
        </w:tc>
        <w:tc>
          <w:tcPr>
            <w:tcW w:w="50" w:type="pct"/>
            <w:shd w:val="clear" w:color="auto" w:fill="auto"/>
            <w:vAlign w:val="bottom"/>
          </w:tcPr>
          <w:p w14:paraId="2470DC19" w14:textId="77777777" w:rsidR="009C6E2F" w:rsidRDefault="009C6E2F">
            <w:pPr>
              <w:rPr>
                <w:rFonts w:ascii="宋体"/>
              </w:rPr>
            </w:pPr>
          </w:p>
        </w:tc>
        <w:tc>
          <w:tcPr>
            <w:tcW w:w="384" w:type="pct"/>
            <w:shd w:val="clear" w:color="auto" w:fill="auto"/>
            <w:vAlign w:val="bottom"/>
          </w:tcPr>
          <w:p w14:paraId="2470DC1A" w14:textId="77777777" w:rsidR="009C6E2F" w:rsidRDefault="009C6E2F">
            <w:pPr>
              <w:rPr>
                <w:rFonts w:ascii="宋体"/>
              </w:rPr>
            </w:pPr>
          </w:p>
        </w:tc>
        <w:tc>
          <w:tcPr>
            <w:tcW w:w="5" w:type="pct"/>
            <w:shd w:val="clear" w:color="auto" w:fill="auto"/>
            <w:vAlign w:val="bottom"/>
          </w:tcPr>
          <w:p w14:paraId="2470DC1B" w14:textId="77777777" w:rsidR="009C6E2F" w:rsidRDefault="009C6E2F">
            <w:pPr>
              <w:rPr>
                <w:rFonts w:ascii="宋体"/>
              </w:rPr>
            </w:pPr>
          </w:p>
        </w:tc>
        <w:tc>
          <w:tcPr>
            <w:tcW w:w="0" w:type="auto"/>
            <w:shd w:val="clear" w:color="auto" w:fill="auto"/>
            <w:vAlign w:val="bottom"/>
          </w:tcPr>
          <w:p w14:paraId="2470DC1C" w14:textId="77777777" w:rsidR="009C6E2F" w:rsidRDefault="009C6E2F">
            <w:pPr>
              <w:rPr>
                <w:rFonts w:ascii="宋体"/>
                <w:vanish/>
              </w:rPr>
            </w:pPr>
          </w:p>
        </w:tc>
        <w:tc>
          <w:tcPr>
            <w:tcW w:w="0" w:type="auto"/>
            <w:shd w:val="clear" w:color="auto" w:fill="auto"/>
            <w:vAlign w:val="bottom"/>
          </w:tcPr>
          <w:p w14:paraId="2470DC1D" w14:textId="77777777" w:rsidR="009C6E2F" w:rsidRDefault="009C6E2F">
            <w:pPr>
              <w:rPr>
                <w:rFonts w:ascii="宋体"/>
                <w:vanish/>
              </w:rPr>
            </w:pPr>
          </w:p>
        </w:tc>
        <w:tc>
          <w:tcPr>
            <w:tcW w:w="0" w:type="auto"/>
            <w:gridSpan w:val="3"/>
            <w:shd w:val="clear" w:color="auto" w:fill="auto"/>
            <w:vAlign w:val="bottom"/>
          </w:tcPr>
          <w:p w14:paraId="2470DC1E" w14:textId="77777777" w:rsidR="009C6E2F" w:rsidRDefault="009C6E2F">
            <w:pPr>
              <w:rPr>
                <w:rFonts w:ascii="宋体"/>
                <w:vanish/>
              </w:rPr>
            </w:pPr>
          </w:p>
        </w:tc>
        <w:tc>
          <w:tcPr>
            <w:tcW w:w="0" w:type="auto"/>
            <w:gridSpan w:val="3"/>
            <w:shd w:val="clear" w:color="auto" w:fill="auto"/>
            <w:vAlign w:val="bottom"/>
          </w:tcPr>
          <w:p w14:paraId="2470DC1F" w14:textId="77777777" w:rsidR="009C6E2F" w:rsidRDefault="009C6E2F">
            <w:pPr>
              <w:rPr>
                <w:rFonts w:ascii="宋体"/>
                <w:vanish/>
              </w:rPr>
            </w:pPr>
          </w:p>
        </w:tc>
        <w:tc>
          <w:tcPr>
            <w:tcW w:w="0" w:type="auto"/>
            <w:gridSpan w:val="3"/>
            <w:shd w:val="clear" w:color="auto" w:fill="auto"/>
            <w:vAlign w:val="bottom"/>
          </w:tcPr>
          <w:p w14:paraId="2470DC20" w14:textId="77777777" w:rsidR="009C6E2F" w:rsidRDefault="009C6E2F">
            <w:pPr>
              <w:rPr>
                <w:rFonts w:ascii="宋体"/>
                <w:vanish/>
              </w:rPr>
            </w:pPr>
          </w:p>
        </w:tc>
      </w:tr>
      <w:tr w:rsidR="009C6E2F" w14:paraId="2470DC31" w14:textId="77777777">
        <w:tc>
          <w:tcPr>
            <w:tcW w:w="0" w:type="auto"/>
            <w:gridSpan w:val="3"/>
            <w:shd w:val="clear" w:color="auto" w:fill="auto"/>
            <w:tcMar>
              <w:top w:w="0" w:type="dxa"/>
              <w:left w:w="20" w:type="dxa"/>
              <w:bottom w:w="0" w:type="dxa"/>
              <w:right w:w="20" w:type="dxa"/>
            </w:tcMar>
            <w:vAlign w:val="bottom"/>
          </w:tcPr>
          <w:p w14:paraId="2470DC22"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C23"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C24"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C25"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C26" w14:textId="77777777" w:rsidR="009C6E2F" w:rsidRDefault="009C6E2F">
            <w:pPr>
              <w:rPr>
                <w:rFonts w:ascii="宋体"/>
                <w:vanish/>
              </w:rPr>
            </w:pPr>
          </w:p>
        </w:tc>
        <w:tc>
          <w:tcPr>
            <w:tcW w:w="0" w:type="auto"/>
            <w:shd w:val="clear" w:color="auto" w:fill="auto"/>
            <w:vAlign w:val="bottom"/>
          </w:tcPr>
          <w:p w14:paraId="2470DC27" w14:textId="77777777" w:rsidR="009C6E2F" w:rsidRDefault="009C6E2F">
            <w:pPr>
              <w:rPr>
                <w:rFonts w:ascii="宋体"/>
                <w:vanish/>
              </w:rPr>
            </w:pPr>
          </w:p>
        </w:tc>
        <w:tc>
          <w:tcPr>
            <w:tcW w:w="0" w:type="auto"/>
            <w:shd w:val="clear" w:color="auto" w:fill="auto"/>
            <w:vAlign w:val="bottom"/>
          </w:tcPr>
          <w:p w14:paraId="2470DC28" w14:textId="77777777" w:rsidR="009C6E2F" w:rsidRDefault="009C6E2F">
            <w:pPr>
              <w:rPr>
                <w:rFonts w:ascii="宋体"/>
              </w:rPr>
            </w:pPr>
          </w:p>
        </w:tc>
        <w:tc>
          <w:tcPr>
            <w:tcW w:w="0" w:type="auto"/>
            <w:shd w:val="clear" w:color="auto" w:fill="auto"/>
            <w:vAlign w:val="bottom"/>
          </w:tcPr>
          <w:p w14:paraId="2470DC29" w14:textId="77777777" w:rsidR="009C6E2F" w:rsidRDefault="009C6E2F">
            <w:pPr>
              <w:rPr>
                <w:rFonts w:ascii="宋体"/>
              </w:rPr>
            </w:pPr>
          </w:p>
        </w:tc>
        <w:tc>
          <w:tcPr>
            <w:tcW w:w="0" w:type="auto"/>
            <w:shd w:val="clear" w:color="auto" w:fill="auto"/>
            <w:vAlign w:val="bottom"/>
          </w:tcPr>
          <w:p w14:paraId="2470DC2A" w14:textId="77777777" w:rsidR="009C6E2F" w:rsidRDefault="009C6E2F">
            <w:pPr>
              <w:rPr>
                <w:rFonts w:ascii="宋体"/>
              </w:rPr>
            </w:pPr>
          </w:p>
        </w:tc>
        <w:tc>
          <w:tcPr>
            <w:tcW w:w="0" w:type="auto"/>
            <w:shd w:val="clear" w:color="auto" w:fill="auto"/>
            <w:vAlign w:val="bottom"/>
          </w:tcPr>
          <w:p w14:paraId="2470DC2B" w14:textId="77777777" w:rsidR="009C6E2F" w:rsidRDefault="009C6E2F">
            <w:pPr>
              <w:rPr>
                <w:rFonts w:ascii="宋体"/>
              </w:rPr>
            </w:pPr>
          </w:p>
        </w:tc>
        <w:tc>
          <w:tcPr>
            <w:tcW w:w="0" w:type="auto"/>
            <w:shd w:val="clear" w:color="auto" w:fill="auto"/>
            <w:vAlign w:val="bottom"/>
          </w:tcPr>
          <w:p w14:paraId="2470DC2C" w14:textId="77777777" w:rsidR="009C6E2F" w:rsidRDefault="009C6E2F">
            <w:pPr>
              <w:rPr>
                <w:rFonts w:ascii="宋体"/>
              </w:rPr>
            </w:pPr>
          </w:p>
        </w:tc>
        <w:tc>
          <w:tcPr>
            <w:tcW w:w="0" w:type="auto"/>
            <w:shd w:val="clear" w:color="auto" w:fill="auto"/>
            <w:vAlign w:val="bottom"/>
          </w:tcPr>
          <w:p w14:paraId="2470DC2D" w14:textId="77777777" w:rsidR="009C6E2F" w:rsidRDefault="009C6E2F">
            <w:pPr>
              <w:rPr>
                <w:rFonts w:ascii="宋体"/>
              </w:rPr>
            </w:pPr>
          </w:p>
        </w:tc>
        <w:tc>
          <w:tcPr>
            <w:tcW w:w="0" w:type="auto"/>
            <w:shd w:val="clear" w:color="auto" w:fill="auto"/>
            <w:vAlign w:val="bottom"/>
          </w:tcPr>
          <w:p w14:paraId="2470DC2E" w14:textId="77777777" w:rsidR="009C6E2F" w:rsidRDefault="009C6E2F">
            <w:pPr>
              <w:rPr>
                <w:rFonts w:ascii="宋体"/>
              </w:rPr>
            </w:pPr>
          </w:p>
        </w:tc>
        <w:tc>
          <w:tcPr>
            <w:tcW w:w="0" w:type="auto"/>
            <w:shd w:val="clear" w:color="auto" w:fill="auto"/>
            <w:vAlign w:val="bottom"/>
          </w:tcPr>
          <w:p w14:paraId="2470DC2F" w14:textId="77777777" w:rsidR="009C6E2F" w:rsidRDefault="009C6E2F">
            <w:pPr>
              <w:rPr>
                <w:rFonts w:ascii="宋体"/>
              </w:rPr>
            </w:pPr>
          </w:p>
        </w:tc>
        <w:tc>
          <w:tcPr>
            <w:tcW w:w="0" w:type="auto"/>
            <w:shd w:val="clear" w:color="auto" w:fill="auto"/>
            <w:vAlign w:val="bottom"/>
          </w:tcPr>
          <w:p w14:paraId="2470DC30" w14:textId="77777777" w:rsidR="009C6E2F" w:rsidRDefault="009C6E2F">
            <w:pPr>
              <w:rPr>
                <w:rFonts w:ascii="宋体"/>
              </w:rPr>
            </w:pPr>
          </w:p>
        </w:tc>
      </w:tr>
      <w:tr w:rsidR="009C6E2F" w14:paraId="2470DC41" w14:textId="77777777">
        <w:tc>
          <w:tcPr>
            <w:tcW w:w="0" w:type="auto"/>
            <w:gridSpan w:val="3"/>
            <w:shd w:val="clear" w:color="auto" w:fill="auto"/>
            <w:tcMar>
              <w:top w:w="40" w:type="dxa"/>
              <w:left w:w="20" w:type="dxa"/>
              <w:bottom w:w="40" w:type="dxa"/>
              <w:right w:w="20" w:type="dxa"/>
            </w:tcMar>
            <w:vAlign w:val="bottom"/>
          </w:tcPr>
          <w:p w14:paraId="2470DC32" w14:textId="77777777" w:rsidR="009C6E2F" w:rsidRDefault="007972BE">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3"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4"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5"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6"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470DC37"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8"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9"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A"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3B"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470DC3C" w14:textId="77777777" w:rsidR="009C6E2F" w:rsidRDefault="009C6E2F">
            <w:pPr>
              <w:rPr>
                <w:rFonts w:ascii="宋体"/>
                <w:vanish/>
              </w:rPr>
            </w:pPr>
          </w:p>
        </w:tc>
        <w:tc>
          <w:tcPr>
            <w:tcW w:w="0" w:type="auto"/>
            <w:shd w:val="clear" w:color="auto" w:fill="auto"/>
            <w:vAlign w:val="bottom"/>
          </w:tcPr>
          <w:p w14:paraId="2470DC3D" w14:textId="77777777" w:rsidR="009C6E2F" w:rsidRDefault="009C6E2F">
            <w:pPr>
              <w:rPr>
                <w:rFonts w:ascii="宋体"/>
                <w:vanish/>
              </w:rPr>
            </w:pPr>
          </w:p>
        </w:tc>
        <w:tc>
          <w:tcPr>
            <w:tcW w:w="0" w:type="auto"/>
            <w:gridSpan w:val="3"/>
            <w:shd w:val="clear" w:color="auto" w:fill="auto"/>
            <w:vAlign w:val="bottom"/>
          </w:tcPr>
          <w:p w14:paraId="2470DC3E" w14:textId="77777777" w:rsidR="009C6E2F" w:rsidRDefault="009C6E2F">
            <w:pPr>
              <w:rPr>
                <w:rFonts w:ascii="宋体"/>
                <w:vanish/>
              </w:rPr>
            </w:pPr>
          </w:p>
        </w:tc>
        <w:tc>
          <w:tcPr>
            <w:tcW w:w="0" w:type="auto"/>
            <w:gridSpan w:val="3"/>
            <w:shd w:val="clear" w:color="auto" w:fill="auto"/>
            <w:vAlign w:val="bottom"/>
          </w:tcPr>
          <w:p w14:paraId="2470DC3F" w14:textId="77777777" w:rsidR="009C6E2F" w:rsidRDefault="009C6E2F">
            <w:pPr>
              <w:rPr>
                <w:rFonts w:ascii="宋体"/>
                <w:vanish/>
              </w:rPr>
            </w:pPr>
          </w:p>
        </w:tc>
        <w:tc>
          <w:tcPr>
            <w:tcW w:w="0" w:type="auto"/>
            <w:gridSpan w:val="3"/>
            <w:shd w:val="clear" w:color="auto" w:fill="auto"/>
            <w:vAlign w:val="bottom"/>
          </w:tcPr>
          <w:p w14:paraId="2470DC40" w14:textId="77777777" w:rsidR="009C6E2F" w:rsidRDefault="009C6E2F">
            <w:pPr>
              <w:rPr>
                <w:rFonts w:ascii="宋体"/>
                <w:vanish/>
              </w:rPr>
            </w:pPr>
          </w:p>
        </w:tc>
      </w:tr>
      <w:tr w:rsidR="009C6E2F" w14:paraId="2470DC51"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42"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C4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4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4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4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47"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C4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4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4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4B" w14:textId="77777777" w:rsidR="009C6E2F" w:rsidRDefault="009C6E2F">
            <w:pPr>
              <w:rPr>
                <w:rFonts w:ascii="宋体"/>
              </w:rPr>
            </w:pPr>
          </w:p>
        </w:tc>
        <w:tc>
          <w:tcPr>
            <w:tcW w:w="0" w:type="auto"/>
            <w:shd w:val="clear" w:color="auto" w:fill="auto"/>
            <w:vAlign w:val="bottom"/>
          </w:tcPr>
          <w:p w14:paraId="2470DC4C" w14:textId="77777777" w:rsidR="009C6E2F" w:rsidRDefault="009C6E2F">
            <w:pPr>
              <w:rPr>
                <w:rFonts w:ascii="宋体"/>
                <w:vanish/>
              </w:rPr>
            </w:pPr>
          </w:p>
        </w:tc>
        <w:tc>
          <w:tcPr>
            <w:tcW w:w="0" w:type="auto"/>
            <w:shd w:val="clear" w:color="auto" w:fill="auto"/>
            <w:vAlign w:val="bottom"/>
          </w:tcPr>
          <w:p w14:paraId="2470DC4D" w14:textId="77777777" w:rsidR="009C6E2F" w:rsidRDefault="009C6E2F">
            <w:pPr>
              <w:rPr>
                <w:rFonts w:ascii="宋体"/>
                <w:vanish/>
              </w:rPr>
            </w:pPr>
          </w:p>
        </w:tc>
        <w:tc>
          <w:tcPr>
            <w:tcW w:w="0" w:type="auto"/>
            <w:gridSpan w:val="3"/>
            <w:shd w:val="clear" w:color="auto" w:fill="auto"/>
            <w:vAlign w:val="bottom"/>
          </w:tcPr>
          <w:p w14:paraId="2470DC4E" w14:textId="77777777" w:rsidR="009C6E2F" w:rsidRDefault="009C6E2F">
            <w:pPr>
              <w:rPr>
                <w:rFonts w:ascii="宋体"/>
                <w:vanish/>
              </w:rPr>
            </w:pPr>
          </w:p>
        </w:tc>
        <w:tc>
          <w:tcPr>
            <w:tcW w:w="0" w:type="auto"/>
            <w:gridSpan w:val="3"/>
            <w:shd w:val="clear" w:color="auto" w:fill="auto"/>
            <w:vAlign w:val="bottom"/>
          </w:tcPr>
          <w:p w14:paraId="2470DC4F" w14:textId="77777777" w:rsidR="009C6E2F" w:rsidRDefault="009C6E2F">
            <w:pPr>
              <w:rPr>
                <w:rFonts w:ascii="宋体"/>
                <w:vanish/>
              </w:rPr>
            </w:pPr>
          </w:p>
        </w:tc>
        <w:tc>
          <w:tcPr>
            <w:tcW w:w="0" w:type="auto"/>
            <w:gridSpan w:val="3"/>
            <w:shd w:val="clear" w:color="auto" w:fill="auto"/>
            <w:vAlign w:val="bottom"/>
          </w:tcPr>
          <w:p w14:paraId="2470DC50" w14:textId="77777777" w:rsidR="009C6E2F" w:rsidRDefault="009C6E2F">
            <w:pPr>
              <w:rPr>
                <w:rFonts w:ascii="宋体"/>
                <w:vanish/>
              </w:rPr>
            </w:pPr>
          </w:p>
        </w:tc>
      </w:tr>
      <w:tr w:rsidR="009C6E2F" w14:paraId="2470DC6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C52"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C5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C54" w14:textId="77777777" w:rsidR="009C6E2F" w:rsidRDefault="007972BE">
            <w:pPr>
              <w:jc w:val="right"/>
              <w:textAlignment w:val="bottom"/>
            </w:pPr>
            <w:r>
              <w:rPr>
                <w:rFonts w:ascii="Arial" w:eastAsia="宋体" w:hAnsi="Arial" w:cs="Arial"/>
                <w:color w:val="000000"/>
                <w:sz w:val="17"/>
                <w:szCs w:val="17"/>
              </w:rPr>
              <w:t>1,235 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55"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C5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C57" w14:textId="77777777" w:rsidR="009C6E2F" w:rsidRDefault="007972BE">
            <w:pPr>
              <w:jc w:val="right"/>
              <w:textAlignment w:val="bottom"/>
            </w:pPr>
            <w:r>
              <w:rPr>
                <w:rFonts w:ascii="Arial" w:eastAsia="宋体" w:hAnsi="Arial" w:cs="Arial"/>
                <w:color w:val="000000"/>
                <w:sz w:val="17"/>
                <w:szCs w:val="17"/>
              </w:rPr>
              <w:t>1,567 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5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59"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5A"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5B" w14:textId="77777777" w:rsidR="009C6E2F" w:rsidRDefault="007972BE">
            <w:pPr>
              <w:jc w:val="right"/>
              <w:textAlignment w:val="bottom"/>
            </w:pPr>
            <w:r>
              <w:rPr>
                <w:rFonts w:ascii="Arial" w:eastAsia="宋体" w:hAnsi="Arial" w:cs="Arial"/>
                <w:color w:val="000000"/>
                <w:sz w:val="17"/>
                <w:szCs w:val="17"/>
              </w:rPr>
              <w:t>-25 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5C"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C5D"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C5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C5F" w14:textId="77777777" w:rsidR="009C6E2F" w:rsidRDefault="007972BE">
            <w:pPr>
              <w:jc w:val="right"/>
              <w:textAlignment w:val="bottom"/>
            </w:pPr>
            <w:r>
              <w:rPr>
                <w:rFonts w:ascii="Arial" w:eastAsia="宋体" w:hAnsi="Arial" w:cs="Arial"/>
                <w:color w:val="000000"/>
                <w:sz w:val="17"/>
                <w:szCs w:val="17"/>
              </w:rPr>
              <w:t>2,684 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60"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C6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C62" w14:textId="77777777" w:rsidR="009C6E2F" w:rsidRDefault="007972BE">
            <w:pPr>
              <w:jc w:val="right"/>
              <w:textAlignment w:val="bottom"/>
            </w:pPr>
            <w:r>
              <w:rPr>
                <w:rFonts w:ascii="Arial" w:eastAsia="宋体" w:hAnsi="Arial" w:cs="Arial"/>
                <w:color w:val="000000"/>
                <w:sz w:val="17"/>
                <w:szCs w:val="17"/>
              </w:rPr>
              <w:t>2,818 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6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64"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6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66"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67"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C68" w14:textId="77777777" w:rsidR="009C6E2F" w:rsidRDefault="009C6E2F">
            <w:pPr>
              <w:rPr>
                <w:rFonts w:ascii="宋体"/>
                <w:vanish/>
              </w:rPr>
            </w:pPr>
          </w:p>
        </w:tc>
        <w:tc>
          <w:tcPr>
            <w:tcW w:w="0" w:type="auto"/>
            <w:shd w:val="clear" w:color="auto" w:fill="auto"/>
            <w:vAlign w:val="bottom"/>
          </w:tcPr>
          <w:p w14:paraId="2470DC69" w14:textId="77777777" w:rsidR="009C6E2F" w:rsidRDefault="009C6E2F">
            <w:pPr>
              <w:rPr>
                <w:rFonts w:ascii="宋体"/>
                <w:vanish/>
              </w:rPr>
            </w:pPr>
          </w:p>
        </w:tc>
        <w:tc>
          <w:tcPr>
            <w:tcW w:w="0" w:type="auto"/>
            <w:gridSpan w:val="3"/>
            <w:shd w:val="clear" w:color="auto" w:fill="auto"/>
            <w:vAlign w:val="bottom"/>
          </w:tcPr>
          <w:p w14:paraId="2470DC6A" w14:textId="77777777" w:rsidR="009C6E2F" w:rsidRDefault="009C6E2F">
            <w:pPr>
              <w:rPr>
                <w:rFonts w:ascii="宋体"/>
                <w:vanish/>
              </w:rPr>
            </w:pPr>
          </w:p>
        </w:tc>
        <w:tc>
          <w:tcPr>
            <w:tcW w:w="0" w:type="auto"/>
            <w:gridSpan w:val="3"/>
            <w:shd w:val="clear" w:color="auto" w:fill="auto"/>
            <w:vAlign w:val="bottom"/>
          </w:tcPr>
          <w:p w14:paraId="2470DC6B" w14:textId="77777777" w:rsidR="009C6E2F" w:rsidRDefault="009C6E2F">
            <w:pPr>
              <w:rPr>
                <w:rFonts w:ascii="宋体"/>
                <w:vanish/>
              </w:rPr>
            </w:pPr>
          </w:p>
        </w:tc>
        <w:tc>
          <w:tcPr>
            <w:tcW w:w="0" w:type="auto"/>
            <w:gridSpan w:val="3"/>
            <w:shd w:val="clear" w:color="auto" w:fill="auto"/>
            <w:vAlign w:val="bottom"/>
          </w:tcPr>
          <w:p w14:paraId="2470DC6C" w14:textId="77777777" w:rsidR="009C6E2F" w:rsidRDefault="009C6E2F">
            <w:pPr>
              <w:rPr>
                <w:rFonts w:ascii="宋体"/>
                <w:vanish/>
              </w:rPr>
            </w:pPr>
          </w:p>
        </w:tc>
      </w:tr>
      <w:tr w:rsidR="009C6E2F" w14:paraId="2470DC8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C6E"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C6F" w14:textId="77777777" w:rsidR="009C6E2F" w:rsidRDefault="007972BE">
            <w:pPr>
              <w:jc w:val="right"/>
              <w:textAlignment w:val="bottom"/>
            </w:pPr>
            <w:r>
              <w:rPr>
                <w:rFonts w:ascii="Arial" w:eastAsia="宋体" w:hAnsi="Arial" w:cs="Arial"/>
                <w:color w:val="000000"/>
                <w:sz w:val="17"/>
                <w:szCs w:val="17"/>
              </w:rPr>
              <w:t>564 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7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71" w14:textId="77777777" w:rsidR="009C6E2F" w:rsidRDefault="007972BE">
            <w:pPr>
              <w:jc w:val="right"/>
              <w:textAlignment w:val="bottom"/>
            </w:pPr>
            <w:r>
              <w:rPr>
                <w:rFonts w:ascii="Arial" w:eastAsia="宋体" w:hAnsi="Arial" w:cs="Arial"/>
                <w:color w:val="000000"/>
                <w:sz w:val="17"/>
                <w:szCs w:val="17"/>
              </w:rPr>
              <w:t>681 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7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73"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74"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75"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76"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C77"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C78" w14:textId="77777777" w:rsidR="009C6E2F" w:rsidRDefault="007972BE">
            <w:pPr>
              <w:jc w:val="right"/>
              <w:textAlignment w:val="bottom"/>
            </w:pPr>
            <w:r>
              <w:rPr>
                <w:rFonts w:ascii="Arial" w:eastAsia="宋体" w:hAnsi="Arial" w:cs="Arial"/>
                <w:color w:val="000000"/>
                <w:sz w:val="17"/>
                <w:szCs w:val="17"/>
              </w:rPr>
              <w:t>1,040 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7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7A" w14:textId="77777777" w:rsidR="009C6E2F" w:rsidRDefault="007972BE">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7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7C"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7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7E"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7F"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C80" w14:textId="77777777" w:rsidR="009C6E2F" w:rsidRDefault="009C6E2F">
            <w:pPr>
              <w:rPr>
                <w:rFonts w:ascii="宋体"/>
                <w:vanish/>
              </w:rPr>
            </w:pPr>
          </w:p>
        </w:tc>
        <w:tc>
          <w:tcPr>
            <w:tcW w:w="0" w:type="auto"/>
            <w:shd w:val="clear" w:color="auto" w:fill="auto"/>
            <w:vAlign w:val="bottom"/>
          </w:tcPr>
          <w:p w14:paraId="2470DC81" w14:textId="77777777" w:rsidR="009C6E2F" w:rsidRDefault="009C6E2F">
            <w:pPr>
              <w:rPr>
                <w:rFonts w:ascii="宋体"/>
                <w:vanish/>
              </w:rPr>
            </w:pPr>
          </w:p>
        </w:tc>
        <w:tc>
          <w:tcPr>
            <w:tcW w:w="0" w:type="auto"/>
            <w:gridSpan w:val="3"/>
            <w:shd w:val="clear" w:color="auto" w:fill="auto"/>
            <w:vAlign w:val="bottom"/>
          </w:tcPr>
          <w:p w14:paraId="2470DC82" w14:textId="77777777" w:rsidR="009C6E2F" w:rsidRDefault="009C6E2F">
            <w:pPr>
              <w:rPr>
                <w:rFonts w:ascii="宋体"/>
                <w:vanish/>
              </w:rPr>
            </w:pPr>
          </w:p>
        </w:tc>
        <w:tc>
          <w:tcPr>
            <w:tcW w:w="0" w:type="auto"/>
            <w:gridSpan w:val="3"/>
            <w:shd w:val="clear" w:color="auto" w:fill="auto"/>
            <w:vAlign w:val="bottom"/>
          </w:tcPr>
          <w:p w14:paraId="2470DC83" w14:textId="77777777" w:rsidR="009C6E2F" w:rsidRDefault="009C6E2F">
            <w:pPr>
              <w:rPr>
                <w:rFonts w:ascii="宋体"/>
                <w:vanish/>
              </w:rPr>
            </w:pPr>
          </w:p>
        </w:tc>
        <w:tc>
          <w:tcPr>
            <w:tcW w:w="0" w:type="auto"/>
            <w:gridSpan w:val="3"/>
            <w:shd w:val="clear" w:color="auto" w:fill="auto"/>
            <w:vAlign w:val="bottom"/>
          </w:tcPr>
          <w:p w14:paraId="2470DC84" w14:textId="77777777" w:rsidR="009C6E2F" w:rsidRDefault="009C6E2F">
            <w:pPr>
              <w:rPr>
                <w:rFonts w:ascii="宋体"/>
                <w:vanish/>
              </w:rPr>
            </w:pPr>
          </w:p>
        </w:tc>
      </w:tr>
      <w:tr w:rsidR="009C6E2F" w14:paraId="2470DC9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C86"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C87" w14:textId="77777777" w:rsidR="009C6E2F" w:rsidRDefault="007972BE">
            <w:pPr>
              <w:jc w:val="right"/>
              <w:textAlignment w:val="bottom"/>
            </w:pPr>
            <w:r>
              <w:rPr>
                <w:rFonts w:ascii="Arial" w:eastAsia="宋体" w:hAnsi="Arial" w:cs="Arial"/>
                <w:color w:val="000000"/>
                <w:sz w:val="17"/>
                <w:szCs w:val="17"/>
              </w:rPr>
              <w:t>45 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8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89" w14:textId="77777777" w:rsidR="009C6E2F" w:rsidRDefault="007972BE">
            <w:pPr>
              <w:jc w:val="right"/>
              <w:textAlignment w:val="bottom"/>
            </w:pPr>
            <w:r>
              <w:rPr>
                <w:rFonts w:ascii="Arial" w:eastAsia="宋体" w:hAnsi="Arial" w:cs="Arial"/>
                <w:color w:val="000000"/>
                <w:sz w:val="17"/>
                <w:szCs w:val="17"/>
              </w:rPr>
              <w:t>50 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8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8B"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8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8D"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8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C8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C90" w14:textId="77777777" w:rsidR="009C6E2F" w:rsidRDefault="007972BE">
            <w:pPr>
              <w:jc w:val="right"/>
              <w:textAlignment w:val="bottom"/>
            </w:pPr>
            <w:r>
              <w:rPr>
                <w:rFonts w:ascii="Arial" w:eastAsia="宋体" w:hAnsi="Arial" w:cs="Arial"/>
                <w:color w:val="000000"/>
                <w:sz w:val="17"/>
                <w:szCs w:val="17"/>
              </w:rPr>
              <w:t>102 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9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92" w14:textId="77777777" w:rsidR="009C6E2F" w:rsidRDefault="007972BE">
            <w:pPr>
              <w:jc w:val="right"/>
              <w:textAlignment w:val="bottom"/>
            </w:pPr>
            <w:r>
              <w:rPr>
                <w:rFonts w:ascii="Arial" w:eastAsia="宋体" w:hAnsi="Arial" w:cs="Arial"/>
                <w:color w:val="000000"/>
                <w:sz w:val="17"/>
                <w:szCs w:val="17"/>
              </w:rPr>
              <w:t>101 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9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94" w14:textId="77777777" w:rsidR="009C6E2F" w:rsidRDefault="007972BE">
            <w:pPr>
              <w:jc w:val="right"/>
              <w:textAlignment w:val="bottom"/>
            </w:pPr>
            <w:r>
              <w:rPr>
                <w:rFonts w:ascii="Arial" w:eastAsia="宋体" w:hAnsi="Arial" w:cs="Arial"/>
                <w:color w:val="000000"/>
                <w:sz w:val="17"/>
                <w:szCs w:val="17"/>
              </w:rPr>
              <w:t>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9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96" w14:textId="77777777" w:rsidR="009C6E2F" w:rsidRDefault="007972BE">
            <w:pPr>
              <w:jc w:val="right"/>
              <w:textAlignment w:val="bottom"/>
            </w:pPr>
            <w:r>
              <w:rPr>
                <w:rFonts w:ascii="Arial" w:eastAsia="宋体" w:hAnsi="Arial" w:cs="Arial"/>
                <w:color w:val="000000"/>
                <w:sz w:val="17"/>
                <w:szCs w:val="17"/>
              </w:rPr>
              <w:t>-</w:t>
            </w: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97"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C98" w14:textId="77777777" w:rsidR="009C6E2F" w:rsidRDefault="009C6E2F">
            <w:pPr>
              <w:rPr>
                <w:rFonts w:ascii="宋体"/>
                <w:vanish/>
              </w:rPr>
            </w:pPr>
          </w:p>
        </w:tc>
        <w:tc>
          <w:tcPr>
            <w:tcW w:w="0" w:type="auto"/>
            <w:shd w:val="clear" w:color="auto" w:fill="auto"/>
            <w:vAlign w:val="bottom"/>
          </w:tcPr>
          <w:p w14:paraId="2470DC99" w14:textId="77777777" w:rsidR="009C6E2F" w:rsidRDefault="009C6E2F">
            <w:pPr>
              <w:rPr>
                <w:rFonts w:ascii="宋体"/>
                <w:vanish/>
              </w:rPr>
            </w:pPr>
          </w:p>
        </w:tc>
        <w:tc>
          <w:tcPr>
            <w:tcW w:w="0" w:type="auto"/>
            <w:gridSpan w:val="3"/>
            <w:shd w:val="clear" w:color="auto" w:fill="auto"/>
            <w:vAlign w:val="bottom"/>
          </w:tcPr>
          <w:p w14:paraId="2470DC9A" w14:textId="77777777" w:rsidR="009C6E2F" w:rsidRDefault="009C6E2F">
            <w:pPr>
              <w:rPr>
                <w:rFonts w:ascii="宋体"/>
                <w:vanish/>
              </w:rPr>
            </w:pPr>
          </w:p>
        </w:tc>
        <w:tc>
          <w:tcPr>
            <w:tcW w:w="0" w:type="auto"/>
            <w:gridSpan w:val="3"/>
            <w:shd w:val="clear" w:color="auto" w:fill="auto"/>
            <w:vAlign w:val="bottom"/>
          </w:tcPr>
          <w:p w14:paraId="2470DC9B" w14:textId="77777777" w:rsidR="009C6E2F" w:rsidRDefault="009C6E2F">
            <w:pPr>
              <w:rPr>
                <w:rFonts w:ascii="宋体"/>
                <w:vanish/>
              </w:rPr>
            </w:pPr>
          </w:p>
        </w:tc>
        <w:tc>
          <w:tcPr>
            <w:tcW w:w="0" w:type="auto"/>
            <w:gridSpan w:val="3"/>
            <w:shd w:val="clear" w:color="auto" w:fill="auto"/>
            <w:vAlign w:val="bottom"/>
          </w:tcPr>
          <w:p w14:paraId="2470DC9C" w14:textId="77777777" w:rsidR="009C6E2F" w:rsidRDefault="009C6E2F">
            <w:pPr>
              <w:rPr>
                <w:rFonts w:ascii="宋体"/>
                <w:vanish/>
              </w:rPr>
            </w:pPr>
          </w:p>
        </w:tc>
      </w:tr>
      <w:tr w:rsidR="009C6E2F" w14:paraId="2470DCB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9E"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C9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CA0" w14:textId="77777777" w:rsidR="009C6E2F" w:rsidRDefault="007972BE">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CA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CA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CA3" w14:textId="77777777" w:rsidR="009C6E2F" w:rsidRDefault="007972BE">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CA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CA5" w14:textId="77777777" w:rsidR="009C6E2F" w:rsidRDefault="007972BE">
            <w:pPr>
              <w:jc w:val="right"/>
              <w:textAlignment w:val="bottom"/>
            </w:pPr>
            <w:r>
              <w:rPr>
                <w:rFonts w:ascii="Arial" w:eastAsia="宋体" w:hAnsi="Arial" w:cs="Arial"/>
                <w:b/>
                <w:bCs/>
                <w:color w:val="000000"/>
                <w:sz w:val="17"/>
                <w:szCs w:val="17"/>
              </w:rPr>
              <w:t>-20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CA6"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CA7" w14:textId="77777777" w:rsidR="009C6E2F" w:rsidRDefault="007972BE">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CA8"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A9"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CA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CAB" w14:textId="77777777" w:rsidR="009C6E2F" w:rsidRDefault="007972BE">
            <w:pPr>
              <w:jc w:val="right"/>
              <w:textAlignment w:val="bottom"/>
            </w:pPr>
            <w:r>
              <w:rPr>
                <w:rFonts w:ascii="Arial" w:eastAsia="宋体" w:hAnsi="Arial" w:cs="Arial"/>
                <w:b/>
                <w:bCs/>
                <w:color w:val="000000"/>
                <w:sz w:val="17"/>
                <w:szCs w:val="17"/>
              </w:rPr>
              <w:t>3,826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CA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CA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CAE" w14:textId="77777777" w:rsidR="009C6E2F" w:rsidRDefault="007972BE">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CA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CB0"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CB1"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CB2" w14:textId="77777777" w:rsidR="009C6E2F" w:rsidRDefault="007972BE">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CB3"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CB4" w14:textId="77777777" w:rsidR="009C6E2F" w:rsidRDefault="009C6E2F">
            <w:pPr>
              <w:rPr>
                <w:rFonts w:ascii="宋体"/>
                <w:vanish/>
              </w:rPr>
            </w:pPr>
          </w:p>
        </w:tc>
        <w:tc>
          <w:tcPr>
            <w:tcW w:w="0" w:type="auto"/>
            <w:shd w:val="clear" w:color="auto" w:fill="auto"/>
            <w:vAlign w:val="bottom"/>
          </w:tcPr>
          <w:p w14:paraId="2470DCB5" w14:textId="77777777" w:rsidR="009C6E2F" w:rsidRDefault="009C6E2F">
            <w:pPr>
              <w:rPr>
                <w:rFonts w:ascii="宋体"/>
                <w:vanish/>
              </w:rPr>
            </w:pPr>
          </w:p>
        </w:tc>
        <w:tc>
          <w:tcPr>
            <w:tcW w:w="0" w:type="auto"/>
            <w:gridSpan w:val="3"/>
            <w:shd w:val="clear" w:color="auto" w:fill="auto"/>
            <w:vAlign w:val="bottom"/>
          </w:tcPr>
          <w:p w14:paraId="2470DCB6" w14:textId="77777777" w:rsidR="009C6E2F" w:rsidRDefault="009C6E2F">
            <w:pPr>
              <w:rPr>
                <w:rFonts w:ascii="宋体"/>
                <w:vanish/>
              </w:rPr>
            </w:pPr>
          </w:p>
        </w:tc>
        <w:tc>
          <w:tcPr>
            <w:tcW w:w="0" w:type="auto"/>
            <w:gridSpan w:val="3"/>
            <w:shd w:val="clear" w:color="auto" w:fill="auto"/>
            <w:vAlign w:val="bottom"/>
          </w:tcPr>
          <w:p w14:paraId="2470DCB7" w14:textId="77777777" w:rsidR="009C6E2F" w:rsidRDefault="009C6E2F">
            <w:pPr>
              <w:rPr>
                <w:rFonts w:ascii="宋体"/>
                <w:vanish/>
              </w:rPr>
            </w:pPr>
          </w:p>
        </w:tc>
        <w:tc>
          <w:tcPr>
            <w:tcW w:w="0" w:type="auto"/>
            <w:gridSpan w:val="3"/>
            <w:shd w:val="clear" w:color="auto" w:fill="auto"/>
            <w:vAlign w:val="bottom"/>
          </w:tcPr>
          <w:p w14:paraId="2470DCB8" w14:textId="77777777" w:rsidR="009C6E2F" w:rsidRDefault="009C6E2F">
            <w:pPr>
              <w:rPr>
                <w:rFonts w:ascii="宋体"/>
                <w:vanish/>
              </w:rPr>
            </w:pPr>
          </w:p>
        </w:tc>
      </w:tr>
      <w:tr w:rsidR="009C6E2F" w14:paraId="2470DCC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BA"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CB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B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B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B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BF"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CC0"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C1"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C2"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CC3" w14:textId="77777777" w:rsidR="009C6E2F" w:rsidRDefault="009C6E2F">
            <w:pPr>
              <w:rPr>
                <w:rFonts w:ascii="宋体"/>
              </w:rPr>
            </w:pPr>
          </w:p>
        </w:tc>
        <w:tc>
          <w:tcPr>
            <w:tcW w:w="0" w:type="auto"/>
            <w:shd w:val="clear" w:color="auto" w:fill="auto"/>
            <w:vAlign w:val="bottom"/>
          </w:tcPr>
          <w:p w14:paraId="2470DCC4" w14:textId="77777777" w:rsidR="009C6E2F" w:rsidRDefault="009C6E2F">
            <w:pPr>
              <w:rPr>
                <w:rFonts w:ascii="宋体"/>
                <w:vanish/>
              </w:rPr>
            </w:pPr>
          </w:p>
        </w:tc>
        <w:tc>
          <w:tcPr>
            <w:tcW w:w="0" w:type="auto"/>
            <w:shd w:val="clear" w:color="auto" w:fill="auto"/>
            <w:vAlign w:val="bottom"/>
          </w:tcPr>
          <w:p w14:paraId="2470DCC5" w14:textId="77777777" w:rsidR="009C6E2F" w:rsidRDefault="009C6E2F">
            <w:pPr>
              <w:rPr>
                <w:rFonts w:ascii="宋体"/>
                <w:vanish/>
              </w:rPr>
            </w:pPr>
          </w:p>
        </w:tc>
        <w:tc>
          <w:tcPr>
            <w:tcW w:w="0" w:type="auto"/>
            <w:gridSpan w:val="3"/>
            <w:shd w:val="clear" w:color="auto" w:fill="auto"/>
            <w:vAlign w:val="bottom"/>
          </w:tcPr>
          <w:p w14:paraId="2470DCC6" w14:textId="77777777" w:rsidR="009C6E2F" w:rsidRDefault="009C6E2F">
            <w:pPr>
              <w:rPr>
                <w:rFonts w:ascii="宋体"/>
                <w:vanish/>
              </w:rPr>
            </w:pPr>
          </w:p>
        </w:tc>
        <w:tc>
          <w:tcPr>
            <w:tcW w:w="0" w:type="auto"/>
            <w:gridSpan w:val="3"/>
            <w:shd w:val="clear" w:color="auto" w:fill="auto"/>
            <w:vAlign w:val="bottom"/>
          </w:tcPr>
          <w:p w14:paraId="2470DCC7" w14:textId="77777777" w:rsidR="009C6E2F" w:rsidRDefault="009C6E2F">
            <w:pPr>
              <w:rPr>
                <w:rFonts w:ascii="宋体"/>
                <w:vanish/>
              </w:rPr>
            </w:pPr>
          </w:p>
        </w:tc>
        <w:tc>
          <w:tcPr>
            <w:tcW w:w="0" w:type="auto"/>
            <w:gridSpan w:val="3"/>
            <w:shd w:val="clear" w:color="auto" w:fill="auto"/>
            <w:vAlign w:val="bottom"/>
          </w:tcPr>
          <w:p w14:paraId="2470DCC8" w14:textId="77777777" w:rsidR="009C6E2F" w:rsidRDefault="009C6E2F">
            <w:pPr>
              <w:rPr>
                <w:rFonts w:ascii="宋体"/>
                <w:vanish/>
              </w:rPr>
            </w:pPr>
          </w:p>
        </w:tc>
      </w:tr>
      <w:tr w:rsidR="009C6E2F" w14:paraId="2470DCE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CCA"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CC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CCC" w14:textId="77777777" w:rsidR="009C6E2F" w:rsidRDefault="007972BE">
            <w:pPr>
              <w:jc w:val="right"/>
              <w:textAlignment w:val="bottom"/>
            </w:pPr>
            <w:r>
              <w:rPr>
                <w:rFonts w:ascii="Arial" w:eastAsia="宋体" w:hAnsi="Arial" w:cs="Arial"/>
                <w:color w:val="000000"/>
                <w:sz w:val="17"/>
                <w:szCs w:val="17"/>
              </w:rPr>
              <w:t>896 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CD"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CC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CCF" w14:textId="77777777" w:rsidR="009C6E2F" w:rsidRDefault="007972BE">
            <w:pPr>
              <w:jc w:val="right"/>
              <w:textAlignment w:val="bottom"/>
            </w:pPr>
            <w:r>
              <w:rPr>
                <w:rFonts w:ascii="Arial" w:eastAsia="宋体" w:hAnsi="Arial" w:cs="Arial"/>
                <w:color w:val="000000"/>
                <w:sz w:val="17"/>
                <w:szCs w:val="17"/>
              </w:rPr>
              <w:t>1,159 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D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D1" w14:textId="77777777" w:rsidR="009C6E2F" w:rsidRDefault="007972BE">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D2"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D3" w14:textId="77777777" w:rsidR="009C6E2F" w:rsidRDefault="007972BE">
            <w:pPr>
              <w:jc w:val="right"/>
              <w:textAlignment w:val="bottom"/>
            </w:pPr>
            <w:r>
              <w:rPr>
                <w:rFonts w:ascii="Arial" w:eastAsia="宋体" w:hAnsi="Arial" w:cs="Arial"/>
                <w:color w:val="000000"/>
                <w:sz w:val="17"/>
                <w:szCs w:val="17"/>
              </w:rPr>
              <w:t>-27 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D4"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CD5"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CD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CD7" w14:textId="77777777" w:rsidR="009C6E2F" w:rsidRDefault="007972BE">
            <w:pPr>
              <w:jc w:val="right"/>
              <w:textAlignment w:val="bottom"/>
            </w:pPr>
            <w:r>
              <w:rPr>
                <w:rFonts w:ascii="Arial" w:eastAsia="宋体" w:hAnsi="Arial" w:cs="Arial"/>
                <w:color w:val="000000"/>
                <w:sz w:val="17"/>
                <w:szCs w:val="17"/>
              </w:rPr>
              <w:t>2,010 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D8"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CD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CDA" w14:textId="77777777" w:rsidR="009C6E2F" w:rsidRDefault="007972BE">
            <w:pPr>
              <w:jc w:val="right"/>
              <w:textAlignment w:val="bottom"/>
            </w:pPr>
            <w:r>
              <w:rPr>
                <w:rFonts w:ascii="Arial" w:eastAsia="宋体" w:hAnsi="Arial" w:cs="Arial"/>
                <w:color w:val="000000"/>
                <w:sz w:val="17"/>
                <w:szCs w:val="17"/>
              </w:rPr>
              <w:t>2,123 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D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DC"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D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DE"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DF"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CE0" w14:textId="77777777" w:rsidR="009C6E2F" w:rsidRDefault="009C6E2F">
            <w:pPr>
              <w:rPr>
                <w:rFonts w:ascii="宋体"/>
                <w:vanish/>
              </w:rPr>
            </w:pPr>
          </w:p>
        </w:tc>
        <w:tc>
          <w:tcPr>
            <w:tcW w:w="0" w:type="auto"/>
            <w:shd w:val="clear" w:color="auto" w:fill="auto"/>
            <w:vAlign w:val="bottom"/>
          </w:tcPr>
          <w:p w14:paraId="2470DCE1" w14:textId="77777777" w:rsidR="009C6E2F" w:rsidRDefault="009C6E2F">
            <w:pPr>
              <w:rPr>
                <w:rFonts w:ascii="宋体"/>
                <w:vanish/>
              </w:rPr>
            </w:pPr>
          </w:p>
        </w:tc>
        <w:tc>
          <w:tcPr>
            <w:tcW w:w="0" w:type="auto"/>
            <w:gridSpan w:val="3"/>
            <w:shd w:val="clear" w:color="auto" w:fill="auto"/>
            <w:vAlign w:val="bottom"/>
          </w:tcPr>
          <w:p w14:paraId="2470DCE2" w14:textId="77777777" w:rsidR="009C6E2F" w:rsidRDefault="009C6E2F">
            <w:pPr>
              <w:rPr>
                <w:rFonts w:ascii="宋体"/>
                <w:vanish/>
              </w:rPr>
            </w:pPr>
          </w:p>
        </w:tc>
        <w:tc>
          <w:tcPr>
            <w:tcW w:w="0" w:type="auto"/>
            <w:gridSpan w:val="3"/>
            <w:shd w:val="clear" w:color="auto" w:fill="auto"/>
            <w:vAlign w:val="bottom"/>
          </w:tcPr>
          <w:p w14:paraId="2470DCE3" w14:textId="77777777" w:rsidR="009C6E2F" w:rsidRDefault="009C6E2F">
            <w:pPr>
              <w:rPr>
                <w:rFonts w:ascii="宋体"/>
                <w:vanish/>
              </w:rPr>
            </w:pPr>
          </w:p>
        </w:tc>
        <w:tc>
          <w:tcPr>
            <w:tcW w:w="0" w:type="auto"/>
            <w:gridSpan w:val="3"/>
            <w:shd w:val="clear" w:color="auto" w:fill="auto"/>
            <w:vAlign w:val="bottom"/>
          </w:tcPr>
          <w:p w14:paraId="2470DCE4" w14:textId="77777777" w:rsidR="009C6E2F" w:rsidRDefault="009C6E2F">
            <w:pPr>
              <w:rPr>
                <w:rFonts w:ascii="宋体"/>
                <w:vanish/>
              </w:rPr>
            </w:pPr>
          </w:p>
        </w:tc>
      </w:tr>
      <w:tr w:rsidR="009C6E2F" w14:paraId="2470DCFD"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CE6" w14:textId="77777777" w:rsidR="009C6E2F" w:rsidRDefault="007972BE">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CE7" w14:textId="77777777" w:rsidR="009C6E2F" w:rsidRDefault="007972BE">
            <w:pPr>
              <w:jc w:val="right"/>
              <w:textAlignment w:val="bottom"/>
            </w:pPr>
            <w:r>
              <w:rPr>
                <w:rFonts w:ascii="Arial" w:eastAsia="宋体" w:hAnsi="Arial" w:cs="Arial"/>
                <w:color w:val="000000"/>
                <w:sz w:val="17"/>
                <w:szCs w:val="17"/>
              </w:rPr>
              <w:t>948 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E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E9" w14:textId="77777777" w:rsidR="009C6E2F" w:rsidRDefault="007972BE">
            <w:pPr>
              <w:jc w:val="right"/>
              <w:textAlignment w:val="bottom"/>
            </w:pPr>
            <w:r>
              <w:rPr>
                <w:rFonts w:ascii="Arial" w:eastAsia="宋体" w:hAnsi="Arial" w:cs="Arial"/>
                <w:color w:val="000000"/>
                <w:sz w:val="17"/>
                <w:szCs w:val="17"/>
              </w:rPr>
              <w:t>1,139 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E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EB"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E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ED"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E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CE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CF0" w14:textId="77777777" w:rsidR="009C6E2F" w:rsidRDefault="007972BE">
            <w:pPr>
              <w:jc w:val="right"/>
              <w:textAlignment w:val="bottom"/>
            </w:pPr>
            <w:r>
              <w:rPr>
                <w:rFonts w:ascii="Arial" w:eastAsia="宋体" w:hAnsi="Arial" w:cs="Arial"/>
                <w:color w:val="000000"/>
                <w:sz w:val="17"/>
                <w:szCs w:val="17"/>
              </w:rPr>
              <w:t>1,816 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CF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F2" w14:textId="77777777" w:rsidR="009C6E2F" w:rsidRDefault="007972BE">
            <w:pPr>
              <w:jc w:val="right"/>
              <w:textAlignment w:val="bottom"/>
            </w:pPr>
            <w:r>
              <w:rPr>
                <w:rFonts w:ascii="Arial" w:eastAsia="宋体" w:hAnsi="Arial" w:cs="Arial"/>
                <w:color w:val="000000"/>
                <w:sz w:val="17"/>
                <w:szCs w:val="17"/>
              </w:rPr>
              <w:t>1,955 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F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F4"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F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CF6"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CF7"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CF8" w14:textId="77777777" w:rsidR="009C6E2F" w:rsidRDefault="009C6E2F">
            <w:pPr>
              <w:rPr>
                <w:rFonts w:ascii="宋体"/>
                <w:vanish/>
              </w:rPr>
            </w:pPr>
          </w:p>
        </w:tc>
        <w:tc>
          <w:tcPr>
            <w:tcW w:w="0" w:type="auto"/>
            <w:shd w:val="clear" w:color="auto" w:fill="auto"/>
            <w:vAlign w:val="bottom"/>
          </w:tcPr>
          <w:p w14:paraId="2470DCF9" w14:textId="77777777" w:rsidR="009C6E2F" w:rsidRDefault="009C6E2F">
            <w:pPr>
              <w:rPr>
                <w:rFonts w:ascii="宋体"/>
                <w:vanish/>
              </w:rPr>
            </w:pPr>
          </w:p>
        </w:tc>
        <w:tc>
          <w:tcPr>
            <w:tcW w:w="0" w:type="auto"/>
            <w:gridSpan w:val="3"/>
            <w:shd w:val="clear" w:color="auto" w:fill="auto"/>
            <w:vAlign w:val="bottom"/>
          </w:tcPr>
          <w:p w14:paraId="2470DCFA" w14:textId="77777777" w:rsidR="009C6E2F" w:rsidRDefault="009C6E2F">
            <w:pPr>
              <w:rPr>
                <w:rFonts w:ascii="宋体"/>
                <w:vanish/>
              </w:rPr>
            </w:pPr>
          </w:p>
        </w:tc>
        <w:tc>
          <w:tcPr>
            <w:tcW w:w="0" w:type="auto"/>
            <w:gridSpan w:val="3"/>
            <w:shd w:val="clear" w:color="auto" w:fill="auto"/>
            <w:vAlign w:val="bottom"/>
          </w:tcPr>
          <w:p w14:paraId="2470DCFB" w14:textId="77777777" w:rsidR="009C6E2F" w:rsidRDefault="009C6E2F">
            <w:pPr>
              <w:rPr>
                <w:rFonts w:ascii="宋体"/>
                <w:vanish/>
              </w:rPr>
            </w:pPr>
          </w:p>
        </w:tc>
        <w:tc>
          <w:tcPr>
            <w:tcW w:w="0" w:type="auto"/>
            <w:gridSpan w:val="3"/>
            <w:shd w:val="clear" w:color="auto" w:fill="auto"/>
            <w:vAlign w:val="bottom"/>
          </w:tcPr>
          <w:p w14:paraId="2470DCFC" w14:textId="77777777" w:rsidR="009C6E2F" w:rsidRDefault="009C6E2F">
            <w:pPr>
              <w:rPr>
                <w:rFonts w:ascii="宋体"/>
                <w:vanish/>
              </w:rPr>
            </w:pPr>
          </w:p>
        </w:tc>
      </w:tr>
      <w:tr w:rsidR="009C6E2F" w14:paraId="2470DD19"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CFE"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CFF"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D00" w14:textId="77777777" w:rsidR="009C6E2F" w:rsidRDefault="007972BE">
            <w:pPr>
              <w:jc w:val="right"/>
              <w:textAlignment w:val="bottom"/>
            </w:pPr>
            <w:r>
              <w:rPr>
                <w:rFonts w:ascii="Arial" w:eastAsia="宋体" w:hAnsi="Arial" w:cs="Arial"/>
                <w:b/>
                <w:bCs/>
                <w:color w:val="000000"/>
                <w:sz w:val="17"/>
                <w:szCs w:val="17"/>
              </w:rPr>
              <w:t>1,844</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D0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D02"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D03" w14:textId="77777777" w:rsidR="009C6E2F" w:rsidRDefault="007972BE">
            <w:pPr>
              <w:jc w:val="right"/>
              <w:textAlignment w:val="bottom"/>
            </w:pPr>
            <w:r>
              <w:rPr>
                <w:rFonts w:ascii="Arial" w:eastAsia="宋体" w:hAnsi="Arial" w:cs="Arial"/>
                <w:b/>
                <w:bCs/>
                <w:color w:val="000000"/>
                <w:sz w:val="17"/>
                <w:szCs w:val="17"/>
              </w:rPr>
              <w:t>2,298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0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05" w14:textId="77777777" w:rsidR="009C6E2F" w:rsidRDefault="007972BE">
            <w:pPr>
              <w:jc w:val="right"/>
              <w:textAlignment w:val="bottom"/>
            </w:pPr>
            <w:r>
              <w:rPr>
                <w:rFonts w:ascii="Arial" w:eastAsia="宋体" w:hAnsi="Arial" w:cs="Arial"/>
                <w:b/>
                <w:bCs/>
                <w:color w:val="000000"/>
                <w:sz w:val="17"/>
                <w:szCs w:val="17"/>
              </w:rPr>
              <w:t>-20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06"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07" w14:textId="77777777" w:rsidR="009C6E2F" w:rsidRDefault="007972BE">
            <w:pPr>
              <w:jc w:val="right"/>
              <w:textAlignment w:val="bottom"/>
            </w:pPr>
            <w:r>
              <w:rPr>
                <w:rFonts w:ascii="Arial" w:eastAsia="宋体" w:hAnsi="Arial" w:cs="Arial"/>
                <w:b/>
                <w:bCs/>
                <w:color w:val="000000"/>
                <w:sz w:val="17"/>
                <w:szCs w:val="17"/>
              </w:rPr>
              <w:t>-24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08"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09"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D0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D0B" w14:textId="77777777" w:rsidR="009C6E2F" w:rsidRDefault="007972BE">
            <w:pPr>
              <w:jc w:val="right"/>
              <w:textAlignment w:val="bottom"/>
            </w:pPr>
            <w:r>
              <w:rPr>
                <w:rFonts w:ascii="Arial" w:eastAsia="宋体" w:hAnsi="Arial" w:cs="Arial"/>
                <w:b/>
                <w:bCs/>
                <w:color w:val="000000"/>
                <w:sz w:val="17"/>
                <w:szCs w:val="17"/>
              </w:rPr>
              <w:t>3</w:t>
            </w:r>
            <w:r>
              <w:rPr>
                <w:rFonts w:ascii="Arial" w:eastAsia="宋体" w:hAnsi="Arial" w:cs="Arial"/>
                <w:b/>
                <w:bCs/>
                <w:color w:val="000000"/>
                <w:sz w:val="17"/>
                <w:szCs w:val="17"/>
              </w:rPr>
              <w:t>,826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D0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D0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D0E" w14:textId="77777777" w:rsidR="009C6E2F" w:rsidRDefault="007972BE">
            <w:pPr>
              <w:jc w:val="right"/>
              <w:textAlignment w:val="bottom"/>
            </w:pPr>
            <w:r>
              <w:rPr>
                <w:rFonts w:ascii="Arial" w:eastAsia="宋体" w:hAnsi="Arial" w:cs="Arial"/>
                <w:b/>
                <w:bCs/>
                <w:color w:val="000000"/>
                <w:sz w:val="17"/>
                <w:szCs w:val="17"/>
              </w:rPr>
              <w:t>4,078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0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10"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11"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12" w14:textId="77777777" w:rsidR="009C6E2F" w:rsidRDefault="007972BE">
            <w:pPr>
              <w:jc w:val="right"/>
              <w:textAlignment w:val="bottom"/>
            </w:pPr>
            <w:r>
              <w:rPr>
                <w:rFonts w:ascii="Arial" w:eastAsia="宋体" w:hAnsi="Arial" w:cs="Arial"/>
                <w:b/>
                <w:bCs/>
                <w:color w:val="000000"/>
                <w:sz w:val="17"/>
                <w:szCs w:val="17"/>
              </w:rPr>
              <w:t>-13</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13"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D14" w14:textId="77777777" w:rsidR="009C6E2F" w:rsidRDefault="009C6E2F">
            <w:pPr>
              <w:rPr>
                <w:rFonts w:ascii="宋体"/>
                <w:vanish/>
              </w:rPr>
            </w:pPr>
          </w:p>
        </w:tc>
        <w:tc>
          <w:tcPr>
            <w:tcW w:w="0" w:type="auto"/>
            <w:shd w:val="clear" w:color="auto" w:fill="auto"/>
            <w:vAlign w:val="bottom"/>
          </w:tcPr>
          <w:p w14:paraId="2470DD15" w14:textId="77777777" w:rsidR="009C6E2F" w:rsidRDefault="009C6E2F">
            <w:pPr>
              <w:rPr>
                <w:rFonts w:ascii="宋体"/>
                <w:vanish/>
              </w:rPr>
            </w:pPr>
          </w:p>
        </w:tc>
        <w:tc>
          <w:tcPr>
            <w:tcW w:w="0" w:type="auto"/>
            <w:gridSpan w:val="3"/>
            <w:shd w:val="clear" w:color="auto" w:fill="auto"/>
            <w:vAlign w:val="bottom"/>
          </w:tcPr>
          <w:p w14:paraId="2470DD16" w14:textId="77777777" w:rsidR="009C6E2F" w:rsidRDefault="009C6E2F">
            <w:pPr>
              <w:rPr>
                <w:rFonts w:ascii="宋体"/>
                <w:vanish/>
              </w:rPr>
            </w:pPr>
          </w:p>
        </w:tc>
        <w:tc>
          <w:tcPr>
            <w:tcW w:w="0" w:type="auto"/>
            <w:gridSpan w:val="3"/>
            <w:shd w:val="clear" w:color="auto" w:fill="auto"/>
            <w:vAlign w:val="bottom"/>
          </w:tcPr>
          <w:p w14:paraId="2470DD17" w14:textId="77777777" w:rsidR="009C6E2F" w:rsidRDefault="009C6E2F">
            <w:pPr>
              <w:rPr>
                <w:rFonts w:ascii="宋体"/>
                <w:vanish/>
              </w:rPr>
            </w:pPr>
          </w:p>
        </w:tc>
        <w:tc>
          <w:tcPr>
            <w:tcW w:w="0" w:type="auto"/>
            <w:gridSpan w:val="3"/>
            <w:shd w:val="clear" w:color="auto" w:fill="auto"/>
            <w:vAlign w:val="bottom"/>
          </w:tcPr>
          <w:p w14:paraId="2470DD18" w14:textId="77777777" w:rsidR="009C6E2F" w:rsidRDefault="009C6E2F">
            <w:pPr>
              <w:rPr>
                <w:rFonts w:ascii="宋体"/>
                <w:vanish/>
              </w:rPr>
            </w:pPr>
          </w:p>
        </w:tc>
      </w:tr>
      <w:tr w:rsidR="009C6E2F" w14:paraId="2470DD33"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D1A" w14:textId="77777777" w:rsidR="009C6E2F" w:rsidRDefault="007972BE">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D1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D1C" w14:textId="77777777" w:rsidR="009C6E2F" w:rsidRDefault="007972BE">
            <w:pPr>
              <w:jc w:val="right"/>
              <w:textAlignment w:val="bottom"/>
            </w:pPr>
            <w:r>
              <w:rPr>
                <w:rFonts w:ascii="Arial" w:eastAsia="宋体" w:hAnsi="Arial" w:cs="Arial"/>
                <w:b/>
                <w:bCs/>
                <w:color w:val="000000"/>
                <w:sz w:val="17"/>
                <w:szCs w:val="17"/>
              </w:rPr>
              <w:t>569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D1D"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D1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D1F" w14:textId="77777777" w:rsidR="009C6E2F" w:rsidRDefault="007972BE">
            <w:pPr>
              <w:jc w:val="right"/>
              <w:textAlignment w:val="bottom"/>
            </w:pPr>
            <w:r>
              <w:rPr>
                <w:rFonts w:ascii="Arial" w:eastAsia="宋体" w:hAnsi="Arial" w:cs="Arial"/>
                <w:b/>
                <w:bCs/>
                <w:color w:val="000000"/>
                <w:sz w:val="17"/>
                <w:szCs w:val="17"/>
              </w:rPr>
              <w:t>891</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D20"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D21" w14:textId="77777777" w:rsidR="009C6E2F" w:rsidRDefault="007972BE">
            <w:pPr>
              <w:jc w:val="right"/>
              <w:textAlignment w:val="bottom"/>
            </w:pPr>
            <w:r>
              <w:rPr>
                <w:rFonts w:ascii="Arial" w:eastAsia="宋体" w:hAnsi="Arial" w:cs="Arial"/>
                <w:b/>
                <w:bCs/>
                <w:color w:val="000000"/>
                <w:sz w:val="17"/>
                <w:szCs w:val="17"/>
              </w:rPr>
              <w:t>-36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D22"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D23"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D24"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D2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D26" w14:textId="77777777" w:rsidR="009C6E2F" w:rsidRDefault="007972BE">
            <w:pPr>
              <w:jc w:val="right"/>
              <w:textAlignment w:val="bottom"/>
            </w:pPr>
            <w:r>
              <w:rPr>
                <w:rFonts w:ascii="Arial" w:eastAsia="宋体" w:hAnsi="Arial" w:cs="Arial"/>
                <w:b/>
                <w:bCs/>
                <w:color w:val="000000"/>
                <w:sz w:val="17"/>
                <w:szCs w:val="17"/>
              </w:rPr>
              <w:t>1,270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D27"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D2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D29" w14:textId="77777777" w:rsidR="009C6E2F" w:rsidRDefault="007972BE">
            <w:pPr>
              <w:jc w:val="right"/>
              <w:textAlignment w:val="bottom"/>
            </w:pPr>
            <w:r>
              <w:rPr>
                <w:rFonts w:ascii="Arial" w:eastAsia="宋体" w:hAnsi="Arial" w:cs="Arial"/>
                <w:b/>
                <w:bCs/>
                <w:color w:val="000000"/>
                <w:sz w:val="17"/>
                <w:szCs w:val="17"/>
              </w:rPr>
              <w:t>1,579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D2A"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D2B" w14:textId="77777777" w:rsidR="009C6E2F" w:rsidRDefault="007972BE">
            <w:pPr>
              <w:jc w:val="right"/>
              <w:textAlignment w:val="bottom"/>
            </w:pPr>
            <w:r>
              <w:rPr>
                <w:rFonts w:ascii="Arial" w:eastAsia="宋体" w:hAnsi="Arial" w:cs="Arial"/>
                <w:b/>
                <w:bCs/>
                <w:color w:val="000000"/>
                <w:sz w:val="17"/>
                <w:szCs w:val="17"/>
              </w:rPr>
              <w:t>-20</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D2C"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D2D" w14:textId="77777777" w:rsidR="009C6E2F" w:rsidRDefault="009C6E2F">
            <w:pPr>
              <w:rPr>
                <w:rFonts w:ascii="宋体"/>
              </w:rPr>
            </w:pPr>
          </w:p>
        </w:tc>
        <w:tc>
          <w:tcPr>
            <w:tcW w:w="0" w:type="auto"/>
            <w:shd w:val="clear" w:color="auto" w:fill="auto"/>
            <w:vAlign w:val="bottom"/>
          </w:tcPr>
          <w:p w14:paraId="2470DD2E" w14:textId="77777777" w:rsidR="009C6E2F" w:rsidRDefault="009C6E2F">
            <w:pPr>
              <w:rPr>
                <w:rFonts w:ascii="宋体"/>
                <w:vanish/>
              </w:rPr>
            </w:pPr>
          </w:p>
        </w:tc>
        <w:tc>
          <w:tcPr>
            <w:tcW w:w="0" w:type="auto"/>
            <w:shd w:val="clear" w:color="auto" w:fill="auto"/>
            <w:vAlign w:val="bottom"/>
          </w:tcPr>
          <w:p w14:paraId="2470DD2F" w14:textId="77777777" w:rsidR="009C6E2F" w:rsidRDefault="009C6E2F">
            <w:pPr>
              <w:rPr>
                <w:rFonts w:ascii="宋体"/>
                <w:vanish/>
              </w:rPr>
            </w:pPr>
          </w:p>
        </w:tc>
        <w:tc>
          <w:tcPr>
            <w:tcW w:w="0" w:type="auto"/>
            <w:gridSpan w:val="3"/>
            <w:shd w:val="clear" w:color="auto" w:fill="auto"/>
            <w:vAlign w:val="bottom"/>
          </w:tcPr>
          <w:p w14:paraId="2470DD30" w14:textId="77777777" w:rsidR="009C6E2F" w:rsidRDefault="009C6E2F">
            <w:pPr>
              <w:rPr>
                <w:rFonts w:ascii="宋体"/>
                <w:vanish/>
              </w:rPr>
            </w:pPr>
          </w:p>
        </w:tc>
        <w:tc>
          <w:tcPr>
            <w:tcW w:w="0" w:type="auto"/>
            <w:gridSpan w:val="3"/>
            <w:shd w:val="clear" w:color="auto" w:fill="auto"/>
            <w:vAlign w:val="bottom"/>
          </w:tcPr>
          <w:p w14:paraId="2470DD31" w14:textId="77777777" w:rsidR="009C6E2F" w:rsidRDefault="009C6E2F">
            <w:pPr>
              <w:rPr>
                <w:rFonts w:ascii="宋体"/>
                <w:vanish/>
              </w:rPr>
            </w:pPr>
          </w:p>
        </w:tc>
        <w:tc>
          <w:tcPr>
            <w:tcW w:w="0" w:type="auto"/>
            <w:gridSpan w:val="3"/>
            <w:shd w:val="clear" w:color="auto" w:fill="auto"/>
            <w:vAlign w:val="bottom"/>
          </w:tcPr>
          <w:p w14:paraId="2470DD32" w14:textId="77777777" w:rsidR="009C6E2F" w:rsidRDefault="009C6E2F">
            <w:pPr>
              <w:rPr>
                <w:rFonts w:ascii="宋体"/>
                <w:vanish/>
              </w:rPr>
            </w:pPr>
          </w:p>
        </w:tc>
      </w:tr>
    </w:tbl>
    <w:p w14:paraId="2470DD34" w14:textId="77777777" w:rsidR="009C6E2F" w:rsidRDefault="007972BE">
      <w:pPr>
        <w:spacing w:before="120" w:after="120"/>
        <w:jc w:val="right"/>
      </w:pPr>
      <w:r>
        <w:rPr>
          <w:rFonts w:ascii="Arial" w:eastAsia="宋体" w:hAnsi="Arial" w:cs="Arial"/>
          <w:color w:val="E87722"/>
          <w:sz w:val="17"/>
          <w:szCs w:val="17"/>
        </w:rPr>
        <w:t>35</w:t>
      </w:r>
    </w:p>
    <w:p w14:paraId="2470DD35" w14:textId="77777777" w:rsidR="009C6E2F" w:rsidRDefault="007972BE">
      <w:r>
        <w:pict w14:anchorId="2470E208">
          <v:rect id="_x0000_i1061" style="width:415.3pt;height:1.5pt" o:hralign="center" o:hrstd="t" o:hr="t" fillcolor="#a0a0a0" stroked="f"/>
        </w:pict>
      </w:r>
    </w:p>
    <w:p w14:paraId="2470DD36" w14:textId="77777777" w:rsidR="009C6E2F" w:rsidRDefault="009C6E2F"/>
    <w:p w14:paraId="2470DD37" w14:textId="77777777" w:rsidR="009C6E2F" w:rsidRDefault="007972BE">
      <w:hyperlink r:id="rId104" w:anchor="i9e023a7388204bdbacd6aa338988f838_7" w:history="1">
        <w:r>
          <w:rPr>
            <w:rStyle w:val="a5"/>
            <w:rFonts w:ascii="sans-serif" w:eastAsia="sans-serif" w:hAnsi="sans-serif" w:cs="sans-serif"/>
            <w:sz w:val="17"/>
            <w:szCs w:val="17"/>
          </w:rPr>
          <w:t>Table of Contents</w:t>
        </w:r>
      </w:hyperlink>
    </w:p>
    <w:p w14:paraId="2470DD38" w14:textId="77777777" w:rsidR="009C6E2F" w:rsidRDefault="009C6E2F"/>
    <w:p w14:paraId="2470DD39"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 FISCAL 2021</w:t>
      </w:r>
    </w:p>
    <w:p w14:paraId="2470DD3A" w14:textId="77777777" w:rsidR="009C6E2F" w:rsidRDefault="007972BE">
      <w:pPr>
        <w:spacing w:after="120"/>
      </w:pPr>
      <w:r>
        <w:rPr>
          <w:rFonts w:ascii="Arial" w:eastAsia="宋体" w:hAnsi="Arial" w:cs="Arial"/>
          <w:color w:val="000000"/>
          <w:sz w:val="17"/>
          <w:szCs w:val="17"/>
        </w:rPr>
        <w:t>On a currency-neutral basis, Greater China revenues for the second quarter of fiscal 2022 decreased 24%, reflecting impacts from lack of available inventory supply and product launch timing due to factory closures and mandated store closures due to COVID-1</w:t>
      </w:r>
      <w:r>
        <w:rPr>
          <w:rFonts w:ascii="Arial" w:eastAsia="宋体" w:hAnsi="Arial" w:cs="Arial"/>
          <w:color w:val="000000"/>
          <w:sz w:val="17"/>
          <w:szCs w:val="17"/>
        </w:rPr>
        <w:t>9, as well as ongoing marketplace dynamics. The decrease in revenues was primarily due to lower revenues in Men’s and Women's. NIKE Direct revenues decreased 21% due to digital sales declines of 27%, comparable store sales declines of 18%, in part due to r</w:t>
      </w:r>
      <w:r>
        <w:rPr>
          <w:rFonts w:ascii="Arial" w:eastAsia="宋体" w:hAnsi="Arial" w:cs="Arial"/>
          <w:color w:val="000000"/>
          <w:sz w:val="17"/>
          <w:szCs w:val="17"/>
        </w:rPr>
        <w:t xml:space="preserve">educed physical retail traffic and mandated store closures due to COVID-19, partially offset by the addition of new stores. </w:t>
      </w:r>
    </w:p>
    <w:p w14:paraId="2470DD3B" w14:textId="77777777" w:rsidR="009C6E2F" w:rsidRDefault="007972BE">
      <w:pPr>
        <w:spacing w:before="120" w:after="120"/>
      </w:pPr>
      <w:r>
        <w:rPr>
          <w:rFonts w:ascii="Arial" w:eastAsia="宋体" w:hAnsi="Arial" w:cs="Arial"/>
          <w:color w:val="000000"/>
          <w:sz w:val="17"/>
          <w:szCs w:val="17"/>
        </w:rPr>
        <w:t>Currency-neutral footwear revenues decreased 25%, driven primarily by lower revenues in Men's. Unit sales of footwear decreased 20%</w:t>
      </w:r>
      <w:r>
        <w:rPr>
          <w:rFonts w:ascii="Arial" w:eastAsia="宋体" w:hAnsi="Arial" w:cs="Arial"/>
          <w:color w:val="000000"/>
          <w:sz w:val="17"/>
          <w:szCs w:val="17"/>
        </w:rPr>
        <w:t>, while lower ASP per pair reduced footwear revenues by approximately 5 percentage points, driven by lower NIKE Direct and full-price ASPs.</w:t>
      </w:r>
    </w:p>
    <w:p w14:paraId="2470DD3C" w14:textId="77777777" w:rsidR="009C6E2F" w:rsidRDefault="007972BE">
      <w:pPr>
        <w:spacing w:before="120" w:after="120"/>
      </w:pPr>
      <w:r>
        <w:rPr>
          <w:rFonts w:ascii="Arial" w:eastAsia="宋体" w:hAnsi="Arial" w:cs="Arial"/>
          <w:color w:val="000000"/>
          <w:sz w:val="17"/>
          <w:szCs w:val="17"/>
        </w:rPr>
        <w:t>Currency-neutral apparel revenues decreased 21%, due primarily to lower revenues in Men's and Women's. Unit sales of</w:t>
      </w:r>
      <w:r>
        <w:rPr>
          <w:rFonts w:ascii="Arial" w:eastAsia="宋体" w:hAnsi="Arial" w:cs="Arial"/>
          <w:color w:val="000000"/>
          <w:sz w:val="17"/>
          <w:szCs w:val="17"/>
        </w:rPr>
        <w:t xml:space="preserve"> apparel decreased 17%, while lower ASP per unit reduced apparel revenues by approximately 4 percentage points, primarily due to lower NIKE Direct ASP, as well as lower full-price ASPs, primarily due to higher discounts.</w:t>
      </w:r>
    </w:p>
    <w:p w14:paraId="2470DD3D" w14:textId="77777777" w:rsidR="009C6E2F" w:rsidRDefault="007972BE">
      <w:pPr>
        <w:spacing w:before="120" w:after="120"/>
      </w:pPr>
      <w:r>
        <w:rPr>
          <w:rFonts w:ascii="Arial" w:eastAsia="宋体" w:hAnsi="Arial" w:cs="Arial"/>
          <w:color w:val="000000"/>
          <w:sz w:val="17"/>
          <w:szCs w:val="17"/>
        </w:rPr>
        <w:t xml:space="preserve">Reported EBIT decreased 36% due to </w:t>
      </w:r>
      <w:r>
        <w:rPr>
          <w:rFonts w:ascii="Arial" w:eastAsia="宋体" w:hAnsi="Arial" w:cs="Arial"/>
          <w:color w:val="000000"/>
          <w:sz w:val="17"/>
          <w:szCs w:val="17"/>
        </w:rPr>
        <w:t>lower revenues, gross margin contraction and higher selling and administrative expense. Gross margin decreased approximately 310 basis points reflecting lower full-price ASP, net of discounts, lower NIKE Direct margins, higher other costs and a lower mix o</w:t>
      </w:r>
      <w:r>
        <w:rPr>
          <w:rFonts w:ascii="Arial" w:eastAsia="宋体" w:hAnsi="Arial" w:cs="Arial"/>
          <w:color w:val="000000"/>
          <w:sz w:val="17"/>
          <w:szCs w:val="17"/>
        </w:rPr>
        <w:t>f full-price sales, partially offset by lower product costs. Higher other costs were primarily due to higher inventory obsolescence and the unfavorable rate impact of fixed supply chain costs on a lower volume of shipments. Selling and administrative expen</w:t>
      </w:r>
      <w:r>
        <w:rPr>
          <w:rFonts w:ascii="Arial" w:eastAsia="宋体" w:hAnsi="Arial" w:cs="Arial"/>
          <w:color w:val="000000"/>
          <w:sz w:val="17"/>
          <w:szCs w:val="17"/>
        </w:rPr>
        <w:t>se increased due to higher demand creation and operating overhead expense. Growth in demand creation expense was primarily due to higher advertising and marketing costs as well as higher digital marketing investments. Operating overhead expense increased l</w:t>
      </w:r>
      <w:r>
        <w:rPr>
          <w:rFonts w:ascii="Arial" w:eastAsia="宋体" w:hAnsi="Arial" w:cs="Arial"/>
          <w:color w:val="000000"/>
          <w:sz w:val="17"/>
          <w:szCs w:val="17"/>
        </w:rPr>
        <w:t xml:space="preserve">argely due to higher wage-related costs, partially offset by lower administrative costs. </w:t>
      </w:r>
    </w:p>
    <w:p w14:paraId="2470DD3E"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MONTHS OF FISCAL 2021</w:t>
      </w:r>
    </w:p>
    <w:p w14:paraId="2470DD3F" w14:textId="77777777" w:rsidR="009C6E2F" w:rsidRDefault="007972BE">
      <w:pPr>
        <w:spacing w:after="120"/>
      </w:pPr>
      <w:r>
        <w:rPr>
          <w:rFonts w:ascii="Arial" w:eastAsia="宋体" w:hAnsi="Arial" w:cs="Arial"/>
          <w:color w:val="000000"/>
          <w:sz w:val="17"/>
          <w:szCs w:val="17"/>
        </w:rPr>
        <w:t>On a currency-neutral basis, Greater China revenues for the first six months of fiscal 202</w:t>
      </w:r>
      <w:r>
        <w:rPr>
          <w:rFonts w:ascii="Arial" w:eastAsia="宋体" w:hAnsi="Arial" w:cs="Arial"/>
          <w:color w:val="000000"/>
          <w:sz w:val="17"/>
          <w:szCs w:val="17"/>
        </w:rPr>
        <w:t>2 decreased 13%, reflecting impacts from lack of available inventory supply and product launch timing due to factory closures, mandated store closures due to COVID-19 and ongoing marketplace dynamics. The decrease in revenues was primarily due to lower rev</w:t>
      </w:r>
      <w:r>
        <w:rPr>
          <w:rFonts w:ascii="Arial" w:eastAsia="宋体" w:hAnsi="Arial" w:cs="Arial"/>
          <w:color w:val="000000"/>
          <w:sz w:val="17"/>
          <w:szCs w:val="17"/>
        </w:rPr>
        <w:t xml:space="preserve">enues in the Men’s and Women's. NIKE Direct revenues decreased 13% due to digital sales declines of 19%, comparable store sales declines of 12%, in part due to reduced physical retail traffic, partially offset by the addition of new stores. </w:t>
      </w:r>
    </w:p>
    <w:p w14:paraId="2470DD40" w14:textId="77777777" w:rsidR="009C6E2F" w:rsidRDefault="007972BE">
      <w:pPr>
        <w:spacing w:before="120" w:after="120"/>
      </w:pPr>
      <w:r>
        <w:rPr>
          <w:rFonts w:ascii="Arial" w:eastAsia="宋体" w:hAnsi="Arial" w:cs="Arial"/>
          <w:color w:val="000000"/>
          <w:sz w:val="17"/>
          <w:szCs w:val="17"/>
        </w:rPr>
        <w:t>Currency-neutr</w:t>
      </w:r>
      <w:r>
        <w:rPr>
          <w:rFonts w:ascii="Arial" w:eastAsia="宋体" w:hAnsi="Arial" w:cs="Arial"/>
          <w:color w:val="000000"/>
          <w:sz w:val="17"/>
          <w:szCs w:val="17"/>
        </w:rPr>
        <w:t xml:space="preserve">al footwear revenues decreased 11%, driven primarily by lower revenues in Men's. Unit sales of footwear decreased 8%, while lower ASP per pair reduced footwear revenues by approximately 3 percentage points, driven by lower NIKE Direct and full-price ASPs, </w:t>
      </w:r>
      <w:r>
        <w:rPr>
          <w:rFonts w:ascii="Arial" w:eastAsia="宋体" w:hAnsi="Arial" w:cs="Arial"/>
          <w:color w:val="000000"/>
          <w:sz w:val="17"/>
          <w:szCs w:val="17"/>
        </w:rPr>
        <w:t>primarily due to higher discounts.</w:t>
      </w:r>
    </w:p>
    <w:p w14:paraId="2470DD41" w14:textId="77777777" w:rsidR="009C6E2F" w:rsidRDefault="007972BE">
      <w:pPr>
        <w:spacing w:before="120" w:after="120"/>
      </w:pPr>
      <w:r>
        <w:rPr>
          <w:rFonts w:ascii="Arial" w:eastAsia="宋体" w:hAnsi="Arial" w:cs="Arial"/>
          <w:color w:val="000000"/>
          <w:sz w:val="17"/>
          <w:szCs w:val="17"/>
        </w:rPr>
        <w:t>Currency-neutral apparel revenues decreased 16%, due primarily to lower revenues in Women's. Unit sales of apparel decreased 10%, while lower ASP per unit reduced apparel revenues by approximately 6 percentage points, pri</w:t>
      </w:r>
      <w:r>
        <w:rPr>
          <w:rFonts w:ascii="Arial" w:eastAsia="宋体" w:hAnsi="Arial" w:cs="Arial"/>
          <w:color w:val="000000"/>
          <w:sz w:val="17"/>
          <w:szCs w:val="17"/>
        </w:rPr>
        <w:t>marily due to lower NIKE Direct and full-price ASPs, primarily due to higher discounts.</w:t>
      </w:r>
    </w:p>
    <w:p w14:paraId="2470DD42" w14:textId="77777777" w:rsidR="009C6E2F" w:rsidRDefault="007972BE">
      <w:pPr>
        <w:spacing w:before="120" w:after="120"/>
      </w:pPr>
      <w:r>
        <w:rPr>
          <w:rFonts w:ascii="Arial" w:eastAsia="宋体" w:hAnsi="Arial" w:cs="Arial"/>
          <w:color w:val="000000"/>
          <w:sz w:val="17"/>
          <w:szCs w:val="17"/>
        </w:rPr>
        <w:t>Reported EBIT decreased 20% due to lower revenues, gross margin contraction and higher selling and administrative expense. Gross margin decreased approximately 220 basi</w:t>
      </w:r>
      <w:r>
        <w:rPr>
          <w:rFonts w:ascii="Arial" w:eastAsia="宋体" w:hAnsi="Arial" w:cs="Arial"/>
          <w:color w:val="000000"/>
          <w:sz w:val="17"/>
          <w:szCs w:val="17"/>
        </w:rPr>
        <w:t>s points reflecting lower full-price ASP, primarily due to higher discounts, higher other costs and lower NIKE Direct margins, partially offset by lower product costs. Higher other costs was primarily due to higher inventory obsolescence. Selling and admin</w:t>
      </w:r>
      <w:r>
        <w:rPr>
          <w:rFonts w:ascii="Arial" w:eastAsia="宋体" w:hAnsi="Arial" w:cs="Arial"/>
          <w:color w:val="000000"/>
          <w:sz w:val="17"/>
          <w:szCs w:val="17"/>
        </w:rPr>
        <w:t>istrative expense increased due to higher demand creation and operating overhead expense. Growth in demand creation expense was primarily due to higher advertising and marketing costs as well as digital marketing investments. Operating overhead expense inc</w:t>
      </w:r>
      <w:r>
        <w:rPr>
          <w:rFonts w:ascii="Arial" w:eastAsia="宋体" w:hAnsi="Arial" w:cs="Arial"/>
          <w:color w:val="000000"/>
          <w:sz w:val="17"/>
          <w:szCs w:val="17"/>
        </w:rPr>
        <w:t>reased largely due to higher wage-related costs.</w:t>
      </w:r>
    </w:p>
    <w:p w14:paraId="2470DD43" w14:textId="77777777" w:rsidR="009C6E2F" w:rsidRDefault="007972BE">
      <w:pPr>
        <w:spacing w:before="120" w:after="120"/>
      </w:pPr>
      <w:r>
        <w:rPr>
          <w:rFonts w:ascii="Arial" w:eastAsia="宋体" w:hAnsi="Arial" w:cs="Arial"/>
          <w:color w:val="E87722"/>
          <w:sz w:val="17"/>
          <w:szCs w:val="17"/>
        </w:rPr>
        <w:t>36</w:t>
      </w:r>
      <w:r>
        <w:rPr>
          <w:rFonts w:ascii="sans-serif" w:eastAsia="sans-serif" w:hAnsi="sans-serif" w:cs="sans-serif"/>
          <w:color w:val="000000"/>
          <w:sz w:val="17"/>
          <w:szCs w:val="17"/>
        </w:rPr>
        <w:t xml:space="preserve"> </w:t>
      </w:r>
    </w:p>
    <w:p w14:paraId="2470DD44" w14:textId="77777777" w:rsidR="009C6E2F" w:rsidRDefault="007972BE">
      <w:r>
        <w:pict w14:anchorId="2470E209">
          <v:rect id="_x0000_i1062" style="width:415.3pt;height:1.5pt" o:hralign="center" o:hrstd="t" o:hr="t" fillcolor="#a0a0a0" stroked="f"/>
        </w:pict>
      </w:r>
    </w:p>
    <w:p w14:paraId="2470DD45" w14:textId="77777777" w:rsidR="009C6E2F" w:rsidRDefault="009C6E2F"/>
    <w:p w14:paraId="2470DD46" w14:textId="77777777" w:rsidR="009C6E2F" w:rsidRDefault="007972BE">
      <w:hyperlink r:id="rId105" w:anchor="i9e023a7388204bdbacd6aa338988f838_7" w:history="1">
        <w:r>
          <w:rPr>
            <w:rStyle w:val="a5"/>
            <w:rFonts w:ascii="sans-serif" w:eastAsia="sans-serif" w:hAnsi="sans-serif" w:cs="sans-serif"/>
            <w:sz w:val="17"/>
            <w:szCs w:val="17"/>
          </w:rPr>
          <w:t>Table of Contents</w:t>
        </w:r>
      </w:hyperlink>
    </w:p>
    <w:p w14:paraId="2470DD47" w14:textId="77777777" w:rsidR="009C6E2F" w:rsidRDefault="009C6E2F"/>
    <w:p w14:paraId="2470DD48" w14:textId="77777777" w:rsidR="009C6E2F" w:rsidRDefault="007972BE">
      <w:pPr>
        <w:spacing w:before="240" w:after="120"/>
      </w:pPr>
      <w:r>
        <w:rPr>
          <w:rFonts w:ascii="sans-serif" w:eastAsia="sans-serif" w:hAnsi="sans-serif" w:cs="sans-serif"/>
          <w:b/>
          <w:bCs/>
          <w:color w:val="000000"/>
          <w:sz w:val="28"/>
          <w:szCs w:val="28"/>
        </w:rPr>
        <w:t>ASIA PACIFIC &amp; LATIN AMERICA</w:t>
      </w:r>
    </w:p>
    <w:tbl>
      <w:tblPr>
        <w:tblW w:w="5000" w:type="pct"/>
        <w:tblCellMar>
          <w:top w:w="15" w:type="dxa"/>
          <w:left w:w="15" w:type="dxa"/>
          <w:bottom w:w="15" w:type="dxa"/>
          <w:right w:w="15" w:type="dxa"/>
        </w:tblCellMar>
        <w:tblLook w:val="04A0" w:firstRow="1" w:lastRow="0" w:firstColumn="1" w:lastColumn="0" w:noHBand="0" w:noVBand="1"/>
      </w:tblPr>
      <w:tblGrid>
        <w:gridCol w:w="43"/>
        <w:gridCol w:w="1587"/>
        <w:gridCol w:w="36"/>
        <w:gridCol w:w="115"/>
        <w:gridCol w:w="473"/>
        <w:gridCol w:w="36"/>
        <w:gridCol w:w="115"/>
        <w:gridCol w:w="473"/>
        <w:gridCol w:w="36"/>
        <w:gridCol w:w="74"/>
        <w:gridCol w:w="563"/>
        <w:gridCol w:w="172"/>
        <w:gridCol w:w="99"/>
        <w:gridCol w:w="755"/>
        <w:gridCol w:w="172"/>
        <w:gridCol w:w="36"/>
        <w:gridCol w:w="36"/>
        <w:gridCol w:w="36"/>
        <w:gridCol w:w="115"/>
        <w:gridCol w:w="473"/>
        <w:gridCol w:w="36"/>
        <w:gridCol w:w="115"/>
        <w:gridCol w:w="473"/>
        <w:gridCol w:w="36"/>
        <w:gridCol w:w="74"/>
        <w:gridCol w:w="563"/>
        <w:gridCol w:w="172"/>
        <w:gridCol w:w="99"/>
        <w:gridCol w:w="755"/>
        <w:gridCol w:w="172"/>
        <w:gridCol w:w="36"/>
        <w:gridCol w:w="36"/>
        <w:gridCol w:w="36"/>
        <w:gridCol w:w="36"/>
        <w:gridCol w:w="36"/>
        <w:gridCol w:w="36"/>
        <w:gridCol w:w="36"/>
        <w:gridCol w:w="36"/>
        <w:gridCol w:w="36"/>
        <w:gridCol w:w="36"/>
        <w:gridCol w:w="36"/>
      </w:tblGrid>
      <w:tr w:rsidR="009C6E2F" w14:paraId="2470DD6C" w14:textId="77777777">
        <w:tc>
          <w:tcPr>
            <w:tcW w:w="50" w:type="pct"/>
            <w:shd w:val="clear" w:color="auto" w:fill="auto"/>
            <w:vAlign w:val="bottom"/>
          </w:tcPr>
          <w:p w14:paraId="2470DD49" w14:textId="77777777" w:rsidR="009C6E2F" w:rsidRDefault="009C6E2F">
            <w:pPr>
              <w:rPr>
                <w:rFonts w:ascii="宋体"/>
              </w:rPr>
            </w:pPr>
          </w:p>
        </w:tc>
        <w:tc>
          <w:tcPr>
            <w:tcW w:w="1387" w:type="pct"/>
            <w:shd w:val="clear" w:color="auto" w:fill="auto"/>
            <w:vAlign w:val="bottom"/>
          </w:tcPr>
          <w:p w14:paraId="2470DD4A" w14:textId="77777777" w:rsidR="009C6E2F" w:rsidRDefault="009C6E2F">
            <w:pPr>
              <w:rPr>
                <w:rFonts w:ascii="宋体"/>
              </w:rPr>
            </w:pPr>
          </w:p>
        </w:tc>
        <w:tc>
          <w:tcPr>
            <w:tcW w:w="5" w:type="pct"/>
            <w:shd w:val="clear" w:color="auto" w:fill="auto"/>
            <w:vAlign w:val="bottom"/>
          </w:tcPr>
          <w:p w14:paraId="2470DD4B" w14:textId="77777777" w:rsidR="009C6E2F" w:rsidRDefault="009C6E2F">
            <w:pPr>
              <w:rPr>
                <w:rFonts w:ascii="宋体"/>
              </w:rPr>
            </w:pPr>
          </w:p>
        </w:tc>
        <w:tc>
          <w:tcPr>
            <w:tcW w:w="50" w:type="pct"/>
            <w:shd w:val="clear" w:color="auto" w:fill="auto"/>
            <w:vAlign w:val="bottom"/>
          </w:tcPr>
          <w:p w14:paraId="2470DD4C" w14:textId="77777777" w:rsidR="009C6E2F" w:rsidRDefault="009C6E2F">
            <w:pPr>
              <w:rPr>
                <w:rFonts w:ascii="宋体"/>
              </w:rPr>
            </w:pPr>
          </w:p>
        </w:tc>
        <w:tc>
          <w:tcPr>
            <w:tcW w:w="384" w:type="pct"/>
            <w:shd w:val="clear" w:color="auto" w:fill="auto"/>
            <w:vAlign w:val="bottom"/>
          </w:tcPr>
          <w:p w14:paraId="2470DD4D" w14:textId="77777777" w:rsidR="009C6E2F" w:rsidRDefault="009C6E2F">
            <w:pPr>
              <w:rPr>
                <w:rFonts w:ascii="宋体"/>
              </w:rPr>
            </w:pPr>
          </w:p>
        </w:tc>
        <w:tc>
          <w:tcPr>
            <w:tcW w:w="5" w:type="pct"/>
            <w:shd w:val="clear" w:color="auto" w:fill="auto"/>
            <w:vAlign w:val="bottom"/>
          </w:tcPr>
          <w:p w14:paraId="2470DD4E" w14:textId="77777777" w:rsidR="009C6E2F" w:rsidRDefault="009C6E2F">
            <w:pPr>
              <w:rPr>
                <w:rFonts w:ascii="宋体"/>
              </w:rPr>
            </w:pPr>
          </w:p>
        </w:tc>
        <w:tc>
          <w:tcPr>
            <w:tcW w:w="50" w:type="pct"/>
            <w:shd w:val="clear" w:color="auto" w:fill="auto"/>
            <w:vAlign w:val="bottom"/>
          </w:tcPr>
          <w:p w14:paraId="2470DD4F" w14:textId="77777777" w:rsidR="009C6E2F" w:rsidRDefault="009C6E2F">
            <w:pPr>
              <w:rPr>
                <w:rFonts w:ascii="宋体"/>
              </w:rPr>
            </w:pPr>
          </w:p>
        </w:tc>
        <w:tc>
          <w:tcPr>
            <w:tcW w:w="384" w:type="pct"/>
            <w:shd w:val="clear" w:color="auto" w:fill="auto"/>
            <w:vAlign w:val="bottom"/>
          </w:tcPr>
          <w:p w14:paraId="2470DD50" w14:textId="77777777" w:rsidR="009C6E2F" w:rsidRDefault="009C6E2F">
            <w:pPr>
              <w:rPr>
                <w:rFonts w:ascii="宋体"/>
              </w:rPr>
            </w:pPr>
          </w:p>
        </w:tc>
        <w:tc>
          <w:tcPr>
            <w:tcW w:w="5" w:type="pct"/>
            <w:shd w:val="clear" w:color="auto" w:fill="auto"/>
            <w:vAlign w:val="bottom"/>
          </w:tcPr>
          <w:p w14:paraId="2470DD51" w14:textId="77777777" w:rsidR="009C6E2F" w:rsidRDefault="009C6E2F">
            <w:pPr>
              <w:rPr>
                <w:rFonts w:ascii="宋体"/>
              </w:rPr>
            </w:pPr>
          </w:p>
        </w:tc>
        <w:tc>
          <w:tcPr>
            <w:tcW w:w="50" w:type="pct"/>
            <w:shd w:val="clear" w:color="auto" w:fill="auto"/>
            <w:vAlign w:val="bottom"/>
          </w:tcPr>
          <w:p w14:paraId="2470DD52" w14:textId="77777777" w:rsidR="009C6E2F" w:rsidRDefault="009C6E2F">
            <w:pPr>
              <w:rPr>
                <w:rFonts w:ascii="宋体"/>
              </w:rPr>
            </w:pPr>
          </w:p>
        </w:tc>
        <w:tc>
          <w:tcPr>
            <w:tcW w:w="384" w:type="pct"/>
            <w:shd w:val="clear" w:color="auto" w:fill="auto"/>
            <w:vAlign w:val="bottom"/>
          </w:tcPr>
          <w:p w14:paraId="2470DD53" w14:textId="77777777" w:rsidR="009C6E2F" w:rsidRDefault="009C6E2F">
            <w:pPr>
              <w:rPr>
                <w:rFonts w:ascii="宋体"/>
              </w:rPr>
            </w:pPr>
          </w:p>
        </w:tc>
        <w:tc>
          <w:tcPr>
            <w:tcW w:w="5" w:type="pct"/>
            <w:shd w:val="clear" w:color="auto" w:fill="auto"/>
            <w:vAlign w:val="bottom"/>
          </w:tcPr>
          <w:p w14:paraId="2470DD54" w14:textId="77777777" w:rsidR="009C6E2F" w:rsidRDefault="009C6E2F">
            <w:pPr>
              <w:rPr>
                <w:rFonts w:ascii="宋体"/>
              </w:rPr>
            </w:pPr>
          </w:p>
        </w:tc>
        <w:tc>
          <w:tcPr>
            <w:tcW w:w="50" w:type="pct"/>
            <w:shd w:val="clear" w:color="auto" w:fill="auto"/>
            <w:vAlign w:val="bottom"/>
          </w:tcPr>
          <w:p w14:paraId="2470DD55" w14:textId="77777777" w:rsidR="009C6E2F" w:rsidRDefault="009C6E2F">
            <w:pPr>
              <w:rPr>
                <w:rFonts w:ascii="宋体"/>
              </w:rPr>
            </w:pPr>
          </w:p>
        </w:tc>
        <w:tc>
          <w:tcPr>
            <w:tcW w:w="384" w:type="pct"/>
            <w:shd w:val="clear" w:color="auto" w:fill="auto"/>
            <w:vAlign w:val="bottom"/>
          </w:tcPr>
          <w:p w14:paraId="2470DD56" w14:textId="77777777" w:rsidR="009C6E2F" w:rsidRDefault="009C6E2F">
            <w:pPr>
              <w:rPr>
                <w:rFonts w:ascii="宋体"/>
              </w:rPr>
            </w:pPr>
          </w:p>
        </w:tc>
        <w:tc>
          <w:tcPr>
            <w:tcW w:w="5" w:type="pct"/>
            <w:shd w:val="clear" w:color="auto" w:fill="auto"/>
            <w:vAlign w:val="bottom"/>
          </w:tcPr>
          <w:p w14:paraId="2470DD57" w14:textId="77777777" w:rsidR="009C6E2F" w:rsidRDefault="009C6E2F">
            <w:pPr>
              <w:rPr>
                <w:rFonts w:ascii="宋体"/>
              </w:rPr>
            </w:pPr>
          </w:p>
        </w:tc>
        <w:tc>
          <w:tcPr>
            <w:tcW w:w="5" w:type="pct"/>
            <w:shd w:val="clear" w:color="auto" w:fill="auto"/>
            <w:vAlign w:val="bottom"/>
          </w:tcPr>
          <w:p w14:paraId="2470DD58" w14:textId="77777777" w:rsidR="009C6E2F" w:rsidRDefault="009C6E2F">
            <w:pPr>
              <w:rPr>
                <w:rFonts w:ascii="宋体"/>
              </w:rPr>
            </w:pPr>
          </w:p>
        </w:tc>
        <w:tc>
          <w:tcPr>
            <w:tcW w:w="28" w:type="pct"/>
            <w:shd w:val="clear" w:color="auto" w:fill="auto"/>
            <w:vAlign w:val="bottom"/>
          </w:tcPr>
          <w:p w14:paraId="2470DD59" w14:textId="77777777" w:rsidR="009C6E2F" w:rsidRDefault="009C6E2F">
            <w:pPr>
              <w:rPr>
                <w:rFonts w:ascii="宋体"/>
              </w:rPr>
            </w:pPr>
          </w:p>
        </w:tc>
        <w:tc>
          <w:tcPr>
            <w:tcW w:w="5" w:type="pct"/>
            <w:shd w:val="clear" w:color="auto" w:fill="auto"/>
            <w:vAlign w:val="bottom"/>
          </w:tcPr>
          <w:p w14:paraId="2470DD5A" w14:textId="77777777" w:rsidR="009C6E2F" w:rsidRDefault="009C6E2F">
            <w:pPr>
              <w:rPr>
                <w:rFonts w:ascii="宋体"/>
              </w:rPr>
            </w:pPr>
          </w:p>
        </w:tc>
        <w:tc>
          <w:tcPr>
            <w:tcW w:w="50" w:type="pct"/>
            <w:shd w:val="clear" w:color="auto" w:fill="auto"/>
            <w:vAlign w:val="bottom"/>
          </w:tcPr>
          <w:p w14:paraId="2470DD5B" w14:textId="77777777" w:rsidR="009C6E2F" w:rsidRDefault="009C6E2F">
            <w:pPr>
              <w:rPr>
                <w:rFonts w:ascii="宋体"/>
              </w:rPr>
            </w:pPr>
          </w:p>
        </w:tc>
        <w:tc>
          <w:tcPr>
            <w:tcW w:w="384" w:type="pct"/>
            <w:shd w:val="clear" w:color="auto" w:fill="auto"/>
            <w:vAlign w:val="bottom"/>
          </w:tcPr>
          <w:p w14:paraId="2470DD5C" w14:textId="77777777" w:rsidR="009C6E2F" w:rsidRDefault="009C6E2F">
            <w:pPr>
              <w:rPr>
                <w:rFonts w:ascii="宋体"/>
              </w:rPr>
            </w:pPr>
          </w:p>
        </w:tc>
        <w:tc>
          <w:tcPr>
            <w:tcW w:w="5" w:type="pct"/>
            <w:shd w:val="clear" w:color="auto" w:fill="auto"/>
            <w:vAlign w:val="bottom"/>
          </w:tcPr>
          <w:p w14:paraId="2470DD5D" w14:textId="77777777" w:rsidR="009C6E2F" w:rsidRDefault="009C6E2F">
            <w:pPr>
              <w:rPr>
                <w:rFonts w:ascii="宋体"/>
              </w:rPr>
            </w:pPr>
          </w:p>
        </w:tc>
        <w:tc>
          <w:tcPr>
            <w:tcW w:w="50" w:type="pct"/>
            <w:shd w:val="clear" w:color="auto" w:fill="auto"/>
            <w:vAlign w:val="bottom"/>
          </w:tcPr>
          <w:p w14:paraId="2470DD5E" w14:textId="77777777" w:rsidR="009C6E2F" w:rsidRDefault="009C6E2F">
            <w:pPr>
              <w:rPr>
                <w:rFonts w:ascii="宋体"/>
              </w:rPr>
            </w:pPr>
          </w:p>
        </w:tc>
        <w:tc>
          <w:tcPr>
            <w:tcW w:w="384" w:type="pct"/>
            <w:shd w:val="clear" w:color="auto" w:fill="auto"/>
            <w:vAlign w:val="bottom"/>
          </w:tcPr>
          <w:p w14:paraId="2470DD5F" w14:textId="77777777" w:rsidR="009C6E2F" w:rsidRDefault="009C6E2F">
            <w:pPr>
              <w:rPr>
                <w:rFonts w:ascii="宋体"/>
              </w:rPr>
            </w:pPr>
          </w:p>
        </w:tc>
        <w:tc>
          <w:tcPr>
            <w:tcW w:w="5" w:type="pct"/>
            <w:shd w:val="clear" w:color="auto" w:fill="auto"/>
            <w:vAlign w:val="bottom"/>
          </w:tcPr>
          <w:p w14:paraId="2470DD60" w14:textId="77777777" w:rsidR="009C6E2F" w:rsidRDefault="009C6E2F">
            <w:pPr>
              <w:rPr>
                <w:rFonts w:ascii="宋体"/>
              </w:rPr>
            </w:pPr>
          </w:p>
        </w:tc>
        <w:tc>
          <w:tcPr>
            <w:tcW w:w="50" w:type="pct"/>
            <w:shd w:val="clear" w:color="auto" w:fill="auto"/>
            <w:vAlign w:val="bottom"/>
          </w:tcPr>
          <w:p w14:paraId="2470DD61" w14:textId="77777777" w:rsidR="009C6E2F" w:rsidRDefault="009C6E2F">
            <w:pPr>
              <w:rPr>
                <w:rFonts w:ascii="宋体"/>
              </w:rPr>
            </w:pPr>
          </w:p>
        </w:tc>
        <w:tc>
          <w:tcPr>
            <w:tcW w:w="384" w:type="pct"/>
            <w:shd w:val="clear" w:color="auto" w:fill="auto"/>
            <w:vAlign w:val="bottom"/>
          </w:tcPr>
          <w:p w14:paraId="2470DD62" w14:textId="77777777" w:rsidR="009C6E2F" w:rsidRDefault="009C6E2F">
            <w:pPr>
              <w:rPr>
                <w:rFonts w:ascii="宋体"/>
              </w:rPr>
            </w:pPr>
          </w:p>
        </w:tc>
        <w:tc>
          <w:tcPr>
            <w:tcW w:w="5" w:type="pct"/>
            <w:shd w:val="clear" w:color="auto" w:fill="auto"/>
            <w:vAlign w:val="bottom"/>
          </w:tcPr>
          <w:p w14:paraId="2470DD63" w14:textId="77777777" w:rsidR="009C6E2F" w:rsidRDefault="009C6E2F">
            <w:pPr>
              <w:rPr>
                <w:rFonts w:ascii="宋体"/>
              </w:rPr>
            </w:pPr>
          </w:p>
        </w:tc>
        <w:tc>
          <w:tcPr>
            <w:tcW w:w="50" w:type="pct"/>
            <w:shd w:val="clear" w:color="auto" w:fill="auto"/>
            <w:vAlign w:val="bottom"/>
          </w:tcPr>
          <w:p w14:paraId="2470DD64" w14:textId="77777777" w:rsidR="009C6E2F" w:rsidRDefault="009C6E2F">
            <w:pPr>
              <w:rPr>
                <w:rFonts w:ascii="宋体"/>
              </w:rPr>
            </w:pPr>
          </w:p>
        </w:tc>
        <w:tc>
          <w:tcPr>
            <w:tcW w:w="384" w:type="pct"/>
            <w:shd w:val="clear" w:color="auto" w:fill="auto"/>
            <w:vAlign w:val="bottom"/>
          </w:tcPr>
          <w:p w14:paraId="2470DD65" w14:textId="77777777" w:rsidR="009C6E2F" w:rsidRDefault="009C6E2F">
            <w:pPr>
              <w:rPr>
                <w:rFonts w:ascii="宋体"/>
              </w:rPr>
            </w:pPr>
          </w:p>
        </w:tc>
        <w:tc>
          <w:tcPr>
            <w:tcW w:w="5" w:type="pct"/>
            <w:shd w:val="clear" w:color="auto" w:fill="auto"/>
            <w:vAlign w:val="bottom"/>
          </w:tcPr>
          <w:p w14:paraId="2470DD66" w14:textId="77777777" w:rsidR="009C6E2F" w:rsidRDefault="009C6E2F">
            <w:pPr>
              <w:rPr>
                <w:rFonts w:ascii="宋体"/>
              </w:rPr>
            </w:pPr>
          </w:p>
        </w:tc>
        <w:tc>
          <w:tcPr>
            <w:tcW w:w="0" w:type="auto"/>
            <w:shd w:val="clear" w:color="auto" w:fill="auto"/>
            <w:vAlign w:val="bottom"/>
          </w:tcPr>
          <w:p w14:paraId="2470DD67" w14:textId="77777777" w:rsidR="009C6E2F" w:rsidRDefault="009C6E2F">
            <w:pPr>
              <w:rPr>
                <w:rFonts w:ascii="宋体"/>
                <w:vanish/>
              </w:rPr>
            </w:pPr>
          </w:p>
        </w:tc>
        <w:tc>
          <w:tcPr>
            <w:tcW w:w="0" w:type="auto"/>
            <w:shd w:val="clear" w:color="auto" w:fill="auto"/>
            <w:vAlign w:val="bottom"/>
          </w:tcPr>
          <w:p w14:paraId="2470DD68" w14:textId="77777777" w:rsidR="009C6E2F" w:rsidRDefault="009C6E2F">
            <w:pPr>
              <w:rPr>
                <w:rFonts w:ascii="宋体"/>
                <w:vanish/>
              </w:rPr>
            </w:pPr>
          </w:p>
        </w:tc>
        <w:tc>
          <w:tcPr>
            <w:tcW w:w="0" w:type="auto"/>
            <w:gridSpan w:val="3"/>
            <w:shd w:val="clear" w:color="auto" w:fill="auto"/>
            <w:vAlign w:val="bottom"/>
          </w:tcPr>
          <w:p w14:paraId="2470DD69" w14:textId="77777777" w:rsidR="009C6E2F" w:rsidRDefault="009C6E2F">
            <w:pPr>
              <w:rPr>
                <w:rFonts w:ascii="宋体"/>
                <w:vanish/>
              </w:rPr>
            </w:pPr>
          </w:p>
        </w:tc>
        <w:tc>
          <w:tcPr>
            <w:tcW w:w="0" w:type="auto"/>
            <w:gridSpan w:val="3"/>
            <w:shd w:val="clear" w:color="auto" w:fill="auto"/>
            <w:vAlign w:val="bottom"/>
          </w:tcPr>
          <w:p w14:paraId="2470DD6A" w14:textId="77777777" w:rsidR="009C6E2F" w:rsidRDefault="009C6E2F">
            <w:pPr>
              <w:rPr>
                <w:rFonts w:ascii="宋体"/>
                <w:vanish/>
              </w:rPr>
            </w:pPr>
          </w:p>
        </w:tc>
        <w:tc>
          <w:tcPr>
            <w:tcW w:w="0" w:type="auto"/>
            <w:gridSpan w:val="3"/>
            <w:shd w:val="clear" w:color="auto" w:fill="auto"/>
            <w:vAlign w:val="bottom"/>
          </w:tcPr>
          <w:p w14:paraId="2470DD6B" w14:textId="77777777" w:rsidR="009C6E2F" w:rsidRDefault="009C6E2F">
            <w:pPr>
              <w:rPr>
                <w:rFonts w:ascii="宋体"/>
                <w:vanish/>
              </w:rPr>
            </w:pPr>
          </w:p>
        </w:tc>
      </w:tr>
      <w:tr w:rsidR="009C6E2F" w14:paraId="2470DD7C" w14:textId="77777777">
        <w:tc>
          <w:tcPr>
            <w:tcW w:w="0" w:type="auto"/>
            <w:gridSpan w:val="3"/>
            <w:shd w:val="clear" w:color="auto" w:fill="auto"/>
            <w:tcMar>
              <w:top w:w="0" w:type="dxa"/>
              <w:left w:w="20" w:type="dxa"/>
              <w:bottom w:w="0" w:type="dxa"/>
              <w:right w:w="20" w:type="dxa"/>
            </w:tcMar>
            <w:vAlign w:val="bottom"/>
          </w:tcPr>
          <w:p w14:paraId="2470DD6D"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D6E"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D6F"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D70"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D71" w14:textId="77777777" w:rsidR="009C6E2F" w:rsidRDefault="009C6E2F">
            <w:pPr>
              <w:rPr>
                <w:rFonts w:ascii="宋体"/>
                <w:vanish/>
              </w:rPr>
            </w:pPr>
          </w:p>
        </w:tc>
        <w:tc>
          <w:tcPr>
            <w:tcW w:w="0" w:type="auto"/>
            <w:shd w:val="clear" w:color="auto" w:fill="auto"/>
            <w:vAlign w:val="bottom"/>
          </w:tcPr>
          <w:p w14:paraId="2470DD72" w14:textId="77777777" w:rsidR="009C6E2F" w:rsidRDefault="009C6E2F">
            <w:pPr>
              <w:rPr>
                <w:rFonts w:ascii="宋体"/>
                <w:vanish/>
              </w:rPr>
            </w:pPr>
          </w:p>
        </w:tc>
        <w:tc>
          <w:tcPr>
            <w:tcW w:w="0" w:type="auto"/>
            <w:shd w:val="clear" w:color="auto" w:fill="auto"/>
            <w:vAlign w:val="bottom"/>
          </w:tcPr>
          <w:p w14:paraId="2470DD73" w14:textId="77777777" w:rsidR="009C6E2F" w:rsidRDefault="009C6E2F">
            <w:pPr>
              <w:rPr>
                <w:rFonts w:ascii="宋体"/>
              </w:rPr>
            </w:pPr>
          </w:p>
        </w:tc>
        <w:tc>
          <w:tcPr>
            <w:tcW w:w="0" w:type="auto"/>
            <w:shd w:val="clear" w:color="auto" w:fill="auto"/>
            <w:vAlign w:val="bottom"/>
          </w:tcPr>
          <w:p w14:paraId="2470DD74" w14:textId="77777777" w:rsidR="009C6E2F" w:rsidRDefault="009C6E2F">
            <w:pPr>
              <w:rPr>
                <w:rFonts w:ascii="宋体"/>
              </w:rPr>
            </w:pPr>
          </w:p>
        </w:tc>
        <w:tc>
          <w:tcPr>
            <w:tcW w:w="0" w:type="auto"/>
            <w:shd w:val="clear" w:color="auto" w:fill="auto"/>
            <w:vAlign w:val="bottom"/>
          </w:tcPr>
          <w:p w14:paraId="2470DD75" w14:textId="77777777" w:rsidR="009C6E2F" w:rsidRDefault="009C6E2F">
            <w:pPr>
              <w:rPr>
                <w:rFonts w:ascii="宋体"/>
              </w:rPr>
            </w:pPr>
          </w:p>
        </w:tc>
        <w:tc>
          <w:tcPr>
            <w:tcW w:w="0" w:type="auto"/>
            <w:shd w:val="clear" w:color="auto" w:fill="auto"/>
            <w:vAlign w:val="bottom"/>
          </w:tcPr>
          <w:p w14:paraId="2470DD76" w14:textId="77777777" w:rsidR="009C6E2F" w:rsidRDefault="009C6E2F">
            <w:pPr>
              <w:rPr>
                <w:rFonts w:ascii="宋体"/>
              </w:rPr>
            </w:pPr>
          </w:p>
        </w:tc>
        <w:tc>
          <w:tcPr>
            <w:tcW w:w="0" w:type="auto"/>
            <w:shd w:val="clear" w:color="auto" w:fill="auto"/>
            <w:vAlign w:val="bottom"/>
          </w:tcPr>
          <w:p w14:paraId="2470DD77" w14:textId="77777777" w:rsidR="009C6E2F" w:rsidRDefault="009C6E2F">
            <w:pPr>
              <w:rPr>
                <w:rFonts w:ascii="宋体"/>
              </w:rPr>
            </w:pPr>
          </w:p>
        </w:tc>
        <w:tc>
          <w:tcPr>
            <w:tcW w:w="0" w:type="auto"/>
            <w:shd w:val="clear" w:color="auto" w:fill="auto"/>
            <w:vAlign w:val="bottom"/>
          </w:tcPr>
          <w:p w14:paraId="2470DD78" w14:textId="77777777" w:rsidR="009C6E2F" w:rsidRDefault="009C6E2F">
            <w:pPr>
              <w:rPr>
                <w:rFonts w:ascii="宋体"/>
              </w:rPr>
            </w:pPr>
          </w:p>
        </w:tc>
        <w:tc>
          <w:tcPr>
            <w:tcW w:w="0" w:type="auto"/>
            <w:shd w:val="clear" w:color="auto" w:fill="auto"/>
            <w:vAlign w:val="bottom"/>
          </w:tcPr>
          <w:p w14:paraId="2470DD79" w14:textId="77777777" w:rsidR="009C6E2F" w:rsidRDefault="009C6E2F">
            <w:pPr>
              <w:rPr>
                <w:rFonts w:ascii="宋体"/>
              </w:rPr>
            </w:pPr>
          </w:p>
        </w:tc>
        <w:tc>
          <w:tcPr>
            <w:tcW w:w="0" w:type="auto"/>
            <w:shd w:val="clear" w:color="auto" w:fill="auto"/>
            <w:vAlign w:val="bottom"/>
          </w:tcPr>
          <w:p w14:paraId="2470DD7A" w14:textId="77777777" w:rsidR="009C6E2F" w:rsidRDefault="009C6E2F">
            <w:pPr>
              <w:rPr>
                <w:rFonts w:ascii="宋体"/>
              </w:rPr>
            </w:pPr>
          </w:p>
        </w:tc>
        <w:tc>
          <w:tcPr>
            <w:tcW w:w="0" w:type="auto"/>
            <w:shd w:val="clear" w:color="auto" w:fill="auto"/>
            <w:vAlign w:val="bottom"/>
          </w:tcPr>
          <w:p w14:paraId="2470DD7B" w14:textId="77777777" w:rsidR="009C6E2F" w:rsidRDefault="009C6E2F">
            <w:pPr>
              <w:rPr>
                <w:rFonts w:ascii="宋体"/>
              </w:rPr>
            </w:pPr>
          </w:p>
        </w:tc>
      </w:tr>
      <w:tr w:rsidR="009C6E2F" w14:paraId="2470DD8C" w14:textId="77777777">
        <w:tc>
          <w:tcPr>
            <w:tcW w:w="0" w:type="auto"/>
            <w:gridSpan w:val="3"/>
            <w:shd w:val="clear" w:color="auto" w:fill="auto"/>
            <w:tcMar>
              <w:top w:w="40" w:type="dxa"/>
              <w:left w:w="20" w:type="dxa"/>
              <w:bottom w:w="40" w:type="dxa"/>
              <w:right w:w="20" w:type="dxa"/>
            </w:tcMar>
            <w:vAlign w:val="bottom"/>
          </w:tcPr>
          <w:p w14:paraId="2470DD7D" w14:textId="77777777" w:rsidR="009C6E2F" w:rsidRDefault="007972BE">
            <w:pP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7E"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7F"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80"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81"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470DD82"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83"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84"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85"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86"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470DD87" w14:textId="77777777" w:rsidR="009C6E2F" w:rsidRDefault="009C6E2F">
            <w:pPr>
              <w:rPr>
                <w:rFonts w:ascii="宋体"/>
                <w:vanish/>
              </w:rPr>
            </w:pPr>
          </w:p>
        </w:tc>
        <w:tc>
          <w:tcPr>
            <w:tcW w:w="0" w:type="auto"/>
            <w:shd w:val="clear" w:color="auto" w:fill="auto"/>
            <w:vAlign w:val="bottom"/>
          </w:tcPr>
          <w:p w14:paraId="2470DD88" w14:textId="77777777" w:rsidR="009C6E2F" w:rsidRDefault="009C6E2F">
            <w:pPr>
              <w:rPr>
                <w:rFonts w:ascii="宋体"/>
                <w:vanish/>
              </w:rPr>
            </w:pPr>
          </w:p>
        </w:tc>
        <w:tc>
          <w:tcPr>
            <w:tcW w:w="0" w:type="auto"/>
            <w:gridSpan w:val="3"/>
            <w:shd w:val="clear" w:color="auto" w:fill="auto"/>
            <w:vAlign w:val="bottom"/>
          </w:tcPr>
          <w:p w14:paraId="2470DD89" w14:textId="77777777" w:rsidR="009C6E2F" w:rsidRDefault="009C6E2F">
            <w:pPr>
              <w:rPr>
                <w:rFonts w:ascii="宋体"/>
                <w:vanish/>
              </w:rPr>
            </w:pPr>
          </w:p>
        </w:tc>
        <w:tc>
          <w:tcPr>
            <w:tcW w:w="0" w:type="auto"/>
            <w:gridSpan w:val="3"/>
            <w:shd w:val="clear" w:color="auto" w:fill="auto"/>
            <w:vAlign w:val="bottom"/>
          </w:tcPr>
          <w:p w14:paraId="2470DD8A" w14:textId="77777777" w:rsidR="009C6E2F" w:rsidRDefault="009C6E2F">
            <w:pPr>
              <w:rPr>
                <w:rFonts w:ascii="宋体"/>
                <w:vanish/>
              </w:rPr>
            </w:pPr>
          </w:p>
        </w:tc>
        <w:tc>
          <w:tcPr>
            <w:tcW w:w="0" w:type="auto"/>
            <w:gridSpan w:val="3"/>
            <w:shd w:val="clear" w:color="auto" w:fill="auto"/>
            <w:vAlign w:val="bottom"/>
          </w:tcPr>
          <w:p w14:paraId="2470DD8B" w14:textId="77777777" w:rsidR="009C6E2F" w:rsidRDefault="009C6E2F">
            <w:pPr>
              <w:rPr>
                <w:rFonts w:ascii="宋体"/>
                <w:vanish/>
              </w:rPr>
            </w:pPr>
          </w:p>
        </w:tc>
      </w:tr>
      <w:tr w:rsidR="009C6E2F" w14:paraId="2470DD9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8D"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D8E"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8F"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90"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91"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92"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D9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9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9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96" w14:textId="77777777" w:rsidR="009C6E2F" w:rsidRDefault="009C6E2F">
            <w:pPr>
              <w:rPr>
                <w:rFonts w:ascii="宋体"/>
              </w:rPr>
            </w:pPr>
          </w:p>
        </w:tc>
        <w:tc>
          <w:tcPr>
            <w:tcW w:w="0" w:type="auto"/>
            <w:shd w:val="clear" w:color="auto" w:fill="auto"/>
            <w:vAlign w:val="bottom"/>
          </w:tcPr>
          <w:p w14:paraId="2470DD97" w14:textId="77777777" w:rsidR="009C6E2F" w:rsidRDefault="009C6E2F">
            <w:pPr>
              <w:rPr>
                <w:rFonts w:ascii="宋体"/>
                <w:vanish/>
              </w:rPr>
            </w:pPr>
          </w:p>
        </w:tc>
        <w:tc>
          <w:tcPr>
            <w:tcW w:w="0" w:type="auto"/>
            <w:shd w:val="clear" w:color="auto" w:fill="auto"/>
            <w:vAlign w:val="bottom"/>
          </w:tcPr>
          <w:p w14:paraId="2470DD98" w14:textId="77777777" w:rsidR="009C6E2F" w:rsidRDefault="009C6E2F">
            <w:pPr>
              <w:rPr>
                <w:rFonts w:ascii="宋体"/>
                <w:vanish/>
              </w:rPr>
            </w:pPr>
          </w:p>
        </w:tc>
        <w:tc>
          <w:tcPr>
            <w:tcW w:w="0" w:type="auto"/>
            <w:gridSpan w:val="3"/>
            <w:shd w:val="clear" w:color="auto" w:fill="auto"/>
            <w:vAlign w:val="bottom"/>
          </w:tcPr>
          <w:p w14:paraId="2470DD99" w14:textId="77777777" w:rsidR="009C6E2F" w:rsidRDefault="009C6E2F">
            <w:pPr>
              <w:rPr>
                <w:rFonts w:ascii="宋体"/>
                <w:vanish/>
              </w:rPr>
            </w:pPr>
          </w:p>
        </w:tc>
        <w:tc>
          <w:tcPr>
            <w:tcW w:w="0" w:type="auto"/>
            <w:gridSpan w:val="3"/>
            <w:shd w:val="clear" w:color="auto" w:fill="auto"/>
            <w:vAlign w:val="bottom"/>
          </w:tcPr>
          <w:p w14:paraId="2470DD9A" w14:textId="77777777" w:rsidR="009C6E2F" w:rsidRDefault="009C6E2F">
            <w:pPr>
              <w:rPr>
                <w:rFonts w:ascii="宋体"/>
                <w:vanish/>
              </w:rPr>
            </w:pPr>
          </w:p>
        </w:tc>
        <w:tc>
          <w:tcPr>
            <w:tcW w:w="0" w:type="auto"/>
            <w:gridSpan w:val="3"/>
            <w:shd w:val="clear" w:color="auto" w:fill="auto"/>
            <w:vAlign w:val="bottom"/>
          </w:tcPr>
          <w:p w14:paraId="2470DD9B" w14:textId="77777777" w:rsidR="009C6E2F" w:rsidRDefault="009C6E2F">
            <w:pPr>
              <w:rPr>
                <w:rFonts w:ascii="宋体"/>
                <w:vanish/>
              </w:rPr>
            </w:pPr>
          </w:p>
        </w:tc>
      </w:tr>
      <w:tr w:rsidR="009C6E2F" w14:paraId="2470DDB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D9D"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D9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D9F" w14:textId="77777777" w:rsidR="009C6E2F" w:rsidRDefault="007972BE">
            <w:pPr>
              <w:jc w:val="right"/>
              <w:textAlignment w:val="bottom"/>
            </w:pPr>
            <w:r>
              <w:rPr>
                <w:rFonts w:ascii="Arial" w:eastAsia="宋体" w:hAnsi="Arial" w:cs="Arial"/>
                <w:color w:val="000000"/>
                <w:sz w:val="17"/>
                <w:szCs w:val="17"/>
              </w:rPr>
              <w:t>887 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DA0"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DA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DA2" w14:textId="77777777" w:rsidR="009C6E2F" w:rsidRDefault="007972BE">
            <w:pPr>
              <w:jc w:val="right"/>
              <w:textAlignment w:val="bottom"/>
            </w:pPr>
            <w:r>
              <w:rPr>
                <w:rFonts w:ascii="Arial" w:eastAsia="宋体" w:hAnsi="Arial" w:cs="Arial"/>
                <w:color w:val="000000"/>
                <w:sz w:val="17"/>
                <w:szCs w:val="17"/>
              </w:rPr>
              <w:t>991 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A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A4" w14:textId="77777777" w:rsidR="009C6E2F" w:rsidRDefault="007972BE">
            <w:pPr>
              <w:jc w:val="right"/>
              <w:textAlignment w:val="bottom"/>
            </w:pPr>
            <w:r>
              <w:rPr>
                <w:rFonts w:ascii="Arial" w:eastAsia="宋体" w:hAnsi="Arial" w:cs="Arial"/>
                <w:color w:val="000000"/>
                <w:sz w:val="17"/>
                <w:szCs w:val="17"/>
              </w:rPr>
              <w:t>-10 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A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A6"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A7"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DA8"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DA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DAA" w14:textId="77777777" w:rsidR="009C6E2F" w:rsidRDefault="007972BE">
            <w:pPr>
              <w:jc w:val="right"/>
              <w:textAlignment w:val="bottom"/>
            </w:pPr>
            <w:r>
              <w:rPr>
                <w:rFonts w:ascii="Arial" w:eastAsia="宋体" w:hAnsi="Arial" w:cs="Arial"/>
                <w:color w:val="000000"/>
                <w:sz w:val="17"/>
                <w:szCs w:val="17"/>
              </w:rPr>
              <w:t>1,909 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DAB"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DA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DAD" w14:textId="77777777" w:rsidR="009C6E2F" w:rsidRDefault="007972BE">
            <w:pPr>
              <w:jc w:val="right"/>
              <w:textAlignment w:val="bottom"/>
            </w:pPr>
            <w:r>
              <w:rPr>
                <w:rFonts w:ascii="Arial" w:eastAsia="宋体" w:hAnsi="Arial" w:cs="Arial"/>
                <w:color w:val="000000"/>
                <w:sz w:val="17"/>
                <w:szCs w:val="17"/>
              </w:rPr>
              <w:t>1,749 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A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AF"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B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B1" w14:textId="77777777" w:rsidR="009C6E2F" w:rsidRDefault="007972BE">
            <w:pPr>
              <w:jc w:val="right"/>
              <w:textAlignment w:val="bottom"/>
            </w:pPr>
            <w:r>
              <w:rPr>
                <w:rFonts w:ascii="Arial" w:eastAsia="宋体" w:hAnsi="Arial" w:cs="Arial"/>
                <w:color w:val="000000"/>
                <w:sz w:val="17"/>
                <w:szCs w:val="17"/>
              </w:rPr>
              <w:t>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B2"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DB3" w14:textId="77777777" w:rsidR="009C6E2F" w:rsidRDefault="009C6E2F">
            <w:pPr>
              <w:rPr>
                <w:rFonts w:ascii="宋体"/>
                <w:vanish/>
              </w:rPr>
            </w:pPr>
          </w:p>
        </w:tc>
        <w:tc>
          <w:tcPr>
            <w:tcW w:w="0" w:type="auto"/>
            <w:shd w:val="clear" w:color="auto" w:fill="auto"/>
            <w:vAlign w:val="bottom"/>
          </w:tcPr>
          <w:p w14:paraId="2470DDB4" w14:textId="77777777" w:rsidR="009C6E2F" w:rsidRDefault="009C6E2F">
            <w:pPr>
              <w:rPr>
                <w:rFonts w:ascii="宋体"/>
                <w:vanish/>
              </w:rPr>
            </w:pPr>
          </w:p>
        </w:tc>
        <w:tc>
          <w:tcPr>
            <w:tcW w:w="0" w:type="auto"/>
            <w:gridSpan w:val="3"/>
            <w:shd w:val="clear" w:color="auto" w:fill="auto"/>
            <w:vAlign w:val="bottom"/>
          </w:tcPr>
          <w:p w14:paraId="2470DDB5" w14:textId="77777777" w:rsidR="009C6E2F" w:rsidRDefault="009C6E2F">
            <w:pPr>
              <w:rPr>
                <w:rFonts w:ascii="宋体"/>
                <w:vanish/>
              </w:rPr>
            </w:pPr>
          </w:p>
        </w:tc>
        <w:tc>
          <w:tcPr>
            <w:tcW w:w="0" w:type="auto"/>
            <w:gridSpan w:val="3"/>
            <w:shd w:val="clear" w:color="auto" w:fill="auto"/>
            <w:vAlign w:val="bottom"/>
          </w:tcPr>
          <w:p w14:paraId="2470DDB6" w14:textId="77777777" w:rsidR="009C6E2F" w:rsidRDefault="009C6E2F">
            <w:pPr>
              <w:rPr>
                <w:rFonts w:ascii="宋体"/>
                <w:vanish/>
              </w:rPr>
            </w:pPr>
          </w:p>
        </w:tc>
        <w:tc>
          <w:tcPr>
            <w:tcW w:w="0" w:type="auto"/>
            <w:gridSpan w:val="3"/>
            <w:shd w:val="clear" w:color="auto" w:fill="auto"/>
            <w:vAlign w:val="bottom"/>
          </w:tcPr>
          <w:p w14:paraId="2470DDB7" w14:textId="77777777" w:rsidR="009C6E2F" w:rsidRDefault="009C6E2F">
            <w:pPr>
              <w:rPr>
                <w:rFonts w:ascii="宋体"/>
                <w:vanish/>
              </w:rPr>
            </w:pPr>
          </w:p>
        </w:tc>
      </w:tr>
      <w:tr w:rsidR="009C6E2F" w14:paraId="2470DDD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DB9"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DBA" w14:textId="77777777" w:rsidR="009C6E2F" w:rsidRDefault="007972BE">
            <w:pPr>
              <w:jc w:val="right"/>
              <w:textAlignment w:val="bottom"/>
            </w:pPr>
            <w:r>
              <w:rPr>
                <w:rFonts w:ascii="Arial" w:eastAsia="宋体" w:hAnsi="Arial" w:cs="Arial"/>
                <w:color w:val="000000"/>
                <w:sz w:val="17"/>
                <w:szCs w:val="17"/>
              </w:rPr>
              <w:t>402 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DB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BC" w14:textId="77777777" w:rsidR="009C6E2F" w:rsidRDefault="007972BE">
            <w:pPr>
              <w:jc w:val="right"/>
              <w:textAlignment w:val="bottom"/>
            </w:pPr>
            <w:r>
              <w:rPr>
                <w:rFonts w:ascii="Arial" w:eastAsia="宋体" w:hAnsi="Arial" w:cs="Arial"/>
                <w:color w:val="000000"/>
                <w:sz w:val="17"/>
                <w:szCs w:val="17"/>
              </w:rPr>
              <w:t>432 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B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BE"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B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C0"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C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DC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DC3" w14:textId="77777777" w:rsidR="009C6E2F" w:rsidRDefault="007972BE">
            <w:pPr>
              <w:jc w:val="right"/>
              <w:textAlignment w:val="bottom"/>
            </w:pPr>
            <w:r>
              <w:rPr>
                <w:rFonts w:ascii="Arial" w:eastAsia="宋体" w:hAnsi="Arial" w:cs="Arial"/>
                <w:color w:val="000000"/>
                <w:sz w:val="17"/>
                <w:szCs w:val="17"/>
              </w:rPr>
              <w:t>787 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DC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C5" w14:textId="77777777" w:rsidR="009C6E2F" w:rsidRDefault="007972BE">
            <w:pPr>
              <w:jc w:val="right"/>
              <w:textAlignment w:val="bottom"/>
            </w:pPr>
            <w:r>
              <w:rPr>
                <w:rFonts w:ascii="Arial" w:eastAsia="宋体" w:hAnsi="Arial" w:cs="Arial"/>
                <w:color w:val="000000"/>
                <w:sz w:val="17"/>
                <w:szCs w:val="17"/>
              </w:rPr>
              <w:t>733 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C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C7"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C8"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C9"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CA"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DCB" w14:textId="77777777" w:rsidR="009C6E2F" w:rsidRDefault="009C6E2F">
            <w:pPr>
              <w:rPr>
                <w:rFonts w:ascii="宋体"/>
                <w:vanish/>
              </w:rPr>
            </w:pPr>
          </w:p>
        </w:tc>
        <w:tc>
          <w:tcPr>
            <w:tcW w:w="0" w:type="auto"/>
            <w:shd w:val="clear" w:color="auto" w:fill="auto"/>
            <w:vAlign w:val="bottom"/>
          </w:tcPr>
          <w:p w14:paraId="2470DDCC" w14:textId="77777777" w:rsidR="009C6E2F" w:rsidRDefault="009C6E2F">
            <w:pPr>
              <w:rPr>
                <w:rFonts w:ascii="宋体"/>
                <w:vanish/>
              </w:rPr>
            </w:pPr>
          </w:p>
        </w:tc>
        <w:tc>
          <w:tcPr>
            <w:tcW w:w="0" w:type="auto"/>
            <w:gridSpan w:val="3"/>
            <w:shd w:val="clear" w:color="auto" w:fill="auto"/>
            <w:vAlign w:val="bottom"/>
          </w:tcPr>
          <w:p w14:paraId="2470DDCD" w14:textId="77777777" w:rsidR="009C6E2F" w:rsidRDefault="009C6E2F">
            <w:pPr>
              <w:rPr>
                <w:rFonts w:ascii="宋体"/>
                <w:vanish/>
              </w:rPr>
            </w:pPr>
          </w:p>
        </w:tc>
        <w:tc>
          <w:tcPr>
            <w:tcW w:w="0" w:type="auto"/>
            <w:gridSpan w:val="3"/>
            <w:shd w:val="clear" w:color="auto" w:fill="auto"/>
            <w:vAlign w:val="bottom"/>
          </w:tcPr>
          <w:p w14:paraId="2470DDCE" w14:textId="77777777" w:rsidR="009C6E2F" w:rsidRDefault="009C6E2F">
            <w:pPr>
              <w:rPr>
                <w:rFonts w:ascii="宋体"/>
                <w:vanish/>
              </w:rPr>
            </w:pPr>
          </w:p>
        </w:tc>
        <w:tc>
          <w:tcPr>
            <w:tcW w:w="0" w:type="auto"/>
            <w:gridSpan w:val="3"/>
            <w:shd w:val="clear" w:color="auto" w:fill="auto"/>
            <w:vAlign w:val="bottom"/>
          </w:tcPr>
          <w:p w14:paraId="2470DDCF" w14:textId="77777777" w:rsidR="009C6E2F" w:rsidRDefault="009C6E2F">
            <w:pPr>
              <w:rPr>
                <w:rFonts w:ascii="宋体"/>
                <w:vanish/>
              </w:rPr>
            </w:pPr>
          </w:p>
        </w:tc>
      </w:tr>
      <w:tr w:rsidR="009C6E2F" w14:paraId="2470DDE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DD1"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DD2" w14:textId="77777777" w:rsidR="009C6E2F" w:rsidRDefault="007972BE">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DD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D4" w14:textId="77777777" w:rsidR="009C6E2F" w:rsidRDefault="007972BE">
            <w:pPr>
              <w:jc w:val="right"/>
              <w:textAlignment w:val="bottom"/>
            </w:pPr>
            <w:r>
              <w:rPr>
                <w:rFonts w:ascii="Arial" w:eastAsia="宋体" w:hAnsi="Arial" w:cs="Arial"/>
                <w:color w:val="000000"/>
                <w:sz w:val="17"/>
                <w:szCs w:val="17"/>
              </w:rPr>
              <w:t>48 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D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D6"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D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D8" w14:textId="77777777" w:rsidR="009C6E2F" w:rsidRDefault="007972BE">
            <w:pPr>
              <w:jc w:val="right"/>
              <w:textAlignment w:val="bottom"/>
            </w:pPr>
            <w:r>
              <w:rPr>
                <w:rFonts w:ascii="Arial" w:eastAsia="宋体" w:hAnsi="Arial" w:cs="Arial"/>
                <w:color w:val="000000"/>
                <w:sz w:val="17"/>
                <w:szCs w:val="17"/>
              </w:rPr>
              <w:t>22 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D9"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DD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DDB" w14:textId="77777777" w:rsidR="009C6E2F" w:rsidRDefault="007972BE">
            <w:pPr>
              <w:jc w:val="right"/>
              <w:textAlignment w:val="bottom"/>
            </w:pPr>
            <w:r>
              <w:rPr>
                <w:rFonts w:ascii="Arial" w:eastAsia="宋体" w:hAnsi="Arial" w:cs="Arial"/>
                <w:color w:val="000000"/>
                <w:sz w:val="17"/>
                <w:szCs w:val="17"/>
              </w:rPr>
              <w:t>116 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DD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DD" w14:textId="77777777" w:rsidR="009C6E2F" w:rsidRDefault="007972BE">
            <w:pPr>
              <w:jc w:val="right"/>
              <w:textAlignment w:val="bottom"/>
            </w:pPr>
            <w:r>
              <w:rPr>
                <w:rFonts w:ascii="Arial" w:eastAsia="宋体" w:hAnsi="Arial" w:cs="Arial"/>
                <w:color w:val="000000"/>
                <w:sz w:val="17"/>
                <w:szCs w:val="17"/>
              </w:rPr>
              <w:t>88 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D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DF" w14:textId="77777777" w:rsidR="009C6E2F" w:rsidRDefault="007972BE">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E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DE1" w14:textId="77777777" w:rsidR="009C6E2F" w:rsidRDefault="007972BE">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DE2"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DE3" w14:textId="77777777" w:rsidR="009C6E2F" w:rsidRDefault="009C6E2F">
            <w:pPr>
              <w:rPr>
                <w:rFonts w:ascii="宋体"/>
                <w:vanish/>
              </w:rPr>
            </w:pPr>
          </w:p>
        </w:tc>
        <w:tc>
          <w:tcPr>
            <w:tcW w:w="0" w:type="auto"/>
            <w:shd w:val="clear" w:color="auto" w:fill="auto"/>
            <w:vAlign w:val="bottom"/>
          </w:tcPr>
          <w:p w14:paraId="2470DDE4" w14:textId="77777777" w:rsidR="009C6E2F" w:rsidRDefault="009C6E2F">
            <w:pPr>
              <w:rPr>
                <w:rFonts w:ascii="宋体"/>
                <w:vanish/>
              </w:rPr>
            </w:pPr>
          </w:p>
        </w:tc>
        <w:tc>
          <w:tcPr>
            <w:tcW w:w="0" w:type="auto"/>
            <w:gridSpan w:val="3"/>
            <w:shd w:val="clear" w:color="auto" w:fill="auto"/>
            <w:vAlign w:val="bottom"/>
          </w:tcPr>
          <w:p w14:paraId="2470DDE5" w14:textId="77777777" w:rsidR="009C6E2F" w:rsidRDefault="009C6E2F">
            <w:pPr>
              <w:rPr>
                <w:rFonts w:ascii="宋体"/>
                <w:vanish/>
              </w:rPr>
            </w:pPr>
          </w:p>
        </w:tc>
        <w:tc>
          <w:tcPr>
            <w:tcW w:w="0" w:type="auto"/>
            <w:gridSpan w:val="3"/>
            <w:shd w:val="clear" w:color="auto" w:fill="auto"/>
            <w:vAlign w:val="bottom"/>
          </w:tcPr>
          <w:p w14:paraId="2470DDE6" w14:textId="77777777" w:rsidR="009C6E2F" w:rsidRDefault="009C6E2F">
            <w:pPr>
              <w:rPr>
                <w:rFonts w:ascii="宋体"/>
                <w:vanish/>
              </w:rPr>
            </w:pPr>
          </w:p>
        </w:tc>
        <w:tc>
          <w:tcPr>
            <w:tcW w:w="0" w:type="auto"/>
            <w:gridSpan w:val="3"/>
            <w:shd w:val="clear" w:color="auto" w:fill="auto"/>
            <w:vAlign w:val="bottom"/>
          </w:tcPr>
          <w:p w14:paraId="2470DDE7" w14:textId="77777777" w:rsidR="009C6E2F" w:rsidRDefault="009C6E2F">
            <w:pPr>
              <w:rPr>
                <w:rFonts w:ascii="宋体"/>
                <w:vanish/>
              </w:rPr>
            </w:pPr>
          </w:p>
        </w:tc>
      </w:tr>
      <w:tr w:rsidR="009C6E2F" w14:paraId="2470DE0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DE9"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DE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DEB" w14:textId="77777777" w:rsidR="009C6E2F" w:rsidRDefault="007972BE">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DE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DE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DEE" w14:textId="77777777" w:rsidR="009C6E2F" w:rsidRDefault="007972BE">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E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F0"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F1"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F2"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F3"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DF4"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DF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DF6" w14:textId="77777777" w:rsidR="009C6E2F" w:rsidRDefault="007972BE">
            <w:pPr>
              <w:jc w:val="right"/>
              <w:textAlignment w:val="bottom"/>
            </w:pPr>
            <w:r>
              <w:rPr>
                <w:rFonts w:ascii="Arial" w:eastAsia="宋体" w:hAnsi="Arial" w:cs="Arial"/>
                <w:b/>
                <w:bCs/>
                <w:color w:val="000000"/>
                <w:sz w:val="17"/>
                <w:szCs w:val="17"/>
              </w:rPr>
              <w:t>2,812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DF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DF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DF9" w14:textId="77777777" w:rsidR="009C6E2F" w:rsidRDefault="007972BE">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F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FB" w14:textId="77777777" w:rsidR="009C6E2F" w:rsidRDefault="007972BE">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FC"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DFD" w14:textId="77777777" w:rsidR="009C6E2F" w:rsidRDefault="007972BE">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DFE"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DFF" w14:textId="77777777" w:rsidR="009C6E2F" w:rsidRDefault="009C6E2F">
            <w:pPr>
              <w:rPr>
                <w:rFonts w:ascii="宋体"/>
                <w:vanish/>
              </w:rPr>
            </w:pPr>
          </w:p>
        </w:tc>
        <w:tc>
          <w:tcPr>
            <w:tcW w:w="0" w:type="auto"/>
            <w:shd w:val="clear" w:color="auto" w:fill="auto"/>
            <w:vAlign w:val="bottom"/>
          </w:tcPr>
          <w:p w14:paraId="2470DE00" w14:textId="77777777" w:rsidR="009C6E2F" w:rsidRDefault="009C6E2F">
            <w:pPr>
              <w:rPr>
                <w:rFonts w:ascii="宋体"/>
                <w:vanish/>
              </w:rPr>
            </w:pPr>
          </w:p>
        </w:tc>
        <w:tc>
          <w:tcPr>
            <w:tcW w:w="0" w:type="auto"/>
            <w:gridSpan w:val="3"/>
            <w:shd w:val="clear" w:color="auto" w:fill="auto"/>
            <w:vAlign w:val="bottom"/>
          </w:tcPr>
          <w:p w14:paraId="2470DE01" w14:textId="77777777" w:rsidR="009C6E2F" w:rsidRDefault="009C6E2F">
            <w:pPr>
              <w:rPr>
                <w:rFonts w:ascii="宋体"/>
                <w:vanish/>
              </w:rPr>
            </w:pPr>
          </w:p>
        </w:tc>
        <w:tc>
          <w:tcPr>
            <w:tcW w:w="0" w:type="auto"/>
            <w:gridSpan w:val="3"/>
            <w:shd w:val="clear" w:color="auto" w:fill="auto"/>
            <w:vAlign w:val="bottom"/>
          </w:tcPr>
          <w:p w14:paraId="2470DE02" w14:textId="77777777" w:rsidR="009C6E2F" w:rsidRDefault="009C6E2F">
            <w:pPr>
              <w:rPr>
                <w:rFonts w:ascii="宋体"/>
                <w:vanish/>
              </w:rPr>
            </w:pPr>
          </w:p>
        </w:tc>
        <w:tc>
          <w:tcPr>
            <w:tcW w:w="0" w:type="auto"/>
            <w:gridSpan w:val="3"/>
            <w:shd w:val="clear" w:color="auto" w:fill="auto"/>
            <w:vAlign w:val="bottom"/>
          </w:tcPr>
          <w:p w14:paraId="2470DE03" w14:textId="77777777" w:rsidR="009C6E2F" w:rsidRDefault="009C6E2F">
            <w:pPr>
              <w:rPr>
                <w:rFonts w:ascii="宋体"/>
                <w:vanish/>
              </w:rPr>
            </w:pPr>
          </w:p>
        </w:tc>
      </w:tr>
      <w:tr w:rsidR="009C6E2F" w14:paraId="2470DE1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05"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E0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0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0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0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0A"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E0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0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0D"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0E" w14:textId="77777777" w:rsidR="009C6E2F" w:rsidRDefault="009C6E2F">
            <w:pPr>
              <w:rPr>
                <w:rFonts w:ascii="宋体"/>
              </w:rPr>
            </w:pPr>
          </w:p>
        </w:tc>
        <w:tc>
          <w:tcPr>
            <w:tcW w:w="0" w:type="auto"/>
            <w:shd w:val="clear" w:color="auto" w:fill="auto"/>
            <w:vAlign w:val="bottom"/>
          </w:tcPr>
          <w:p w14:paraId="2470DE0F" w14:textId="77777777" w:rsidR="009C6E2F" w:rsidRDefault="009C6E2F">
            <w:pPr>
              <w:rPr>
                <w:rFonts w:ascii="宋体"/>
                <w:vanish/>
              </w:rPr>
            </w:pPr>
          </w:p>
        </w:tc>
        <w:tc>
          <w:tcPr>
            <w:tcW w:w="0" w:type="auto"/>
            <w:shd w:val="clear" w:color="auto" w:fill="auto"/>
            <w:vAlign w:val="bottom"/>
          </w:tcPr>
          <w:p w14:paraId="2470DE10" w14:textId="77777777" w:rsidR="009C6E2F" w:rsidRDefault="009C6E2F">
            <w:pPr>
              <w:rPr>
                <w:rFonts w:ascii="宋体"/>
                <w:vanish/>
              </w:rPr>
            </w:pPr>
          </w:p>
        </w:tc>
        <w:tc>
          <w:tcPr>
            <w:tcW w:w="0" w:type="auto"/>
            <w:gridSpan w:val="3"/>
            <w:shd w:val="clear" w:color="auto" w:fill="auto"/>
            <w:vAlign w:val="bottom"/>
          </w:tcPr>
          <w:p w14:paraId="2470DE11" w14:textId="77777777" w:rsidR="009C6E2F" w:rsidRDefault="009C6E2F">
            <w:pPr>
              <w:rPr>
                <w:rFonts w:ascii="宋体"/>
                <w:vanish/>
              </w:rPr>
            </w:pPr>
          </w:p>
        </w:tc>
        <w:tc>
          <w:tcPr>
            <w:tcW w:w="0" w:type="auto"/>
            <w:gridSpan w:val="3"/>
            <w:shd w:val="clear" w:color="auto" w:fill="auto"/>
            <w:vAlign w:val="bottom"/>
          </w:tcPr>
          <w:p w14:paraId="2470DE12" w14:textId="77777777" w:rsidR="009C6E2F" w:rsidRDefault="009C6E2F">
            <w:pPr>
              <w:rPr>
                <w:rFonts w:ascii="宋体"/>
                <w:vanish/>
              </w:rPr>
            </w:pPr>
          </w:p>
        </w:tc>
        <w:tc>
          <w:tcPr>
            <w:tcW w:w="0" w:type="auto"/>
            <w:gridSpan w:val="3"/>
            <w:shd w:val="clear" w:color="auto" w:fill="auto"/>
            <w:vAlign w:val="bottom"/>
          </w:tcPr>
          <w:p w14:paraId="2470DE13" w14:textId="77777777" w:rsidR="009C6E2F" w:rsidRDefault="009C6E2F">
            <w:pPr>
              <w:rPr>
                <w:rFonts w:ascii="宋体"/>
                <w:vanish/>
              </w:rPr>
            </w:pPr>
          </w:p>
        </w:tc>
      </w:tr>
      <w:tr w:rsidR="009C6E2F" w14:paraId="2470DE30"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E15"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E1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E17" w14:textId="77777777" w:rsidR="009C6E2F" w:rsidRDefault="007972BE">
            <w:pPr>
              <w:jc w:val="right"/>
              <w:textAlignment w:val="bottom"/>
            </w:pPr>
            <w:r>
              <w:rPr>
                <w:rFonts w:ascii="Arial" w:eastAsia="宋体" w:hAnsi="Arial" w:cs="Arial"/>
                <w:color w:val="000000"/>
                <w:sz w:val="17"/>
                <w:szCs w:val="17"/>
              </w:rPr>
              <w:t>784 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E18"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E1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E1A" w14:textId="77777777" w:rsidR="009C6E2F" w:rsidRDefault="007972BE">
            <w:pPr>
              <w:jc w:val="right"/>
              <w:textAlignment w:val="bottom"/>
            </w:pPr>
            <w:r>
              <w:rPr>
                <w:rFonts w:ascii="Arial" w:eastAsia="宋体" w:hAnsi="Arial" w:cs="Arial"/>
                <w:color w:val="000000"/>
                <w:sz w:val="17"/>
                <w:szCs w:val="17"/>
              </w:rPr>
              <w:t>925 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1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1C" w14:textId="77777777" w:rsidR="009C6E2F" w:rsidRDefault="007972BE">
            <w:pPr>
              <w:jc w:val="right"/>
              <w:textAlignment w:val="bottom"/>
            </w:pPr>
            <w:r>
              <w:rPr>
                <w:rFonts w:ascii="Arial" w:eastAsia="宋体" w:hAnsi="Arial" w:cs="Arial"/>
                <w:color w:val="000000"/>
                <w:sz w:val="17"/>
                <w:szCs w:val="17"/>
              </w:rPr>
              <w:t>-15 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1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1E"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1F"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E20"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E2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E22" w14:textId="77777777" w:rsidR="009C6E2F" w:rsidRDefault="007972BE">
            <w:pPr>
              <w:jc w:val="right"/>
              <w:textAlignment w:val="bottom"/>
            </w:pPr>
            <w:r>
              <w:rPr>
                <w:rFonts w:ascii="Arial" w:eastAsia="宋体" w:hAnsi="Arial" w:cs="Arial"/>
                <w:color w:val="000000"/>
                <w:sz w:val="17"/>
                <w:szCs w:val="17"/>
              </w:rPr>
              <w:t>1,711 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E23"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E2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E25" w14:textId="77777777" w:rsidR="009C6E2F" w:rsidRDefault="007972BE">
            <w:pPr>
              <w:jc w:val="right"/>
              <w:textAlignment w:val="bottom"/>
            </w:pPr>
            <w:r>
              <w:rPr>
                <w:rFonts w:ascii="Arial" w:eastAsia="宋体" w:hAnsi="Arial" w:cs="Arial"/>
                <w:color w:val="000000"/>
                <w:sz w:val="17"/>
                <w:szCs w:val="17"/>
              </w:rPr>
              <w:t>1,633 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2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27"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28"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29"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2A"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E2B" w14:textId="77777777" w:rsidR="009C6E2F" w:rsidRDefault="009C6E2F">
            <w:pPr>
              <w:rPr>
                <w:rFonts w:ascii="宋体"/>
                <w:vanish/>
              </w:rPr>
            </w:pPr>
          </w:p>
        </w:tc>
        <w:tc>
          <w:tcPr>
            <w:tcW w:w="0" w:type="auto"/>
            <w:shd w:val="clear" w:color="auto" w:fill="auto"/>
            <w:vAlign w:val="bottom"/>
          </w:tcPr>
          <w:p w14:paraId="2470DE2C" w14:textId="77777777" w:rsidR="009C6E2F" w:rsidRDefault="009C6E2F">
            <w:pPr>
              <w:rPr>
                <w:rFonts w:ascii="宋体"/>
                <w:vanish/>
              </w:rPr>
            </w:pPr>
          </w:p>
        </w:tc>
        <w:tc>
          <w:tcPr>
            <w:tcW w:w="0" w:type="auto"/>
            <w:gridSpan w:val="3"/>
            <w:shd w:val="clear" w:color="auto" w:fill="auto"/>
            <w:vAlign w:val="bottom"/>
          </w:tcPr>
          <w:p w14:paraId="2470DE2D" w14:textId="77777777" w:rsidR="009C6E2F" w:rsidRDefault="009C6E2F">
            <w:pPr>
              <w:rPr>
                <w:rFonts w:ascii="宋体"/>
                <w:vanish/>
              </w:rPr>
            </w:pPr>
          </w:p>
        </w:tc>
        <w:tc>
          <w:tcPr>
            <w:tcW w:w="0" w:type="auto"/>
            <w:gridSpan w:val="3"/>
            <w:shd w:val="clear" w:color="auto" w:fill="auto"/>
            <w:vAlign w:val="bottom"/>
          </w:tcPr>
          <w:p w14:paraId="2470DE2E" w14:textId="77777777" w:rsidR="009C6E2F" w:rsidRDefault="009C6E2F">
            <w:pPr>
              <w:rPr>
                <w:rFonts w:ascii="宋体"/>
                <w:vanish/>
              </w:rPr>
            </w:pPr>
          </w:p>
        </w:tc>
        <w:tc>
          <w:tcPr>
            <w:tcW w:w="0" w:type="auto"/>
            <w:gridSpan w:val="3"/>
            <w:shd w:val="clear" w:color="auto" w:fill="auto"/>
            <w:vAlign w:val="bottom"/>
          </w:tcPr>
          <w:p w14:paraId="2470DE2F" w14:textId="77777777" w:rsidR="009C6E2F" w:rsidRDefault="009C6E2F">
            <w:pPr>
              <w:rPr>
                <w:rFonts w:ascii="宋体"/>
                <w:vanish/>
              </w:rPr>
            </w:pPr>
          </w:p>
        </w:tc>
      </w:tr>
      <w:tr w:rsidR="009C6E2F" w14:paraId="2470DE4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E31" w14:textId="77777777" w:rsidR="009C6E2F" w:rsidRDefault="007972BE">
            <w:pPr>
              <w:textAlignment w:val="bottom"/>
            </w:pPr>
            <w:r>
              <w:rPr>
                <w:rFonts w:ascii="Arial" w:eastAsia="宋体" w:hAnsi="Arial" w:cs="Arial"/>
                <w:color w:val="000000"/>
                <w:sz w:val="17"/>
                <w:szCs w:val="17"/>
              </w:rPr>
              <w:t>Sales through NIKE Direct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E32" w14:textId="77777777" w:rsidR="009C6E2F" w:rsidRDefault="007972BE">
            <w:pPr>
              <w:jc w:val="right"/>
              <w:textAlignment w:val="bottom"/>
            </w:pPr>
            <w:r>
              <w:rPr>
                <w:rFonts w:ascii="Arial" w:eastAsia="宋体" w:hAnsi="Arial" w:cs="Arial"/>
                <w:color w:val="000000"/>
                <w:sz w:val="17"/>
                <w:szCs w:val="17"/>
              </w:rPr>
              <w:t>563 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E3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34" w14:textId="77777777" w:rsidR="009C6E2F" w:rsidRDefault="007972BE">
            <w:pPr>
              <w:jc w:val="right"/>
              <w:textAlignment w:val="bottom"/>
            </w:pPr>
            <w:r>
              <w:rPr>
                <w:rFonts w:ascii="Arial" w:eastAsia="宋体" w:hAnsi="Arial" w:cs="Arial"/>
                <w:color w:val="000000"/>
                <w:sz w:val="17"/>
                <w:szCs w:val="17"/>
              </w:rPr>
              <w:t>546 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3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36"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3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38"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39"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E3A"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E3B" w14:textId="77777777" w:rsidR="009C6E2F" w:rsidRDefault="007972BE">
            <w:pPr>
              <w:jc w:val="right"/>
              <w:textAlignment w:val="bottom"/>
            </w:pPr>
            <w:r>
              <w:rPr>
                <w:rFonts w:ascii="Arial" w:eastAsia="宋体" w:hAnsi="Arial" w:cs="Arial"/>
                <w:color w:val="000000"/>
                <w:sz w:val="17"/>
                <w:szCs w:val="17"/>
              </w:rPr>
              <w:t>1,101 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E3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3D" w14:textId="77777777" w:rsidR="009C6E2F" w:rsidRDefault="007972BE">
            <w:pPr>
              <w:jc w:val="right"/>
              <w:textAlignment w:val="bottom"/>
            </w:pPr>
            <w:r>
              <w:rPr>
                <w:rFonts w:ascii="Arial" w:eastAsia="宋体" w:hAnsi="Arial" w:cs="Arial"/>
                <w:color w:val="000000"/>
                <w:sz w:val="17"/>
                <w:szCs w:val="17"/>
              </w:rPr>
              <w:t>937 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3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3F" w14:textId="77777777" w:rsidR="009C6E2F" w:rsidRDefault="007972BE">
            <w:pPr>
              <w:jc w:val="right"/>
              <w:textAlignment w:val="bottom"/>
            </w:pPr>
            <w:r>
              <w:rPr>
                <w:rFonts w:ascii="Arial" w:eastAsia="宋体" w:hAnsi="Arial" w:cs="Arial"/>
                <w:color w:val="000000"/>
                <w:sz w:val="17"/>
                <w:szCs w:val="17"/>
              </w:rPr>
              <w:t>18 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4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E41" w14:textId="77777777" w:rsidR="009C6E2F" w:rsidRDefault="007972BE">
            <w:pPr>
              <w:jc w:val="right"/>
              <w:textAlignment w:val="bottom"/>
            </w:pPr>
            <w:r>
              <w:rPr>
                <w:rFonts w:ascii="Arial" w:eastAsia="宋体" w:hAnsi="Arial" w:cs="Arial"/>
                <w:color w:val="000000"/>
                <w:sz w:val="17"/>
                <w:szCs w:val="17"/>
              </w:rPr>
              <w:t>19 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E42"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E43" w14:textId="77777777" w:rsidR="009C6E2F" w:rsidRDefault="009C6E2F">
            <w:pPr>
              <w:rPr>
                <w:rFonts w:ascii="宋体"/>
                <w:vanish/>
              </w:rPr>
            </w:pPr>
          </w:p>
        </w:tc>
        <w:tc>
          <w:tcPr>
            <w:tcW w:w="0" w:type="auto"/>
            <w:shd w:val="clear" w:color="auto" w:fill="auto"/>
            <w:vAlign w:val="bottom"/>
          </w:tcPr>
          <w:p w14:paraId="2470DE44" w14:textId="77777777" w:rsidR="009C6E2F" w:rsidRDefault="009C6E2F">
            <w:pPr>
              <w:rPr>
                <w:rFonts w:ascii="宋体"/>
                <w:vanish/>
              </w:rPr>
            </w:pPr>
          </w:p>
        </w:tc>
        <w:tc>
          <w:tcPr>
            <w:tcW w:w="0" w:type="auto"/>
            <w:gridSpan w:val="3"/>
            <w:shd w:val="clear" w:color="auto" w:fill="auto"/>
            <w:vAlign w:val="bottom"/>
          </w:tcPr>
          <w:p w14:paraId="2470DE45" w14:textId="77777777" w:rsidR="009C6E2F" w:rsidRDefault="009C6E2F">
            <w:pPr>
              <w:rPr>
                <w:rFonts w:ascii="宋体"/>
                <w:vanish/>
              </w:rPr>
            </w:pPr>
          </w:p>
        </w:tc>
        <w:tc>
          <w:tcPr>
            <w:tcW w:w="0" w:type="auto"/>
            <w:gridSpan w:val="3"/>
            <w:shd w:val="clear" w:color="auto" w:fill="auto"/>
            <w:vAlign w:val="bottom"/>
          </w:tcPr>
          <w:p w14:paraId="2470DE46" w14:textId="77777777" w:rsidR="009C6E2F" w:rsidRDefault="009C6E2F">
            <w:pPr>
              <w:rPr>
                <w:rFonts w:ascii="宋体"/>
                <w:vanish/>
              </w:rPr>
            </w:pPr>
          </w:p>
        </w:tc>
        <w:tc>
          <w:tcPr>
            <w:tcW w:w="0" w:type="auto"/>
            <w:gridSpan w:val="3"/>
            <w:shd w:val="clear" w:color="auto" w:fill="auto"/>
            <w:vAlign w:val="bottom"/>
          </w:tcPr>
          <w:p w14:paraId="2470DE47" w14:textId="77777777" w:rsidR="009C6E2F" w:rsidRDefault="009C6E2F">
            <w:pPr>
              <w:rPr>
                <w:rFonts w:ascii="宋体"/>
                <w:vanish/>
              </w:rPr>
            </w:pPr>
          </w:p>
        </w:tc>
      </w:tr>
      <w:tr w:rsidR="009C6E2F" w14:paraId="2470DE6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49"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E4A"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E4B" w14:textId="77777777" w:rsidR="009C6E2F" w:rsidRDefault="007972BE">
            <w:pPr>
              <w:jc w:val="right"/>
              <w:textAlignment w:val="bottom"/>
            </w:pPr>
            <w:r>
              <w:rPr>
                <w:rFonts w:ascii="Arial" w:eastAsia="宋体" w:hAnsi="Arial" w:cs="Arial"/>
                <w:b/>
                <w:bCs/>
                <w:color w:val="000000"/>
                <w:sz w:val="17"/>
                <w:szCs w:val="17"/>
              </w:rPr>
              <w:t>1,347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E4C"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E4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E4E" w14:textId="77777777" w:rsidR="009C6E2F" w:rsidRDefault="007972BE">
            <w:pPr>
              <w:jc w:val="right"/>
              <w:textAlignment w:val="bottom"/>
            </w:pPr>
            <w:r>
              <w:rPr>
                <w:rFonts w:ascii="Arial" w:eastAsia="宋体" w:hAnsi="Arial" w:cs="Arial"/>
                <w:b/>
                <w:bCs/>
                <w:color w:val="000000"/>
                <w:sz w:val="17"/>
                <w:szCs w:val="17"/>
              </w:rPr>
              <w:t>1,471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4F"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50"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51"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52" w14:textId="77777777" w:rsidR="009C6E2F" w:rsidRDefault="007972BE">
            <w:pPr>
              <w:jc w:val="right"/>
              <w:textAlignment w:val="bottom"/>
            </w:pPr>
            <w:r>
              <w:rPr>
                <w:rFonts w:ascii="Arial" w:eastAsia="宋体" w:hAnsi="Arial" w:cs="Arial"/>
                <w:b/>
                <w:bCs/>
                <w:color w:val="000000"/>
                <w:sz w:val="17"/>
                <w:szCs w:val="17"/>
              </w:rPr>
              <w:t>-6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53"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54"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E55"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E56" w14:textId="77777777" w:rsidR="009C6E2F" w:rsidRDefault="007972BE">
            <w:pPr>
              <w:jc w:val="right"/>
              <w:textAlignment w:val="bottom"/>
            </w:pPr>
            <w:r>
              <w:rPr>
                <w:rFonts w:ascii="Arial" w:eastAsia="宋体" w:hAnsi="Arial" w:cs="Arial"/>
                <w:b/>
                <w:bCs/>
                <w:color w:val="000000"/>
                <w:sz w:val="17"/>
                <w:szCs w:val="17"/>
              </w:rPr>
              <w:t>2,8</w:t>
            </w:r>
            <w:r>
              <w:rPr>
                <w:rFonts w:ascii="Arial" w:eastAsia="宋体" w:hAnsi="Arial" w:cs="Arial"/>
                <w:b/>
                <w:bCs/>
                <w:color w:val="000000"/>
                <w:sz w:val="17"/>
                <w:szCs w:val="17"/>
              </w:rPr>
              <w:t>12</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E5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E5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E59" w14:textId="77777777" w:rsidR="009C6E2F" w:rsidRDefault="007972BE">
            <w:pPr>
              <w:jc w:val="right"/>
              <w:textAlignment w:val="bottom"/>
            </w:pPr>
            <w:r>
              <w:rPr>
                <w:rFonts w:ascii="Arial" w:eastAsia="宋体" w:hAnsi="Arial" w:cs="Arial"/>
                <w:b/>
                <w:bCs/>
                <w:color w:val="000000"/>
                <w:sz w:val="17"/>
                <w:szCs w:val="17"/>
              </w:rPr>
              <w:t>2,570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5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5B" w14:textId="77777777" w:rsidR="009C6E2F" w:rsidRDefault="007972BE">
            <w:pPr>
              <w:jc w:val="right"/>
              <w:textAlignment w:val="bottom"/>
            </w:pPr>
            <w:r>
              <w:rPr>
                <w:rFonts w:ascii="Arial" w:eastAsia="宋体" w:hAnsi="Arial" w:cs="Arial"/>
                <w:b/>
                <w:bCs/>
                <w:color w:val="000000"/>
                <w:sz w:val="17"/>
                <w:szCs w:val="17"/>
              </w:rPr>
              <w:t>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5C"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5D" w14:textId="77777777" w:rsidR="009C6E2F" w:rsidRDefault="007972BE">
            <w:pPr>
              <w:jc w:val="right"/>
              <w:textAlignment w:val="bottom"/>
            </w:pPr>
            <w:r>
              <w:rPr>
                <w:rFonts w:ascii="Arial" w:eastAsia="宋体" w:hAnsi="Arial" w:cs="Arial"/>
                <w:b/>
                <w:bCs/>
                <w:color w:val="000000"/>
                <w:sz w:val="17"/>
                <w:szCs w:val="17"/>
              </w:rPr>
              <w:t>10</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5E" w14:textId="77777777" w:rsidR="009C6E2F" w:rsidRDefault="007972BE">
            <w:pPr>
              <w:jc w:val="right"/>
              <w:textAlignment w:val="bottom"/>
            </w:pPr>
            <w:r>
              <w:rPr>
                <w:rFonts w:ascii="Arial" w:eastAsia="宋体" w:hAnsi="Arial" w:cs="Arial"/>
                <w:b/>
                <w:bCs/>
                <w:color w:val="000000"/>
                <w:sz w:val="17"/>
                <w:szCs w:val="17"/>
              </w:rPr>
              <w:t>%</w:t>
            </w:r>
          </w:p>
        </w:tc>
        <w:tc>
          <w:tcPr>
            <w:tcW w:w="0" w:type="auto"/>
            <w:shd w:val="clear" w:color="auto" w:fill="auto"/>
            <w:vAlign w:val="bottom"/>
          </w:tcPr>
          <w:p w14:paraId="2470DE5F" w14:textId="77777777" w:rsidR="009C6E2F" w:rsidRDefault="009C6E2F">
            <w:pPr>
              <w:rPr>
                <w:rFonts w:ascii="宋体"/>
                <w:vanish/>
              </w:rPr>
            </w:pPr>
          </w:p>
        </w:tc>
        <w:tc>
          <w:tcPr>
            <w:tcW w:w="0" w:type="auto"/>
            <w:shd w:val="clear" w:color="auto" w:fill="auto"/>
            <w:vAlign w:val="bottom"/>
          </w:tcPr>
          <w:p w14:paraId="2470DE60" w14:textId="77777777" w:rsidR="009C6E2F" w:rsidRDefault="009C6E2F">
            <w:pPr>
              <w:rPr>
                <w:rFonts w:ascii="宋体"/>
                <w:vanish/>
              </w:rPr>
            </w:pPr>
          </w:p>
        </w:tc>
        <w:tc>
          <w:tcPr>
            <w:tcW w:w="0" w:type="auto"/>
            <w:gridSpan w:val="3"/>
            <w:shd w:val="clear" w:color="auto" w:fill="auto"/>
            <w:vAlign w:val="bottom"/>
          </w:tcPr>
          <w:p w14:paraId="2470DE61" w14:textId="77777777" w:rsidR="009C6E2F" w:rsidRDefault="009C6E2F">
            <w:pPr>
              <w:rPr>
                <w:rFonts w:ascii="宋体"/>
                <w:vanish/>
              </w:rPr>
            </w:pPr>
          </w:p>
        </w:tc>
        <w:tc>
          <w:tcPr>
            <w:tcW w:w="0" w:type="auto"/>
            <w:gridSpan w:val="3"/>
            <w:shd w:val="clear" w:color="auto" w:fill="auto"/>
            <w:vAlign w:val="bottom"/>
          </w:tcPr>
          <w:p w14:paraId="2470DE62" w14:textId="77777777" w:rsidR="009C6E2F" w:rsidRDefault="009C6E2F">
            <w:pPr>
              <w:rPr>
                <w:rFonts w:ascii="宋体"/>
                <w:vanish/>
              </w:rPr>
            </w:pPr>
          </w:p>
        </w:tc>
        <w:tc>
          <w:tcPr>
            <w:tcW w:w="0" w:type="auto"/>
            <w:gridSpan w:val="3"/>
            <w:shd w:val="clear" w:color="auto" w:fill="auto"/>
            <w:vAlign w:val="bottom"/>
          </w:tcPr>
          <w:p w14:paraId="2470DE63" w14:textId="77777777" w:rsidR="009C6E2F" w:rsidRDefault="009C6E2F">
            <w:pPr>
              <w:rPr>
                <w:rFonts w:ascii="宋体"/>
                <w:vanish/>
              </w:rPr>
            </w:pPr>
          </w:p>
        </w:tc>
      </w:tr>
      <w:tr w:rsidR="009C6E2F" w14:paraId="2470DE7E"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DE65" w14:textId="77777777" w:rsidR="009C6E2F" w:rsidRDefault="007972BE">
            <w:pPr>
              <w:textAlignment w:val="bottom"/>
            </w:pPr>
            <w:r>
              <w:rPr>
                <w:rFonts w:ascii="Arial" w:eastAsia="宋体" w:hAnsi="Arial" w:cs="Arial"/>
                <w:b/>
                <w:bCs/>
                <w:color w:val="000000"/>
                <w:sz w:val="17"/>
                <w:szCs w:val="17"/>
              </w:rPr>
              <w:t>EARNINGS BEFORE INTEREST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E66"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E67" w14:textId="77777777" w:rsidR="009C6E2F" w:rsidRDefault="007972BE">
            <w:pPr>
              <w:jc w:val="right"/>
              <w:textAlignment w:val="bottom"/>
            </w:pPr>
            <w:r>
              <w:rPr>
                <w:rFonts w:ascii="Arial" w:eastAsia="宋体" w:hAnsi="Arial" w:cs="Arial"/>
                <w:b/>
                <w:bCs/>
                <w:color w:val="000000"/>
                <w:sz w:val="17"/>
                <w:szCs w:val="17"/>
              </w:rPr>
              <w:t>388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E68"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E6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E6A" w14:textId="77777777" w:rsidR="009C6E2F" w:rsidRDefault="007972BE">
            <w:pPr>
              <w:jc w:val="right"/>
              <w:textAlignment w:val="bottom"/>
            </w:pPr>
            <w:r>
              <w:rPr>
                <w:rFonts w:ascii="Arial" w:eastAsia="宋体" w:hAnsi="Arial" w:cs="Arial"/>
                <w:b/>
                <w:bCs/>
                <w:color w:val="000000"/>
                <w:sz w:val="17"/>
                <w:szCs w:val="17"/>
              </w:rPr>
              <w:t>424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E6B"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E6C" w14:textId="77777777" w:rsidR="009C6E2F" w:rsidRDefault="007972BE">
            <w:pPr>
              <w:jc w:val="right"/>
              <w:textAlignment w:val="bottom"/>
            </w:pPr>
            <w:r>
              <w:rPr>
                <w:rFonts w:ascii="Arial" w:eastAsia="宋体" w:hAnsi="Arial" w:cs="Arial"/>
                <w:b/>
                <w:bCs/>
                <w:color w:val="000000"/>
                <w:sz w:val="17"/>
                <w:szCs w:val="17"/>
              </w:rPr>
              <w:t>-8</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E6D"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E6E"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E6F"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DE7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DE71" w14:textId="77777777" w:rsidR="009C6E2F" w:rsidRDefault="007972BE">
            <w:pPr>
              <w:jc w:val="right"/>
              <w:textAlignment w:val="bottom"/>
            </w:pPr>
            <w:r>
              <w:rPr>
                <w:rFonts w:ascii="Arial" w:eastAsia="宋体" w:hAnsi="Arial" w:cs="Arial"/>
                <w:b/>
                <w:bCs/>
                <w:color w:val="000000"/>
                <w:sz w:val="17"/>
                <w:szCs w:val="17"/>
              </w:rPr>
              <w:t>869</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DE72"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E73"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DE74" w14:textId="77777777" w:rsidR="009C6E2F" w:rsidRDefault="007972BE">
            <w:pPr>
              <w:jc w:val="right"/>
              <w:textAlignment w:val="bottom"/>
            </w:pPr>
            <w:r>
              <w:rPr>
                <w:rFonts w:ascii="Arial" w:eastAsia="宋体" w:hAnsi="Arial" w:cs="Arial"/>
                <w:b/>
                <w:bCs/>
                <w:color w:val="000000"/>
                <w:sz w:val="17"/>
                <w:szCs w:val="17"/>
              </w:rPr>
              <w:t>704</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E75"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DE76" w14:textId="77777777" w:rsidR="009C6E2F" w:rsidRDefault="007972BE">
            <w:pPr>
              <w:jc w:val="right"/>
              <w:textAlignment w:val="bottom"/>
            </w:pPr>
            <w:r>
              <w:rPr>
                <w:rFonts w:ascii="Arial" w:eastAsia="宋体" w:hAnsi="Arial" w:cs="Arial"/>
                <w:b/>
                <w:bCs/>
                <w:color w:val="000000"/>
                <w:sz w:val="17"/>
                <w:szCs w:val="17"/>
              </w:rPr>
              <w:t>23</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DE77"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DE78" w14:textId="77777777" w:rsidR="009C6E2F" w:rsidRDefault="009C6E2F">
            <w:pPr>
              <w:rPr>
                <w:rFonts w:ascii="宋体"/>
              </w:rPr>
            </w:pPr>
          </w:p>
        </w:tc>
        <w:tc>
          <w:tcPr>
            <w:tcW w:w="0" w:type="auto"/>
            <w:shd w:val="clear" w:color="auto" w:fill="auto"/>
            <w:vAlign w:val="bottom"/>
          </w:tcPr>
          <w:p w14:paraId="2470DE79" w14:textId="77777777" w:rsidR="009C6E2F" w:rsidRDefault="009C6E2F">
            <w:pPr>
              <w:rPr>
                <w:rFonts w:ascii="宋体"/>
                <w:vanish/>
              </w:rPr>
            </w:pPr>
          </w:p>
        </w:tc>
        <w:tc>
          <w:tcPr>
            <w:tcW w:w="0" w:type="auto"/>
            <w:shd w:val="clear" w:color="auto" w:fill="auto"/>
            <w:vAlign w:val="bottom"/>
          </w:tcPr>
          <w:p w14:paraId="2470DE7A" w14:textId="77777777" w:rsidR="009C6E2F" w:rsidRDefault="009C6E2F">
            <w:pPr>
              <w:rPr>
                <w:rFonts w:ascii="宋体"/>
                <w:vanish/>
              </w:rPr>
            </w:pPr>
          </w:p>
        </w:tc>
        <w:tc>
          <w:tcPr>
            <w:tcW w:w="0" w:type="auto"/>
            <w:gridSpan w:val="3"/>
            <w:shd w:val="clear" w:color="auto" w:fill="auto"/>
            <w:vAlign w:val="bottom"/>
          </w:tcPr>
          <w:p w14:paraId="2470DE7B" w14:textId="77777777" w:rsidR="009C6E2F" w:rsidRDefault="009C6E2F">
            <w:pPr>
              <w:rPr>
                <w:rFonts w:ascii="宋体"/>
                <w:vanish/>
              </w:rPr>
            </w:pPr>
          </w:p>
        </w:tc>
        <w:tc>
          <w:tcPr>
            <w:tcW w:w="0" w:type="auto"/>
            <w:gridSpan w:val="3"/>
            <w:shd w:val="clear" w:color="auto" w:fill="auto"/>
            <w:vAlign w:val="bottom"/>
          </w:tcPr>
          <w:p w14:paraId="2470DE7C" w14:textId="77777777" w:rsidR="009C6E2F" w:rsidRDefault="009C6E2F">
            <w:pPr>
              <w:rPr>
                <w:rFonts w:ascii="宋体"/>
                <w:vanish/>
              </w:rPr>
            </w:pPr>
          </w:p>
        </w:tc>
        <w:tc>
          <w:tcPr>
            <w:tcW w:w="0" w:type="auto"/>
            <w:gridSpan w:val="3"/>
            <w:shd w:val="clear" w:color="auto" w:fill="auto"/>
            <w:vAlign w:val="bottom"/>
          </w:tcPr>
          <w:p w14:paraId="2470DE7D" w14:textId="77777777" w:rsidR="009C6E2F" w:rsidRDefault="009C6E2F">
            <w:pPr>
              <w:rPr>
                <w:rFonts w:ascii="宋体"/>
                <w:vanish/>
              </w:rPr>
            </w:pPr>
          </w:p>
        </w:tc>
      </w:tr>
    </w:tbl>
    <w:p w14:paraId="2470DE7F" w14:textId="77777777" w:rsidR="009C6E2F" w:rsidRDefault="007972BE">
      <w:pPr>
        <w:spacing w:before="120" w:after="120"/>
      </w:pPr>
      <w:r>
        <w:rPr>
          <w:rFonts w:ascii="Arial" w:eastAsia="宋体" w:hAnsi="Arial" w:cs="Arial"/>
          <w:color w:val="000000"/>
          <w:sz w:val="17"/>
          <w:szCs w:val="17"/>
        </w:rPr>
        <w:t>As discussed previously, our NIKE Brand business i</w:t>
      </w:r>
      <w:r>
        <w:rPr>
          <w:rFonts w:ascii="Arial" w:eastAsia="宋体" w:hAnsi="Arial" w:cs="Arial"/>
          <w:color w:val="000000"/>
          <w:sz w:val="17"/>
          <w:szCs w:val="17"/>
        </w:rPr>
        <w:t>n Brazil transitioned to a distributor operating model during fiscal 2021 and our NIKE Brand businesses in Argentina, Chile and Uruguay have remained classified as held-for-sale. The impacts of closing the Brazil transaction as well as classifying the Arge</w:t>
      </w:r>
      <w:r>
        <w:rPr>
          <w:rFonts w:ascii="Arial" w:eastAsia="宋体" w:hAnsi="Arial" w:cs="Arial"/>
          <w:color w:val="000000"/>
          <w:sz w:val="17"/>
          <w:szCs w:val="17"/>
        </w:rPr>
        <w:t xml:space="preserve">ntina, Chile, and Uruguay entities as held-for-sale in fiscal 2020 are included within Corporate and are not reflected in the APLA operating segment results. For more information see Note 12 — Acquisitions and Divestitures within the accompanying Notes to </w:t>
      </w:r>
      <w:r>
        <w:rPr>
          <w:rFonts w:ascii="Arial" w:eastAsia="宋体" w:hAnsi="Arial" w:cs="Arial"/>
          <w:color w:val="000000"/>
          <w:sz w:val="17"/>
          <w:szCs w:val="17"/>
        </w:rPr>
        <w:t xml:space="preserve">the Unaudited Condensed Consolidated Financial Statements. </w:t>
      </w:r>
    </w:p>
    <w:p w14:paraId="2470DE80"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 FISCAL 2021</w:t>
      </w:r>
    </w:p>
    <w:p w14:paraId="2470DE81" w14:textId="77777777" w:rsidR="009C6E2F" w:rsidRDefault="007972BE">
      <w:pPr>
        <w:spacing w:after="120"/>
      </w:pPr>
      <w:r>
        <w:rPr>
          <w:rFonts w:ascii="Arial" w:eastAsia="宋体" w:hAnsi="Arial" w:cs="Arial"/>
          <w:color w:val="000000"/>
          <w:sz w:val="17"/>
          <w:szCs w:val="17"/>
        </w:rPr>
        <w:t xml:space="preserve">On a currency-neutral basis, APLA revenues decreased 6% for the second quarter of fiscal 2022. The decline was due to lower </w:t>
      </w:r>
      <w:r>
        <w:rPr>
          <w:rFonts w:ascii="Arial" w:eastAsia="宋体" w:hAnsi="Arial" w:cs="Arial"/>
          <w:color w:val="000000"/>
          <w:sz w:val="17"/>
          <w:szCs w:val="17"/>
        </w:rPr>
        <w:t>revenues across nearly all territories, led by a decline of 67% due to our business model shift in Brazil to a distributor model in fiscal 2021, partially offset by higher revenues in SOCO (which comprises Argentina, Chile and Uruguay), which increased 33%</w:t>
      </w:r>
      <w:r>
        <w:rPr>
          <w:rFonts w:ascii="Arial" w:eastAsia="宋体" w:hAnsi="Arial" w:cs="Arial"/>
          <w:color w:val="000000"/>
          <w:sz w:val="17"/>
          <w:szCs w:val="17"/>
        </w:rPr>
        <w:t>. Revenues decreased primarily due to lower revenues in Men’s. NIKE Direct revenues increased 6%, primarily due to digital sales growth of 25%, partially offset by store closures and comparable store sales contraction of 1%, in part due to reduced physical</w:t>
      </w:r>
      <w:r>
        <w:rPr>
          <w:rFonts w:ascii="Arial" w:eastAsia="宋体" w:hAnsi="Arial" w:cs="Arial"/>
          <w:color w:val="000000"/>
          <w:sz w:val="17"/>
          <w:szCs w:val="17"/>
        </w:rPr>
        <w:t xml:space="preserve"> retail traffic.</w:t>
      </w:r>
    </w:p>
    <w:p w14:paraId="2470DE82" w14:textId="77777777" w:rsidR="009C6E2F" w:rsidRDefault="007972BE">
      <w:r>
        <w:rPr>
          <w:rFonts w:ascii="Arial" w:eastAsia="宋体" w:hAnsi="Arial" w:cs="Arial"/>
          <w:color w:val="000000"/>
          <w:sz w:val="17"/>
          <w:szCs w:val="17"/>
        </w:rPr>
        <w:t>Currency-neutral footwear revenues decreased 8%, due primarily to lower revenues in Men's. Unit sales of footwear decreased 25%, while higher ASP per pair contributed approximately 17 percentage points of footwear revenue growth. Higher AS</w:t>
      </w:r>
      <w:r>
        <w:rPr>
          <w:rFonts w:ascii="Arial" w:eastAsia="宋体" w:hAnsi="Arial" w:cs="Arial"/>
          <w:color w:val="000000"/>
          <w:sz w:val="17"/>
          <w:szCs w:val="17"/>
        </w:rPr>
        <w:t>P per pair was driven by higher NIKE Direct, full-price and off-price ASPs, as well as a higher mix of full-price sales. Higher ASPs, in part, reflect inflationary conditions in our SOCO territory.</w:t>
      </w:r>
    </w:p>
    <w:p w14:paraId="2470DE83" w14:textId="77777777" w:rsidR="009C6E2F" w:rsidRDefault="007972BE">
      <w:pPr>
        <w:spacing w:before="120" w:after="120"/>
      </w:pPr>
      <w:r>
        <w:rPr>
          <w:rFonts w:ascii="Arial" w:eastAsia="宋体" w:hAnsi="Arial" w:cs="Arial"/>
          <w:color w:val="000000"/>
          <w:sz w:val="17"/>
          <w:szCs w:val="17"/>
        </w:rPr>
        <w:t>Currency-neutral apparel revenues decreased 5%, due primar</w:t>
      </w:r>
      <w:r>
        <w:rPr>
          <w:rFonts w:ascii="Arial" w:eastAsia="宋体" w:hAnsi="Arial" w:cs="Arial"/>
          <w:color w:val="000000"/>
          <w:sz w:val="17"/>
          <w:szCs w:val="17"/>
        </w:rPr>
        <w:t>ily to lower revenues in Men's and Women's. Unit sales of apparel decreased 20%, while higher ASP per unit contributed approximately 15 percentage points of apparel revenue growth, driven by higher NIKE Direct, full-price and off-price ASPs, as well as a h</w:t>
      </w:r>
      <w:r>
        <w:rPr>
          <w:rFonts w:ascii="Arial" w:eastAsia="宋体" w:hAnsi="Arial" w:cs="Arial"/>
          <w:color w:val="000000"/>
          <w:sz w:val="17"/>
          <w:szCs w:val="17"/>
        </w:rPr>
        <w:t>igher mix of full-price sales. Higher ASPs, in part, reflect inflationary conditions in our SOCO territory.</w:t>
      </w:r>
    </w:p>
    <w:p w14:paraId="2470DE84" w14:textId="77777777" w:rsidR="009C6E2F" w:rsidRDefault="007972BE">
      <w:pPr>
        <w:spacing w:before="120" w:after="120"/>
      </w:pPr>
      <w:r>
        <w:rPr>
          <w:rFonts w:ascii="Arial" w:eastAsia="宋体" w:hAnsi="Arial" w:cs="Arial"/>
          <w:color w:val="000000"/>
          <w:sz w:val="17"/>
          <w:szCs w:val="17"/>
        </w:rPr>
        <w:t xml:space="preserve">Reported EBIT decreased 8% for the second quarter of fiscal 2022, as lower revenues and higher selling and administrative expenses more than </w:t>
      </w:r>
      <w:r>
        <w:rPr>
          <w:rFonts w:ascii="Arial" w:eastAsia="宋体" w:hAnsi="Arial" w:cs="Arial"/>
          <w:color w:val="000000"/>
          <w:sz w:val="17"/>
          <w:szCs w:val="17"/>
        </w:rPr>
        <w:t>offset gross margin expansion. Gross margin increased approximately 460 basis points primarily due to lower product costs, higher margins and the favorable impact of growth in our NIKE Direct business, higher full-price ASP, primarily reflecting lower disc</w:t>
      </w:r>
      <w:r>
        <w:rPr>
          <w:rFonts w:ascii="Arial" w:eastAsia="宋体" w:hAnsi="Arial" w:cs="Arial"/>
          <w:color w:val="000000"/>
          <w:sz w:val="17"/>
          <w:szCs w:val="17"/>
        </w:rPr>
        <w:t>ounts, and a higher mix of full-price sales. Selling and administrative expense increased due to higher demand creation and operating overhead expense. Higher demand creation expense was primarily due to higher digital marketing investments to support heig</w:t>
      </w:r>
      <w:r>
        <w:rPr>
          <w:rFonts w:ascii="Arial" w:eastAsia="宋体" w:hAnsi="Arial" w:cs="Arial"/>
          <w:color w:val="000000"/>
          <w:sz w:val="17"/>
          <w:szCs w:val="17"/>
        </w:rPr>
        <w:t>htened digital demand. The increase in operating overhead expense was primarily due to an increase in NIKE Direct strategic technology investments and lower bad debt recoveries.</w:t>
      </w:r>
    </w:p>
    <w:p w14:paraId="2470DE85" w14:textId="77777777" w:rsidR="009C6E2F" w:rsidRDefault="007972BE">
      <w:pPr>
        <w:spacing w:before="120" w:after="120"/>
        <w:jc w:val="right"/>
      </w:pPr>
      <w:r>
        <w:rPr>
          <w:rFonts w:ascii="Arial" w:eastAsia="宋体" w:hAnsi="Arial" w:cs="Arial"/>
          <w:color w:val="E87722"/>
          <w:sz w:val="17"/>
          <w:szCs w:val="17"/>
        </w:rPr>
        <w:t>37</w:t>
      </w:r>
    </w:p>
    <w:p w14:paraId="2470DE86" w14:textId="77777777" w:rsidR="009C6E2F" w:rsidRDefault="007972BE">
      <w:r>
        <w:pict w14:anchorId="2470E20A">
          <v:rect id="_x0000_i1063" style="width:415.3pt;height:1.5pt" o:hralign="center" o:hrstd="t" o:hr="t" fillcolor="#a0a0a0" stroked="f"/>
        </w:pict>
      </w:r>
    </w:p>
    <w:p w14:paraId="2470DE87" w14:textId="77777777" w:rsidR="009C6E2F" w:rsidRDefault="009C6E2F"/>
    <w:p w14:paraId="2470DE88" w14:textId="77777777" w:rsidR="009C6E2F" w:rsidRDefault="007972BE">
      <w:hyperlink r:id="rId106" w:anchor="i9e023a7388204bdbacd6aa338988f838_7" w:history="1">
        <w:r>
          <w:rPr>
            <w:rStyle w:val="a5"/>
            <w:rFonts w:ascii="sans-serif" w:eastAsia="sans-serif" w:hAnsi="sans-serif" w:cs="sans-serif"/>
            <w:sz w:val="17"/>
            <w:szCs w:val="17"/>
          </w:rPr>
          <w:t>Table of Contents</w:t>
        </w:r>
      </w:hyperlink>
    </w:p>
    <w:p w14:paraId="2470DE89" w14:textId="77777777" w:rsidR="009C6E2F" w:rsidRDefault="009C6E2F"/>
    <w:p w14:paraId="2470DE8A"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MONTHS OF FISCAL 2021</w:t>
      </w:r>
    </w:p>
    <w:p w14:paraId="2470DE8B" w14:textId="77777777" w:rsidR="009C6E2F" w:rsidRDefault="007972BE">
      <w:r>
        <w:rPr>
          <w:rFonts w:ascii="Arial" w:eastAsia="宋体" w:hAnsi="Arial" w:cs="Arial"/>
          <w:color w:val="000000"/>
          <w:sz w:val="17"/>
          <w:szCs w:val="17"/>
        </w:rPr>
        <w:t>On a curr</w:t>
      </w:r>
      <w:r>
        <w:rPr>
          <w:rFonts w:ascii="Arial" w:eastAsia="宋体" w:hAnsi="Arial" w:cs="Arial"/>
          <w:color w:val="000000"/>
          <w:sz w:val="17"/>
          <w:szCs w:val="17"/>
        </w:rPr>
        <w:t>ency-neutral basis, APLA revenues increased 10% for the first six months of fiscal 2022. Territory revenue growth was led by a 72% increase in SOCO, an 11% increase in Japan and a 23% increase in Mexico, partially offset by a decline of 56% due to our busi</w:t>
      </w:r>
      <w:r>
        <w:rPr>
          <w:rFonts w:ascii="Arial" w:eastAsia="宋体" w:hAnsi="Arial" w:cs="Arial"/>
          <w:color w:val="000000"/>
          <w:sz w:val="17"/>
          <w:szCs w:val="17"/>
        </w:rPr>
        <w:t>ness model shift in Brazil to a distributor model in fiscal 2021. Revenues increased primarily due to higher revenues in Men’s. NIKE Direct revenues increased 19%, primarily due to digital sales growth of 41% and comparable store sales growth of 7%, partia</w:t>
      </w:r>
      <w:r>
        <w:rPr>
          <w:rFonts w:ascii="Arial" w:eastAsia="宋体" w:hAnsi="Arial" w:cs="Arial"/>
          <w:color w:val="000000"/>
          <w:sz w:val="17"/>
          <w:szCs w:val="17"/>
        </w:rPr>
        <w:t>lly offset by store closures.</w:t>
      </w:r>
    </w:p>
    <w:p w14:paraId="2470DE8C" w14:textId="77777777" w:rsidR="009C6E2F" w:rsidRDefault="007972BE">
      <w:pPr>
        <w:spacing w:before="120" w:after="120"/>
      </w:pPr>
      <w:r>
        <w:rPr>
          <w:rFonts w:ascii="Arial" w:eastAsia="宋体" w:hAnsi="Arial" w:cs="Arial"/>
          <w:color w:val="000000"/>
          <w:sz w:val="17"/>
          <w:szCs w:val="17"/>
        </w:rPr>
        <w:t>Currency-neutral footwear revenues increased 9%, due primarily to higher revenues in Kids' and the Jordan Brand, partially offset by declines in Men's. Unit sales of footwear decreased 6%, while higher ASP per pair contributed</w:t>
      </w:r>
      <w:r>
        <w:rPr>
          <w:rFonts w:ascii="Arial" w:eastAsia="宋体" w:hAnsi="Arial" w:cs="Arial"/>
          <w:color w:val="000000"/>
          <w:sz w:val="17"/>
          <w:szCs w:val="17"/>
        </w:rPr>
        <w:t xml:space="preserve"> approximately 15 percentage points of footwear revenue growth. Higher ASP per pair was driven by higher NIKE Direct ASP as well as higher full-price ASPs, primarily due to lower discounts, higher off-price ASP and a higher mix of full-price sales. Higher </w:t>
      </w:r>
      <w:r>
        <w:rPr>
          <w:rFonts w:ascii="Arial" w:eastAsia="宋体" w:hAnsi="Arial" w:cs="Arial"/>
          <w:color w:val="000000"/>
          <w:sz w:val="17"/>
          <w:szCs w:val="17"/>
        </w:rPr>
        <w:t>ASPs, in part, reflect inflationary conditions in our SOCO territory.</w:t>
      </w:r>
    </w:p>
    <w:p w14:paraId="2470DE8D" w14:textId="77777777" w:rsidR="009C6E2F" w:rsidRDefault="007972BE">
      <w:pPr>
        <w:spacing w:before="120" w:after="120"/>
      </w:pPr>
      <w:r>
        <w:rPr>
          <w:rFonts w:ascii="Arial" w:eastAsia="宋体" w:hAnsi="Arial" w:cs="Arial"/>
          <w:color w:val="000000"/>
          <w:sz w:val="17"/>
          <w:szCs w:val="17"/>
        </w:rPr>
        <w:t>Currency-neutral apparel revenues increased 8%, due primarily to higher revenues in Men's. Unit sales of apparel decreased 6%, while higher ASP per unit contributed approximately 14 perc</w:t>
      </w:r>
      <w:r>
        <w:rPr>
          <w:rFonts w:ascii="Arial" w:eastAsia="宋体" w:hAnsi="Arial" w:cs="Arial"/>
          <w:color w:val="000000"/>
          <w:sz w:val="17"/>
          <w:szCs w:val="17"/>
        </w:rPr>
        <w:t>entage points of apparel revenue growth, driven by higher full-price ASP, reflecting lower discounts, higher NIKE Direct ASP, as well as higher off-price ASP and a higher mix of full-price sales. Higher ASPs, in part, reflect inflationary conditions in our</w:t>
      </w:r>
      <w:r>
        <w:rPr>
          <w:rFonts w:ascii="Arial" w:eastAsia="宋体" w:hAnsi="Arial" w:cs="Arial"/>
          <w:color w:val="000000"/>
          <w:sz w:val="17"/>
          <w:szCs w:val="17"/>
        </w:rPr>
        <w:t xml:space="preserve"> SOCO territory.</w:t>
      </w:r>
    </w:p>
    <w:p w14:paraId="2470DE8E" w14:textId="77777777" w:rsidR="009C6E2F" w:rsidRDefault="007972BE">
      <w:pPr>
        <w:spacing w:before="120" w:after="120"/>
      </w:pPr>
      <w:r>
        <w:rPr>
          <w:rFonts w:ascii="Arial" w:eastAsia="宋体" w:hAnsi="Arial" w:cs="Arial"/>
          <w:color w:val="000000"/>
          <w:sz w:val="17"/>
          <w:szCs w:val="17"/>
        </w:rPr>
        <w:t xml:space="preserve">Reported EBIT increased 23% for the first six months of fiscal 2022, as higher revenues and gross margin expansion more than offset higher selling and administrative expense. Gross margin increased approximately 510 basis points primarily </w:t>
      </w:r>
      <w:r>
        <w:rPr>
          <w:rFonts w:ascii="Arial" w:eastAsia="宋体" w:hAnsi="Arial" w:cs="Arial"/>
          <w:color w:val="000000"/>
          <w:sz w:val="17"/>
          <w:szCs w:val="17"/>
        </w:rPr>
        <w:t>due to higher margins and the favorable impact of growth in our NIKE Direct business, lower other costs, higher full-price ASP, primarily due to lower discounts as well as lower product costs and a higher mix of full-price sales. The decrease in other cost</w:t>
      </w:r>
      <w:r>
        <w:rPr>
          <w:rFonts w:ascii="Arial" w:eastAsia="宋体" w:hAnsi="Arial" w:cs="Arial"/>
          <w:color w:val="000000"/>
          <w:sz w:val="17"/>
          <w:szCs w:val="17"/>
        </w:rPr>
        <w:t>s was primarily due to the favorable rate impact of fixed supply chain costs on a higher volume of wholesale shipments, as well as lower inventory obsolescence. Selling and administrative expense increased due to higher demand creation and operating overhe</w:t>
      </w:r>
      <w:r>
        <w:rPr>
          <w:rFonts w:ascii="Arial" w:eastAsia="宋体" w:hAnsi="Arial" w:cs="Arial"/>
          <w:color w:val="000000"/>
          <w:sz w:val="17"/>
          <w:szCs w:val="17"/>
        </w:rPr>
        <w:t>ad expense. Higher demand creation expense was primarily due to higher digital marketing investments to support heightened digital demand. The increase in operating overhead expense was primarily due to an increase in NIKE Direct strategic technology inves</w:t>
      </w:r>
      <w:r>
        <w:rPr>
          <w:rFonts w:ascii="Arial" w:eastAsia="宋体" w:hAnsi="Arial" w:cs="Arial"/>
          <w:color w:val="000000"/>
          <w:sz w:val="17"/>
          <w:szCs w:val="17"/>
        </w:rPr>
        <w:t>tments, and lower bad debt recoveries.</w:t>
      </w:r>
    </w:p>
    <w:p w14:paraId="2470DE8F" w14:textId="77777777" w:rsidR="009C6E2F" w:rsidRDefault="007972BE">
      <w:pPr>
        <w:spacing w:before="240" w:after="120"/>
      </w:pPr>
      <w:r>
        <w:rPr>
          <w:rFonts w:ascii="sans-serif" w:eastAsia="sans-serif" w:hAnsi="sans-serif" w:cs="sans-serif"/>
          <w:b/>
          <w:bCs/>
          <w:color w:val="000000"/>
          <w:sz w:val="28"/>
          <w:szCs w:val="28"/>
        </w:rPr>
        <w:t>GLOBAL BRAND DIVISIONS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1465"/>
        <w:gridCol w:w="36"/>
        <w:gridCol w:w="115"/>
        <w:gridCol w:w="539"/>
        <w:gridCol w:w="36"/>
        <w:gridCol w:w="115"/>
        <w:gridCol w:w="397"/>
        <w:gridCol w:w="36"/>
        <w:gridCol w:w="74"/>
        <w:gridCol w:w="563"/>
        <w:gridCol w:w="172"/>
        <w:gridCol w:w="99"/>
        <w:gridCol w:w="755"/>
        <w:gridCol w:w="172"/>
        <w:gridCol w:w="36"/>
        <w:gridCol w:w="36"/>
        <w:gridCol w:w="36"/>
        <w:gridCol w:w="115"/>
        <w:gridCol w:w="539"/>
        <w:gridCol w:w="36"/>
        <w:gridCol w:w="115"/>
        <w:gridCol w:w="539"/>
        <w:gridCol w:w="36"/>
        <w:gridCol w:w="74"/>
        <w:gridCol w:w="563"/>
        <w:gridCol w:w="172"/>
        <w:gridCol w:w="99"/>
        <w:gridCol w:w="755"/>
        <w:gridCol w:w="172"/>
        <w:gridCol w:w="36"/>
        <w:gridCol w:w="36"/>
        <w:gridCol w:w="36"/>
        <w:gridCol w:w="36"/>
        <w:gridCol w:w="36"/>
        <w:gridCol w:w="36"/>
        <w:gridCol w:w="36"/>
        <w:gridCol w:w="36"/>
        <w:gridCol w:w="36"/>
        <w:gridCol w:w="36"/>
        <w:gridCol w:w="36"/>
      </w:tblGrid>
      <w:tr w:rsidR="009C6E2F" w14:paraId="2470DEB3" w14:textId="77777777">
        <w:tc>
          <w:tcPr>
            <w:tcW w:w="50" w:type="pct"/>
            <w:shd w:val="clear" w:color="auto" w:fill="auto"/>
            <w:vAlign w:val="bottom"/>
          </w:tcPr>
          <w:p w14:paraId="2470DE90" w14:textId="77777777" w:rsidR="009C6E2F" w:rsidRDefault="009C6E2F">
            <w:pPr>
              <w:rPr>
                <w:rFonts w:ascii="宋体"/>
              </w:rPr>
            </w:pPr>
          </w:p>
        </w:tc>
        <w:tc>
          <w:tcPr>
            <w:tcW w:w="1387" w:type="pct"/>
            <w:shd w:val="clear" w:color="auto" w:fill="auto"/>
            <w:vAlign w:val="bottom"/>
          </w:tcPr>
          <w:p w14:paraId="2470DE91" w14:textId="77777777" w:rsidR="009C6E2F" w:rsidRDefault="009C6E2F">
            <w:pPr>
              <w:rPr>
                <w:rFonts w:ascii="宋体"/>
              </w:rPr>
            </w:pPr>
          </w:p>
        </w:tc>
        <w:tc>
          <w:tcPr>
            <w:tcW w:w="5" w:type="pct"/>
            <w:shd w:val="clear" w:color="auto" w:fill="auto"/>
            <w:vAlign w:val="bottom"/>
          </w:tcPr>
          <w:p w14:paraId="2470DE92" w14:textId="77777777" w:rsidR="009C6E2F" w:rsidRDefault="009C6E2F">
            <w:pPr>
              <w:rPr>
                <w:rFonts w:ascii="宋体"/>
              </w:rPr>
            </w:pPr>
          </w:p>
        </w:tc>
        <w:tc>
          <w:tcPr>
            <w:tcW w:w="50" w:type="pct"/>
            <w:shd w:val="clear" w:color="auto" w:fill="auto"/>
            <w:vAlign w:val="bottom"/>
          </w:tcPr>
          <w:p w14:paraId="2470DE93" w14:textId="77777777" w:rsidR="009C6E2F" w:rsidRDefault="009C6E2F">
            <w:pPr>
              <w:rPr>
                <w:rFonts w:ascii="宋体"/>
              </w:rPr>
            </w:pPr>
          </w:p>
        </w:tc>
        <w:tc>
          <w:tcPr>
            <w:tcW w:w="384" w:type="pct"/>
            <w:shd w:val="clear" w:color="auto" w:fill="auto"/>
            <w:vAlign w:val="bottom"/>
          </w:tcPr>
          <w:p w14:paraId="2470DE94" w14:textId="77777777" w:rsidR="009C6E2F" w:rsidRDefault="009C6E2F">
            <w:pPr>
              <w:rPr>
                <w:rFonts w:ascii="宋体"/>
              </w:rPr>
            </w:pPr>
          </w:p>
        </w:tc>
        <w:tc>
          <w:tcPr>
            <w:tcW w:w="5" w:type="pct"/>
            <w:shd w:val="clear" w:color="auto" w:fill="auto"/>
            <w:vAlign w:val="bottom"/>
          </w:tcPr>
          <w:p w14:paraId="2470DE95" w14:textId="77777777" w:rsidR="009C6E2F" w:rsidRDefault="009C6E2F">
            <w:pPr>
              <w:rPr>
                <w:rFonts w:ascii="宋体"/>
              </w:rPr>
            </w:pPr>
          </w:p>
        </w:tc>
        <w:tc>
          <w:tcPr>
            <w:tcW w:w="50" w:type="pct"/>
            <w:shd w:val="clear" w:color="auto" w:fill="auto"/>
            <w:vAlign w:val="bottom"/>
          </w:tcPr>
          <w:p w14:paraId="2470DE96" w14:textId="77777777" w:rsidR="009C6E2F" w:rsidRDefault="009C6E2F">
            <w:pPr>
              <w:rPr>
                <w:rFonts w:ascii="宋体"/>
              </w:rPr>
            </w:pPr>
          </w:p>
        </w:tc>
        <w:tc>
          <w:tcPr>
            <w:tcW w:w="384" w:type="pct"/>
            <w:shd w:val="clear" w:color="auto" w:fill="auto"/>
            <w:vAlign w:val="bottom"/>
          </w:tcPr>
          <w:p w14:paraId="2470DE97" w14:textId="77777777" w:rsidR="009C6E2F" w:rsidRDefault="009C6E2F">
            <w:pPr>
              <w:rPr>
                <w:rFonts w:ascii="宋体"/>
              </w:rPr>
            </w:pPr>
          </w:p>
        </w:tc>
        <w:tc>
          <w:tcPr>
            <w:tcW w:w="5" w:type="pct"/>
            <w:shd w:val="clear" w:color="auto" w:fill="auto"/>
            <w:vAlign w:val="bottom"/>
          </w:tcPr>
          <w:p w14:paraId="2470DE98" w14:textId="77777777" w:rsidR="009C6E2F" w:rsidRDefault="009C6E2F">
            <w:pPr>
              <w:rPr>
                <w:rFonts w:ascii="宋体"/>
              </w:rPr>
            </w:pPr>
          </w:p>
        </w:tc>
        <w:tc>
          <w:tcPr>
            <w:tcW w:w="50" w:type="pct"/>
            <w:shd w:val="clear" w:color="auto" w:fill="auto"/>
            <w:vAlign w:val="bottom"/>
          </w:tcPr>
          <w:p w14:paraId="2470DE99" w14:textId="77777777" w:rsidR="009C6E2F" w:rsidRDefault="009C6E2F">
            <w:pPr>
              <w:rPr>
                <w:rFonts w:ascii="宋体"/>
              </w:rPr>
            </w:pPr>
          </w:p>
        </w:tc>
        <w:tc>
          <w:tcPr>
            <w:tcW w:w="384" w:type="pct"/>
            <w:shd w:val="clear" w:color="auto" w:fill="auto"/>
            <w:vAlign w:val="bottom"/>
          </w:tcPr>
          <w:p w14:paraId="2470DE9A" w14:textId="77777777" w:rsidR="009C6E2F" w:rsidRDefault="009C6E2F">
            <w:pPr>
              <w:rPr>
                <w:rFonts w:ascii="宋体"/>
              </w:rPr>
            </w:pPr>
          </w:p>
        </w:tc>
        <w:tc>
          <w:tcPr>
            <w:tcW w:w="5" w:type="pct"/>
            <w:shd w:val="clear" w:color="auto" w:fill="auto"/>
            <w:vAlign w:val="bottom"/>
          </w:tcPr>
          <w:p w14:paraId="2470DE9B" w14:textId="77777777" w:rsidR="009C6E2F" w:rsidRDefault="009C6E2F">
            <w:pPr>
              <w:rPr>
                <w:rFonts w:ascii="宋体"/>
              </w:rPr>
            </w:pPr>
          </w:p>
        </w:tc>
        <w:tc>
          <w:tcPr>
            <w:tcW w:w="50" w:type="pct"/>
            <w:shd w:val="clear" w:color="auto" w:fill="auto"/>
            <w:vAlign w:val="bottom"/>
          </w:tcPr>
          <w:p w14:paraId="2470DE9C" w14:textId="77777777" w:rsidR="009C6E2F" w:rsidRDefault="009C6E2F">
            <w:pPr>
              <w:rPr>
                <w:rFonts w:ascii="宋体"/>
              </w:rPr>
            </w:pPr>
          </w:p>
        </w:tc>
        <w:tc>
          <w:tcPr>
            <w:tcW w:w="384" w:type="pct"/>
            <w:shd w:val="clear" w:color="auto" w:fill="auto"/>
            <w:vAlign w:val="bottom"/>
          </w:tcPr>
          <w:p w14:paraId="2470DE9D" w14:textId="77777777" w:rsidR="009C6E2F" w:rsidRDefault="009C6E2F">
            <w:pPr>
              <w:rPr>
                <w:rFonts w:ascii="宋体"/>
              </w:rPr>
            </w:pPr>
          </w:p>
        </w:tc>
        <w:tc>
          <w:tcPr>
            <w:tcW w:w="5" w:type="pct"/>
            <w:shd w:val="clear" w:color="auto" w:fill="auto"/>
            <w:vAlign w:val="bottom"/>
          </w:tcPr>
          <w:p w14:paraId="2470DE9E" w14:textId="77777777" w:rsidR="009C6E2F" w:rsidRDefault="009C6E2F">
            <w:pPr>
              <w:rPr>
                <w:rFonts w:ascii="宋体"/>
              </w:rPr>
            </w:pPr>
          </w:p>
        </w:tc>
        <w:tc>
          <w:tcPr>
            <w:tcW w:w="5" w:type="pct"/>
            <w:shd w:val="clear" w:color="auto" w:fill="auto"/>
            <w:vAlign w:val="bottom"/>
          </w:tcPr>
          <w:p w14:paraId="2470DE9F" w14:textId="77777777" w:rsidR="009C6E2F" w:rsidRDefault="009C6E2F">
            <w:pPr>
              <w:rPr>
                <w:rFonts w:ascii="宋体"/>
              </w:rPr>
            </w:pPr>
          </w:p>
        </w:tc>
        <w:tc>
          <w:tcPr>
            <w:tcW w:w="28" w:type="pct"/>
            <w:shd w:val="clear" w:color="auto" w:fill="auto"/>
            <w:vAlign w:val="bottom"/>
          </w:tcPr>
          <w:p w14:paraId="2470DEA0" w14:textId="77777777" w:rsidR="009C6E2F" w:rsidRDefault="009C6E2F">
            <w:pPr>
              <w:rPr>
                <w:rFonts w:ascii="宋体"/>
              </w:rPr>
            </w:pPr>
          </w:p>
        </w:tc>
        <w:tc>
          <w:tcPr>
            <w:tcW w:w="5" w:type="pct"/>
            <w:shd w:val="clear" w:color="auto" w:fill="auto"/>
            <w:vAlign w:val="bottom"/>
          </w:tcPr>
          <w:p w14:paraId="2470DEA1" w14:textId="77777777" w:rsidR="009C6E2F" w:rsidRDefault="009C6E2F">
            <w:pPr>
              <w:rPr>
                <w:rFonts w:ascii="宋体"/>
              </w:rPr>
            </w:pPr>
          </w:p>
        </w:tc>
        <w:tc>
          <w:tcPr>
            <w:tcW w:w="50" w:type="pct"/>
            <w:shd w:val="clear" w:color="auto" w:fill="auto"/>
            <w:vAlign w:val="bottom"/>
          </w:tcPr>
          <w:p w14:paraId="2470DEA2" w14:textId="77777777" w:rsidR="009C6E2F" w:rsidRDefault="009C6E2F">
            <w:pPr>
              <w:rPr>
                <w:rFonts w:ascii="宋体"/>
              </w:rPr>
            </w:pPr>
          </w:p>
        </w:tc>
        <w:tc>
          <w:tcPr>
            <w:tcW w:w="384" w:type="pct"/>
            <w:shd w:val="clear" w:color="auto" w:fill="auto"/>
            <w:vAlign w:val="bottom"/>
          </w:tcPr>
          <w:p w14:paraId="2470DEA3" w14:textId="77777777" w:rsidR="009C6E2F" w:rsidRDefault="009C6E2F">
            <w:pPr>
              <w:rPr>
                <w:rFonts w:ascii="宋体"/>
              </w:rPr>
            </w:pPr>
          </w:p>
        </w:tc>
        <w:tc>
          <w:tcPr>
            <w:tcW w:w="5" w:type="pct"/>
            <w:shd w:val="clear" w:color="auto" w:fill="auto"/>
            <w:vAlign w:val="bottom"/>
          </w:tcPr>
          <w:p w14:paraId="2470DEA4" w14:textId="77777777" w:rsidR="009C6E2F" w:rsidRDefault="009C6E2F">
            <w:pPr>
              <w:rPr>
                <w:rFonts w:ascii="宋体"/>
              </w:rPr>
            </w:pPr>
          </w:p>
        </w:tc>
        <w:tc>
          <w:tcPr>
            <w:tcW w:w="50" w:type="pct"/>
            <w:shd w:val="clear" w:color="auto" w:fill="auto"/>
            <w:vAlign w:val="bottom"/>
          </w:tcPr>
          <w:p w14:paraId="2470DEA5" w14:textId="77777777" w:rsidR="009C6E2F" w:rsidRDefault="009C6E2F">
            <w:pPr>
              <w:rPr>
                <w:rFonts w:ascii="宋体"/>
              </w:rPr>
            </w:pPr>
          </w:p>
        </w:tc>
        <w:tc>
          <w:tcPr>
            <w:tcW w:w="384" w:type="pct"/>
            <w:shd w:val="clear" w:color="auto" w:fill="auto"/>
            <w:vAlign w:val="bottom"/>
          </w:tcPr>
          <w:p w14:paraId="2470DEA6" w14:textId="77777777" w:rsidR="009C6E2F" w:rsidRDefault="009C6E2F">
            <w:pPr>
              <w:rPr>
                <w:rFonts w:ascii="宋体"/>
              </w:rPr>
            </w:pPr>
          </w:p>
        </w:tc>
        <w:tc>
          <w:tcPr>
            <w:tcW w:w="5" w:type="pct"/>
            <w:shd w:val="clear" w:color="auto" w:fill="auto"/>
            <w:vAlign w:val="bottom"/>
          </w:tcPr>
          <w:p w14:paraId="2470DEA7" w14:textId="77777777" w:rsidR="009C6E2F" w:rsidRDefault="009C6E2F">
            <w:pPr>
              <w:rPr>
                <w:rFonts w:ascii="宋体"/>
              </w:rPr>
            </w:pPr>
          </w:p>
        </w:tc>
        <w:tc>
          <w:tcPr>
            <w:tcW w:w="50" w:type="pct"/>
            <w:shd w:val="clear" w:color="auto" w:fill="auto"/>
            <w:vAlign w:val="bottom"/>
          </w:tcPr>
          <w:p w14:paraId="2470DEA8" w14:textId="77777777" w:rsidR="009C6E2F" w:rsidRDefault="009C6E2F">
            <w:pPr>
              <w:rPr>
                <w:rFonts w:ascii="宋体"/>
              </w:rPr>
            </w:pPr>
          </w:p>
        </w:tc>
        <w:tc>
          <w:tcPr>
            <w:tcW w:w="384" w:type="pct"/>
            <w:shd w:val="clear" w:color="auto" w:fill="auto"/>
            <w:vAlign w:val="bottom"/>
          </w:tcPr>
          <w:p w14:paraId="2470DEA9" w14:textId="77777777" w:rsidR="009C6E2F" w:rsidRDefault="009C6E2F">
            <w:pPr>
              <w:rPr>
                <w:rFonts w:ascii="宋体"/>
              </w:rPr>
            </w:pPr>
          </w:p>
        </w:tc>
        <w:tc>
          <w:tcPr>
            <w:tcW w:w="5" w:type="pct"/>
            <w:shd w:val="clear" w:color="auto" w:fill="auto"/>
            <w:vAlign w:val="bottom"/>
          </w:tcPr>
          <w:p w14:paraId="2470DEAA" w14:textId="77777777" w:rsidR="009C6E2F" w:rsidRDefault="009C6E2F">
            <w:pPr>
              <w:rPr>
                <w:rFonts w:ascii="宋体"/>
              </w:rPr>
            </w:pPr>
          </w:p>
        </w:tc>
        <w:tc>
          <w:tcPr>
            <w:tcW w:w="50" w:type="pct"/>
            <w:shd w:val="clear" w:color="auto" w:fill="auto"/>
            <w:vAlign w:val="bottom"/>
          </w:tcPr>
          <w:p w14:paraId="2470DEAB" w14:textId="77777777" w:rsidR="009C6E2F" w:rsidRDefault="009C6E2F">
            <w:pPr>
              <w:rPr>
                <w:rFonts w:ascii="宋体"/>
              </w:rPr>
            </w:pPr>
          </w:p>
        </w:tc>
        <w:tc>
          <w:tcPr>
            <w:tcW w:w="384" w:type="pct"/>
            <w:shd w:val="clear" w:color="auto" w:fill="auto"/>
            <w:vAlign w:val="bottom"/>
          </w:tcPr>
          <w:p w14:paraId="2470DEAC" w14:textId="77777777" w:rsidR="009C6E2F" w:rsidRDefault="009C6E2F">
            <w:pPr>
              <w:rPr>
                <w:rFonts w:ascii="宋体"/>
              </w:rPr>
            </w:pPr>
          </w:p>
        </w:tc>
        <w:tc>
          <w:tcPr>
            <w:tcW w:w="5" w:type="pct"/>
            <w:shd w:val="clear" w:color="auto" w:fill="auto"/>
            <w:vAlign w:val="bottom"/>
          </w:tcPr>
          <w:p w14:paraId="2470DEAD" w14:textId="77777777" w:rsidR="009C6E2F" w:rsidRDefault="009C6E2F">
            <w:pPr>
              <w:rPr>
                <w:rFonts w:ascii="宋体"/>
              </w:rPr>
            </w:pPr>
          </w:p>
        </w:tc>
        <w:tc>
          <w:tcPr>
            <w:tcW w:w="0" w:type="auto"/>
            <w:shd w:val="clear" w:color="auto" w:fill="auto"/>
            <w:vAlign w:val="bottom"/>
          </w:tcPr>
          <w:p w14:paraId="2470DEAE" w14:textId="77777777" w:rsidR="009C6E2F" w:rsidRDefault="009C6E2F">
            <w:pPr>
              <w:rPr>
                <w:rFonts w:ascii="宋体"/>
                <w:vanish/>
              </w:rPr>
            </w:pPr>
          </w:p>
        </w:tc>
        <w:tc>
          <w:tcPr>
            <w:tcW w:w="0" w:type="auto"/>
            <w:shd w:val="clear" w:color="auto" w:fill="auto"/>
            <w:vAlign w:val="bottom"/>
          </w:tcPr>
          <w:p w14:paraId="2470DEAF" w14:textId="77777777" w:rsidR="009C6E2F" w:rsidRDefault="009C6E2F">
            <w:pPr>
              <w:rPr>
                <w:rFonts w:ascii="宋体"/>
                <w:vanish/>
              </w:rPr>
            </w:pPr>
          </w:p>
        </w:tc>
        <w:tc>
          <w:tcPr>
            <w:tcW w:w="0" w:type="auto"/>
            <w:gridSpan w:val="3"/>
            <w:shd w:val="clear" w:color="auto" w:fill="auto"/>
            <w:vAlign w:val="bottom"/>
          </w:tcPr>
          <w:p w14:paraId="2470DEB0" w14:textId="77777777" w:rsidR="009C6E2F" w:rsidRDefault="009C6E2F">
            <w:pPr>
              <w:rPr>
                <w:rFonts w:ascii="宋体"/>
                <w:vanish/>
              </w:rPr>
            </w:pPr>
          </w:p>
        </w:tc>
        <w:tc>
          <w:tcPr>
            <w:tcW w:w="0" w:type="auto"/>
            <w:gridSpan w:val="3"/>
            <w:shd w:val="clear" w:color="auto" w:fill="auto"/>
            <w:vAlign w:val="bottom"/>
          </w:tcPr>
          <w:p w14:paraId="2470DEB1" w14:textId="77777777" w:rsidR="009C6E2F" w:rsidRDefault="009C6E2F">
            <w:pPr>
              <w:rPr>
                <w:rFonts w:ascii="宋体"/>
                <w:vanish/>
              </w:rPr>
            </w:pPr>
          </w:p>
        </w:tc>
        <w:tc>
          <w:tcPr>
            <w:tcW w:w="0" w:type="auto"/>
            <w:gridSpan w:val="3"/>
            <w:shd w:val="clear" w:color="auto" w:fill="auto"/>
            <w:vAlign w:val="bottom"/>
          </w:tcPr>
          <w:p w14:paraId="2470DEB2" w14:textId="77777777" w:rsidR="009C6E2F" w:rsidRDefault="009C6E2F">
            <w:pPr>
              <w:rPr>
                <w:rFonts w:ascii="宋体"/>
                <w:vanish/>
              </w:rPr>
            </w:pPr>
          </w:p>
        </w:tc>
      </w:tr>
      <w:tr w:rsidR="009C6E2F" w14:paraId="2470DEC3" w14:textId="77777777">
        <w:tc>
          <w:tcPr>
            <w:tcW w:w="0" w:type="auto"/>
            <w:gridSpan w:val="3"/>
            <w:shd w:val="clear" w:color="auto" w:fill="auto"/>
            <w:tcMar>
              <w:top w:w="0" w:type="dxa"/>
              <w:left w:w="20" w:type="dxa"/>
              <w:bottom w:w="0" w:type="dxa"/>
              <w:right w:w="20" w:type="dxa"/>
            </w:tcMar>
            <w:vAlign w:val="bottom"/>
          </w:tcPr>
          <w:p w14:paraId="2470DEB4"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EB5"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EB6"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EB7"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DEB8" w14:textId="77777777" w:rsidR="009C6E2F" w:rsidRDefault="009C6E2F">
            <w:pPr>
              <w:rPr>
                <w:rFonts w:ascii="宋体"/>
                <w:vanish/>
              </w:rPr>
            </w:pPr>
          </w:p>
        </w:tc>
        <w:tc>
          <w:tcPr>
            <w:tcW w:w="0" w:type="auto"/>
            <w:shd w:val="clear" w:color="auto" w:fill="auto"/>
            <w:vAlign w:val="bottom"/>
          </w:tcPr>
          <w:p w14:paraId="2470DEB9" w14:textId="77777777" w:rsidR="009C6E2F" w:rsidRDefault="009C6E2F">
            <w:pPr>
              <w:rPr>
                <w:rFonts w:ascii="宋体"/>
                <w:vanish/>
              </w:rPr>
            </w:pPr>
          </w:p>
        </w:tc>
        <w:tc>
          <w:tcPr>
            <w:tcW w:w="0" w:type="auto"/>
            <w:shd w:val="clear" w:color="auto" w:fill="auto"/>
            <w:vAlign w:val="bottom"/>
          </w:tcPr>
          <w:p w14:paraId="2470DEBA" w14:textId="77777777" w:rsidR="009C6E2F" w:rsidRDefault="009C6E2F">
            <w:pPr>
              <w:rPr>
                <w:rFonts w:ascii="宋体"/>
              </w:rPr>
            </w:pPr>
          </w:p>
        </w:tc>
        <w:tc>
          <w:tcPr>
            <w:tcW w:w="0" w:type="auto"/>
            <w:shd w:val="clear" w:color="auto" w:fill="auto"/>
            <w:vAlign w:val="bottom"/>
          </w:tcPr>
          <w:p w14:paraId="2470DEBB" w14:textId="77777777" w:rsidR="009C6E2F" w:rsidRDefault="009C6E2F">
            <w:pPr>
              <w:rPr>
                <w:rFonts w:ascii="宋体"/>
              </w:rPr>
            </w:pPr>
          </w:p>
        </w:tc>
        <w:tc>
          <w:tcPr>
            <w:tcW w:w="0" w:type="auto"/>
            <w:shd w:val="clear" w:color="auto" w:fill="auto"/>
            <w:vAlign w:val="bottom"/>
          </w:tcPr>
          <w:p w14:paraId="2470DEBC" w14:textId="77777777" w:rsidR="009C6E2F" w:rsidRDefault="009C6E2F">
            <w:pPr>
              <w:rPr>
                <w:rFonts w:ascii="宋体"/>
              </w:rPr>
            </w:pPr>
          </w:p>
        </w:tc>
        <w:tc>
          <w:tcPr>
            <w:tcW w:w="0" w:type="auto"/>
            <w:shd w:val="clear" w:color="auto" w:fill="auto"/>
            <w:vAlign w:val="bottom"/>
          </w:tcPr>
          <w:p w14:paraId="2470DEBD" w14:textId="77777777" w:rsidR="009C6E2F" w:rsidRDefault="009C6E2F">
            <w:pPr>
              <w:rPr>
                <w:rFonts w:ascii="宋体"/>
              </w:rPr>
            </w:pPr>
          </w:p>
        </w:tc>
        <w:tc>
          <w:tcPr>
            <w:tcW w:w="0" w:type="auto"/>
            <w:shd w:val="clear" w:color="auto" w:fill="auto"/>
            <w:vAlign w:val="bottom"/>
          </w:tcPr>
          <w:p w14:paraId="2470DEBE" w14:textId="77777777" w:rsidR="009C6E2F" w:rsidRDefault="009C6E2F">
            <w:pPr>
              <w:rPr>
                <w:rFonts w:ascii="宋体"/>
              </w:rPr>
            </w:pPr>
          </w:p>
        </w:tc>
        <w:tc>
          <w:tcPr>
            <w:tcW w:w="0" w:type="auto"/>
            <w:shd w:val="clear" w:color="auto" w:fill="auto"/>
            <w:vAlign w:val="bottom"/>
          </w:tcPr>
          <w:p w14:paraId="2470DEBF" w14:textId="77777777" w:rsidR="009C6E2F" w:rsidRDefault="009C6E2F">
            <w:pPr>
              <w:rPr>
                <w:rFonts w:ascii="宋体"/>
              </w:rPr>
            </w:pPr>
          </w:p>
        </w:tc>
        <w:tc>
          <w:tcPr>
            <w:tcW w:w="0" w:type="auto"/>
            <w:shd w:val="clear" w:color="auto" w:fill="auto"/>
            <w:vAlign w:val="bottom"/>
          </w:tcPr>
          <w:p w14:paraId="2470DEC0" w14:textId="77777777" w:rsidR="009C6E2F" w:rsidRDefault="009C6E2F">
            <w:pPr>
              <w:rPr>
                <w:rFonts w:ascii="宋体"/>
              </w:rPr>
            </w:pPr>
          </w:p>
        </w:tc>
        <w:tc>
          <w:tcPr>
            <w:tcW w:w="0" w:type="auto"/>
            <w:shd w:val="clear" w:color="auto" w:fill="auto"/>
            <w:vAlign w:val="bottom"/>
          </w:tcPr>
          <w:p w14:paraId="2470DEC1" w14:textId="77777777" w:rsidR="009C6E2F" w:rsidRDefault="009C6E2F">
            <w:pPr>
              <w:rPr>
                <w:rFonts w:ascii="宋体"/>
              </w:rPr>
            </w:pPr>
          </w:p>
        </w:tc>
        <w:tc>
          <w:tcPr>
            <w:tcW w:w="0" w:type="auto"/>
            <w:shd w:val="clear" w:color="auto" w:fill="auto"/>
            <w:vAlign w:val="bottom"/>
          </w:tcPr>
          <w:p w14:paraId="2470DEC2" w14:textId="77777777" w:rsidR="009C6E2F" w:rsidRDefault="009C6E2F">
            <w:pPr>
              <w:rPr>
                <w:rFonts w:ascii="宋体"/>
              </w:rPr>
            </w:pPr>
          </w:p>
        </w:tc>
      </w:tr>
      <w:tr w:rsidR="009C6E2F" w14:paraId="2470DED3" w14:textId="77777777">
        <w:tc>
          <w:tcPr>
            <w:tcW w:w="0" w:type="auto"/>
            <w:gridSpan w:val="3"/>
            <w:shd w:val="clear" w:color="auto" w:fill="auto"/>
            <w:tcMar>
              <w:top w:w="40" w:type="dxa"/>
              <w:left w:w="20" w:type="dxa"/>
              <w:bottom w:w="40" w:type="dxa"/>
              <w:right w:w="20" w:type="dxa"/>
            </w:tcMar>
            <w:vAlign w:val="bottom"/>
          </w:tcPr>
          <w:p w14:paraId="2470DEC4"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5"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6"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7"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8"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gridSpan w:val="3"/>
            <w:shd w:val="clear" w:color="auto" w:fill="auto"/>
            <w:tcMar>
              <w:top w:w="0" w:type="dxa"/>
              <w:left w:w="20" w:type="dxa"/>
              <w:bottom w:w="0" w:type="dxa"/>
              <w:right w:w="20" w:type="dxa"/>
            </w:tcMar>
            <w:vAlign w:val="bottom"/>
          </w:tcPr>
          <w:p w14:paraId="2470DEC9"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A"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B"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C"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CD"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c>
          <w:tcPr>
            <w:tcW w:w="0" w:type="auto"/>
            <w:shd w:val="clear" w:color="auto" w:fill="auto"/>
            <w:vAlign w:val="bottom"/>
          </w:tcPr>
          <w:p w14:paraId="2470DECE" w14:textId="77777777" w:rsidR="009C6E2F" w:rsidRDefault="009C6E2F">
            <w:pPr>
              <w:rPr>
                <w:rFonts w:ascii="宋体"/>
                <w:vanish/>
              </w:rPr>
            </w:pPr>
          </w:p>
        </w:tc>
        <w:tc>
          <w:tcPr>
            <w:tcW w:w="0" w:type="auto"/>
            <w:shd w:val="clear" w:color="auto" w:fill="auto"/>
            <w:vAlign w:val="bottom"/>
          </w:tcPr>
          <w:p w14:paraId="2470DECF" w14:textId="77777777" w:rsidR="009C6E2F" w:rsidRDefault="009C6E2F">
            <w:pPr>
              <w:rPr>
                <w:rFonts w:ascii="宋体"/>
                <w:vanish/>
              </w:rPr>
            </w:pPr>
          </w:p>
        </w:tc>
        <w:tc>
          <w:tcPr>
            <w:tcW w:w="0" w:type="auto"/>
            <w:gridSpan w:val="3"/>
            <w:shd w:val="clear" w:color="auto" w:fill="auto"/>
            <w:vAlign w:val="bottom"/>
          </w:tcPr>
          <w:p w14:paraId="2470DED0" w14:textId="77777777" w:rsidR="009C6E2F" w:rsidRDefault="009C6E2F">
            <w:pPr>
              <w:rPr>
                <w:rFonts w:ascii="宋体"/>
                <w:vanish/>
              </w:rPr>
            </w:pPr>
          </w:p>
        </w:tc>
        <w:tc>
          <w:tcPr>
            <w:tcW w:w="0" w:type="auto"/>
            <w:gridSpan w:val="3"/>
            <w:shd w:val="clear" w:color="auto" w:fill="auto"/>
            <w:vAlign w:val="bottom"/>
          </w:tcPr>
          <w:p w14:paraId="2470DED1" w14:textId="77777777" w:rsidR="009C6E2F" w:rsidRDefault="009C6E2F">
            <w:pPr>
              <w:rPr>
                <w:rFonts w:ascii="宋体"/>
                <w:vanish/>
              </w:rPr>
            </w:pPr>
          </w:p>
        </w:tc>
        <w:tc>
          <w:tcPr>
            <w:tcW w:w="0" w:type="auto"/>
            <w:gridSpan w:val="3"/>
            <w:shd w:val="clear" w:color="auto" w:fill="auto"/>
            <w:vAlign w:val="bottom"/>
          </w:tcPr>
          <w:p w14:paraId="2470DED2" w14:textId="77777777" w:rsidR="009C6E2F" w:rsidRDefault="009C6E2F">
            <w:pPr>
              <w:rPr>
                <w:rFonts w:ascii="宋体"/>
                <w:vanish/>
              </w:rPr>
            </w:pPr>
          </w:p>
        </w:tc>
      </w:tr>
      <w:tr w:rsidR="009C6E2F" w14:paraId="2470DEEF"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ED4" w14:textId="77777777" w:rsidR="009C6E2F" w:rsidRDefault="007972BE">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ED5"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ED6"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ED7"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ED8"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ED9"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DA"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DB" w14:textId="77777777" w:rsidR="009C6E2F" w:rsidRDefault="007972BE">
            <w:pPr>
              <w:jc w:val="right"/>
              <w:textAlignment w:val="bottom"/>
            </w:pPr>
            <w:r>
              <w:rPr>
                <w:rFonts w:ascii="Arial" w:eastAsia="宋体" w:hAnsi="Arial" w:cs="Arial"/>
                <w:color w:val="000000"/>
                <w:sz w:val="17"/>
                <w:szCs w:val="17"/>
              </w:rPr>
              <w:t>-25 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D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DD"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D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EDF"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EE0"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EE1"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EE2"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EE3"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EE4"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E5"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E6" w14:textId="77777777" w:rsidR="009C6E2F" w:rsidRDefault="007972BE">
            <w:pPr>
              <w:jc w:val="right"/>
              <w:textAlignment w:val="bottom"/>
            </w:pPr>
            <w:r>
              <w:rPr>
                <w:rFonts w:ascii="Arial" w:eastAsia="宋体" w:hAnsi="Arial" w:cs="Arial"/>
                <w:color w:val="000000"/>
                <w:sz w:val="17"/>
                <w:szCs w:val="17"/>
              </w:rPr>
              <w:t>8 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E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EE8"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EE9"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DEEA" w14:textId="77777777" w:rsidR="009C6E2F" w:rsidRDefault="009C6E2F">
            <w:pPr>
              <w:rPr>
                <w:rFonts w:ascii="宋体"/>
                <w:vanish/>
              </w:rPr>
            </w:pPr>
          </w:p>
        </w:tc>
        <w:tc>
          <w:tcPr>
            <w:tcW w:w="0" w:type="auto"/>
            <w:shd w:val="clear" w:color="auto" w:fill="auto"/>
            <w:vAlign w:val="bottom"/>
          </w:tcPr>
          <w:p w14:paraId="2470DEEB" w14:textId="77777777" w:rsidR="009C6E2F" w:rsidRDefault="009C6E2F">
            <w:pPr>
              <w:rPr>
                <w:rFonts w:ascii="宋体"/>
                <w:vanish/>
              </w:rPr>
            </w:pPr>
          </w:p>
        </w:tc>
        <w:tc>
          <w:tcPr>
            <w:tcW w:w="0" w:type="auto"/>
            <w:gridSpan w:val="3"/>
            <w:shd w:val="clear" w:color="auto" w:fill="auto"/>
            <w:vAlign w:val="bottom"/>
          </w:tcPr>
          <w:p w14:paraId="2470DEEC" w14:textId="77777777" w:rsidR="009C6E2F" w:rsidRDefault="009C6E2F">
            <w:pPr>
              <w:rPr>
                <w:rFonts w:ascii="宋体"/>
                <w:vanish/>
              </w:rPr>
            </w:pPr>
          </w:p>
        </w:tc>
        <w:tc>
          <w:tcPr>
            <w:tcW w:w="0" w:type="auto"/>
            <w:gridSpan w:val="3"/>
            <w:shd w:val="clear" w:color="auto" w:fill="auto"/>
            <w:vAlign w:val="bottom"/>
          </w:tcPr>
          <w:p w14:paraId="2470DEED" w14:textId="77777777" w:rsidR="009C6E2F" w:rsidRDefault="009C6E2F">
            <w:pPr>
              <w:rPr>
                <w:rFonts w:ascii="宋体"/>
                <w:vanish/>
              </w:rPr>
            </w:pPr>
          </w:p>
        </w:tc>
        <w:tc>
          <w:tcPr>
            <w:tcW w:w="0" w:type="auto"/>
            <w:gridSpan w:val="3"/>
            <w:shd w:val="clear" w:color="auto" w:fill="auto"/>
            <w:vAlign w:val="bottom"/>
          </w:tcPr>
          <w:p w14:paraId="2470DEEE" w14:textId="77777777" w:rsidR="009C6E2F" w:rsidRDefault="009C6E2F">
            <w:pPr>
              <w:rPr>
                <w:rFonts w:ascii="宋体"/>
                <w:vanish/>
              </w:rPr>
            </w:pPr>
          </w:p>
        </w:tc>
      </w:tr>
      <w:tr w:rsidR="009C6E2F" w14:paraId="2470DF09"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DEF0" w14:textId="77777777" w:rsidR="009C6E2F" w:rsidRDefault="007972BE">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DEF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470DEF2" w14:textId="77777777" w:rsidR="009C6E2F" w:rsidRDefault="007972BE">
            <w:pPr>
              <w:jc w:val="right"/>
              <w:textAlignment w:val="bottom"/>
            </w:pPr>
            <w:r>
              <w:rPr>
                <w:rFonts w:ascii="Arial" w:eastAsia="宋体" w:hAnsi="Arial" w:cs="Arial"/>
                <w:color w:val="000000"/>
                <w:sz w:val="17"/>
                <w:szCs w:val="17"/>
              </w:rPr>
              <w:t>(1,071)</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DEF3" w14:textId="77777777" w:rsidR="009C6E2F" w:rsidRDefault="009C6E2F">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EF4"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470DEF5" w14:textId="77777777" w:rsidR="009C6E2F" w:rsidRDefault="007972BE">
            <w:pPr>
              <w:jc w:val="right"/>
              <w:textAlignment w:val="bottom"/>
            </w:pPr>
            <w:r>
              <w:rPr>
                <w:rFonts w:ascii="Arial" w:eastAsia="宋体" w:hAnsi="Arial" w:cs="Arial"/>
                <w:color w:val="000000"/>
                <w:sz w:val="17"/>
                <w:szCs w:val="17"/>
              </w:rPr>
              <w:t>(841)</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EF6"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EF7" w14:textId="77777777" w:rsidR="009C6E2F" w:rsidRDefault="007972BE">
            <w:pPr>
              <w:jc w:val="right"/>
              <w:textAlignment w:val="bottom"/>
            </w:pPr>
            <w:r>
              <w:rPr>
                <w:rFonts w:ascii="Arial" w:eastAsia="宋体" w:hAnsi="Arial" w:cs="Arial"/>
                <w:color w:val="000000"/>
                <w:sz w:val="17"/>
                <w:szCs w:val="17"/>
              </w:rPr>
              <w:t>-27 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EF8"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DEF9" w14:textId="77777777" w:rsidR="009C6E2F" w:rsidRDefault="009C6E2F">
            <w:pPr>
              <w:rPr>
                <w:rFonts w:ascii="宋体"/>
              </w:rPr>
            </w:pP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DEFA" w14:textId="77777777" w:rsidR="009C6E2F" w:rsidRDefault="009C6E2F">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DEF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470DEFC" w14:textId="77777777" w:rsidR="009C6E2F" w:rsidRDefault="007972BE">
            <w:pPr>
              <w:jc w:val="right"/>
              <w:textAlignment w:val="bottom"/>
            </w:pPr>
            <w:r>
              <w:rPr>
                <w:rFonts w:ascii="Arial" w:eastAsia="宋体" w:hAnsi="Arial" w:cs="Arial"/>
                <w:color w:val="000000"/>
                <w:sz w:val="17"/>
                <w:szCs w:val="17"/>
              </w:rPr>
              <w:t>(2,058)</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DEFD" w14:textId="77777777" w:rsidR="009C6E2F" w:rsidRDefault="009C6E2F">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EF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470DEFF" w14:textId="77777777" w:rsidR="009C6E2F" w:rsidRDefault="007972BE">
            <w:pPr>
              <w:jc w:val="right"/>
              <w:textAlignment w:val="bottom"/>
            </w:pPr>
            <w:r>
              <w:rPr>
                <w:rFonts w:ascii="Arial" w:eastAsia="宋体" w:hAnsi="Arial" w:cs="Arial"/>
                <w:color w:val="000000"/>
                <w:sz w:val="17"/>
                <w:szCs w:val="17"/>
              </w:rPr>
              <w:t>(1,694)</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F00"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DF01"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DF02"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DF03" w14:textId="77777777" w:rsidR="009C6E2F" w:rsidRDefault="009C6E2F">
            <w:pPr>
              <w:rPr>
                <w:rFonts w:ascii="宋体"/>
              </w:rPr>
            </w:pPr>
          </w:p>
        </w:tc>
        <w:tc>
          <w:tcPr>
            <w:tcW w:w="0" w:type="auto"/>
            <w:shd w:val="clear" w:color="auto" w:fill="auto"/>
            <w:vAlign w:val="bottom"/>
          </w:tcPr>
          <w:p w14:paraId="2470DF04" w14:textId="77777777" w:rsidR="009C6E2F" w:rsidRDefault="009C6E2F">
            <w:pPr>
              <w:rPr>
                <w:rFonts w:ascii="宋体"/>
                <w:vanish/>
              </w:rPr>
            </w:pPr>
          </w:p>
        </w:tc>
        <w:tc>
          <w:tcPr>
            <w:tcW w:w="0" w:type="auto"/>
            <w:shd w:val="clear" w:color="auto" w:fill="auto"/>
            <w:vAlign w:val="bottom"/>
          </w:tcPr>
          <w:p w14:paraId="2470DF05" w14:textId="77777777" w:rsidR="009C6E2F" w:rsidRDefault="009C6E2F">
            <w:pPr>
              <w:rPr>
                <w:rFonts w:ascii="宋体"/>
                <w:vanish/>
              </w:rPr>
            </w:pPr>
          </w:p>
        </w:tc>
        <w:tc>
          <w:tcPr>
            <w:tcW w:w="0" w:type="auto"/>
            <w:gridSpan w:val="3"/>
            <w:shd w:val="clear" w:color="auto" w:fill="auto"/>
            <w:vAlign w:val="bottom"/>
          </w:tcPr>
          <w:p w14:paraId="2470DF06" w14:textId="77777777" w:rsidR="009C6E2F" w:rsidRDefault="009C6E2F">
            <w:pPr>
              <w:rPr>
                <w:rFonts w:ascii="宋体"/>
                <w:vanish/>
              </w:rPr>
            </w:pPr>
          </w:p>
        </w:tc>
        <w:tc>
          <w:tcPr>
            <w:tcW w:w="0" w:type="auto"/>
            <w:gridSpan w:val="3"/>
            <w:shd w:val="clear" w:color="auto" w:fill="auto"/>
            <w:vAlign w:val="bottom"/>
          </w:tcPr>
          <w:p w14:paraId="2470DF07" w14:textId="77777777" w:rsidR="009C6E2F" w:rsidRDefault="009C6E2F">
            <w:pPr>
              <w:rPr>
                <w:rFonts w:ascii="宋体"/>
                <w:vanish/>
              </w:rPr>
            </w:pPr>
          </w:p>
        </w:tc>
        <w:tc>
          <w:tcPr>
            <w:tcW w:w="0" w:type="auto"/>
            <w:gridSpan w:val="3"/>
            <w:shd w:val="clear" w:color="auto" w:fill="auto"/>
            <w:vAlign w:val="bottom"/>
          </w:tcPr>
          <w:p w14:paraId="2470DF08" w14:textId="77777777" w:rsidR="009C6E2F" w:rsidRDefault="009C6E2F">
            <w:pPr>
              <w:rPr>
                <w:rFonts w:ascii="宋体"/>
                <w:vanish/>
              </w:rPr>
            </w:pPr>
          </w:p>
        </w:tc>
      </w:tr>
    </w:tbl>
    <w:p w14:paraId="2470DF0A" w14:textId="77777777" w:rsidR="009C6E2F" w:rsidRDefault="007972BE">
      <w:pPr>
        <w:spacing w:before="120" w:after="120"/>
      </w:pPr>
      <w:r>
        <w:rPr>
          <w:rFonts w:ascii="Arial" w:eastAsia="宋体" w:hAnsi="Arial" w:cs="Arial"/>
          <w:color w:val="000000"/>
          <w:sz w:val="17"/>
          <w:szCs w:val="17"/>
        </w:rPr>
        <w:t xml:space="preserve">Global Brand Divisions primarily represent </w:t>
      </w:r>
      <w:r>
        <w:rPr>
          <w:rFonts w:ascii="Arial" w:eastAsia="宋体" w:hAnsi="Arial" w:cs="Arial"/>
          <w:color w:val="000000"/>
          <w:sz w:val="17"/>
          <w:szCs w:val="17"/>
        </w:rPr>
        <w:t>demand creation and operating overhead expense, including product creation and design expenses that are centrally managed for the NIKE Brand, as well as costs associated with NIKE Direct global digital operations and enterprise technology. Global Brand Div</w:t>
      </w:r>
      <w:r>
        <w:rPr>
          <w:rFonts w:ascii="Arial" w:eastAsia="宋体" w:hAnsi="Arial" w:cs="Arial"/>
          <w:color w:val="000000"/>
          <w:sz w:val="17"/>
          <w:szCs w:val="17"/>
        </w:rPr>
        <w:t>isions revenues include NIKE Brand licensing and other miscellaneous revenues that are not part of a geographic operating segment.</w:t>
      </w:r>
    </w:p>
    <w:p w14:paraId="2470DF0B"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 FISCAL 2021</w:t>
      </w:r>
    </w:p>
    <w:p w14:paraId="2470DF0C" w14:textId="77777777" w:rsidR="009C6E2F" w:rsidRDefault="007972BE">
      <w:pPr>
        <w:spacing w:after="120"/>
      </w:pPr>
      <w:r>
        <w:rPr>
          <w:rFonts w:ascii="Arial" w:eastAsia="宋体" w:hAnsi="Arial" w:cs="Arial"/>
          <w:color w:val="000000"/>
          <w:sz w:val="17"/>
          <w:szCs w:val="17"/>
        </w:rPr>
        <w:t>Global Brand Divisions' loss before interest and taxe</w:t>
      </w:r>
      <w:r>
        <w:rPr>
          <w:rFonts w:ascii="Arial" w:eastAsia="宋体" w:hAnsi="Arial" w:cs="Arial"/>
          <w:color w:val="000000"/>
          <w:sz w:val="17"/>
          <w:szCs w:val="17"/>
        </w:rPr>
        <w:t>s increased 27% for the second quarter of fiscal 2022 driven by higher operating overhead and higher demand creation expense. Higher operating overhead expense was primarily due to an increase in strategic technology investments and higher wage-related cos</w:t>
      </w:r>
      <w:r>
        <w:rPr>
          <w:rFonts w:ascii="Arial" w:eastAsia="宋体" w:hAnsi="Arial" w:cs="Arial"/>
          <w:color w:val="000000"/>
          <w:sz w:val="17"/>
          <w:szCs w:val="17"/>
        </w:rPr>
        <w:t>ts. Higher demand creation expense was primarily due to higher sports marketing costs as well as higher advertising and marketing expense.</w:t>
      </w:r>
    </w:p>
    <w:p w14:paraId="2470DF0D"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MONTHS OF FISCAL 2021</w:t>
      </w:r>
    </w:p>
    <w:p w14:paraId="2470DF0E" w14:textId="77777777" w:rsidR="009C6E2F" w:rsidRDefault="007972BE">
      <w:pPr>
        <w:spacing w:after="120"/>
      </w:pPr>
      <w:r>
        <w:rPr>
          <w:rFonts w:ascii="Arial" w:eastAsia="宋体" w:hAnsi="Arial" w:cs="Arial"/>
          <w:color w:val="000000"/>
          <w:sz w:val="17"/>
          <w:szCs w:val="17"/>
        </w:rPr>
        <w:t>Global Brand Divisions' loss before inter</w:t>
      </w:r>
      <w:r>
        <w:rPr>
          <w:rFonts w:ascii="Arial" w:eastAsia="宋体" w:hAnsi="Arial" w:cs="Arial"/>
          <w:color w:val="000000"/>
          <w:sz w:val="17"/>
          <w:szCs w:val="17"/>
        </w:rPr>
        <w:t>est and taxes increased 21% for the first six months of fiscal 2022 driven by higher operating overhead and higher demand creation expense. Higher operating overhead expense was primarily due to an increase in strategic technology investments and wage-rela</w:t>
      </w:r>
      <w:r>
        <w:rPr>
          <w:rFonts w:ascii="Arial" w:eastAsia="宋体" w:hAnsi="Arial" w:cs="Arial"/>
          <w:color w:val="000000"/>
          <w:sz w:val="17"/>
          <w:szCs w:val="17"/>
        </w:rPr>
        <w:t>ted costs. Higher demand creation expense was primarily due to higher advertising and marketing expense.</w:t>
      </w:r>
    </w:p>
    <w:p w14:paraId="2470DF0F" w14:textId="77777777" w:rsidR="009C6E2F" w:rsidRDefault="007972BE">
      <w:pPr>
        <w:spacing w:before="120" w:after="120"/>
      </w:pPr>
      <w:r>
        <w:rPr>
          <w:rFonts w:ascii="Arial" w:eastAsia="宋体" w:hAnsi="Arial" w:cs="Arial"/>
          <w:color w:val="E87722"/>
          <w:sz w:val="17"/>
          <w:szCs w:val="17"/>
        </w:rPr>
        <w:t>38</w:t>
      </w:r>
      <w:r>
        <w:rPr>
          <w:rFonts w:ascii="sans-serif" w:eastAsia="sans-serif" w:hAnsi="sans-serif" w:cs="sans-serif"/>
          <w:color w:val="000000"/>
          <w:sz w:val="17"/>
          <w:szCs w:val="17"/>
        </w:rPr>
        <w:t xml:space="preserve"> </w:t>
      </w:r>
    </w:p>
    <w:p w14:paraId="2470DF10" w14:textId="77777777" w:rsidR="009C6E2F" w:rsidRDefault="007972BE">
      <w:r>
        <w:pict w14:anchorId="2470E20B">
          <v:rect id="_x0000_i1064" style="width:415.3pt;height:1.5pt" o:hralign="center" o:hrstd="t" o:hr="t" fillcolor="#a0a0a0" stroked="f"/>
        </w:pict>
      </w:r>
    </w:p>
    <w:p w14:paraId="2470DF11" w14:textId="77777777" w:rsidR="009C6E2F" w:rsidRDefault="009C6E2F">
      <w:pPr>
        <w:spacing w:before="120" w:after="120"/>
      </w:pPr>
    </w:p>
    <w:p w14:paraId="2470DF12" w14:textId="77777777" w:rsidR="009C6E2F" w:rsidRDefault="007972BE">
      <w:pPr>
        <w:spacing w:before="240" w:after="120"/>
      </w:pPr>
      <w:r>
        <w:rPr>
          <w:rFonts w:ascii="sans-serif" w:eastAsia="sans-serif" w:hAnsi="sans-serif" w:cs="sans-serif"/>
          <w:b/>
          <w:bCs/>
          <w:color w:val="000000"/>
          <w:sz w:val="28"/>
          <w:szCs w:val="28"/>
        </w:rPr>
        <w:t>CONVERSE</w:t>
      </w:r>
    </w:p>
    <w:tbl>
      <w:tblPr>
        <w:tblW w:w="5000" w:type="pct"/>
        <w:tblCellMar>
          <w:top w:w="15" w:type="dxa"/>
          <w:left w:w="15" w:type="dxa"/>
          <w:bottom w:w="15" w:type="dxa"/>
          <w:right w:w="15" w:type="dxa"/>
        </w:tblCellMar>
        <w:tblLook w:val="04A0" w:firstRow="1" w:lastRow="0" w:firstColumn="1" w:lastColumn="0" w:noHBand="0" w:noVBand="1"/>
      </w:tblPr>
      <w:tblGrid>
        <w:gridCol w:w="175"/>
        <w:gridCol w:w="2316"/>
        <w:gridCol w:w="37"/>
        <w:gridCol w:w="112"/>
        <w:gridCol w:w="320"/>
        <w:gridCol w:w="36"/>
        <w:gridCol w:w="112"/>
        <w:gridCol w:w="320"/>
        <w:gridCol w:w="36"/>
        <w:gridCol w:w="73"/>
        <w:gridCol w:w="544"/>
        <w:gridCol w:w="167"/>
        <w:gridCol w:w="97"/>
        <w:gridCol w:w="729"/>
        <w:gridCol w:w="167"/>
        <w:gridCol w:w="40"/>
        <w:gridCol w:w="32"/>
        <w:gridCol w:w="36"/>
        <w:gridCol w:w="112"/>
        <w:gridCol w:w="457"/>
        <w:gridCol w:w="36"/>
        <w:gridCol w:w="112"/>
        <w:gridCol w:w="457"/>
        <w:gridCol w:w="36"/>
        <w:gridCol w:w="73"/>
        <w:gridCol w:w="544"/>
        <w:gridCol w:w="167"/>
        <w:gridCol w:w="97"/>
        <w:gridCol w:w="729"/>
        <w:gridCol w:w="167"/>
      </w:tblGrid>
      <w:tr w:rsidR="009C6E2F" w14:paraId="2470DF31" w14:textId="77777777">
        <w:tc>
          <w:tcPr>
            <w:tcW w:w="50" w:type="pct"/>
            <w:shd w:val="clear" w:color="auto" w:fill="auto"/>
            <w:vAlign w:val="bottom"/>
          </w:tcPr>
          <w:p w14:paraId="2470DF13" w14:textId="77777777" w:rsidR="009C6E2F" w:rsidRDefault="009C6E2F">
            <w:pPr>
              <w:rPr>
                <w:rFonts w:ascii="宋体"/>
              </w:rPr>
            </w:pPr>
          </w:p>
        </w:tc>
        <w:tc>
          <w:tcPr>
            <w:tcW w:w="1387" w:type="pct"/>
            <w:shd w:val="clear" w:color="auto" w:fill="auto"/>
            <w:vAlign w:val="bottom"/>
          </w:tcPr>
          <w:p w14:paraId="2470DF14" w14:textId="77777777" w:rsidR="009C6E2F" w:rsidRDefault="009C6E2F">
            <w:pPr>
              <w:rPr>
                <w:rFonts w:ascii="宋体"/>
              </w:rPr>
            </w:pPr>
          </w:p>
        </w:tc>
        <w:tc>
          <w:tcPr>
            <w:tcW w:w="5" w:type="pct"/>
            <w:shd w:val="clear" w:color="auto" w:fill="auto"/>
            <w:vAlign w:val="bottom"/>
          </w:tcPr>
          <w:p w14:paraId="2470DF15" w14:textId="77777777" w:rsidR="009C6E2F" w:rsidRDefault="009C6E2F">
            <w:pPr>
              <w:rPr>
                <w:rFonts w:ascii="宋体"/>
              </w:rPr>
            </w:pPr>
          </w:p>
        </w:tc>
        <w:tc>
          <w:tcPr>
            <w:tcW w:w="50" w:type="pct"/>
            <w:shd w:val="clear" w:color="auto" w:fill="auto"/>
            <w:vAlign w:val="bottom"/>
          </w:tcPr>
          <w:p w14:paraId="2470DF16" w14:textId="77777777" w:rsidR="009C6E2F" w:rsidRDefault="009C6E2F">
            <w:pPr>
              <w:rPr>
                <w:rFonts w:ascii="宋体"/>
              </w:rPr>
            </w:pPr>
          </w:p>
        </w:tc>
        <w:tc>
          <w:tcPr>
            <w:tcW w:w="384" w:type="pct"/>
            <w:shd w:val="clear" w:color="auto" w:fill="auto"/>
            <w:vAlign w:val="bottom"/>
          </w:tcPr>
          <w:p w14:paraId="2470DF17" w14:textId="77777777" w:rsidR="009C6E2F" w:rsidRDefault="009C6E2F">
            <w:pPr>
              <w:rPr>
                <w:rFonts w:ascii="宋体"/>
              </w:rPr>
            </w:pPr>
          </w:p>
        </w:tc>
        <w:tc>
          <w:tcPr>
            <w:tcW w:w="5" w:type="pct"/>
            <w:shd w:val="clear" w:color="auto" w:fill="auto"/>
            <w:vAlign w:val="bottom"/>
          </w:tcPr>
          <w:p w14:paraId="2470DF18" w14:textId="77777777" w:rsidR="009C6E2F" w:rsidRDefault="009C6E2F">
            <w:pPr>
              <w:rPr>
                <w:rFonts w:ascii="宋体"/>
              </w:rPr>
            </w:pPr>
          </w:p>
        </w:tc>
        <w:tc>
          <w:tcPr>
            <w:tcW w:w="50" w:type="pct"/>
            <w:shd w:val="clear" w:color="auto" w:fill="auto"/>
            <w:vAlign w:val="bottom"/>
          </w:tcPr>
          <w:p w14:paraId="2470DF19" w14:textId="77777777" w:rsidR="009C6E2F" w:rsidRDefault="009C6E2F">
            <w:pPr>
              <w:rPr>
                <w:rFonts w:ascii="宋体"/>
              </w:rPr>
            </w:pPr>
          </w:p>
        </w:tc>
        <w:tc>
          <w:tcPr>
            <w:tcW w:w="384" w:type="pct"/>
            <w:shd w:val="clear" w:color="auto" w:fill="auto"/>
            <w:vAlign w:val="bottom"/>
          </w:tcPr>
          <w:p w14:paraId="2470DF1A" w14:textId="77777777" w:rsidR="009C6E2F" w:rsidRDefault="009C6E2F">
            <w:pPr>
              <w:rPr>
                <w:rFonts w:ascii="宋体"/>
              </w:rPr>
            </w:pPr>
          </w:p>
        </w:tc>
        <w:tc>
          <w:tcPr>
            <w:tcW w:w="5" w:type="pct"/>
            <w:shd w:val="clear" w:color="auto" w:fill="auto"/>
            <w:vAlign w:val="bottom"/>
          </w:tcPr>
          <w:p w14:paraId="2470DF1B" w14:textId="77777777" w:rsidR="009C6E2F" w:rsidRDefault="009C6E2F">
            <w:pPr>
              <w:rPr>
                <w:rFonts w:ascii="宋体"/>
              </w:rPr>
            </w:pPr>
          </w:p>
        </w:tc>
        <w:tc>
          <w:tcPr>
            <w:tcW w:w="50" w:type="pct"/>
            <w:shd w:val="clear" w:color="auto" w:fill="auto"/>
            <w:vAlign w:val="bottom"/>
          </w:tcPr>
          <w:p w14:paraId="2470DF1C" w14:textId="77777777" w:rsidR="009C6E2F" w:rsidRDefault="009C6E2F">
            <w:pPr>
              <w:rPr>
                <w:rFonts w:ascii="宋体"/>
              </w:rPr>
            </w:pPr>
          </w:p>
        </w:tc>
        <w:tc>
          <w:tcPr>
            <w:tcW w:w="384" w:type="pct"/>
            <w:shd w:val="clear" w:color="auto" w:fill="auto"/>
            <w:vAlign w:val="bottom"/>
          </w:tcPr>
          <w:p w14:paraId="2470DF1D" w14:textId="77777777" w:rsidR="009C6E2F" w:rsidRDefault="009C6E2F">
            <w:pPr>
              <w:rPr>
                <w:rFonts w:ascii="宋体"/>
              </w:rPr>
            </w:pPr>
          </w:p>
        </w:tc>
        <w:tc>
          <w:tcPr>
            <w:tcW w:w="5" w:type="pct"/>
            <w:shd w:val="clear" w:color="auto" w:fill="auto"/>
            <w:vAlign w:val="bottom"/>
          </w:tcPr>
          <w:p w14:paraId="2470DF1E" w14:textId="77777777" w:rsidR="009C6E2F" w:rsidRDefault="009C6E2F">
            <w:pPr>
              <w:rPr>
                <w:rFonts w:ascii="宋体"/>
              </w:rPr>
            </w:pPr>
          </w:p>
        </w:tc>
        <w:tc>
          <w:tcPr>
            <w:tcW w:w="50" w:type="pct"/>
            <w:shd w:val="clear" w:color="auto" w:fill="auto"/>
            <w:vAlign w:val="bottom"/>
          </w:tcPr>
          <w:p w14:paraId="2470DF1F" w14:textId="77777777" w:rsidR="009C6E2F" w:rsidRDefault="009C6E2F">
            <w:pPr>
              <w:rPr>
                <w:rFonts w:ascii="宋体"/>
              </w:rPr>
            </w:pPr>
          </w:p>
        </w:tc>
        <w:tc>
          <w:tcPr>
            <w:tcW w:w="384" w:type="pct"/>
            <w:shd w:val="clear" w:color="auto" w:fill="auto"/>
            <w:vAlign w:val="bottom"/>
          </w:tcPr>
          <w:p w14:paraId="2470DF20" w14:textId="77777777" w:rsidR="009C6E2F" w:rsidRDefault="009C6E2F">
            <w:pPr>
              <w:rPr>
                <w:rFonts w:ascii="宋体"/>
              </w:rPr>
            </w:pPr>
          </w:p>
        </w:tc>
        <w:tc>
          <w:tcPr>
            <w:tcW w:w="5" w:type="pct"/>
            <w:shd w:val="clear" w:color="auto" w:fill="auto"/>
            <w:vAlign w:val="bottom"/>
          </w:tcPr>
          <w:p w14:paraId="2470DF21" w14:textId="77777777" w:rsidR="009C6E2F" w:rsidRDefault="009C6E2F">
            <w:pPr>
              <w:rPr>
                <w:rFonts w:ascii="宋体"/>
              </w:rPr>
            </w:pPr>
          </w:p>
        </w:tc>
        <w:tc>
          <w:tcPr>
            <w:tcW w:w="5" w:type="pct"/>
            <w:shd w:val="clear" w:color="auto" w:fill="auto"/>
            <w:vAlign w:val="bottom"/>
          </w:tcPr>
          <w:p w14:paraId="2470DF22" w14:textId="77777777" w:rsidR="009C6E2F" w:rsidRDefault="009C6E2F">
            <w:pPr>
              <w:rPr>
                <w:rFonts w:ascii="宋体"/>
              </w:rPr>
            </w:pPr>
          </w:p>
        </w:tc>
        <w:tc>
          <w:tcPr>
            <w:tcW w:w="28" w:type="pct"/>
            <w:shd w:val="clear" w:color="auto" w:fill="auto"/>
            <w:vAlign w:val="bottom"/>
          </w:tcPr>
          <w:p w14:paraId="2470DF23" w14:textId="77777777" w:rsidR="009C6E2F" w:rsidRDefault="009C6E2F">
            <w:pPr>
              <w:rPr>
                <w:rFonts w:ascii="宋体"/>
              </w:rPr>
            </w:pPr>
          </w:p>
        </w:tc>
        <w:tc>
          <w:tcPr>
            <w:tcW w:w="5" w:type="pct"/>
            <w:shd w:val="clear" w:color="auto" w:fill="auto"/>
            <w:vAlign w:val="bottom"/>
          </w:tcPr>
          <w:p w14:paraId="2470DF24" w14:textId="77777777" w:rsidR="009C6E2F" w:rsidRDefault="009C6E2F">
            <w:pPr>
              <w:rPr>
                <w:rFonts w:ascii="宋体"/>
              </w:rPr>
            </w:pPr>
          </w:p>
        </w:tc>
        <w:tc>
          <w:tcPr>
            <w:tcW w:w="50" w:type="pct"/>
            <w:shd w:val="clear" w:color="auto" w:fill="auto"/>
            <w:vAlign w:val="bottom"/>
          </w:tcPr>
          <w:p w14:paraId="2470DF25" w14:textId="77777777" w:rsidR="009C6E2F" w:rsidRDefault="009C6E2F">
            <w:pPr>
              <w:rPr>
                <w:rFonts w:ascii="宋体"/>
              </w:rPr>
            </w:pPr>
          </w:p>
        </w:tc>
        <w:tc>
          <w:tcPr>
            <w:tcW w:w="384" w:type="pct"/>
            <w:shd w:val="clear" w:color="auto" w:fill="auto"/>
            <w:vAlign w:val="bottom"/>
          </w:tcPr>
          <w:p w14:paraId="2470DF26" w14:textId="77777777" w:rsidR="009C6E2F" w:rsidRDefault="009C6E2F">
            <w:pPr>
              <w:rPr>
                <w:rFonts w:ascii="宋体"/>
              </w:rPr>
            </w:pPr>
          </w:p>
        </w:tc>
        <w:tc>
          <w:tcPr>
            <w:tcW w:w="5" w:type="pct"/>
            <w:shd w:val="clear" w:color="auto" w:fill="auto"/>
            <w:vAlign w:val="bottom"/>
          </w:tcPr>
          <w:p w14:paraId="2470DF27" w14:textId="77777777" w:rsidR="009C6E2F" w:rsidRDefault="009C6E2F">
            <w:pPr>
              <w:rPr>
                <w:rFonts w:ascii="宋体"/>
              </w:rPr>
            </w:pPr>
          </w:p>
        </w:tc>
        <w:tc>
          <w:tcPr>
            <w:tcW w:w="50" w:type="pct"/>
            <w:shd w:val="clear" w:color="auto" w:fill="auto"/>
            <w:vAlign w:val="bottom"/>
          </w:tcPr>
          <w:p w14:paraId="2470DF28" w14:textId="77777777" w:rsidR="009C6E2F" w:rsidRDefault="009C6E2F">
            <w:pPr>
              <w:rPr>
                <w:rFonts w:ascii="宋体"/>
              </w:rPr>
            </w:pPr>
          </w:p>
        </w:tc>
        <w:tc>
          <w:tcPr>
            <w:tcW w:w="384" w:type="pct"/>
            <w:shd w:val="clear" w:color="auto" w:fill="auto"/>
            <w:vAlign w:val="bottom"/>
          </w:tcPr>
          <w:p w14:paraId="2470DF29" w14:textId="77777777" w:rsidR="009C6E2F" w:rsidRDefault="009C6E2F">
            <w:pPr>
              <w:rPr>
                <w:rFonts w:ascii="宋体"/>
              </w:rPr>
            </w:pPr>
          </w:p>
        </w:tc>
        <w:tc>
          <w:tcPr>
            <w:tcW w:w="5" w:type="pct"/>
            <w:shd w:val="clear" w:color="auto" w:fill="auto"/>
            <w:vAlign w:val="bottom"/>
          </w:tcPr>
          <w:p w14:paraId="2470DF2A" w14:textId="77777777" w:rsidR="009C6E2F" w:rsidRDefault="009C6E2F">
            <w:pPr>
              <w:rPr>
                <w:rFonts w:ascii="宋体"/>
              </w:rPr>
            </w:pPr>
          </w:p>
        </w:tc>
        <w:tc>
          <w:tcPr>
            <w:tcW w:w="50" w:type="pct"/>
            <w:shd w:val="clear" w:color="auto" w:fill="auto"/>
            <w:vAlign w:val="bottom"/>
          </w:tcPr>
          <w:p w14:paraId="2470DF2B" w14:textId="77777777" w:rsidR="009C6E2F" w:rsidRDefault="009C6E2F">
            <w:pPr>
              <w:rPr>
                <w:rFonts w:ascii="宋体"/>
              </w:rPr>
            </w:pPr>
          </w:p>
        </w:tc>
        <w:tc>
          <w:tcPr>
            <w:tcW w:w="384" w:type="pct"/>
            <w:shd w:val="clear" w:color="auto" w:fill="auto"/>
            <w:vAlign w:val="bottom"/>
          </w:tcPr>
          <w:p w14:paraId="2470DF2C" w14:textId="77777777" w:rsidR="009C6E2F" w:rsidRDefault="009C6E2F">
            <w:pPr>
              <w:rPr>
                <w:rFonts w:ascii="宋体"/>
              </w:rPr>
            </w:pPr>
          </w:p>
        </w:tc>
        <w:tc>
          <w:tcPr>
            <w:tcW w:w="5" w:type="pct"/>
            <w:shd w:val="clear" w:color="auto" w:fill="auto"/>
            <w:vAlign w:val="bottom"/>
          </w:tcPr>
          <w:p w14:paraId="2470DF2D" w14:textId="77777777" w:rsidR="009C6E2F" w:rsidRDefault="009C6E2F">
            <w:pPr>
              <w:rPr>
                <w:rFonts w:ascii="宋体"/>
              </w:rPr>
            </w:pPr>
          </w:p>
        </w:tc>
        <w:tc>
          <w:tcPr>
            <w:tcW w:w="50" w:type="pct"/>
            <w:shd w:val="clear" w:color="auto" w:fill="auto"/>
            <w:vAlign w:val="bottom"/>
          </w:tcPr>
          <w:p w14:paraId="2470DF2E" w14:textId="77777777" w:rsidR="009C6E2F" w:rsidRDefault="009C6E2F">
            <w:pPr>
              <w:rPr>
                <w:rFonts w:ascii="宋体"/>
              </w:rPr>
            </w:pPr>
          </w:p>
        </w:tc>
        <w:tc>
          <w:tcPr>
            <w:tcW w:w="384" w:type="pct"/>
            <w:shd w:val="clear" w:color="auto" w:fill="auto"/>
            <w:vAlign w:val="bottom"/>
          </w:tcPr>
          <w:p w14:paraId="2470DF2F" w14:textId="77777777" w:rsidR="009C6E2F" w:rsidRDefault="009C6E2F">
            <w:pPr>
              <w:rPr>
                <w:rFonts w:ascii="宋体"/>
              </w:rPr>
            </w:pPr>
          </w:p>
        </w:tc>
        <w:tc>
          <w:tcPr>
            <w:tcW w:w="5" w:type="pct"/>
            <w:shd w:val="clear" w:color="auto" w:fill="auto"/>
            <w:vAlign w:val="bottom"/>
          </w:tcPr>
          <w:p w14:paraId="2470DF30" w14:textId="77777777" w:rsidR="009C6E2F" w:rsidRDefault="009C6E2F">
            <w:pPr>
              <w:rPr>
                <w:rFonts w:ascii="宋体"/>
              </w:rPr>
            </w:pPr>
          </w:p>
        </w:tc>
      </w:tr>
      <w:tr w:rsidR="009C6E2F" w14:paraId="2470DF36" w14:textId="77777777">
        <w:tc>
          <w:tcPr>
            <w:tcW w:w="0" w:type="auto"/>
            <w:gridSpan w:val="3"/>
            <w:shd w:val="clear" w:color="auto" w:fill="auto"/>
            <w:tcMar>
              <w:top w:w="0" w:type="dxa"/>
              <w:left w:w="20" w:type="dxa"/>
              <w:bottom w:w="0" w:type="dxa"/>
              <w:right w:w="20" w:type="dxa"/>
            </w:tcMar>
            <w:vAlign w:val="bottom"/>
          </w:tcPr>
          <w:p w14:paraId="2470DF32"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F33"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DF34" w14:textId="77777777" w:rsidR="009C6E2F" w:rsidRDefault="009C6E2F">
            <w:pPr>
              <w:rPr>
                <w:rFonts w:ascii="宋体"/>
              </w:rPr>
            </w:pPr>
          </w:p>
        </w:tc>
        <w:tc>
          <w:tcPr>
            <w:tcW w:w="0" w:type="auto"/>
            <w:gridSpan w:val="12"/>
            <w:shd w:val="clear" w:color="auto" w:fill="auto"/>
            <w:tcMar>
              <w:top w:w="40" w:type="dxa"/>
              <w:left w:w="20" w:type="dxa"/>
              <w:bottom w:w="40" w:type="dxa"/>
              <w:right w:w="20" w:type="dxa"/>
            </w:tcMar>
            <w:vAlign w:val="bottom"/>
          </w:tcPr>
          <w:p w14:paraId="2470DF35"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r>
      <w:tr w:rsidR="009C6E2F" w14:paraId="2470DF41" w14:textId="77777777">
        <w:tc>
          <w:tcPr>
            <w:tcW w:w="0" w:type="auto"/>
            <w:gridSpan w:val="3"/>
            <w:shd w:val="clear" w:color="auto" w:fill="auto"/>
            <w:tcMar>
              <w:top w:w="40" w:type="dxa"/>
              <w:left w:w="20" w:type="dxa"/>
              <w:bottom w:w="40" w:type="dxa"/>
              <w:right w:w="20" w:type="dxa"/>
            </w:tcMar>
            <w:vAlign w:val="bottom"/>
          </w:tcPr>
          <w:p w14:paraId="2470DF37"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38"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39"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3A"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3B" w14:textId="77777777" w:rsidR="009C6E2F" w:rsidRDefault="007972BE">
            <w:pPr>
              <w:jc w:val="right"/>
              <w:textAlignment w:val="bottom"/>
            </w:pPr>
            <w:r>
              <w:rPr>
                <w:rFonts w:ascii="sans-serif" w:eastAsia="sans-serif" w:hAnsi="sans-serif" w:cs="sans-serif"/>
                <w:b/>
                <w:bCs/>
                <w:color w:val="000000"/>
                <w:sz w:val="17"/>
                <w:szCs w:val="17"/>
              </w:rPr>
              <w:t xml:space="preserve">% CHANGE </w:t>
            </w:r>
            <w:r>
              <w:rPr>
                <w:rFonts w:ascii="sans-serif" w:eastAsia="sans-serif" w:hAnsi="sans-serif" w:cs="sans-serif"/>
                <w:b/>
                <w:bCs/>
                <w:color w:val="000000"/>
                <w:sz w:val="17"/>
                <w:szCs w:val="17"/>
              </w:rPr>
              <w:t>EXCLUDING CURRENCY CHANGES</w:t>
            </w:r>
          </w:p>
        </w:tc>
        <w:tc>
          <w:tcPr>
            <w:tcW w:w="0" w:type="auto"/>
            <w:gridSpan w:val="3"/>
            <w:shd w:val="clear" w:color="auto" w:fill="auto"/>
            <w:tcMar>
              <w:top w:w="0" w:type="dxa"/>
              <w:left w:w="20" w:type="dxa"/>
              <w:bottom w:w="0" w:type="dxa"/>
              <w:right w:w="20" w:type="dxa"/>
            </w:tcMar>
            <w:vAlign w:val="bottom"/>
          </w:tcPr>
          <w:p w14:paraId="2470DF3C"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3D"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3E"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3F"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40" w14:textId="77777777" w:rsidR="009C6E2F" w:rsidRDefault="007972BE">
            <w:pPr>
              <w:jc w:val="right"/>
              <w:textAlignment w:val="bottom"/>
            </w:pPr>
            <w:r>
              <w:rPr>
                <w:rFonts w:ascii="sans-serif" w:eastAsia="sans-serif" w:hAnsi="sans-serif" w:cs="sans-serif"/>
                <w:b/>
                <w:bCs/>
                <w:color w:val="000000"/>
                <w:sz w:val="17"/>
                <w:szCs w:val="17"/>
              </w:rPr>
              <w:t>% CHANGE EXCLUDING CURRENCY CHANGES</w:t>
            </w:r>
          </w:p>
        </w:tc>
      </w:tr>
      <w:tr w:rsidR="009C6E2F" w14:paraId="2470DF4C"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42"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F43"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44"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4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4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47"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F4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49"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4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4B" w14:textId="77777777" w:rsidR="009C6E2F" w:rsidRDefault="009C6E2F">
            <w:pPr>
              <w:rPr>
                <w:rFonts w:ascii="宋体"/>
              </w:rPr>
            </w:pPr>
          </w:p>
        </w:tc>
      </w:tr>
      <w:tr w:rsidR="009C6E2F" w14:paraId="2470DF63"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F4D" w14:textId="77777777" w:rsidR="009C6E2F" w:rsidRDefault="007972BE">
            <w:pPr>
              <w:textAlignment w:val="bottom"/>
            </w:pPr>
            <w:r>
              <w:rPr>
                <w:rFonts w:ascii="Arial" w:eastAsia="宋体" w:hAnsi="Arial" w:cs="Arial"/>
                <w:color w:val="000000"/>
                <w:sz w:val="17"/>
                <w:szCs w:val="17"/>
              </w:rPr>
              <w:t>Footwear</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F4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F4F" w14:textId="77777777" w:rsidR="009C6E2F" w:rsidRDefault="007972BE">
            <w:pPr>
              <w:jc w:val="right"/>
              <w:textAlignment w:val="bottom"/>
            </w:pPr>
            <w:r>
              <w:rPr>
                <w:rFonts w:ascii="Arial" w:eastAsia="宋体" w:hAnsi="Arial" w:cs="Arial"/>
                <w:color w:val="000000"/>
                <w:sz w:val="17"/>
                <w:szCs w:val="17"/>
              </w:rPr>
              <w:t>485 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50"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F51"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F52" w14:textId="77777777" w:rsidR="009C6E2F" w:rsidRDefault="007972BE">
            <w:pPr>
              <w:jc w:val="right"/>
              <w:textAlignment w:val="bottom"/>
            </w:pPr>
            <w:r>
              <w:rPr>
                <w:rFonts w:ascii="Arial" w:eastAsia="宋体" w:hAnsi="Arial" w:cs="Arial"/>
                <w:color w:val="000000"/>
                <w:sz w:val="17"/>
                <w:szCs w:val="17"/>
              </w:rPr>
              <w:t>416 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5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54"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5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56"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57"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F58"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F5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F5A" w14:textId="77777777" w:rsidR="009C6E2F" w:rsidRDefault="007972BE">
            <w:pPr>
              <w:jc w:val="right"/>
              <w:textAlignment w:val="bottom"/>
            </w:pPr>
            <w:r>
              <w:rPr>
                <w:rFonts w:ascii="Arial" w:eastAsia="宋体" w:hAnsi="Arial" w:cs="Arial"/>
                <w:color w:val="000000"/>
                <w:sz w:val="17"/>
                <w:szCs w:val="17"/>
              </w:rPr>
              <w:t>1,052 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5B"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F5C"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F5D" w14:textId="77777777" w:rsidR="009C6E2F" w:rsidRDefault="007972BE">
            <w:pPr>
              <w:jc w:val="right"/>
              <w:textAlignment w:val="bottom"/>
            </w:pPr>
            <w:r>
              <w:rPr>
                <w:rFonts w:ascii="Arial" w:eastAsia="宋体" w:hAnsi="Arial" w:cs="Arial"/>
                <w:color w:val="000000"/>
                <w:sz w:val="17"/>
                <w:szCs w:val="17"/>
              </w:rPr>
              <w:t>929 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5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5F"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6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61" w14:textId="77777777" w:rsidR="009C6E2F" w:rsidRDefault="007972BE">
            <w:pPr>
              <w:jc w:val="right"/>
              <w:textAlignment w:val="bottom"/>
            </w:pPr>
            <w:r>
              <w:rPr>
                <w:rFonts w:ascii="Arial" w:eastAsia="宋体" w:hAnsi="Arial" w:cs="Arial"/>
                <w:color w:val="000000"/>
                <w:sz w:val="17"/>
                <w:szCs w:val="17"/>
              </w:rPr>
              <w:t>11 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62" w14:textId="77777777" w:rsidR="009C6E2F" w:rsidRDefault="007972BE">
            <w:pPr>
              <w:jc w:val="right"/>
              <w:textAlignment w:val="bottom"/>
            </w:pPr>
            <w:r>
              <w:rPr>
                <w:rFonts w:ascii="Arial" w:eastAsia="宋体" w:hAnsi="Arial" w:cs="Arial"/>
                <w:color w:val="000000"/>
                <w:sz w:val="17"/>
                <w:szCs w:val="17"/>
              </w:rPr>
              <w:t>%</w:t>
            </w:r>
          </w:p>
        </w:tc>
      </w:tr>
      <w:tr w:rsidR="009C6E2F" w14:paraId="2470DF76"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F64" w14:textId="77777777" w:rsidR="009C6E2F" w:rsidRDefault="007972BE">
            <w:pPr>
              <w:textAlignment w:val="bottom"/>
            </w:pPr>
            <w:r>
              <w:rPr>
                <w:rFonts w:ascii="Arial" w:eastAsia="宋体" w:hAnsi="Arial" w:cs="Arial"/>
                <w:color w:val="000000"/>
                <w:sz w:val="17"/>
                <w:szCs w:val="17"/>
              </w:rPr>
              <w:t>Apparel</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65" w14:textId="77777777" w:rsidR="009C6E2F" w:rsidRDefault="007972BE">
            <w:pPr>
              <w:jc w:val="right"/>
              <w:textAlignment w:val="bottom"/>
            </w:pPr>
            <w:r>
              <w:rPr>
                <w:rFonts w:ascii="Arial" w:eastAsia="宋体" w:hAnsi="Arial" w:cs="Arial"/>
                <w:color w:val="000000"/>
                <w:sz w:val="17"/>
                <w:szCs w:val="17"/>
              </w:rPr>
              <w:t>34 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6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67" w14:textId="77777777" w:rsidR="009C6E2F" w:rsidRDefault="007972BE">
            <w:pPr>
              <w:jc w:val="right"/>
              <w:textAlignment w:val="bottom"/>
            </w:pPr>
            <w:r>
              <w:rPr>
                <w:rFonts w:ascii="Arial" w:eastAsia="宋体" w:hAnsi="Arial" w:cs="Arial"/>
                <w:color w:val="000000"/>
                <w:sz w:val="17"/>
                <w:szCs w:val="17"/>
              </w:rPr>
              <w:t>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6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69"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6A"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6B"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6C"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F6D"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6E" w14:textId="77777777" w:rsidR="009C6E2F" w:rsidRDefault="007972BE">
            <w:pPr>
              <w:jc w:val="right"/>
              <w:textAlignment w:val="bottom"/>
            </w:pPr>
            <w:r>
              <w:rPr>
                <w:rFonts w:ascii="Arial" w:eastAsia="宋体" w:hAnsi="Arial" w:cs="Arial"/>
                <w:color w:val="000000"/>
                <w:sz w:val="17"/>
                <w:szCs w:val="17"/>
              </w:rPr>
              <w:t>58 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6F"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70"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7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72"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73"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74"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75" w14:textId="77777777" w:rsidR="009C6E2F" w:rsidRDefault="007972BE">
            <w:pPr>
              <w:jc w:val="right"/>
              <w:textAlignment w:val="bottom"/>
            </w:pPr>
            <w:r>
              <w:rPr>
                <w:rFonts w:ascii="Arial" w:eastAsia="宋体" w:hAnsi="Arial" w:cs="Arial"/>
                <w:color w:val="000000"/>
                <w:sz w:val="17"/>
                <w:szCs w:val="17"/>
              </w:rPr>
              <w:t>%</w:t>
            </w:r>
          </w:p>
        </w:tc>
      </w:tr>
      <w:tr w:rsidR="009C6E2F" w14:paraId="2470DF89"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F77" w14:textId="77777777" w:rsidR="009C6E2F" w:rsidRDefault="007972BE">
            <w:pPr>
              <w:textAlignment w:val="bottom"/>
            </w:pPr>
            <w:r>
              <w:rPr>
                <w:rFonts w:ascii="Arial" w:eastAsia="宋体" w:hAnsi="Arial" w:cs="Arial"/>
                <w:color w:val="000000"/>
                <w:sz w:val="17"/>
                <w:szCs w:val="17"/>
              </w:rPr>
              <w:t>Equipment</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78" w14:textId="77777777" w:rsidR="009C6E2F" w:rsidRDefault="007972BE">
            <w:pPr>
              <w:jc w:val="right"/>
              <w:textAlignment w:val="bottom"/>
            </w:pPr>
            <w:r>
              <w:rPr>
                <w:rFonts w:ascii="Arial" w:eastAsia="宋体" w:hAnsi="Arial" w:cs="Arial"/>
                <w:color w:val="000000"/>
                <w:sz w:val="17"/>
                <w:szCs w:val="17"/>
              </w:rPr>
              <w:t>5 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79"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7A" w14:textId="77777777" w:rsidR="009C6E2F" w:rsidRDefault="007972BE">
            <w:pPr>
              <w:jc w:val="right"/>
              <w:textAlignment w:val="bottom"/>
            </w:pPr>
            <w:r>
              <w:rPr>
                <w:rFonts w:ascii="Arial" w:eastAsia="宋体" w:hAnsi="Arial" w:cs="Arial"/>
                <w:color w:val="000000"/>
                <w:sz w:val="17"/>
                <w:szCs w:val="17"/>
              </w:rPr>
              <w:t>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7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7C" w14:textId="77777777" w:rsidR="009C6E2F" w:rsidRDefault="007972BE">
            <w:pPr>
              <w:jc w:val="right"/>
              <w:textAlignment w:val="bottom"/>
            </w:pPr>
            <w:r>
              <w:rPr>
                <w:rFonts w:ascii="Arial" w:eastAsia="宋体" w:hAnsi="Arial" w:cs="Arial"/>
                <w:color w:val="000000"/>
                <w:sz w:val="17"/>
                <w:szCs w:val="17"/>
              </w:rPr>
              <w:t>-29 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7D"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7E" w14:textId="77777777" w:rsidR="009C6E2F" w:rsidRDefault="007972BE">
            <w:pPr>
              <w:jc w:val="right"/>
              <w:textAlignment w:val="bottom"/>
            </w:pPr>
            <w:r>
              <w:rPr>
                <w:rFonts w:ascii="Arial" w:eastAsia="宋体" w:hAnsi="Arial" w:cs="Arial"/>
                <w:color w:val="000000"/>
                <w:sz w:val="17"/>
                <w:szCs w:val="17"/>
              </w:rPr>
              <w:t>-30 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7F"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F80"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81"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82"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83" w14:textId="77777777" w:rsidR="009C6E2F" w:rsidRDefault="007972BE">
            <w:pPr>
              <w:jc w:val="right"/>
              <w:textAlignment w:val="bottom"/>
            </w:pPr>
            <w:r>
              <w:rPr>
                <w:rFonts w:ascii="Arial" w:eastAsia="宋体" w:hAnsi="Arial" w:cs="Arial"/>
                <w:color w:val="000000"/>
                <w:sz w:val="17"/>
                <w:szCs w:val="17"/>
              </w:rPr>
              <w:t>16 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8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85"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86"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87"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88" w14:textId="77777777" w:rsidR="009C6E2F" w:rsidRDefault="007972BE">
            <w:pPr>
              <w:jc w:val="right"/>
              <w:textAlignment w:val="bottom"/>
            </w:pPr>
            <w:r>
              <w:rPr>
                <w:rFonts w:ascii="Arial" w:eastAsia="宋体" w:hAnsi="Arial" w:cs="Arial"/>
                <w:color w:val="000000"/>
                <w:sz w:val="17"/>
                <w:szCs w:val="17"/>
              </w:rPr>
              <w:t>%</w:t>
            </w:r>
          </w:p>
        </w:tc>
      </w:tr>
      <w:tr w:rsidR="009C6E2F" w14:paraId="2470DF9C"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F8A"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8B" w14:textId="77777777" w:rsidR="009C6E2F" w:rsidRDefault="007972BE">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8C"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8D"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8E"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8F" w14:textId="77777777" w:rsidR="009C6E2F" w:rsidRDefault="007972BE">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90"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91"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92"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F93"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94" w14:textId="77777777" w:rsidR="009C6E2F" w:rsidRDefault="007972BE">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9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96"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97"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98"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99"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9A"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9B" w14:textId="77777777" w:rsidR="009C6E2F" w:rsidRDefault="007972BE">
            <w:pPr>
              <w:jc w:val="right"/>
              <w:textAlignment w:val="bottom"/>
            </w:pPr>
            <w:r>
              <w:rPr>
                <w:rFonts w:ascii="Arial" w:eastAsia="宋体" w:hAnsi="Arial" w:cs="Arial"/>
                <w:color w:val="000000"/>
                <w:sz w:val="17"/>
                <w:szCs w:val="17"/>
              </w:rPr>
              <w:t>%</w:t>
            </w:r>
          </w:p>
        </w:tc>
      </w:tr>
      <w:tr w:rsidR="009C6E2F" w14:paraId="2470DFB3"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9D"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F9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F9F" w14:textId="77777777" w:rsidR="009C6E2F" w:rsidRDefault="007972BE">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FA0"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FA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FA2" w14:textId="77777777" w:rsidR="009C6E2F" w:rsidRDefault="007972BE">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FA3"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FA4" w14:textId="77777777" w:rsidR="009C6E2F" w:rsidRDefault="007972BE">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FA5"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FA6" w14:textId="77777777" w:rsidR="009C6E2F" w:rsidRDefault="007972BE">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FA7"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A8"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DFA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FAA" w14:textId="77777777" w:rsidR="009C6E2F" w:rsidRDefault="007972BE">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FAB"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DFAC"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DFAD" w14:textId="77777777" w:rsidR="009C6E2F" w:rsidRDefault="007972BE">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FAE"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FAF" w14:textId="77777777" w:rsidR="009C6E2F" w:rsidRDefault="007972BE">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FB0"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DFB1" w14:textId="77777777" w:rsidR="009C6E2F" w:rsidRDefault="007972BE">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DFB2" w14:textId="77777777" w:rsidR="009C6E2F" w:rsidRDefault="007972BE">
            <w:pPr>
              <w:jc w:val="right"/>
              <w:textAlignment w:val="bottom"/>
            </w:pPr>
            <w:r>
              <w:rPr>
                <w:rFonts w:ascii="Arial" w:eastAsia="宋体" w:hAnsi="Arial" w:cs="Arial"/>
                <w:b/>
                <w:bCs/>
                <w:color w:val="000000"/>
                <w:sz w:val="17"/>
                <w:szCs w:val="17"/>
              </w:rPr>
              <w:t>%</w:t>
            </w:r>
          </w:p>
        </w:tc>
      </w:tr>
      <w:tr w:rsidR="009C6E2F" w14:paraId="2470DFBE"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B4" w14:textId="77777777" w:rsidR="009C6E2F" w:rsidRDefault="007972BE">
            <w:pPr>
              <w:textAlignment w:val="bottom"/>
            </w:pPr>
            <w:r>
              <w:rPr>
                <w:rFonts w:ascii="Arial" w:eastAsia="宋体" w:hAnsi="Arial" w:cs="Arial"/>
                <w:color w:val="000000"/>
                <w:sz w:val="17"/>
                <w:szCs w:val="17"/>
              </w:rPr>
              <w:t>Revenues by:</w:t>
            </w: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FB5"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B6"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B7"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B8"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B9" w14:textId="77777777" w:rsidR="009C6E2F" w:rsidRDefault="009C6E2F">
            <w:pPr>
              <w:rPr>
                <w:rFonts w:ascii="宋体"/>
              </w:rPr>
            </w:pPr>
          </w:p>
        </w:tc>
        <w:tc>
          <w:tcPr>
            <w:tcW w:w="0" w:type="auto"/>
            <w:gridSpan w:val="3"/>
            <w:tcBorders>
              <w:top w:val="single" w:sz="8" w:space="0" w:color="E87722"/>
            </w:tcBorders>
            <w:shd w:val="clear" w:color="auto" w:fill="FFF1E7"/>
            <w:tcMar>
              <w:top w:w="0" w:type="dxa"/>
              <w:left w:w="20" w:type="dxa"/>
              <w:bottom w:w="0" w:type="dxa"/>
              <w:right w:w="20" w:type="dxa"/>
            </w:tcMar>
            <w:vAlign w:val="bottom"/>
          </w:tcPr>
          <w:p w14:paraId="2470DFBA"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BB"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BC" w14:textId="77777777" w:rsidR="009C6E2F" w:rsidRDefault="009C6E2F">
            <w:pPr>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DFBD" w14:textId="77777777" w:rsidR="009C6E2F" w:rsidRDefault="009C6E2F">
            <w:pPr>
              <w:rPr>
                <w:rFonts w:ascii="宋体"/>
              </w:rPr>
            </w:pPr>
          </w:p>
        </w:tc>
      </w:tr>
      <w:tr w:rsidR="009C6E2F" w14:paraId="2470DFD5"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FBF" w14:textId="77777777" w:rsidR="009C6E2F" w:rsidRDefault="007972BE">
            <w:pPr>
              <w:textAlignment w:val="bottom"/>
            </w:pPr>
            <w:r>
              <w:rPr>
                <w:rFonts w:ascii="Arial" w:eastAsia="宋体" w:hAnsi="Arial" w:cs="Arial"/>
                <w:color w:val="000000"/>
                <w:sz w:val="17"/>
                <w:szCs w:val="17"/>
              </w:rPr>
              <w:t>Sales to Wholesale Customers</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DFC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FC1" w14:textId="77777777" w:rsidR="009C6E2F" w:rsidRDefault="007972BE">
            <w:pPr>
              <w:jc w:val="right"/>
              <w:textAlignment w:val="bottom"/>
            </w:pPr>
            <w:r>
              <w:rPr>
                <w:rFonts w:ascii="Arial" w:eastAsia="宋体" w:hAnsi="Arial" w:cs="Arial"/>
                <w:color w:val="000000"/>
                <w:sz w:val="17"/>
                <w:szCs w:val="17"/>
              </w:rPr>
              <w:t>303 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C2"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FC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FC4" w14:textId="77777777" w:rsidR="009C6E2F" w:rsidRDefault="007972BE">
            <w:pPr>
              <w:jc w:val="right"/>
              <w:textAlignment w:val="bottom"/>
            </w:pPr>
            <w:r>
              <w:rPr>
                <w:rFonts w:ascii="Arial" w:eastAsia="宋体" w:hAnsi="Arial" w:cs="Arial"/>
                <w:color w:val="000000"/>
                <w:sz w:val="17"/>
                <w:szCs w:val="17"/>
              </w:rPr>
              <w:t>259 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C5"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C6"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C7"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C8" w14:textId="77777777" w:rsidR="009C6E2F" w:rsidRDefault="007972BE">
            <w:pPr>
              <w:jc w:val="right"/>
              <w:textAlignment w:val="bottom"/>
            </w:pPr>
            <w:r>
              <w:rPr>
                <w:rFonts w:ascii="Arial" w:eastAsia="宋体" w:hAnsi="Arial" w:cs="Arial"/>
                <w:color w:val="000000"/>
                <w:sz w:val="17"/>
                <w:szCs w:val="17"/>
              </w:rPr>
              <w:t>17 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C9"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FCA" w14:textId="77777777" w:rsidR="009C6E2F" w:rsidRDefault="009C6E2F">
            <w:pPr>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DFCB"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DFCC" w14:textId="77777777" w:rsidR="009C6E2F" w:rsidRDefault="007972BE">
            <w:pPr>
              <w:jc w:val="right"/>
              <w:textAlignment w:val="bottom"/>
            </w:pPr>
            <w:r>
              <w:rPr>
                <w:rFonts w:ascii="Arial" w:eastAsia="宋体" w:hAnsi="Arial" w:cs="Arial"/>
                <w:color w:val="000000"/>
                <w:sz w:val="17"/>
                <w:szCs w:val="17"/>
              </w:rPr>
              <w:t>672 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CD" w14:textId="77777777" w:rsidR="009C6E2F" w:rsidRDefault="009C6E2F">
            <w:pPr>
              <w:jc w:val="right"/>
              <w:rPr>
                <w:rFonts w:ascii="宋体"/>
              </w:rPr>
            </w:pPr>
          </w:p>
        </w:tc>
        <w:tc>
          <w:tcPr>
            <w:tcW w:w="0" w:type="auto"/>
            <w:tcBorders>
              <w:top w:val="single" w:sz="4" w:space="0" w:color="808080"/>
            </w:tcBorders>
            <w:shd w:val="clear" w:color="auto" w:fill="auto"/>
            <w:tcMar>
              <w:top w:w="40" w:type="dxa"/>
              <w:left w:w="20" w:type="dxa"/>
              <w:bottom w:w="40" w:type="dxa"/>
              <w:right w:w="0" w:type="dxa"/>
            </w:tcMar>
            <w:vAlign w:val="bottom"/>
          </w:tcPr>
          <w:p w14:paraId="2470DFCE"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auto"/>
            <w:tcMar>
              <w:top w:w="40" w:type="dxa"/>
              <w:left w:w="0" w:type="dxa"/>
              <w:bottom w:w="40" w:type="dxa"/>
              <w:right w:w="0" w:type="dxa"/>
            </w:tcMar>
            <w:vAlign w:val="bottom"/>
          </w:tcPr>
          <w:p w14:paraId="2470DFCF" w14:textId="77777777" w:rsidR="009C6E2F" w:rsidRDefault="007972BE">
            <w:pPr>
              <w:jc w:val="right"/>
              <w:textAlignment w:val="bottom"/>
            </w:pPr>
            <w:r>
              <w:rPr>
                <w:rFonts w:ascii="Arial" w:eastAsia="宋体" w:hAnsi="Arial" w:cs="Arial"/>
                <w:color w:val="000000"/>
                <w:sz w:val="17"/>
                <w:szCs w:val="17"/>
              </w:rPr>
              <w:t>632 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D0"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D1" w14:textId="77777777" w:rsidR="009C6E2F" w:rsidRDefault="007972BE">
            <w:pPr>
              <w:jc w:val="right"/>
              <w:textAlignment w:val="bottom"/>
            </w:pPr>
            <w:r>
              <w:rPr>
                <w:rFonts w:ascii="Arial" w:eastAsia="宋体" w:hAnsi="Arial" w:cs="Arial"/>
                <w:color w:val="000000"/>
                <w:sz w:val="17"/>
                <w:szCs w:val="17"/>
              </w:rPr>
              <w:t>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D2"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D3" w14:textId="77777777" w:rsidR="009C6E2F" w:rsidRDefault="007972BE">
            <w:pPr>
              <w:jc w:val="right"/>
              <w:textAlignment w:val="bottom"/>
            </w:pPr>
            <w:r>
              <w:rPr>
                <w:rFonts w:ascii="Arial" w:eastAsia="宋体" w:hAnsi="Arial" w:cs="Arial"/>
                <w:color w:val="000000"/>
                <w:sz w:val="17"/>
                <w:szCs w:val="17"/>
              </w:rPr>
              <w:t>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D4" w14:textId="77777777" w:rsidR="009C6E2F" w:rsidRDefault="007972BE">
            <w:pPr>
              <w:jc w:val="right"/>
              <w:textAlignment w:val="bottom"/>
            </w:pPr>
            <w:r>
              <w:rPr>
                <w:rFonts w:ascii="Arial" w:eastAsia="宋体" w:hAnsi="Arial" w:cs="Arial"/>
                <w:color w:val="000000"/>
                <w:sz w:val="17"/>
                <w:szCs w:val="17"/>
              </w:rPr>
              <w:t>%</w:t>
            </w:r>
          </w:p>
        </w:tc>
      </w:tr>
      <w:tr w:rsidR="009C6E2F" w14:paraId="2470DFE8" w14:textId="77777777">
        <w:tc>
          <w:tcPr>
            <w:tcW w:w="0" w:type="auto"/>
            <w:gridSpan w:val="3"/>
            <w:tcBorders>
              <w:top w:val="single" w:sz="4" w:space="0" w:color="808080"/>
            </w:tcBorders>
            <w:shd w:val="clear" w:color="auto" w:fill="auto"/>
            <w:tcMar>
              <w:top w:w="40" w:type="dxa"/>
              <w:left w:w="155" w:type="dxa"/>
              <w:bottom w:w="40" w:type="dxa"/>
              <w:right w:w="20" w:type="dxa"/>
            </w:tcMar>
            <w:vAlign w:val="bottom"/>
          </w:tcPr>
          <w:p w14:paraId="2470DFD6" w14:textId="77777777" w:rsidR="009C6E2F" w:rsidRDefault="007972BE">
            <w:pPr>
              <w:textAlignment w:val="bottom"/>
            </w:pPr>
            <w:r>
              <w:rPr>
                <w:rFonts w:ascii="Arial" w:eastAsia="宋体" w:hAnsi="Arial" w:cs="Arial"/>
                <w:color w:val="000000"/>
                <w:sz w:val="17"/>
                <w:szCs w:val="17"/>
              </w:rPr>
              <w:t>Sales through Dir</w:t>
            </w:r>
            <w:r>
              <w:rPr>
                <w:rFonts w:ascii="Arial" w:eastAsia="宋体" w:hAnsi="Arial" w:cs="Arial"/>
                <w:color w:val="000000"/>
                <w:sz w:val="17"/>
                <w:szCs w:val="17"/>
              </w:rPr>
              <w:t>ect to Consumer</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D7" w14:textId="77777777" w:rsidR="009C6E2F" w:rsidRDefault="007972BE">
            <w:pPr>
              <w:jc w:val="right"/>
              <w:textAlignment w:val="bottom"/>
            </w:pPr>
            <w:r>
              <w:rPr>
                <w:rFonts w:ascii="Arial" w:eastAsia="宋体" w:hAnsi="Arial" w:cs="Arial"/>
                <w:color w:val="000000"/>
                <w:sz w:val="17"/>
                <w:szCs w:val="17"/>
              </w:rPr>
              <w:t>221 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D8"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D9" w14:textId="77777777" w:rsidR="009C6E2F" w:rsidRDefault="007972BE">
            <w:pPr>
              <w:jc w:val="right"/>
              <w:textAlignment w:val="bottom"/>
            </w:pPr>
            <w:r>
              <w:rPr>
                <w:rFonts w:ascii="Arial" w:eastAsia="宋体" w:hAnsi="Arial" w:cs="Arial"/>
                <w:color w:val="000000"/>
                <w:sz w:val="17"/>
                <w:szCs w:val="17"/>
              </w:rPr>
              <w:t>196 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DA"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DB" w14:textId="77777777" w:rsidR="009C6E2F" w:rsidRDefault="007972BE">
            <w:pPr>
              <w:jc w:val="right"/>
              <w:textAlignment w:val="bottom"/>
            </w:pPr>
            <w:r>
              <w:rPr>
                <w:rFonts w:ascii="Arial" w:eastAsia="宋体" w:hAnsi="Arial" w:cs="Arial"/>
                <w:color w:val="000000"/>
                <w:sz w:val="17"/>
                <w:szCs w:val="17"/>
              </w:rPr>
              <w:t>13 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DC"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DD" w14:textId="77777777" w:rsidR="009C6E2F" w:rsidRDefault="007972BE">
            <w:pPr>
              <w:jc w:val="right"/>
              <w:textAlignment w:val="bottom"/>
            </w:pPr>
            <w:r>
              <w:rPr>
                <w:rFonts w:ascii="Arial" w:eastAsia="宋体" w:hAnsi="Arial" w:cs="Arial"/>
                <w:color w:val="000000"/>
                <w:sz w:val="17"/>
                <w:szCs w:val="17"/>
              </w:rPr>
              <w:t>12 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DE"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FDF"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E0" w14:textId="77777777" w:rsidR="009C6E2F" w:rsidRDefault="007972BE">
            <w:pPr>
              <w:jc w:val="right"/>
              <w:textAlignment w:val="bottom"/>
            </w:pPr>
            <w:r>
              <w:rPr>
                <w:rFonts w:ascii="Arial" w:eastAsia="宋体" w:hAnsi="Arial" w:cs="Arial"/>
                <w:color w:val="000000"/>
                <w:sz w:val="17"/>
                <w:szCs w:val="17"/>
              </w:rPr>
              <w:t>452 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E1"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E2" w14:textId="77777777" w:rsidR="009C6E2F" w:rsidRDefault="007972BE">
            <w:pPr>
              <w:jc w:val="right"/>
              <w:textAlignment w:val="bottom"/>
            </w:pPr>
            <w:r>
              <w:rPr>
                <w:rFonts w:ascii="Arial" w:eastAsia="宋体" w:hAnsi="Arial" w:cs="Arial"/>
                <w:color w:val="000000"/>
                <w:sz w:val="17"/>
                <w:szCs w:val="17"/>
              </w:rPr>
              <w:t>367 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E3"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E4" w14:textId="77777777" w:rsidR="009C6E2F" w:rsidRDefault="007972BE">
            <w:pPr>
              <w:jc w:val="right"/>
              <w:textAlignment w:val="bottom"/>
            </w:pPr>
            <w:r>
              <w:rPr>
                <w:rFonts w:ascii="Arial" w:eastAsia="宋体" w:hAnsi="Arial" w:cs="Arial"/>
                <w:color w:val="000000"/>
                <w:sz w:val="17"/>
                <w:szCs w:val="17"/>
              </w:rPr>
              <w:t>23 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E5"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E6"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E7" w14:textId="77777777" w:rsidR="009C6E2F" w:rsidRDefault="007972BE">
            <w:pPr>
              <w:jc w:val="right"/>
              <w:textAlignment w:val="bottom"/>
            </w:pPr>
            <w:r>
              <w:rPr>
                <w:rFonts w:ascii="Arial" w:eastAsia="宋体" w:hAnsi="Arial" w:cs="Arial"/>
                <w:color w:val="000000"/>
                <w:sz w:val="17"/>
                <w:szCs w:val="17"/>
              </w:rPr>
              <w:t>%</w:t>
            </w:r>
          </w:p>
        </w:tc>
      </w:tr>
      <w:tr w:rsidR="009C6E2F" w14:paraId="2470DFFB"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DFE9"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Other</w:t>
            </w:r>
            <w:r>
              <w:rPr>
                <w:rFonts w:ascii="Arial" w:eastAsia="宋体" w:hAnsi="Arial" w:cs="Arial"/>
                <w:color w:val="000000"/>
                <w:sz w:val="9"/>
                <w:szCs w:val="9"/>
              </w:rPr>
              <w:t>(1)</w:t>
            </w: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EA" w14:textId="77777777" w:rsidR="009C6E2F" w:rsidRDefault="007972BE">
            <w:pPr>
              <w:jc w:val="right"/>
              <w:textAlignment w:val="bottom"/>
            </w:pPr>
            <w:r>
              <w:rPr>
                <w:rFonts w:ascii="Arial" w:eastAsia="宋体" w:hAnsi="Arial" w:cs="Arial"/>
                <w:color w:val="000000"/>
                <w:sz w:val="17"/>
                <w:szCs w:val="17"/>
              </w:rPr>
              <w:t>33 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EB"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EC" w14:textId="77777777" w:rsidR="009C6E2F" w:rsidRDefault="007972BE">
            <w:pPr>
              <w:jc w:val="right"/>
              <w:textAlignment w:val="bottom"/>
            </w:pPr>
            <w:r>
              <w:rPr>
                <w:rFonts w:ascii="Arial" w:eastAsia="宋体" w:hAnsi="Arial" w:cs="Arial"/>
                <w:color w:val="000000"/>
                <w:sz w:val="17"/>
                <w:szCs w:val="17"/>
              </w:rPr>
              <w:t>21 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ED"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EE" w14:textId="77777777" w:rsidR="009C6E2F" w:rsidRDefault="007972BE">
            <w:pPr>
              <w:jc w:val="right"/>
              <w:textAlignment w:val="bottom"/>
            </w:pPr>
            <w:r>
              <w:rPr>
                <w:rFonts w:ascii="Arial" w:eastAsia="宋体" w:hAnsi="Arial" w:cs="Arial"/>
                <w:color w:val="000000"/>
                <w:sz w:val="17"/>
                <w:szCs w:val="17"/>
              </w:rPr>
              <w:t>57 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EF"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F0" w14:textId="77777777" w:rsidR="009C6E2F" w:rsidRDefault="007972BE">
            <w:pPr>
              <w:jc w:val="right"/>
              <w:textAlignment w:val="bottom"/>
            </w:pPr>
            <w:r>
              <w:rPr>
                <w:rFonts w:ascii="Arial" w:eastAsia="宋体" w:hAnsi="Arial" w:cs="Arial"/>
                <w:color w:val="000000"/>
                <w:sz w:val="17"/>
                <w:szCs w:val="17"/>
              </w:rPr>
              <w:t>53 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F1"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DFF2" w14:textId="77777777" w:rsidR="009C6E2F" w:rsidRDefault="009C6E2F">
            <w:pPr>
              <w:rPr>
                <w:rFonts w:ascii="宋体"/>
              </w:rPr>
            </w:pPr>
          </w:p>
        </w:tc>
        <w:tc>
          <w:tcPr>
            <w:tcW w:w="0" w:type="auto"/>
            <w:gridSpan w:val="2"/>
            <w:tcBorders>
              <w:top w:val="single" w:sz="4" w:space="0" w:color="808080"/>
            </w:tcBorders>
            <w:shd w:val="clear" w:color="auto" w:fill="FFF1E7"/>
            <w:tcMar>
              <w:top w:w="40" w:type="dxa"/>
              <w:left w:w="20" w:type="dxa"/>
              <w:bottom w:w="40" w:type="dxa"/>
              <w:right w:w="0" w:type="dxa"/>
            </w:tcMar>
            <w:vAlign w:val="bottom"/>
          </w:tcPr>
          <w:p w14:paraId="2470DFF3" w14:textId="77777777" w:rsidR="009C6E2F" w:rsidRDefault="007972BE">
            <w:pPr>
              <w:jc w:val="right"/>
              <w:textAlignment w:val="bottom"/>
            </w:pPr>
            <w:r>
              <w:rPr>
                <w:rFonts w:ascii="Arial" w:eastAsia="宋体" w:hAnsi="Arial" w:cs="Arial"/>
                <w:color w:val="000000"/>
                <w:sz w:val="17"/>
                <w:szCs w:val="17"/>
              </w:rPr>
              <w:t>62 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DFF4"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F5" w14:textId="77777777" w:rsidR="009C6E2F" w:rsidRDefault="007972BE">
            <w:pPr>
              <w:jc w:val="right"/>
              <w:textAlignment w:val="bottom"/>
            </w:pPr>
            <w:r>
              <w:rPr>
                <w:rFonts w:ascii="Arial" w:eastAsia="宋体" w:hAnsi="Arial" w:cs="Arial"/>
                <w:color w:val="000000"/>
                <w:sz w:val="17"/>
                <w:szCs w:val="17"/>
              </w:rPr>
              <w:t>40 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F6" w14:textId="77777777" w:rsidR="009C6E2F" w:rsidRDefault="009C6E2F">
            <w:pPr>
              <w:jc w:val="right"/>
              <w:rPr>
                <w:rFonts w:ascii="宋体"/>
              </w:rPr>
            </w:pP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F7" w14:textId="77777777" w:rsidR="009C6E2F" w:rsidRDefault="007972BE">
            <w:pPr>
              <w:jc w:val="right"/>
              <w:textAlignment w:val="bottom"/>
            </w:pPr>
            <w:r>
              <w:rPr>
                <w:rFonts w:ascii="Arial" w:eastAsia="宋体" w:hAnsi="Arial" w:cs="Arial"/>
                <w:color w:val="000000"/>
                <w:sz w:val="17"/>
                <w:szCs w:val="17"/>
              </w:rPr>
              <w:t>55 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F8" w14:textId="77777777" w:rsidR="009C6E2F" w:rsidRDefault="007972BE">
            <w:pPr>
              <w:jc w:val="right"/>
              <w:textAlignment w:val="bottom"/>
            </w:pPr>
            <w:r>
              <w:rPr>
                <w:rFonts w:ascii="Arial" w:eastAsia="宋体" w:hAnsi="Arial" w:cs="Arial"/>
                <w:color w:val="000000"/>
                <w:sz w:val="17"/>
                <w:szCs w:val="17"/>
              </w:rPr>
              <w:t>%</w:t>
            </w:r>
          </w:p>
        </w:tc>
        <w:tc>
          <w:tcPr>
            <w:tcW w:w="0" w:type="auto"/>
            <w:gridSpan w:val="2"/>
            <w:tcBorders>
              <w:top w:val="single" w:sz="4" w:space="0" w:color="808080"/>
            </w:tcBorders>
            <w:shd w:val="clear" w:color="auto" w:fill="auto"/>
            <w:tcMar>
              <w:top w:w="40" w:type="dxa"/>
              <w:left w:w="20" w:type="dxa"/>
              <w:bottom w:w="40" w:type="dxa"/>
              <w:right w:w="0" w:type="dxa"/>
            </w:tcMar>
            <w:vAlign w:val="bottom"/>
          </w:tcPr>
          <w:p w14:paraId="2470DFF9" w14:textId="77777777" w:rsidR="009C6E2F" w:rsidRDefault="007972BE">
            <w:pPr>
              <w:jc w:val="right"/>
              <w:textAlignment w:val="bottom"/>
            </w:pPr>
            <w:r>
              <w:rPr>
                <w:rFonts w:ascii="Arial" w:eastAsia="宋体" w:hAnsi="Arial" w:cs="Arial"/>
                <w:color w:val="000000"/>
                <w:sz w:val="17"/>
                <w:szCs w:val="17"/>
              </w:rPr>
              <w:t>54 </w:t>
            </w:r>
          </w:p>
        </w:tc>
        <w:tc>
          <w:tcPr>
            <w:tcW w:w="0" w:type="auto"/>
            <w:tcBorders>
              <w:top w:val="single" w:sz="4" w:space="0" w:color="808080"/>
            </w:tcBorders>
            <w:shd w:val="clear" w:color="auto" w:fill="auto"/>
            <w:tcMar>
              <w:top w:w="40" w:type="dxa"/>
              <w:left w:w="0" w:type="dxa"/>
              <w:bottom w:w="40" w:type="dxa"/>
              <w:right w:w="20" w:type="dxa"/>
            </w:tcMar>
            <w:vAlign w:val="bottom"/>
          </w:tcPr>
          <w:p w14:paraId="2470DFFA" w14:textId="77777777" w:rsidR="009C6E2F" w:rsidRDefault="007972BE">
            <w:pPr>
              <w:jc w:val="right"/>
              <w:textAlignment w:val="bottom"/>
            </w:pPr>
            <w:r>
              <w:rPr>
                <w:rFonts w:ascii="Arial" w:eastAsia="宋体" w:hAnsi="Arial" w:cs="Arial"/>
                <w:color w:val="000000"/>
                <w:sz w:val="17"/>
                <w:szCs w:val="17"/>
              </w:rPr>
              <w:t>%</w:t>
            </w:r>
          </w:p>
        </w:tc>
      </w:tr>
      <w:tr w:rsidR="009C6E2F" w14:paraId="2470E012"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DFFC" w14:textId="77777777" w:rsidR="009C6E2F" w:rsidRDefault="007972BE">
            <w:pPr>
              <w:textAlignment w:val="bottom"/>
            </w:pPr>
            <w:r>
              <w:rPr>
                <w:rFonts w:ascii="Arial" w:eastAsia="宋体" w:hAnsi="Arial" w:cs="Arial"/>
                <w:b/>
                <w:bCs/>
                <w:color w:val="000000"/>
                <w:sz w:val="17"/>
                <w:szCs w:val="17"/>
              </w:rPr>
              <w:t>TOTAL 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DFFD"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DFFE" w14:textId="77777777" w:rsidR="009C6E2F" w:rsidRDefault="007972BE">
            <w:pPr>
              <w:jc w:val="right"/>
              <w:textAlignment w:val="bottom"/>
            </w:pPr>
            <w:r>
              <w:rPr>
                <w:rFonts w:ascii="Arial" w:eastAsia="宋体" w:hAnsi="Arial" w:cs="Arial"/>
                <w:b/>
                <w:bCs/>
                <w:color w:val="000000"/>
                <w:sz w:val="17"/>
                <w:szCs w:val="17"/>
              </w:rPr>
              <w:t>557</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DFFF"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E000"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E001" w14:textId="77777777" w:rsidR="009C6E2F" w:rsidRDefault="007972BE">
            <w:pPr>
              <w:jc w:val="right"/>
              <w:textAlignment w:val="bottom"/>
            </w:pPr>
            <w:r>
              <w:rPr>
                <w:rFonts w:ascii="Arial" w:eastAsia="宋体" w:hAnsi="Arial" w:cs="Arial"/>
                <w:b/>
                <w:bCs/>
                <w:color w:val="000000"/>
                <w:sz w:val="17"/>
                <w:szCs w:val="17"/>
              </w:rPr>
              <w:t>476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02"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E003" w14:textId="77777777" w:rsidR="009C6E2F" w:rsidRDefault="007972BE">
            <w:pPr>
              <w:jc w:val="right"/>
              <w:textAlignment w:val="bottom"/>
            </w:pPr>
            <w:r>
              <w:rPr>
                <w:rFonts w:ascii="Arial" w:eastAsia="宋体" w:hAnsi="Arial" w:cs="Arial"/>
                <w:b/>
                <w:bCs/>
                <w:color w:val="000000"/>
                <w:sz w:val="17"/>
                <w:szCs w:val="17"/>
              </w:rPr>
              <w:t>17</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04"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E005" w14:textId="77777777" w:rsidR="009C6E2F" w:rsidRDefault="007972BE">
            <w:pPr>
              <w:jc w:val="right"/>
              <w:textAlignment w:val="bottom"/>
            </w:pPr>
            <w:r>
              <w:rPr>
                <w:rFonts w:ascii="Arial" w:eastAsia="宋体" w:hAnsi="Arial" w:cs="Arial"/>
                <w:b/>
                <w:bCs/>
                <w:color w:val="000000"/>
                <w:sz w:val="17"/>
                <w:szCs w:val="17"/>
              </w:rPr>
              <w:t>16</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06"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E007"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E008"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E009" w14:textId="77777777" w:rsidR="009C6E2F" w:rsidRDefault="007972BE">
            <w:pPr>
              <w:jc w:val="right"/>
              <w:textAlignment w:val="bottom"/>
            </w:pPr>
            <w:r>
              <w:rPr>
                <w:rFonts w:ascii="Arial" w:eastAsia="宋体" w:hAnsi="Arial" w:cs="Arial"/>
                <w:b/>
                <w:bCs/>
                <w:color w:val="000000"/>
                <w:sz w:val="17"/>
                <w:szCs w:val="17"/>
              </w:rPr>
              <w:t>1,186</w:t>
            </w:r>
            <w:r>
              <w:rPr>
                <w:rFonts w:ascii="Arial" w:eastAsia="宋体" w:hAnsi="Arial" w:cs="Arial"/>
                <w:color w:val="000000"/>
                <w:sz w:val="17"/>
                <w:szCs w:val="17"/>
              </w:rPr>
              <w:t>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E00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E00B"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E00C" w14:textId="77777777" w:rsidR="009C6E2F" w:rsidRDefault="007972BE">
            <w:pPr>
              <w:jc w:val="right"/>
              <w:textAlignment w:val="bottom"/>
            </w:pPr>
            <w:r>
              <w:rPr>
                <w:rFonts w:ascii="Arial" w:eastAsia="宋体" w:hAnsi="Arial" w:cs="Arial"/>
                <w:b/>
                <w:bCs/>
                <w:color w:val="000000"/>
                <w:sz w:val="17"/>
                <w:szCs w:val="17"/>
              </w:rPr>
              <w:t>1,039</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0D"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E00E" w14:textId="77777777" w:rsidR="009C6E2F" w:rsidRDefault="007972BE">
            <w:pPr>
              <w:jc w:val="right"/>
              <w:textAlignment w:val="bottom"/>
            </w:pPr>
            <w:r>
              <w:rPr>
                <w:rFonts w:ascii="Arial" w:eastAsia="宋体" w:hAnsi="Arial" w:cs="Arial"/>
                <w:b/>
                <w:bCs/>
                <w:color w:val="000000"/>
                <w:sz w:val="17"/>
                <w:szCs w:val="17"/>
              </w:rPr>
              <w:t>14</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0F"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E010" w14:textId="77777777" w:rsidR="009C6E2F" w:rsidRDefault="007972BE">
            <w:pPr>
              <w:jc w:val="right"/>
              <w:textAlignment w:val="bottom"/>
            </w:pPr>
            <w:r>
              <w:rPr>
                <w:rFonts w:ascii="Arial" w:eastAsia="宋体" w:hAnsi="Arial" w:cs="Arial"/>
                <w:b/>
                <w:bCs/>
                <w:color w:val="000000"/>
                <w:sz w:val="17"/>
                <w:szCs w:val="17"/>
              </w:rPr>
              <w:t>11</w:t>
            </w: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11" w14:textId="77777777" w:rsidR="009C6E2F" w:rsidRDefault="007972BE">
            <w:pPr>
              <w:jc w:val="right"/>
              <w:textAlignment w:val="bottom"/>
            </w:pPr>
            <w:r>
              <w:rPr>
                <w:rFonts w:ascii="Arial" w:eastAsia="宋体" w:hAnsi="Arial" w:cs="Arial"/>
                <w:b/>
                <w:bCs/>
                <w:color w:val="000000"/>
                <w:sz w:val="17"/>
                <w:szCs w:val="17"/>
              </w:rPr>
              <w:t>%</w:t>
            </w:r>
          </w:p>
        </w:tc>
      </w:tr>
      <w:tr w:rsidR="009C6E2F" w14:paraId="2470E027" w14:textId="77777777">
        <w:tc>
          <w:tcPr>
            <w:tcW w:w="0" w:type="auto"/>
            <w:gridSpan w:val="3"/>
            <w:tcBorders>
              <w:top w:val="single" w:sz="8" w:space="0" w:color="E87722"/>
              <w:bottom w:val="single" w:sz="8" w:space="0" w:color="E87722"/>
            </w:tcBorders>
            <w:shd w:val="clear" w:color="auto" w:fill="auto"/>
            <w:tcMar>
              <w:top w:w="40" w:type="dxa"/>
              <w:left w:w="20" w:type="dxa"/>
              <w:bottom w:w="40" w:type="dxa"/>
              <w:right w:w="20" w:type="dxa"/>
            </w:tcMar>
            <w:vAlign w:val="bottom"/>
          </w:tcPr>
          <w:p w14:paraId="2470E013" w14:textId="77777777" w:rsidR="009C6E2F" w:rsidRDefault="007972BE">
            <w:pPr>
              <w:textAlignment w:val="bottom"/>
            </w:pPr>
            <w:r>
              <w:rPr>
                <w:rFonts w:ascii="Arial" w:eastAsia="宋体" w:hAnsi="Arial" w:cs="Arial"/>
                <w:b/>
                <w:bCs/>
                <w:color w:val="000000"/>
                <w:sz w:val="17"/>
                <w:szCs w:val="17"/>
              </w:rPr>
              <w:t>EARNINGS BEFORE INTERE</w:t>
            </w:r>
            <w:r>
              <w:rPr>
                <w:rFonts w:ascii="Arial" w:eastAsia="宋体" w:hAnsi="Arial" w:cs="Arial"/>
                <w:b/>
                <w:bCs/>
                <w:color w:val="000000"/>
                <w:sz w:val="17"/>
                <w:szCs w:val="17"/>
              </w:rPr>
              <w:t>ST AND TAXES</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E014"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E015" w14:textId="77777777" w:rsidR="009C6E2F" w:rsidRDefault="007972BE">
            <w:pPr>
              <w:jc w:val="right"/>
              <w:textAlignment w:val="bottom"/>
            </w:pPr>
            <w:r>
              <w:rPr>
                <w:rFonts w:ascii="Arial" w:eastAsia="宋体" w:hAnsi="Arial" w:cs="Arial"/>
                <w:b/>
                <w:bCs/>
                <w:color w:val="000000"/>
                <w:sz w:val="17"/>
                <w:szCs w:val="17"/>
              </w:rPr>
              <w:t>132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E016"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E017"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E018" w14:textId="77777777" w:rsidR="009C6E2F" w:rsidRDefault="007972BE">
            <w:pPr>
              <w:jc w:val="right"/>
              <w:textAlignment w:val="bottom"/>
            </w:pPr>
            <w:r>
              <w:rPr>
                <w:rFonts w:ascii="Arial" w:eastAsia="宋体" w:hAnsi="Arial" w:cs="Arial"/>
                <w:b/>
                <w:bCs/>
                <w:color w:val="000000"/>
                <w:sz w:val="17"/>
                <w:szCs w:val="17"/>
              </w:rPr>
              <w:t>87</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E019"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E01A" w14:textId="77777777" w:rsidR="009C6E2F" w:rsidRDefault="007972BE">
            <w:pPr>
              <w:jc w:val="right"/>
              <w:textAlignment w:val="bottom"/>
            </w:pPr>
            <w:r>
              <w:rPr>
                <w:rFonts w:ascii="Arial" w:eastAsia="宋体" w:hAnsi="Arial" w:cs="Arial"/>
                <w:b/>
                <w:bCs/>
                <w:color w:val="000000"/>
                <w:sz w:val="17"/>
                <w:szCs w:val="17"/>
              </w:rPr>
              <w:t>52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E01B"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E01C"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E01D" w14:textId="77777777" w:rsidR="009C6E2F" w:rsidRDefault="009C6E2F">
            <w:pPr>
              <w:rPr>
                <w:rFonts w:ascii="宋体"/>
              </w:rPr>
            </w:pP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E01E"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E01F" w14:textId="77777777" w:rsidR="009C6E2F" w:rsidRDefault="007972BE">
            <w:pPr>
              <w:jc w:val="right"/>
              <w:textAlignment w:val="bottom"/>
            </w:pPr>
            <w:r>
              <w:rPr>
                <w:rFonts w:ascii="Arial" w:eastAsia="宋体" w:hAnsi="Arial" w:cs="Arial"/>
                <w:b/>
                <w:bCs/>
                <w:color w:val="000000"/>
                <w:sz w:val="17"/>
                <w:szCs w:val="17"/>
              </w:rPr>
              <w:t>336</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E020" w14:textId="77777777" w:rsidR="009C6E2F" w:rsidRDefault="009C6E2F">
            <w:pPr>
              <w:jc w:val="right"/>
              <w:rPr>
                <w:rFonts w:ascii="宋体"/>
              </w:rPr>
            </w:pPr>
          </w:p>
        </w:tc>
        <w:tc>
          <w:tcPr>
            <w:tcW w:w="0" w:type="auto"/>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E021"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auto"/>
            <w:tcMar>
              <w:top w:w="40" w:type="dxa"/>
              <w:left w:w="0" w:type="dxa"/>
              <w:bottom w:w="40" w:type="dxa"/>
              <w:right w:w="0" w:type="dxa"/>
            </w:tcMar>
            <w:vAlign w:val="bottom"/>
          </w:tcPr>
          <w:p w14:paraId="2470E022" w14:textId="77777777" w:rsidR="009C6E2F" w:rsidRDefault="007972BE">
            <w:pPr>
              <w:jc w:val="right"/>
              <w:textAlignment w:val="bottom"/>
            </w:pPr>
            <w:r>
              <w:rPr>
                <w:rFonts w:ascii="Arial" w:eastAsia="宋体" w:hAnsi="Arial" w:cs="Arial"/>
                <w:b/>
                <w:bCs/>
                <w:color w:val="000000"/>
                <w:sz w:val="17"/>
                <w:szCs w:val="17"/>
              </w:rPr>
              <w:t>255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E023" w14:textId="77777777" w:rsidR="009C6E2F" w:rsidRDefault="009C6E2F">
            <w:pPr>
              <w:jc w:val="right"/>
              <w:rPr>
                <w:rFonts w:ascii="宋体"/>
              </w:rPr>
            </w:pPr>
          </w:p>
        </w:tc>
        <w:tc>
          <w:tcPr>
            <w:tcW w:w="0" w:type="auto"/>
            <w:gridSpan w:val="2"/>
            <w:tcBorders>
              <w:top w:val="single" w:sz="8" w:space="0" w:color="E87722"/>
              <w:bottom w:val="single" w:sz="8" w:space="0" w:color="E87722"/>
            </w:tcBorders>
            <w:shd w:val="clear" w:color="auto" w:fill="auto"/>
            <w:tcMar>
              <w:top w:w="40" w:type="dxa"/>
              <w:left w:w="20" w:type="dxa"/>
              <w:bottom w:w="40" w:type="dxa"/>
              <w:right w:w="0" w:type="dxa"/>
            </w:tcMar>
            <w:vAlign w:val="bottom"/>
          </w:tcPr>
          <w:p w14:paraId="2470E024" w14:textId="77777777" w:rsidR="009C6E2F" w:rsidRDefault="007972BE">
            <w:pPr>
              <w:jc w:val="right"/>
              <w:textAlignment w:val="bottom"/>
            </w:pPr>
            <w:r>
              <w:rPr>
                <w:rFonts w:ascii="Arial" w:eastAsia="宋体" w:hAnsi="Arial" w:cs="Arial"/>
                <w:b/>
                <w:bCs/>
                <w:color w:val="000000"/>
                <w:sz w:val="17"/>
                <w:szCs w:val="17"/>
              </w:rPr>
              <w:t>32</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auto"/>
            <w:tcMar>
              <w:top w:w="40" w:type="dxa"/>
              <w:left w:w="0" w:type="dxa"/>
              <w:bottom w:w="40" w:type="dxa"/>
              <w:right w:w="20" w:type="dxa"/>
            </w:tcMar>
            <w:vAlign w:val="bottom"/>
          </w:tcPr>
          <w:p w14:paraId="2470E025" w14:textId="77777777" w:rsidR="009C6E2F" w:rsidRDefault="007972BE">
            <w:pPr>
              <w:jc w:val="right"/>
              <w:textAlignment w:val="bottom"/>
            </w:pPr>
            <w:r>
              <w:rPr>
                <w:rFonts w:ascii="Arial" w:eastAsia="宋体" w:hAnsi="Arial" w:cs="Arial"/>
                <w:b/>
                <w:bCs/>
                <w:color w:val="000000"/>
                <w:sz w:val="17"/>
                <w:szCs w:val="17"/>
              </w:rPr>
              <w:t>%</w:t>
            </w:r>
          </w:p>
        </w:tc>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E026" w14:textId="77777777" w:rsidR="009C6E2F" w:rsidRDefault="009C6E2F">
            <w:pPr>
              <w:rPr>
                <w:rFonts w:ascii="宋体"/>
              </w:rPr>
            </w:pPr>
          </w:p>
        </w:tc>
      </w:tr>
    </w:tbl>
    <w:p w14:paraId="2470E028" w14:textId="77777777" w:rsidR="009C6E2F" w:rsidRDefault="007972BE">
      <w:pPr>
        <w:pBdr>
          <w:left w:val="none" w:sz="0" w:space="0" w:color="auto"/>
        </w:pBdr>
        <w:spacing w:before="60" w:after="60"/>
        <w:ind w:hanging="360"/>
      </w:pPr>
      <w:r>
        <w:rPr>
          <w:rFonts w:ascii="Arial" w:eastAsia="宋体" w:hAnsi="Arial" w:cs="Arial"/>
          <w:i/>
          <w:iCs/>
          <w:color w:val="000000"/>
          <w:sz w:val="14"/>
          <w:szCs w:val="14"/>
        </w:rPr>
        <w:t xml:space="preserve">(1)Other revenues consist of territories serviced by third-party licensees who pay </w:t>
      </w:r>
      <w:r>
        <w:rPr>
          <w:rFonts w:ascii="Arial" w:eastAsia="宋体" w:hAnsi="Arial" w:cs="Arial"/>
          <w:i/>
          <w:iCs/>
          <w:color w:val="000000"/>
          <w:sz w:val="14"/>
          <w:szCs w:val="14"/>
        </w:rPr>
        <w:t>royalties to Converse for the use of its registered trademarks and other intellectual property rights. We do not own the Converse trademarks in Japan and accordingly do not earn revenues in Japan.</w:t>
      </w:r>
    </w:p>
    <w:p w14:paraId="2470E029" w14:textId="77777777" w:rsidR="009C6E2F" w:rsidRDefault="007972BE">
      <w:pPr>
        <w:spacing w:before="120"/>
      </w:pPr>
      <w:r>
        <w:rPr>
          <w:rFonts w:ascii="sans-serif" w:eastAsia="sans-serif" w:hAnsi="sans-serif" w:cs="sans-serif"/>
          <w:b/>
          <w:bCs/>
          <w:color w:val="808080"/>
          <w:sz w:val="22"/>
          <w:szCs w:val="22"/>
        </w:rPr>
        <w:t>SECOND QUARTER OF FISCAL 2022 COMPARED TO SECOND QUARTER OF</w:t>
      </w:r>
      <w:r>
        <w:rPr>
          <w:rFonts w:ascii="sans-serif" w:eastAsia="sans-serif" w:hAnsi="sans-serif" w:cs="sans-serif"/>
          <w:b/>
          <w:bCs/>
          <w:color w:val="808080"/>
          <w:sz w:val="22"/>
          <w:szCs w:val="22"/>
        </w:rPr>
        <w:t xml:space="preserve"> FISCAL 2021</w:t>
      </w:r>
    </w:p>
    <w:p w14:paraId="2470E02A" w14:textId="77777777" w:rsidR="009C6E2F" w:rsidRDefault="007972BE">
      <w:r>
        <w:rPr>
          <w:rFonts w:ascii="Arial" w:eastAsia="宋体" w:hAnsi="Arial" w:cs="Arial"/>
          <w:color w:val="000000"/>
          <w:sz w:val="17"/>
          <w:szCs w:val="17"/>
        </w:rPr>
        <w:t>On a currency-neutral basis, Converse revenues increased 16% for the second quarter of fiscal 2022 driven by revenue growth in Western Europe and North America, partially offset by declines in Asia. Wholesale revenues increased 17%, while dire</w:t>
      </w:r>
      <w:r>
        <w:rPr>
          <w:rFonts w:ascii="Arial" w:eastAsia="宋体" w:hAnsi="Arial" w:cs="Arial"/>
          <w:color w:val="000000"/>
          <w:sz w:val="17"/>
          <w:szCs w:val="17"/>
        </w:rPr>
        <w:t>ct to consumer revenues increased 12%, driven primarily by growth in North America and Western Europe, partially offset by declines in Asia. Combined unit sales within the wholesale and direct to consumer channels increased 5% and ASP increased 9%, primari</w:t>
      </w:r>
      <w:r>
        <w:rPr>
          <w:rFonts w:ascii="Arial" w:eastAsia="宋体" w:hAnsi="Arial" w:cs="Arial"/>
          <w:color w:val="000000"/>
          <w:sz w:val="17"/>
          <w:szCs w:val="17"/>
        </w:rPr>
        <w:t>ly due to higher full-price ASP, driven by lower discounts and growth in direct to consumer.</w:t>
      </w:r>
    </w:p>
    <w:p w14:paraId="2470E02B" w14:textId="77777777" w:rsidR="009C6E2F" w:rsidRDefault="009C6E2F"/>
    <w:p w14:paraId="2470E02C" w14:textId="77777777" w:rsidR="009C6E2F" w:rsidRDefault="007972BE">
      <w:r>
        <w:rPr>
          <w:rFonts w:ascii="Arial" w:eastAsia="宋体" w:hAnsi="Arial" w:cs="Arial"/>
          <w:color w:val="000000"/>
          <w:sz w:val="17"/>
          <w:szCs w:val="17"/>
        </w:rPr>
        <w:t>Reported EBIT increased 52%, driven by higher revenues and gross margin expansion partially offset by higher selling and administrative expense. Gross margin incr</w:t>
      </w:r>
      <w:r>
        <w:rPr>
          <w:rFonts w:ascii="Arial" w:eastAsia="宋体" w:hAnsi="Arial" w:cs="Arial"/>
          <w:color w:val="000000"/>
          <w:sz w:val="17"/>
          <w:szCs w:val="17"/>
        </w:rPr>
        <w:t>eased approximately 250 basis points primarily due to higher margins in our direct to consumer business and a higher mix of full price sales, partially offset by higher product costs primarily due to increased freight charges. Selling and administrative ex</w:t>
      </w:r>
      <w:r>
        <w:rPr>
          <w:rFonts w:ascii="Arial" w:eastAsia="宋体" w:hAnsi="Arial" w:cs="Arial"/>
          <w:color w:val="000000"/>
          <w:sz w:val="17"/>
          <w:szCs w:val="17"/>
        </w:rPr>
        <w:t xml:space="preserve">pense increased primarily due to higher demand creation expense driven by higher advertising and marketing expense. </w:t>
      </w:r>
    </w:p>
    <w:p w14:paraId="2470E02D"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MONTHS OF FISCAL 2021</w:t>
      </w:r>
    </w:p>
    <w:p w14:paraId="2470E02E" w14:textId="77777777" w:rsidR="009C6E2F" w:rsidRDefault="007972BE">
      <w:r>
        <w:rPr>
          <w:rFonts w:ascii="Arial" w:eastAsia="宋体" w:hAnsi="Arial" w:cs="Arial"/>
          <w:color w:val="000000"/>
          <w:sz w:val="17"/>
          <w:szCs w:val="17"/>
        </w:rPr>
        <w:t xml:space="preserve">On a currency-neutral basis, Converse revenues </w:t>
      </w:r>
      <w:r>
        <w:rPr>
          <w:rFonts w:ascii="Arial" w:eastAsia="宋体" w:hAnsi="Arial" w:cs="Arial"/>
          <w:color w:val="000000"/>
          <w:sz w:val="17"/>
          <w:szCs w:val="17"/>
        </w:rPr>
        <w:t xml:space="preserve">increased 11% for the first six months of fiscal 2022 driven by revenue growth in North America and Western Europe, partially offset by declines in Asia. Wholesale revenues increased 3%, while direct to consumer revenues increased 21%, driven by growth in </w:t>
      </w:r>
      <w:r>
        <w:rPr>
          <w:rFonts w:ascii="Arial" w:eastAsia="宋体" w:hAnsi="Arial" w:cs="Arial"/>
          <w:color w:val="000000"/>
          <w:sz w:val="17"/>
          <w:szCs w:val="17"/>
        </w:rPr>
        <w:t>North America and Western Europe, partially offset by declines in Asia. Combined unit sales within the wholesale and direct to consumer channels decreased 2%, while ASP increased 12%, primarily due to higher full-price ASP, driven by lower discounts and gr</w:t>
      </w:r>
      <w:r>
        <w:rPr>
          <w:rFonts w:ascii="Arial" w:eastAsia="宋体" w:hAnsi="Arial" w:cs="Arial"/>
          <w:color w:val="000000"/>
          <w:sz w:val="17"/>
          <w:szCs w:val="17"/>
        </w:rPr>
        <w:t>owth in direct to consumer.</w:t>
      </w:r>
    </w:p>
    <w:p w14:paraId="2470E02F" w14:textId="77777777" w:rsidR="009C6E2F" w:rsidRDefault="009C6E2F"/>
    <w:p w14:paraId="2470E030" w14:textId="77777777" w:rsidR="009C6E2F" w:rsidRDefault="007972BE">
      <w:r>
        <w:rPr>
          <w:rFonts w:ascii="Arial" w:eastAsia="宋体" w:hAnsi="Arial" w:cs="Arial"/>
          <w:color w:val="000000"/>
          <w:sz w:val="17"/>
          <w:szCs w:val="17"/>
        </w:rPr>
        <w:t>Reported EBIT increased 32%, driven by higher revenues and gross margin expansion partially offset by higher selling and administrative expense. Gross margin increased approximately 290 basis points primarily due to higher marg</w:t>
      </w:r>
      <w:r>
        <w:rPr>
          <w:rFonts w:ascii="Arial" w:eastAsia="宋体" w:hAnsi="Arial" w:cs="Arial"/>
          <w:color w:val="000000"/>
          <w:sz w:val="17"/>
          <w:szCs w:val="17"/>
        </w:rPr>
        <w:t>ins in our direct to consumer business, growth in licensee revenues and lower other costs, partially offset by higher product costs due to increased freight and duty charges. Selling and administrative expense increased primarily due to higher demand creat</w:t>
      </w:r>
      <w:r>
        <w:rPr>
          <w:rFonts w:ascii="Arial" w:eastAsia="宋体" w:hAnsi="Arial" w:cs="Arial"/>
          <w:color w:val="000000"/>
          <w:sz w:val="17"/>
          <w:szCs w:val="17"/>
        </w:rPr>
        <w:t xml:space="preserve">ion expense driven by higher advertising and marketing expense. </w:t>
      </w:r>
    </w:p>
    <w:p w14:paraId="2470E031" w14:textId="77777777" w:rsidR="009C6E2F" w:rsidRDefault="007972BE">
      <w:pPr>
        <w:spacing w:before="120" w:after="120"/>
        <w:jc w:val="right"/>
      </w:pPr>
      <w:r>
        <w:rPr>
          <w:rFonts w:ascii="Arial" w:eastAsia="宋体" w:hAnsi="Arial" w:cs="Arial"/>
          <w:color w:val="E87722"/>
          <w:sz w:val="17"/>
          <w:szCs w:val="17"/>
        </w:rPr>
        <w:t>39</w:t>
      </w:r>
    </w:p>
    <w:p w14:paraId="2470E032" w14:textId="77777777" w:rsidR="009C6E2F" w:rsidRDefault="007972BE">
      <w:r>
        <w:pict w14:anchorId="2470E20C">
          <v:rect id="_x0000_i1065" style="width:415.3pt;height:1.5pt" o:hralign="center" o:hrstd="t" o:hr="t" fillcolor="#a0a0a0" stroked="f"/>
        </w:pict>
      </w:r>
    </w:p>
    <w:p w14:paraId="2470E033" w14:textId="77777777" w:rsidR="009C6E2F" w:rsidRDefault="009C6E2F"/>
    <w:p w14:paraId="2470E034" w14:textId="77777777" w:rsidR="009C6E2F" w:rsidRDefault="007972BE">
      <w:hyperlink r:id="rId107" w:anchor="i9e023a7388204bdbacd6aa338988f838_7" w:history="1">
        <w:r>
          <w:rPr>
            <w:rStyle w:val="a5"/>
            <w:rFonts w:ascii="sans-serif" w:eastAsia="sans-serif" w:hAnsi="sans-serif" w:cs="sans-serif"/>
            <w:sz w:val="17"/>
            <w:szCs w:val="17"/>
          </w:rPr>
          <w:t>Table of Contents</w:t>
        </w:r>
      </w:hyperlink>
    </w:p>
    <w:p w14:paraId="2470E035" w14:textId="77777777" w:rsidR="009C6E2F" w:rsidRDefault="009C6E2F"/>
    <w:p w14:paraId="2470E036" w14:textId="77777777" w:rsidR="009C6E2F" w:rsidRDefault="007972BE">
      <w:pPr>
        <w:spacing w:before="240" w:after="120"/>
      </w:pPr>
      <w:r>
        <w:rPr>
          <w:rFonts w:ascii="sans-serif" w:eastAsia="sans-serif" w:hAnsi="sans-serif" w:cs="sans-serif"/>
          <w:b/>
          <w:bCs/>
          <w:color w:val="000000"/>
          <w:sz w:val="28"/>
          <w:szCs w:val="28"/>
        </w:rPr>
        <w:t>CORPORATE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346"/>
        <w:gridCol w:w="37"/>
        <w:gridCol w:w="115"/>
        <w:gridCol w:w="590"/>
        <w:gridCol w:w="36"/>
        <w:gridCol w:w="115"/>
        <w:gridCol w:w="590"/>
        <w:gridCol w:w="36"/>
        <w:gridCol w:w="70"/>
        <w:gridCol w:w="568"/>
        <w:gridCol w:w="172"/>
        <w:gridCol w:w="36"/>
        <w:gridCol w:w="36"/>
        <w:gridCol w:w="36"/>
        <w:gridCol w:w="115"/>
        <w:gridCol w:w="539"/>
        <w:gridCol w:w="36"/>
        <w:gridCol w:w="115"/>
        <w:gridCol w:w="576"/>
        <w:gridCol w:w="36"/>
        <w:gridCol w:w="70"/>
        <w:gridCol w:w="568"/>
        <w:gridCol w:w="172"/>
        <w:gridCol w:w="36"/>
        <w:gridCol w:w="36"/>
        <w:gridCol w:w="36"/>
        <w:gridCol w:w="36"/>
        <w:gridCol w:w="36"/>
        <w:gridCol w:w="36"/>
        <w:gridCol w:w="36"/>
        <w:gridCol w:w="36"/>
      </w:tblGrid>
      <w:tr w:rsidR="009C6E2F" w14:paraId="2470E053" w14:textId="77777777">
        <w:tc>
          <w:tcPr>
            <w:tcW w:w="50" w:type="pct"/>
            <w:shd w:val="clear" w:color="auto" w:fill="auto"/>
            <w:vAlign w:val="bottom"/>
          </w:tcPr>
          <w:p w14:paraId="2470E037" w14:textId="77777777" w:rsidR="009C6E2F" w:rsidRDefault="009C6E2F">
            <w:pPr>
              <w:rPr>
                <w:rFonts w:ascii="宋体"/>
              </w:rPr>
            </w:pPr>
          </w:p>
        </w:tc>
        <w:tc>
          <w:tcPr>
            <w:tcW w:w="2128" w:type="pct"/>
            <w:shd w:val="clear" w:color="auto" w:fill="auto"/>
            <w:vAlign w:val="bottom"/>
          </w:tcPr>
          <w:p w14:paraId="2470E038" w14:textId="77777777" w:rsidR="009C6E2F" w:rsidRDefault="009C6E2F">
            <w:pPr>
              <w:rPr>
                <w:rFonts w:ascii="宋体"/>
              </w:rPr>
            </w:pPr>
          </w:p>
        </w:tc>
        <w:tc>
          <w:tcPr>
            <w:tcW w:w="5" w:type="pct"/>
            <w:shd w:val="clear" w:color="auto" w:fill="auto"/>
            <w:vAlign w:val="bottom"/>
          </w:tcPr>
          <w:p w14:paraId="2470E039" w14:textId="77777777" w:rsidR="009C6E2F" w:rsidRDefault="009C6E2F">
            <w:pPr>
              <w:rPr>
                <w:rFonts w:ascii="宋体"/>
              </w:rPr>
            </w:pPr>
          </w:p>
        </w:tc>
        <w:tc>
          <w:tcPr>
            <w:tcW w:w="50" w:type="pct"/>
            <w:shd w:val="clear" w:color="auto" w:fill="auto"/>
            <w:vAlign w:val="bottom"/>
          </w:tcPr>
          <w:p w14:paraId="2470E03A" w14:textId="77777777" w:rsidR="009C6E2F" w:rsidRDefault="009C6E2F">
            <w:pPr>
              <w:rPr>
                <w:rFonts w:ascii="宋体"/>
              </w:rPr>
            </w:pPr>
          </w:p>
        </w:tc>
        <w:tc>
          <w:tcPr>
            <w:tcW w:w="407" w:type="pct"/>
            <w:shd w:val="clear" w:color="auto" w:fill="auto"/>
            <w:vAlign w:val="bottom"/>
          </w:tcPr>
          <w:p w14:paraId="2470E03B" w14:textId="77777777" w:rsidR="009C6E2F" w:rsidRDefault="009C6E2F">
            <w:pPr>
              <w:rPr>
                <w:rFonts w:ascii="宋体"/>
              </w:rPr>
            </w:pPr>
          </w:p>
        </w:tc>
        <w:tc>
          <w:tcPr>
            <w:tcW w:w="5" w:type="pct"/>
            <w:shd w:val="clear" w:color="auto" w:fill="auto"/>
            <w:vAlign w:val="bottom"/>
          </w:tcPr>
          <w:p w14:paraId="2470E03C" w14:textId="77777777" w:rsidR="009C6E2F" w:rsidRDefault="009C6E2F">
            <w:pPr>
              <w:rPr>
                <w:rFonts w:ascii="宋体"/>
              </w:rPr>
            </w:pPr>
          </w:p>
        </w:tc>
        <w:tc>
          <w:tcPr>
            <w:tcW w:w="50" w:type="pct"/>
            <w:shd w:val="clear" w:color="auto" w:fill="auto"/>
            <w:vAlign w:val="bottom"/>
          </w:tcPr>
          <w:p w14:paraId="2470E03D" w14:textId="77777777" w:rsidR="009C6E2F" w:rsidRDefault="009C6E2F">
            <w:pPr>
              <w:rPr>
                <w:rFonts w:ascii="宋体"/>
              </w:rPr>
            </w:pPr>
          </w:p>
        </w:tc>
        <w:tc>
          <w:tcPr>
            <w:tcW w:w="407" w:type="pct"/>
            <w:shd w:val="clear" w:color="auto" w:fill="auto"/>
            <w:vAlign w:val="bottom"/>
          </w:tcPr>
          <w:p w14:paraId="2470E03E" w14:textId="77777777" w:rsidR="009C6E2F" w:rsidRDefault="009C6E2F">
            <w:pPr>
              <w:rPr>
                <w:rFonts w:ascii="宋体"/>
              </w:rPr>
            </w:pPr>
          </w:p>
        </w:tc>
        <w:tc>
          <w:tcPr>
            <w:tcW w:w="5" w:type="pct"/>
            <w:shd w:val="clear" w:color="auto" w:fill="auto"/>
            <w:vAlign w:val="bottom"/>
          </w:tcPr>
          <w:p w14:paraId="2470E03F" w14:textId="77777777" w:rsidR="009C6E2F" w:rsidRDefault="009C6E2F">
            <w:pPr>
              <w:rPr>
                <w:rFonts w:ascii="宋体"/>
              </w:rPr>
            </w:pPr>
          </w:p>
        </w:tc>
        <w:tc>
          <w:tcPr>
            <w:tcW w:w="50" w:type="pct"/>
            <w:shd w:val="clear" w:color="auto" w:fill="auto"/>
            <w:vAlign w:val="bottom"/>
          </w:tcPr>
          <w:p w14:paraId="2470E040" w14:textId="77777777" w:rsidR="009C6E2F" w:rsidRDefault="009C6E2F">
            <w:pPr>
              <w:rPr>
                <w:rFonts w:ascii="宋体"/>
              </w:rPr>
            </w:pPr>
          </w:p>
        </w:tc>
        <w:tc>
          <w:tcPr>
            <w:tcW w:w="407" w:type="pct"/>
            <w:shd w:val="clear" w:color="auto" w:fill="auto"/>
            <w:vAlign w:val="bottom"/>
          </w:tcPr>
          <w:p w14:paraId="2470E041" w14:textId="77777777" w:rsidR="009C6E2F" w:rsidRDefault="009C6E2F">
            <w:pPr>
              <w:rPr>
                <w:rFonts w:ascii="宋体"/>
              </w:rPr>
            </w:pPr>
          </w:p>
        </w:tc>
        <w:tc>
          <w:tcPr>
            <w:tcW w:w="5" w:type="pct"/>
            <w:shd w:val="clear" w:color="auto" w:fill="auto"/>
            <w:vAlign w:val="bottom"/>
          </w:tcPr>
          <w:p w14:paraId="2470E042" w14:textId="77777777" w:rsidR="009C6E2F" w:rsidRDefault="009C6E2F">
            <w:pPr>
              <w:rPr>
                <w:rFonts w:ascii="宋体"/>
              </w:rPr>
            </w:pPr>
          </w:p>
        </w:tc>
        <w:tc>
          <w:tcPr>
            <w:tcW w:w="5" w:type="pct"/>
            <w:shd w:val="clear" w:color="auto" w:fill="auto"/>
            <w:vAlign w:val="bottom"/>
          </w:tcPr>
          <w:p w14:paraId="2470E043" w14:textId="77777777" w:rsidR="009C6E2F" w:rsidRDefault="009C6E2F">
            <w:pPr>
              <w:rPr>
                <w:rFonts w:ascii="宋体"/>
              </w:rPr>
            </w:pPr>
          </w:p>
        </w:tc>
        <w:tc>
          <w:tcPr>
            <w:tcW w:w="28" w:type="pct"/>
            <w:shd w:val="clear" w:color="auto" w:fill="auto"/>
            <w:vAlign w:val="bottom"/>
          </w:tcPr>
          <w:p w14:paraId="2470E044" w14:textId="77777777" w:rsidR="009C6E2F" w:rsidRDefault="009C6E2F">
            <w:pPr>
              <w:rPr>
                <w:rFonts w:ascii="宋体"/>
              </w:rPr>
            </w:pPr>
          </w:p>
        </w:tc>
        <w:tc>
          <w:tcPr>
            <w:tcW w:w="5" w:type="pct"/>
            <w:shd w:val="clear" w:color="auto" w:fill="auto"/>
            <w:vAlign w:val="bottom"/>
          </w:tcPr>
          <w:p w14:paraId="2470E045" w14:textId="77777777" w:rsidR="009C6E2F" w:rsidRDefault="009C6E2F">
            <w:pPr>
              <w:rPr>
                <w:rFonts w:ascii="宋体"/>
              </w:rPr>
            </w:pPr>
          </w:p>
        </w:tc>
        <w:tc>
          <w:tcPr>
            <w:tcW w:w="50" w:type="pct"/>
            <w:shd w:val="clear" w:color="auto" w:fill="auto"/>
            <w:vAlign w:val="bottom"/>
          </w:tcPr>
          <w:p w14:paraId="2470E046" w14:textId="77777777" w:rsidR="009C6E2F" w:rsidRDefault="009C6E2F">
            <w:pPr>
              <w:rPr>
                <w:rFonts w:ascii="宋体"/>
              </w:rPr>
            </w:pPr>
          </w:p>
        </w:tc>
        <w:tc>
          <w:tcPr>
            <w:tcW w:w="407" w:type="pct"/>
            <w:shd w:val="clear" w:color="auto" w:fill="auto"/>
            <w:vAlign w:val="bottom"/>
          </w:tcPr>
          <w:p w14:paraId="2470E047" w14:textId="77777777" w:rsidR="009C6E2F" w:rsidRDefault="009C6E2F">
            <w:pPr>
              <w:rPr>
                <w:rFonts w:ascii="宋体"/>
              </w:rPr>
            </w:pPr>
          </w:p>
        </w:tc>
        <w:tc>
          <w:tcPr>
            <w:tcW w:w="5" w:type="pct"/>
            <w:shd w:val="clear" w:color="auto" w:fill="auto"/>
            <w:vAlign w:val="bottom"/>
          </w:tcPr>
          <w:p w14:paraId="2470E048" w14:textId="77777777" w:rsidR="009C6E2F" w:rsidRDefault="009C6E2F">
            <w:pPr>
              <w:rPr>
                <w:rFonts w:ascii="宋体"/>
              </w:rPr>
            </w:pPr>
          </w:p>
        </w:tc>
        <w:tc>
          <w:tcPr>
            <w:tcW w:w="50" w:type="pct"/>
            <w:shd w:val="clear" w:color="auto" w:fill="auto"/>
            <w:vAlign w:val="bottom"/>
          </w:tcPr>
          <w:p w14:paraId="2470E049" w14:textId="77777777" w:rsidR="009C6E2F" w:rsidRDefault="009C6E2F">
            <w:pPr>
              <w:rPr>
                <w:rFonts w:ascii="宋体"/>
              </w:rPr>
            </w:pPr>
          </w:p>
        </w:tc>
        <w:tc>
          <w:tcPr>
            <w:tcW w:w="407" w:type="pct"/>
            <w:shd w:val="clear" w:color="auto" w:fill="auto"/>
            <w:vAlign w:val="bottom"/>
          </w:tcPr>
          <w:p w14:paraId="2470E04A" w14:textId="77777777" w:rsidR="009C6E2F" w:rsidRDefault="009C6E2F">
            <w:pPr>
              <w:rPr>
                <w:rFonts w:ascii="宋体"/>
              </w:rPr>
            </w:pPr>
          </w:p>
        </w:tc>
        <w:tc>
          <w:tcPr>
            <w:tcW w:w="5" w:type="pct"/>
            <w:shd w:val="clear" w:color="auto" w:fill="auto"/>
            <w:vAlign w:val="bottom"/>
          </w:tcPr>
          <w:p w14:paraId="2470E04B" w14:textId="77777777" w:rsidR="009C6E2F" w:rsidRDefault="009C6E2F">
            <w:pPr>
              <w:rPr>
                <w:rFonts w:ascii="宋体"/>
              </w:rPr>
            </w:pPr>
          </w:p>
        </w:tc>
        <w:tc>
          <w:tcPr>
            <w:tcW w:w="50" w:type="pct"/>
            <w:shd w:val="clear" w:color="auto" w:fill="auto"/>
            <w:vAlign w:val="bottom"/>
          </w:tcPr>
          <w:p w14:paraId="2470E04C" w14:textId="77777777" w:rsidR="009C6E2F" w:rsidRDefault="009C6E2F">
            <w:pPr>
              <w:rPr>
                <w:rFonts w:ascii="宋体"/>
              </w:rPr>
            </w:pPr>
          </w:p>
        </w:tc>
        <w:tc>
          <w:tcPr>
            <w:tcW w:w="408" w:type="pct"/>
            <w:shd w:val="clear" w:color="auto" w:fill="auto"/>
            <w:vAlign w:val="bottom"/>
          </w:tcPr>
          <w:p w14:paraId="2470E04D" w14:textId="77777777" w:rsidR="009C6E2F" w:rsidRDefault="009C6E2F">
            <w:pPr>
              <w:rPr>
                <w:rFonts w:ascii="宋体"/>
              </w:rPr>
            </w:pPr>
          </w:p>
        </w:tc>
        <w:tc>
          <w:tcPr>
            <w:tcW w:w="5" w:type="pct"/>
            <w:shd w:val="clear" w:color="auto" w:fill="auto"/>
            <w:vAlign w:val="bottom"/>
          </w:tcPr>
          <w:p w14:paraId="2470E04E" w14:textId="77777777" w:rsidR="009C6E2F" w:rsidRDefault="009C6E2F">
            <w:pPr>
              <w:rPr>
                <w:rFonts w:ascii="宋体"/>
              </w:rPr>
            </w:pPr>
          </w:p>
        </w:tc>
        <w:tc>
          <w:tcPr>
            <w:tcW w:w="0" w:type="auto"/>
            <w:shd w:val="clear" w:color="auto" w:fill="auto"/>
            <w:vAlign w:val="bottom"/>
          </w:tcPr>
          <w:p w14:paraId="2470E04F" w14:textId="77777777" w:rsidR="009C6E2F" w:rsidRDefault="009C6E2F">
            <w:pPr>
              <w:rPr>
                <w:rFonts w:ascii="宋体"/>
                <w:vanish/>
              </w:rPr>
            </w:pPr>
          </w:p>
        </w:tc>
        <w:tc>
          <w:tcPr>
            <w:tcW w:w="0" w:type="auto"/>
            <w:shd w:val="clear" w:color="auto" w:fill="auto"/>
            <w:vAlign w:val="bottom"/>
          </w:tcPr>
          <w:p w14:paraId="2470E050" w14:textId="77777777" w:rsidR="009C6E2F" w:rsidRDefault="009C6E2F">
            <w:pPr>
              <w:rPr>
                <w:rFonts w:ascii="宋体"/>
                <w:vanish/>
              </w:rPr>
            </w:pPr>
          </w:p>
        </w:tc>
        <w:tc>
          <w:tcPr>
            <w:tcW w:w="0" w:type="auto"/>
            <w:gridSpan w:val="3"/>
            <w:shd w:val="clear" w:color="auto" w:fill="auto"/>
            <w:vAlign w:val="bottom"/>
          </w:tcPr>
          <w:p w14:paraId="2470E051" w14:textId="77777777" w:rsidR="009C6E2F" w:rsidRDefault="009C6E2F">
            <w:pPr>
              <w:rPr>
                <w:rFonts w:ascii="宋体"/>
                <w:vanish/>
              </w:rPr>
            </w:pPr>
          </w:p>
        </w:tc>
        <w:tc>
          <w:tcPr>
            <w:tcW w:w="0" w:type="auto"/>
            <w:gridSpan w:val="3"/>
            <w:shd w:val="clear" w:color="auto" w:fill="auto"/>
            <w:vAlign w:val="bottom"/>
          </w:tcPr>
          <w:p w14:paraId="2470E052" w14:textId="77777777" w:rsidR="009C6E2F" w:rsidRDefault="009C6E2F">
            <w:pPr>
              <w:rPr>
                <w:rFonts w:ascii="宋体"/>
                <w:vanish/>
              </w:rPr>
            </w:pPr>
          </w:p>
        </w:tc>
      </w:tr>
      <w:tr w:rsidR="009C6E2F" w14:paraId="2470E060" w14:textId="77777777">
        <w:tc>
          <w:tcPr>
            <w:tcW w:w="0" w:type="auto"/>
            <w:gridSpan w:val="3"/>
            <w:shd w:val="clear" w:color="auto" w:fill="auto"/>
            <w:tcMar>
              <w:top w:w="0" w:type="dxa"/>
              <w:left w:w="20" w:type="dxa"/>
              <w:bottom w:w="0" w:type="dxa"/>
              <w:right w:w="20" w:type="dxa"/>
            </w:tcMar>
            <w:vAlign w:val="bottom"/>
          </w:tcPr>
          <w:p w14:paraId="2470E054"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E055" w14:textId="77777777" w:rsidR="009C6E2F" w:rsidRDefault="007972BE">
            <w:pPr>
              <w:jc w:val="center"/>
              <w:textAlignment w:val="bottom"/>
            </w:pPr>
            <w:r>
              <w:rPr>
                <w:rFonts w:ascii="sans-serif" w:eastAsia="sans-serif" w:hAnsi="sans-serif" w:cs="sans-serif"/>
                <w:b/>
                <w:bCs/>
                <w:color w:val="000000"/>
                <w:sz w:val="17"/>
                <w:szCs w:val="17"/>
              </w:rPr>
              <w:t>THREE MONTHS ENDED NOVEMBER 30,</w:t>
            </w:r>
          </w:p>
        </w:tc>
        <w:tc>
          <w:tcPr>
            <w:tcW w:w="0" w:type="auto"/>
            <w:gridSpan w:val="3"/>
            <w:shd w:val="clear" w:color="auto" w:fill="auto"/>
            <w:tcMar>
              <w:top w:w="0" w:type="dxa"/>
              <w:left w:w="20" w:type="dxa"/>
              <w:bottom w:w="0" w:type="dxa"/>
              <w:right w:w="20" w:type="dxa"/>
            </w:tcMar>
            <w:vAlign w:val="bottom"/>
          </w:tcPr>
          <w:p w14:paraId="2470E056" w14:textId="77777777" w:rsidR="009C6E2F" w:rsidRDefault="009C6E2F">
            <w:pPr>
              <w:rPr>
                <w:rFonts w:ascii="宋体"/>
              </w:rPr>
            </w:pPr>
          </w:p>
        </w:tc>
        <w:tc>
          <w:tcPr>
            <w:tcW w:w="0" w:type="auto"/>
            <w:gridSpan w:val="9"/>
            <w:shd w:val="clear" w:color="auto" w:fill="auto"/>
            <w:tcMar>
              <w:top w:w="40" w:type="dxa"/>
              <w:left w:w="20" w:type="dxa"/>
              <w:bottom w:w="40" w:type="dxa"/>
              <w:right w:w="20" w:type="dxa"/>
            </w:tcMar>
            <w:vAlign w:val="bottom"/>
          </w:tcPr>
          <w:p w14:paraId="2470E057" w14:textId="77777777" w:rsidR="009C6E2F" w:rsidRDefault="007972BE">
            <w:pPr>
              <w:jc w:val="center"/>
              <w:textAlignment w:val="bottom"/>
            </w:pPr>
            <w:r>
              <w:rPr>
                <w:rFonts w:ascii="sans-serif" w:eastAsia="sans-serif" w:hAnsi="sans-serif" w:cs="sans-serif"/>
                <w:b/>
                <w:bCs/>
                <w:color w:val="000000"/>
                <w:sz w:val="17"/>
                <w:szCs w:val="17"/>
              </w:rPr>
              <w:t>SIX MONTHS ENDED NOVEMBER 30,</w:t>
            </w:r>
          </w:p>
        </w:tc>
        <w:tc>
          <w:tcPr>
            <w:tcW w:w="0" w:type="auto"/>
            <w:shd w:val="clear" w:color="auto" w:fill="auto"/>
            <w:vAlign w:val="bottom"/>
          </w:tcPr>
          <w:p w14:paraId="2470E058" w14:textId="77777777" w:rsidR="009C6E2F" w:rsidRDefault="009C6E2F">
            <w:pPr>
              <w:rPr>
                <w:rFonts w:ascii="宋体"/>
                <w:vanish/>
              </w:rPr>
            </w:pPr>
          </w:p>
        </w:tc>
        <w:tc>
          <w:tcPr>
            <w:tcW w:w="0" w:type="auto"/>
            <w:shd w:val="clear" w:color="auto" w:fill="auto"/>
            <w:vAlign w:val="bottom"/>
          </w:tcPr>
          <w:p w14:paraId="2470E059" w14:textId="77777777" w:rsidR="009C6E2F" w:rsidRDefault="009C6E2F">
            <w:pPr>
              <w:rPr>
                <w:rFonts w:ascii="宋体"/>
                <w:vanish/>
              </w:rPr>
            </w:pPr>
          </w:p>
        </w:tc>
        <w:tc>
          <w:tcPr>
            <w:tcW w:w="0" w:type="auto"/>
            <w:shd w:val="clear" w:color="auto" w:fill="auto"/>
            <w:vAlign w:val="bottom"/>
          </w:tcPr>
          <w:p w14:paraId="2470E05A" w14:textId="77777777" w:rsidR="009C6E2F" w:rsidRDefault="009C6E2F">
            <w:pPr>
              <w:rPr>
                <w:rFonts w:ascii="宋体"/>
              </w:rPr>
            </w:pPr>
          </w:p>
        </w:tc>
        <w:tc>
          <w:tcPr>
            <w:tcW w:w="0" w:type="auto"/>
            <w:shd w:val="clear" w:color="auto" w:fill="auto"/>
            <w:vAlign w:val="bottom"/>
          </w:tcPr>
          <w:p w14:paraId="2470E05B" w14:textId="77777777" w:rsidR="009C6E2F" w:rsidRDefault="009C6E2F">
            <w:pPr>
              <w:rPr>
                <w:rFonts w:ascii="宋体"/>
              </w:rPr>
            </w:pPr>
          </w:p>
        </w:tc>
        <w:tc>
          <w:tcPr>
            <w:tcW w:w="0" w:type="auto"/>
            <w:shd w:val="clear" w:color="auto" w:fill="auto"/>
            <w:vAlign w:val="bottom"/>
          </w:tcPr>
          <w:p w14:paraId="2470E05C" w14:textId="77777777" w:rsidR="009C6E2F" w:rsidRDefault="009C6E2F">
            <w:pPr>
              <w:rPr>
                <w:rFonts w:ascii="宋体"/>
              </w:rPr>
            </w:pPr>
          </w:p>
        </w:tc>
        <w:tc>
          <w:tcPr>
            <w:tcW w:w="0" w:type="auto"/>
            <w:shd w:val="clear" w:color="auto" w:fill="auto"/>
            <w:vAlign w:val="bottom"/>
          </w:tcPr>
          <w:p w14:paraId="2470E05D" w14:textId="77777777" w:rsidR="009C6E2F" w:rsidRDefault="009C6E2F">
            <w:pPr>
              <w:rPr>
                <w:rFonts w:ascii="宋体"/>
              </w:rPr>
            </w:pPr>
          </w:p>
        </w:tc>
        <w:tc>
          <w:tcPr>
            <w:tcW w:w="0" w:type="auto"/>
            <w:shd w:val="clear" w:color="auto" w:fill="auto"/>
            <w:vAlign w:val="bottom"/>
          </w:tcPr>
          <w:p w14:paraId="2470E05E" w14:textId="77777777" w:rsidR="009C6E2F" w:rsidRDefault="009C6E2F">
            <w:pPr>
              <w:rPr>
                <w:rFonts w:ascii="宋体"/>
              </w:rPr>
            </w:pPr>
          </w:p>
        </w:tc>
        <w:tc>
          <w:tcPr>
            <w:tcW w:w="0" w:type="auto"/>
            <w:shd w:val="clear" w:color="auto" w:fill="auto"/>
            <w:vAlign w:val="bottom"/>
          </w:tcPr>
          <w:p w14:paraId="2470E05F" w14:textId="77777777" w:rsidR="009C6E2F" w:rsidRDefault="009C6E2F">
            <w:pPr>
              <w:rPr>
                <w:rFonts w:ascii="宋体"/>
              </w:rPr>
            </w:pPr>
          </w:p>
        </w:tc>
      </w:tr>
      <w:tr w:rsidR="009C6E2F" w14:paraId="2470E06D" w14:textId="77777777">
        <w:tc>
          <w:tcPr>
            <w:tcW w:w="0" w:type="auto"/>
            <w:gridSpan w:val="3"/>
            <w:shd w:val="clear" w:color="auto" w:fill="auto"/>
            <w:tcMar>
              <w:top w:w="40" w:type="dxa"/>
              <w:left w:w="20" w:type="dxa"/>
              <w:bottom w:w="40" w:type="dxa"/>
              <w:right w:w="20" w:type="dxa"/>
            </w:tcMar>
            <w:vAlign w:val="bottom"/>
          </w:tcPr>
          <w:p w14:paraId="2470E06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Narrow" w:eastAsia="Arial Narrow" w:hAnsi="Arial Narrow" w:cs="Arial Narrow"/>
                <w:i/>
                <w:iCs/>
                <w:color w:val="000000"/>
                <w:sz w:val="17"/>
                <w:szCs w:val="17"/>
              </w:rPr>
              <w:t>(Dollars in millions)</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062"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063"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064"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2470E065" w14:textId="77777777" w:rsidR="009C6E2F" w:rsidRDefault="009C6E2F">
            <w:pPr>
              <w:rPr>
                <w:rFonts w:ascii="宋体"/>
              </w:rPr>
            </w:pP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066" w14:textId="77777777" w:rsidR="009C6E2F" w:rsidRDefault="007972BE">
            <w:pPr>
              <w:jc w:val="center"/>
              <w:textAlignment w:val="bottom"/>
            </w:pPr>
            <w:r>
              <w:rPr>
                <w:rFonts w:ascii="sans-serif" w:eastAsia="sans-serif" w:hAnsi="sans-serif" w:cs="sans-serif"/>
                <w:b/>
                <w:bCs/>
                <w:color w:val="000000"/>
                <w:sz w:val="17"/>
                <w:szCs w:val="17"/>
              </w:rPr>
              <w:t>2021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067" w14:textId="77777777" w:rsidR="009C6E2F" w:rsidRDefault="007972BE">
            <w:pPr>
              <w:jc w:val="center"/>
              <w:textAlignment w:val="bottom"/>
            </w:pPr>
            <w:r>
              <w:rPr>
                <w:rFonts w:ascii="sans-serif" w:eastAsia="sans-serif" w:hAnsi="sans-serif" w:cs="sans-serif"/>
                <w:b/>
                <w:bCs/>
                <w:color w:val="000000"/>
                <w:sz w:val="17"/>
                <w:szCs w:val="17"/>
              </w:rPr>
              <w:t>2020</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068" w14:textId="77777777" w:rsidR="009C6E2F" w:rsidRDefault="007972BE">
            <w:pPr>
              <w:jc w:val="right"/>
              <w:textAlignment w:val="bottom"/>
            </w:pPr>
            <w:r>
              <w:rPr>
                <w:rFonts w:ascii="sans-serif" w:eastAsia="sans-serif" w:hAnsi="sans-serif" w:cs="sans-serif"/>
                <w:b/>
                <w:bCs/>
                <w:color w:val="000000"/>
                <w:sz w:val="17"/>
                <w:szCs w:val="17"/>
              </w:rPr>
              <w:t>% CHANGE</w:t>
            </w:r>
          </w:p>
        </w:tc>
        <w:tc>
          <w:tcPr>
            <w:tcW w:w="0" w:type="auto"/>
            <w:shd w:val="clear" w:color="auto" w:fill="auto"/>
            <w:vAlign w:val="bottom"/>
          </w:tcPr>
          <w:p w14:paraId="2470E069" w14:textId="77777777" w:rsidR="009C6E2F" w:rsidRDefault="009C6E2F">
            <w:pPr>
              <w:rPr>
                <w:rFonts w:ascii="宋体"/>
                <w:vanish/>
              </w:rPr>
            </w:pPr>
          </w:p>
        </w:tc>
        <w:tc>
          <w:tcPr>
            <w:tcW w:w="0" w:type="auto"/>
            <w:shd w:val="clear" w:color="auto" w:fill="auto"/>
            <w:vAlign w:val="bottom"/>
          </w:tcPr>
          <w:p w14:paraId="2470E06A" w14:textId="77777777" w:rsidR="009C6E2F" w:rsidRDefault="009C6E2F">
            <w:pPr>
              <w:rPr>
                <w:rFonts w:ascii="宋体"/>
                <w:vanish/>
              </w:rPr>
            </w:pPr>
          </w:p>
        </w:tc>
        <w:tc>
          <w:tcPr>
            <w:tcW w:w="0" w:type="auto"/>
            <w:gridSpan w:val="3"/>
            <w:shd w:val="clear" w:color="auto" w:fill="auto"/>
            <w:vAlign w:val="bottom"/>
          </w:tcPr>
          <w:p w14:paraId="2470E06B" w14:textId="77777777" w:rsidR="009C6E2F" w:rsidRDefault="009C6E2F">
            <w:pPr>
              <w:rPr>
                <w:rFonts w:ascii="宋体"/>
                <w:vanish/>
              </w:rPr>
            </w:pPr>
          </w:p>
        </w:tc>
        <w:tc>
          <w:tcPr>
            <w:tcW w:w="0" w:type="auto"/>
            <w:gridSpan w:val="3"/>
            <w:shd w:val="clear" w:color="auto" w:fill="auto"/>
            <w:vAlign w:val="bottom"/>
          </w:tcPr>
          <w:p w14:paraId="2470E06C" w14:textId="77777777" w:rsidR="009C6E2F" w:rsidRDefault="009C6E2F">
            <w:pPr>
              <w:rPr>
                <w:rFonts w:ascii="宋体"/>
                <w:vanish/>
              </w:rPr>
            </w:pPr>
          </w:p>
        </w:tc>
      </w:tr>
      <w:tr w:rsidR="009C6E2F" w14:paraId="2470E08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06E" w14:textId="77777777" w:rsidR="009C6E2F" w:rsidRDefault="007972BE">
            <w:pPr>
              <w:textAlignment w:val="bottom"/>
            </w:pPr>
            <w:r>
              <w:rPr>
                <w:rFonts w:ascii="Arial" w:eastAsia="宋体" w:hAnsi="Arial" w:cs="Arial"/>
                <w:color w:val="000000"/>
                <w:sz w:val="17"/>
                <w:szCs w:val="17"/>
              </w:rPr>
              <w:t>Revenues</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E06F"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E070" w14:textId="77777777" w:rsidR="009C6E2F" w:rsidRDefault="007972BE">
            <w:pPr>
              <w:jc w:val="right"/>
              <w:textAlignment w:val="bottom"/>
            </w:pPr>
            <w:r>
              <w:rPr>
                <w:rFonts w:ascii="Arial" w:eastAsia="宋体" w:hAnsi="Arial" w:cs="Arial"/>
                <w:color w:val="000000"/>
                <w:sz w:val="17"/>
                <w:szCs w:val="17"/>
              </w:rPr>
              <w:t>(16)</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E071"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E072"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E073" w14:textId="77777777" w:rsidR="009C6E2F" w:rsidRDefault="007972BE">
            <w:pPr>
              <w:jc w:val="right"/>
              <w:textAlignment w:val="bottom"/>
            </w:pPr>
            <w:r>
              <w:rPr>
                <w:rFonts w:ascii="Arial" w:eastAsia="宋体" w:hAnsi="Arial" w:cs="Arial"/>
                <w:color w:val="000000"/>
                <w:sz w:val="17"/>
                <w:szCs w:val="17"/>
              </w:rPr>
              <w:t>26 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74"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E075"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76" w14:textId="77777777" w:rsidR="009C6E2F" w:rsidRDefault="009C6E2F">
            <w:pPr>
              <w:jc w:val="right"/>
              <w:rPr>
                <w:rFonts w:ascii="宋体"/>
              </w:rPr>
            </w:pPr>
          </w:p>
        </w:tc>
        <w:tc>
          <w:tcPr>
            <w:tcW w:w="0" w:type="auto"/>
            <w:gridSpan w:val="3"/>
            <w:tcBorders>
              <w:top w:val="single" w:sz="8" w:space="0" w:color="E87722"/>
            </w:tcBorders>
            <w:shd w:val="clear" w:color="auto" w:fill="auto"/>
            <w:tcMar>
              <w:top w:w="0" w:type="dxa"/>
              <w:left w:w="20" w:type="dxa"/>
              <w:bottom w:w="0" w:type="dxa"/>
              <w:right w:w="20" w:type="dxa"/>
            </w:tcMar>
            <w:vAlign w:val="bottom"/>
          </w:tcPr>
          <w:p w14:paraId="2470E077" w14:textId="77777777" w:rsidR="009C6E2F" w:rsidRDefault="009C6E2F">
            <w:pPr>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E078"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E079" w14:textId="77777777" w:rsidR="009C6E2F" w:rsidRDefault="007972BE">
            <w:pPr>
              <w:jc w:val="right"/>
              <w:textAlignment w:val="bottom"/>
            </w:pPr>
            <w:r>
              <w:rPr>
                <w:rFonts w:ascii="Arial" w:eastAsia="宋体" w:hAnsi="Arial" w:cs="Arial"/>
                <w:color w:val="000000"/>
                <w:sz w:val="17"/>
                <w:szCs w:val="17"/>
              </w:rPr>
              <w:t>(37)</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E07A" w14:textId="77777777" w:rsidR="009C6E2F" w:rsidRDefault="009C6E2F">
            <w:pPr>
              <w:jc w:val="right"/>
              <w:rPr>
                <w:rFonts w:ascii="宋体"/>
              </w:rPr>
            </w:pPr>
          </w:p>
        </w:tc>
        <w:tc>
          <w:tcPr>
            <w:tcW w:w="0" w:type="auto"/>
            <w:tcBorders>
              <w:top w:val="single" w:sz="8" w:space="0" w:color="E87722"/>
            </w:tcBorders>
            <w:shd w:val="clear" w:color="auto" w:fill="auto"/>
            <w:tcMar>
              <w:top w:w="40" w:type="dxa"/>
              <w:left w:w="20" w:type="dxa"/>
              <w:bottom w:w="40" w:type="dxa"/>
              <w:right w:w="0" w:type="dxa"/>
            </w:tcMar>
            <w:vAlign w:val="bottom"/>
          </w:tcPr>
          <w:p w14:paraId="2470E07B"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auto"/>
            <w:tcMar>
              <w:top w:w="40" w:type="dxa"/>
              <w:left w:w="0" w:type="dxa"/>
              <w:bottom w:w="40" w:type="dxa"/>
              <w:right w:w="0" w:type="dxa"/>
            </w:tcMar>
            <w:vAlign w:val="bottom"/>
          </w:tcPr>
          <w:p w14:paraId="2470E07C" w14:textId="77777777" w:rsidR="009C6E2F" w:rsidRDefault="007972BE">
            <w:pPr>
              <w:jc w:val="right"/>
              <w:textAlignment w:val="bottom"/>
            </w:pPr>
            <w:r>
              <w:rPr>
                <w:rFonts w:ascii="Arial" w:eastAsia="宋体" w:hAnsi="Arial" w:cs="Arial"/>
                <w:color w:val="000000"/>
                <w:sz w:val="17"/>
                <w:szCs w:val="17"/>
              </w:rPr>
              <w:t>39 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7D" w14:textId="77777777" w:rsidR="009C6E2F" w:rsidRDefault="009C6E2F">
            <w:pPr>
              <w:jc w:val="right"/>
              <w:rPr>
                <w:rFonts w:ascii="宋体"/>
              </w:rPr>
            </w:pPr>
          </w:p>
        </w:tc>
        <w:tc>
          <w:tcPr>
            <w:tcW w:w="0" w:type="auto"/>
            <w:gridSpan w:val="2"/>
            <w:tcBorders>
              <w:top w:val="single" w:sz="8" w:space="0" w:color="E87722"/>
            </w:tcBorders>
            <w:shd w:val="clear" w:color="auto" w:fill="auto"/>
            <w:tcMar>
              <w:top w:w="40" w:type="dxa"/>
              <w:left w:w="20" w:type="dxa"/>
              <w:bottom w:w="40" w:type="dxa"/>
              <w:right w:w="0" w:type="dxa"/>
            </w:tcMar>
            <w:vAlign w:val="bottom"/>
          </w:tcPr>
          <w:p w14:paraId="2470E07E" w14:textId="77777777" w:rsidR="009C6E2F" w:rsidRDefault="007972BE">
            <w:pPr>
              <w:jc w:val="right"/>
              <w:textAlignment w:val="bottom"/>
            </w:pPr>
            <w:r>
              <w:rPr>
                <w:rFonts w:ascii="Arial" w:eastAsia="宋体" w:hAnsi="Arial" w:cs="Arial"/>
                <w:color w:val="000000"/>
                <w:sz w:val="17"/>
                <w:szCs w:val="17"/>
              </w:rPr>
              <w:t>— </w:t>
            </w:r>
          </w:p>
        </w:tc>
        <w:tc>
          <w:tcPr>
            <w:tcW w:w="0" w:type="auto"/>
            <w:tcBorders>
              <w:top w:val="single" w:sz="8" w:space="0" w:color="E87722"/>
            </w:tcBorders>
            <w:shd w:val="clear" w:color="auto" w:fill="auto"/>
            <w:tcMar>
              <w:top w:w="40" w:type="dxa"/>
              <w:left w:w="0" w:type="dxa"/>
              <w:bottom w:w="40" w:type="dxa"/>
              <w:right w:w="20" w:type="dxa"/>
            </w:tcMar>
            <w:vAlign w:val="bottom"/>
          </w:tcPr>
          <w:p w14:paraId="2470E07F" w14:textId="77777777" w:rsidR="009C6E2F" w:rsidRDefault="009C6E2F">
            <w:pPr>
              <w:jc w:val="right"/>
              <w:rPr>
                <w:rFonts w:ascii="宋体"/>
              </w:rPr>
            </w:pPr>
          </w:p>
        </w:tc>
        <w:tc>
          <w:tcPr>
            <w:tcW w:w="0" w:type="auto"/>
            <w:shd w:val="clear" w:color="auto" w:fill="auto"/>
            <w:vAlign w:val="bottom"/>
          </w:tcPr>
          <w:p w14:paraId="2470E080" w14:textId="77777777" w:rsidR="009C6E2F" w:rsidRDefault="009C6E2F">
            <w:pPr>
              <w:rPr>
                <w:rFonts w:ascii="宋体"/>
                <w:vanish/>
              </w:rPr>
            </w:pPr>
          </w:p>
        </w:tc>
        <w:tc>
          <w:tcPr>
            <w:tcW w:w="0" w:type="auto"/>
            <w:shd w:val="clear" w:color="auto" w:fill="auto"/>
            <w:vAlign w:val="bottom"/>
          </w:tcPr>
          <w:p w14:paraId="2470E081" w14:textId="77777777" w:rsidR="009C6E2F" w:rsidRDefault="009C6E2F">
            <w:pPr>
              <w:rPr>
                <w:rFonts w:ascii="宋体"/>
                <w:vanish/>
              </w:rPr>
            </w:pPr>
          </w:p>
        </w:tc>
        <w:tc>
          <w:tcPr>
            <w:tcW w:w="0" w:type="auto"/>
            <w:gridSpan w:val="3"/>
            <w:shd w:val="clear" w:color="auto" w:fill="auto"/>
            <w:vAlign w:val="bottom"/>
          </w:tcPr>
          <w:p w14:paraId="2470E082" w14:textId="77777777" w:rsidR="009C6E2F" w:rsidRDefault="009C6E2F">
            <w:pPr>
              <w:rPr>
                <w:rFonts w:ascii="宋体"/>
                <w:vanish/>
              </w:rPr>
            </w:pPr>
          </w:p>
        </w:tc>
        <w:tc>
          <w:tcPr>
            <w:tcW w:w="0" w:type="auto"/>
            <w:gridSpan w:val="3"/>
            <w:shd w:val="clear" w:color="auto" w:fill="auto"/>
            <w:vAlign w:val="bottom"/>
          </w:tcPr>
          <w:p w14:paraId="2470E083" w14:textId="77777777" w:rsidR="009C6E2F" w:rsidRDefault="009C6E2F">
            <w:pPr>
              <w:rPr>
                <w:rFonts w:ascii="宋体"/>
                <w:vanish/>
              </w:rPr>
            </w:pPr>
          </w:p>
        </w:tc>
      </w:tr>
      <w:tr w:rsidR="009C6E2F" w14:paraId="2470E09B"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E085" w14:textId="77777777" w:rsidR="009C6E2F" w:rsidRDefault="007972BE">
            <w:pPr>
              <w:textAlignment w:val="bottom"/>
            </w:pPr>
            <w:r>
              <w:rPr>
                <w:rFonts w:ascii="Arial" w:eastAsia="宋体" w:hAnsi="Arial" w:cs="Arial"/>
                <w:color w:val="000000"/>
                <w:sz w:val="17"/>
                <w:szCs w:val="17"/>
              </w:rPr>
              <w:t>Earnings (Loss) Before Interest and Taxes</w:t>
            </w: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E086"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470E087" w14:textId="77777777" w:rsidR="009C6E2F" w:rsidRDefault="007972BE">
            <w:pPr>
              <w:jc w:val="right"/>
              <w:textAlignment w:val="bottom"/>
            </w:pPr>
            <w:r>
              <w:rPr>
                <w:rFonts w:ascii="Arial" w:eastAsia="宋体" w:hAnsi="Arial" w:cs="Arial"/>
                <w:color w:val="000000"/>
                <w:sz w:val="17"/>
                <w:szCs w:val="17"/>
              </w:rPr>
              <w:t>(503)</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E088" w14:textId="77777777" w:rsidR="009C6E2F" w:rsidRDefault="009C6E2F">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E089"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470E08A" w14:textId="77777777" w:rsidR="009C6E2F" w:rsidRDefault="007972BE">
            <w:pPr>
              <w:jc w:val="right"/>
              <w:textAlignment w:val="bottom"/>
            </w:pPr>
            <w:r>
              <w:rPr>
                <w:rFonts w:ascii="Arial" w:eastAsia="宋体" w:hAnsi="Arial" w:cs="Arial"/>
                <w:color w:val="000000"/>
                <w:sz w:val="17"/>
                <w:szCs w:val="17"/>
              </w:rPr>
              <w:t>(718)</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E08B"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E08C" w14:textId="77777777" w:rsidR="009C6E2F" w:rsidRDefault="007972BE">
            <w:pPr>
              <w:jc w:val="right"/>
              <w:textAlignment w:val="bottom"/>
            </w:pPr>
            <w:r>
              <w:rPr>
                <w:rFonts w:ascii="Arial" w:eastAsia="宋体" w:hAnsi="Arial" w:cs="Arial"/>
                <w:color w:val="000000"/>
                <w:sz w:val="17"/>
                <w:szCs w:val="17"/>
              </w:rPr>
              <w:t>30 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E08D" w14:textId="77777777" w:rsidR="009C6E2F" w:rsidRDefault="007972BE">
            <w:pPr>
              <w:jc w:val="right"/>
              <w:textAlignment w:val="bottom"/>
            </w:pPr>
            <w:r>
              <w:rPr>
                <w:rFonts w:ascii="Arial" w:eastAsia="宋体" w:hAnsi="Arial" w:cs="Arial"/>
                <w:color w:val="000000"/>
                <w:sz w:val="17"/>
                <w:szCs w:val="17"/>
              </w:rPr>
              <w:t>%</w:t>
            </w:r>
          </w:p>
        </w:tc>
        <w:tc>
          <w:tcPr>
            <w:tcW w:w="0" w:type="auto"/>
            <w:gridSpan w:val="3"/>
            <w:tcBorders>
              <w:top w:val="single" w:sz="4" w:space="0" w:color="808080"/>
              <w:bottom w:val="single" w:sz="8" w:space="0" w:color="E87722"/>
            </w:tcBorders>
            <w:shd w:val="clear" w:color="auto" w:fill="auto"/>
            <w:tcMar>
              <w:top w:w="0" w:type="dxa"/>
              <w:left w:w="20" w:type="dxa"/>
              <w:bottom w:w="0" w:type="dxa"/>
              <w:right w:w="20" w:type="dxa"/>
            </w:tcMar>
            <w:vAlign w:val="bottom"/>
          </w:tcPr>
          <w:p w14:paraId="2470E08E" w14:textId="77777777" w:rsidR="009C6E2F" w:rsidRDefault="009C6E2F">
            <w:pPr>
              <w:rPr>
                <w:rFonts w:ascii="宋体"/>
              </w:rPr>
            </w:pPr>
          </w:p>
        </w:tc>
        <w:tc>
          <w:tcPr>
            <w:tcW w:w="0" w:type="auto"/>
            <w:tcBorders>
              <w:top w:val="single" w:sz="4" w:space="0" w:color="808080"/>
              <w:bottom w:val="single" w:sz="8" w:space="0" w:color="E87722"/>
            </w:tcBorders>
            <w:shd w:val="clear" w:color="auto" w:fill="FFF1E7"/>
            <w:tcMar>
              <w:top w:w="40" w:type="dxa"/>
              <w:left w:w="20" w:type="dxa"/>
              <w:bottom w:w="40" w:type="dxa"/>
              <w:right w:w="0" w:type="dxa"/>
            </w:tcMar>
            <w:vAlign w:val="bottom"/>
          </w:tcPr>
          <w:p w14:paraId="2470E08F"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FFF1E7"/>
            <w:tcMar>
              <w:top w:w="40" w:type="dxa"/>
              <w:left w:w="0" w:type="dxa"/>
              <w:bottom w:w="40" w:type="dxa"/>
              <w:right w:w="0" w:type="dxa"/>
            </w:tcMar>
            <w:vAlign w:val="bottom"/>
          </w:tcPr>
          <w:p w14:paraId="2470E090" w14:textId="77777777" w:rsidR="009C6E2F" w:rsidRDefault="007972BE">
            <w:pPr>
              <w:jc w:val="right"/>
              <w:textAlignment w:val="bottom"/>
            </w:pPr>
            <w:r>
              <w:rPr>
                <w:rFonts w:ascii="Arial" w:eastAsia="宋体" w:hAnsi="Arial" w:cs="Arial"/>
                <w:color w:val="000000"/>
                <w:sz w:val="17"/>
                <w:szCs w:val="17"/>
              </w:rPr>
              <w:t>(1,048)</w:t>
            </w:r>
          </w:p>
        </w:tc>
        <w:tc>
          <w:tcPr>
            <w:tcW w:w="0" w:type="auto"/>
            <w:tcBorders>
              <w:top w:val="single" w:sz="4" w:space="0" w:color="808080"/>
              <w:bottom w:val="single" w:sz="8" w:space="0" w:color="E87722"/>
            </w:tcBorders>
            <w:shd w:val="clear" w:color="auto" w:fill="FFF1E7"/>
            <w:tcMar>
              <w:top w:w="40" w:type="dxa"/>
              <w:left w:w="0" w:type="dxa"/>
              <w:bottom w:w="40" w:type="dxa"/>
              <w:right w:w="20" w:type="dxa"/>
            </w:tcMar>
            <w:vAlign w:val="bottom"/>
          </w:tcPr>
          <w:p w14:paraId="2470E091" w14:textId="77777777" w:rsidR="009C6E2F" w:rsidRDefault="009C6E2F">
            <w:pPr>
              <w:jc w:val="right"/>
              <w:rPr>
                <w:rFonts w:ascii="宋体"/>
              </w:rPr>
            </w:pPr>
          </w:p>
        </w:tc>
        <w:tc>
          <w:tcPr>
            <w:tcW w:w="0" w:type="auto"/>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E092"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bottom w:val="single" w:sz="8" w:space="0" w:color="E87722"/>
            </w:tcBorders>
            <w:shd w:val="clear" w:color="auto" w:fill="auto"/>
            <w:tcMar>
              <w:top w:w="40" w:type="dxa"/>
              <w:left w:w="0" w:type="dxa"/>
              <w:bottom w:w="40" w:type="dxa"/>
              <w:right w:w="0" w:type="dxa"/>
            </w:tcMar>
            <w:vAlign w:val="bottom"/>
          </w:tcPr>
          <w:p w14:paraId="2470E093" w14:textId="77777777" w:rsidR="009C6E2F" w:rsidRDefault="007972BE">
            <w:pPr>
              <w:jc w:val="right"/>
              <w:textAlignment w:val="bottom"/>
            </w:pPr>
            <w:r>
              <w:rPr>
                <w:rFonts w:ascii="Arial" w:eastAsia="宋体" w:hAnsi="Arial" w:cs="Arial"/>
                <w:color w:val="000000"/>
                <w:sz w:val="17"/>
                <w:szCs w:val="17"/>
              </w:rPr>
              <w:t>(1,215)</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E094" w14:textId="77777777" w:rsidR="009C6E2F" w:rsidRDefault="009C6E2F">
            <w:pPr>
              <w:jc w:val="right"/>
              <w:rPr>
                <w:rFonts w:ascii="宋体"/>
              </w:rPr>
            </w:pPr>
          </w:p>
        </w:tc>
        <w:tc>
          <w:tcPr>
            <w:tcW w:w="0" w:type="auto"/>
            <w:gridSpan w:val="2"/>
            <w:tcBorders>
              <w:top w:val="single" w:sz="4" w:space="0" w:color="808080"/>
              <w:bottom w:val="single" w:sz="8" w:space="0" w:color="E87722"/>
            </w:tcBorders>
            <w:shd w:val="clear" w:color="auto" w:fill="auto"/>
            <w:tcMar>
              <w:top w:w="40" w:type="dxa"/>
              <w:left w:w="20" w:type="dxa"/>
              <w:bottom w:w="40" w:type="dxa"/>
              <w:right w:w="0" w:type="dxa"/>
            </w:tcMar>
            <w:vAlign w:val="bottom"/>
          </w:tcPr>
          <w:p w14:paraId="2470E095" w14:textId="77777777" w:rsidR="009C6E2F" w:rsidRDefault="007972BE">
            <w:pPr>
              <w:jc w:val="right"/>
              <w:textAlignment w:val="bottom"/>
            </w:pPr>
            <w:r>
              <w:rPr>
                <w:rFonts w:ascii="Arial" w:eastAsia="宋体" w:hAnsi="Arial" w:cs="Arial"/>
                <w:color w:val="000000"/>
                <w:sz w:val="17"/>
                <w:szCs w:val="17"/>
              </w:rPr>
              <w:t>14 </w:t>
            </w:r>
          </w:p>
        </w:tc>
        <w:tc>
          <w:tcPr>
            <w:tcW w:w="0" w:type="auto"/>
            <w:tcBorders>
              <w:top w:val="single" w:sz="4" w:space="0" w:color="808080"/>
              <w:bottom w:val="single" w:sz="8" w:space="0" w:color="E87722"/>
            </w:tcBorders>
            <w:shd w:val="clear" w:color="auto" w:fill="auto"/>
            <w:tcMar>
              <w:top w:w="40" w:type="dxa"/>
              <w:left w:w="0" w:type="dxa"/>
              <w:bottom w:w="40" w:type="dxa"/>
              <w:right w:w="20" w:type="dxa"/>
            </w:tcMar>
            <w:vAlign w:val="bottom"/>
          </w:tcPr>
          <w:p w14:paraId="2470E096" w14:textId="77777777" w:rsidR="009C6E2F" w:rsidRDefault="007972BE">
            <w:pPr>
              <w:jc w:val="right"/>
              <w:textAlignment w:val="bottom"/>
            </w:pPr>
            <w:r>
              <w:rPr>
                <w:rFonts w:ascii="Arial" w:eastAsia="宋体" w:hAnsi="Arial" w:cs="Arial"/>
                <w:color w:val="000000"/>
                <w:sz w:val="17"/>
                <w:szCs w:val="17"/>
              </w:rPr>
              <w:t>%</w:t>
            </w:r>
          </w:p>
        </w:tc>
        <w:tc>
          <w:tcPr>
            <w:tcW w:w="0" w:type="auto"/>
            <w:shd w:val="clear" w:color="auto" w:fill="auto"/>
            <w:vAlign w:val="bottom"/>
          </w:tcPr>
          <w:p w14:paraId="2470E097" w14:textId="77777777" w:rsidR="009C6E2F" w:rsidRDefault="009C6E2F">
            <w:pPr>
              <w:rPr>
                <w:rFonts w:ascii="宋体"/>
                <w:vanish/>
              </w:rPr>
            </w:pPr>
          </w:p>
        </w:tc>
        <w:tc>
          <w:tcPr>
            <w:tcW w:w="0" w:type="auto"/>
            <w:shd w:val="clear" w:color="auto" w:fill="auto"/>
            <w:vAlign w:val="bottom"/>
          </w:tcPr>
          <w:p w14:paraId="2470E098" w14:textId="77777777" w:rsidR="009C6E2F" w:rsidRDefault="009C6E2F">
            <w:pPr>
              <w:rPr>
                <w:rFonts w:ascii="宋体"/>
                <w:vanish/>
              </w:rPr>
            </w:pPr>
          </w:p>
        </w:tc>
        <w:tc>
          <w:tcPr>
            <w:tcW w:w="0" w:type="auto"/>
            <w:gridSpan w:val="3"/>
            <w:shd w:val="clear" w:color="auto" w:fill="auto"/>
            <w:vAlign w:val="bottom"/>
          </w:tcPr>
          <w:p w14:paraId="2470E099" w14:textId="77777777" w:rsidR="009C6E2F" w:rsidRDefault="009C6E2F">
            <w:pPr>
              <w:rPr>
                <w:rFonts w:ascii="宋体"/>
                <w:vanish/>
              </w:rPr>
            </w:pPr>
          </w:p>
        </w:tc>
        <w:tc>
          <w:tcPr>
            <w:tcW w:w="0" w:type="auto"/>
            <w:gridSpan w:val="3"/>
            <w:shd w:val="clear" w:color="auto" w:fill="auto"/>
            <w:vAlign w:val="bottom"/>
          </w:tcPr>
          <w:p w14:paraId="2470E09A" w14:textId="77777777" w:rsidR="009C6E2F" w:rsidRDefault="009C6E2F">
            <w:pPr>
              <w:rPr>
                <w:rFonts w:ascii="宋体"/>
                <w:vanish/>
              </w:rPr>
            </w:pPr>
          </w:p>
        </w:tc>
      </w:tr>
    </w:tbl>
    <w:p w14:paraId="2470E09C" w14:textId="77777777" w:rsidR="009C6E2F" w:rsidRDefault="007972BE">
      <w:pPr>
        <w:spacing w:before="120" w:after="120"/>
      </w:pPr>
      <w:r>
        <w:rPr>
          <w:rFonts w:ascii="Arial" w:eastAsia="宋体" w:hAnsi="Arial" w:cs="Arial"/>
          <w:color w:val="000000"/>
          <w:sz w:val="17"/>
          <w:szCs w:val="17"/>
        </w:rPr>
        <w:t xml:space="preserve">Corporate revenues primarily </w:t>
      </w:r>
      <w:r>
        <w:rPr>
          <w:rFonts w:ascii="Arial" w:eastAsia="宋体" w:hAnsi="Arial" w:cs="Arial"/>
          <w:color w:val="000000"/>
          <w:sz w:val="17"/>
          <w:szCs w:val="17"/>
        </w:rPr>
        <w:t>consist of foreign currency hedge gains and losses related to revenues generated by entities within the NIKE Brand geographic operating segments and Converse, but managed through our central foreign exchange risk management program.</w:t>
      </w:r>
    </w:p>
    <w:p w14:paraId="2470E09D" w14:textId="77777777" w:rsidR="009C6E2F" w:rsidRDefault="007972BE">
      <w:pPr>
        <w:spacing w:before="120" w:after="120"/>
      </w:pPr>
      <w:r>
        <w:rPr>
          <w:rFonts w:ascii="Arial" w:eastAsia="宋体" w:hAnsi="Arial" w:cs="Arial"/>
          <w:color w:val="000000"/>
          <w:sz w:val="17"/>
          <w:szCs w:val="17"/>
        </w:rPr>
        <w:t>The Corporate loss befo</w:t>
      </w:r>
      <w:r>
        <w:rPr>
          <w:rFonts w:ascii="Arial" w:eastAsia="宋体" w:hAnsi="Arial" w:cs="Arial"/>
          <w:color w:val="000000"/>
          <w:sz w:val="17"/>
          <w:szCs w:val="17"/>
        </w:rPr>
        <w:t>re interest and taxes primarily consists of unallocated general and administrative expenses, including expenses associated with centrally managed departments; depreciation and amortization related to our corporate headquarters; unallocated insurance, benef</w:t>
      </w:r>
      <w:r>
        <w:rPr>
          <w:rFonts w:ascii="Arial" w:eastAsia="宋体" w:hAnsi="Arial" w:cs="Arial"/>
          <w:color w:val="000000"/>
          <w:sz w:val="17"/>
          <w:szCs w:val="17"/>
        </w:rPr>
        <w:t xml:space="preserve">it and compensation programs, including stock-based compensation; and certain foreign currency gains and losses. </w:t>
      </w:r>
    </w:p>
    <w:p w14:paraId="2470E09E" w14:textId="77777777" w:rsidR="009C6E2F" w:rsidRDefault="007972BE">
      <w:pPr>
        <w:spacing w:before="120" w:after="120"/>
      </w:pPr>
      <w:r>
        <w:rPr>
          <w:rFonts w:ascii="Arial" w:eastAsia="宋体" w:hAnsi="Arial" w:cs="Arial"/>
          <w:color w:val="000000"/>
          <w:sz w:val="17"/>
          <w:szCs w:val="17"/>
        </w:rPr>
        <w:t xml:space="preserve">In addition to the foreign currency gains and losses recognized in Corporate revenues, foreign currency results in Corporate include </w:t>
      </w:r>
      <w:r>
        <w:rPr>
          <w:rFonts w:ascii="Arial" w:eastAsia="宋体" w:hAnsi="Arial" w:cs="Arial"/>
          <w:color w:val="000000"/>
          <w:sz w:val="17"/>
          <w:szCs w:val="17"/>
        </w:rPr>
        <w:t xml:space="preserve">gains and losses resulting from the difference between actual foreign currency exchange rates and standard rates used to record non-functional currency denominated product purchases within the NIKE Brand geographic operating segments and Converse; related </w:t>
      </w:r>
      <w:r>
        <w:rPr>
          <w:rFonts w:ascii="Arial" w:eastAsia="宋体" w:hAnsi="Arial" w:cs="Arial"/>
          <w:color w:val="000000"/>
          <w:sz w:val="17"/>
          <w:szCs w:val="17"/>
        </w:rPr>
        <w:t>foreign currency hedge results; conversion gains and losses arising from remeasurement of monetary assets and liabilities in non-functional currencies; and certain other foreign currency derivative instruments.</w:t>
      </w:r>
    </w:p>
    <w:p w14:paraId="2470E09F" w14:textId="77777777" w:rsidR="009C6E2F" w:rsidRDefault="007972BE">
      <w:pPr>
        <w:spacing w:before="120"/>
      </w:pPr>
      <w:r>
        <w:rPr>
          <w:rFonts w:ascii="sans-serif" w:eastAsia="sans-serif" w:hAnsi="sans-serif" w:cs="sans-serif"/>
          <w:b/>
          <w:bCs/>
          <w:color w:val="808080"/>
          <w:sz w:val="22"/>
          <w:szCs w:val="22"/>
        </w:rPr>
        <w:t>SECOND QUARTER OF FISCAL 2022 COMPARED TO SEC</w:t>
      </w:r>
      <w:r>
        <w:rPr>
          <w:rFonts w:ascii="sans-serif" w:eastAsia="sans-serif" w:hAnsi="sans-serif" w:cs="sans-serif"/>
          <w:b/>
          <w:bCs/>
          <w:color w:val="808080"/>
          <w:sz w:val="22"/>
          <w:szCs w:val="22"/>
        </w:rPr>
        <w:t>OND QUARTER OF FISCAL 2021</w:t>
      </w:r>
    </w:p>
    <w:p w14:paraId="2470E0A0" w14:textId="77777777" w:rsidR="009C6E2F" w:rsidRDefault="007972BE">
      <w:pPr>
        <w:spacing w:before="120" w:after="120"/>
      </w:pPr>
      <w:r>
        <w:rPr>
          <w:rFonts w:ascii="Arial" w:eastAsia="宋体" w:hAnsi="Arial" w:cs="Arial"/>
          <w:color w:val="000000"/>
          <w:sz w:val="17"/>
          <w:szCs w:val="17"/>
        </w:rPr>
        <w:t>Corporate's loss before interest and taxes decreased $215 million for the second quarter of fiscal 2022, primarily due to the following:</w:t>
      </w:r>
    </w:p>
    <w:p w14:paraId="2470E0A1"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change of $198 million, primarily due to higher restructuring-related costs rel</w:t>
      </w:r>
      <w:r>
        <w:rPr>
          <w:rFonts w:ascii="Arial" w:eastAsia="宋体" w:hAnsi="Arial" w:cs="Arial"/>
          <w:color w:val="000000"/>
          <w:sz w:val="17"/>
          <w:szCs w:val="17"/>
        </w:rPr>
        <w:t xml:space="preserve">ated to our organizational realignment in the prior year; </w:t>
      </w:r>
    </w:p>
    <w:p w14:paraId="2470E0A2"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change in net foreign currency gains and losses of $51 million related to the remeasurement of monetary assets and liabilities denominated in non-functional currencies and the impact o</w:t>
      </w:r>
      <w:r>
        <w:rPr>
          <w:rFonts w:ascii="Arial" w:eastAsia="宋体" w:hAnsi="Arial" w:cs="Arial"/>
          <w:color w:val="000000"/>
          <w:sz w:val="17"/>
          <w:szCs w:val="17"/>
        </w:rPr>
        <w:t>f certain foreign currency derivative instruments, reported as a component of consolidated Other (income) expense, net; and</w:t>
      </w:r>
    </w:p>
    <w:p w14:paraId="2470E0A3"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an unfavorable change of $34 million related to the difference between actual foreign currency exchange rates and standard foreign </w:t>
      </w:r>
      <w:r>
        <w:rPr>
          <w:rFonts w:ascii="Arial" w:eastAsia="宋体" w:hAnsi="Arial" w:cs="Arial"/>
          <w:color w:val="000000"/>
          <w:sz w:val="17"/>
          <w:szCs w:val="17"/>
        </w:rPr>
        <w:t>currency exchange rates assigned to the NIKE Brand geographic operating segments and Converse, net of hedge gains and losses; these results are reported as a component of consolidated gross margin.</w:t>
      </w:r>
    </w:p>
    <w:p w14:paraId="2470E0A4" w14:textId="77777777" w:rsidR="009C6E2F" w:rsidRDefault="007972BE">
      <w:pPr>
        <w:spacing w:before="120"/>
      </w:pPr>
      <w:r>
        <w:rPr>
          <w:rFonts w:ascii="sans-serif" w:eastAsia="sans-serif" w:hAnsi="sans-serif" w:cs="sans-serif"/>
          <w:b/>
          <w:bCs/>
          <w:color w:val="808080"/>
          <w:sz w:val="22"/>
          <w:szCs w:val="22"/>
        </w:rPr>
        <w:t>FIRST SIX MONTHS OF FISCAL 2022 COMPARED TO FIRST SIX MONT</w:t>
      </w:r>
      <w:r>
        <w:rPr>
          <w:rFonts w:ascii="sans-serif" w:eastAsia="sans-serif" w:hAnsi="sans-serif" w:cs="sans-serif"/>
          <w:b/>
          <w:bCs/>
          <w:color w:val="808080"/>
          <w:sz w:val="22"/>
          <w:szCs w:val="22"/>
        </w:rPr>
        <w:t>HS OF FISCAL 2021</w:t>
      </w:r>
    </w:p>
    <w:p w14:paraId="2470E0A5" w14:textId="77777777" w:rsidR="009C6E2F" w:rsidRDefault="007972BE">
      <w:pPr>
        <w:spacing w:before="120" w:after="120"/>
      </w:pPr>
      <w:r>
        <w:rPr>
          <w:rFonts w:ascii="Arial" w:eastAsia="宋体" w:hAnsi="Arial" w:cs="Arial"/>
          <w:color w:val="000000"/>
          <w:sz w:val="17"/>
          <w:szCs w:val="17"/>
        </w:rPr>
        <w:t>Corporate's loss before interest and taxes decreased $167 million for the first six months of fiscal 2022, primarily due to the following:</w:t>
      </w:r>
    </w:p>
    <w:p w14:paraId="2470E0A6"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change of $165 million, primarily due to higher restructuring-related costs related to</w:t>
      </w:r>
      <w:r>
        <w:rPr>
          <w:rFonts w:ascii="Arial" w:eastAsia="宋体" w:hAnsi="Arial" w:cs="Arial"/>
          <w:color w:val="000000"/>
          <w:sz w:val="17"/>
          <w:szCs w:val="17"/>
        </w:rPr>
        <w:t xml:space="preserve"> our organizational realignment, as well as charges related to our planned, strategic distributor partnership transition within APLA, both of which occurred in the prior year; </w:t>
      </w:r>
    </w:p>
    <w:p w14:paraId="2470E0A7"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 favorable change in net foreign currency gains and losses of $38 million rel</w:t>
      </w:r>
      <w:r>
        <w:rPr>
          <w:rFonts w:ascii="Arial" w:eastAsia="宋体" w:hAnsi="Arial" w:cs="Arial"/>
          <w:color w:val="000000"/>
          <w:sz w:val="17"/>
          <w:szCs w:val="17"/>
        </w:rPr>
        <w:t>ated to the remeasurement of monetary assets and liabilities denominated in non-functional currencies and the impact of certain foreign currency derivative instruments, reported as a component of consolidated Other (income) expense, net; and</w:t>
      </w:r>
    </w:p>
    <w:p w14:paraId="2470E0A8"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an unfavorabl</w:t>
      </w:r>
      <w:r>
        <w:rPr>
          <w:rFonts w:ascii="Arial" w:eastAsia="宋体" w:hAnsi="Arial" w:cs="Arial"/>
          <w:color w:val="000000"/>
          <w:sz w:val="17"/>
          <w:szCs w:val="17"/>
        </w:rPr>
        <w:t>e change of $36 million related to the difference between actual foreign currency exchange rates and standard foreign currency exchange rates assigned to the NIKE Brand geographic operating segments and Converse, net of hedge gains and losses; these result</w:t>
      </w:r>
      <w:r>
        <w:rPr>
          <w:rFonts w:ascii="Arial" w:eastAsia="宋体" w:hAnsi="Arial" w:cs="Arial"/>
          <w:color w:val="000000"/>
          <w:sz w:val="17"/>
          <w:szCs w:val="17"/>
        </w:rPr>
        <w:t>s are reported as a component of consolidated gross margin.</w:t>
      </w:r>
    </w:p>
    <w:p w14:paraId="2470E0A9" w14:textId="77777777" w:rsidR="009C6E2F" w:rsidRDefault="007972BE">
      <w:pPr>
        <w:spacing w:before="300" w:after="120"/>
      </w:pPr>
      <w:r>
        <w:rPr>
          <w:rFonts w:ascii="sans-serif" w:eastAsia="sans-serif" w:hAnsi="sans-serif" w:cs="sans-serif"/>
          <w:b/>
          <w:bCs/>
          <w:color w:val="E87722"/>
          <w:sz w:val="36"/>
          <w:szCs w:val="36"/>
        </w:rPr>
        <w:t>FOREIGN CURRENCY EXPOSURES AND HEDGING PRACTICES</w:t>
      </w:r>
    </w:p>
    <w:p w14:paraId="2470E0AA" w14:textId="77777777" w:rsidR="009C6E2F" w:rsidRDefault="007972BE">
      <w:pPr>
        <w:spacing w:before="240" w:after="120"/>
      </w:pPr>
      <w:r>
        <w:rPr>
          <w:rFonts w:ascii="sans-serif" w:eastAsia="sans-serif" w:hAnsi="sans-serif" w:cs="sans-serif"/>
          <w:b/>
          <w:bCs/>
          <w:color w:val="000000"/>
          <w:sz w:val="28"/>
          <w:szCs w:val="28"/>
        </w:rPr>
        <w:t>OVERVIEW</w:t>
      </w:r>
    </w:p>
    <w:p w14:paraId="2470E0AB" w14:textId="77777777" w:rsidR="009C6E2F" w:rsidRDefault="007972BE">
      <w:pPr>
        <w:spacing w:before="120" w:after="120"/>
      </w:pPr>
      <w:r>
        <w:rPr>
          <w:rFonts w:ascii="Arial" w:eastAsia="宋体" w:hAnsi="Arial" w:cs="Arial"/>
          <w:color w:val="000000"/>
          <w:sz w:val="17"/>
          <w:szCs w:val="17"/>
        </w:rPr>
        <w:t xml:space="preserve">As a global company with significant operations outside the United States, in the normal course of business we are exposed to risk </w:t>
      </w:r>
      <w:r>
        <w:rPr>
          <w:rFonts w:ascii="Arial" w:eastAsia="宋体" w:hAnsi="Arial" w:cs="Arial"/>
          <w:color w:val="000000"/>
          <w:sz w:val="17"/>
          <w:szCs w:val="17"/>
        </w:rPr>
        <w:t>arising from changes in currency exchange rates. Our primary foreign currency exposures arise from the recording of transactions denominated in non-functional currencies and the translation of foreign currency denominated results of operations, financial p</w:t>
      </w:r>
      <w:r>
        <w:rPr>
          <w:rFonts w:ascii="Arial" w:eastAsia="宋体" w:hAnsi="Arial" w:cs="Arial"/>
          <w:color w:val="000000"/>
          <w:sz w:val="17"/>
          <w:szCs w:val="17"/>
        </w:rPr>
        <w:t>osition and cash flows into U.S. Dollars.</w:t>
      </w:r>
    </w:p>
    <w:p w14:paraId="2470E0AC" w14:textId="77777777" w:rsidR="009C6E2F" w:rsidRDefault="007972BE">
      <w:pPr>
        <w:spacing w:before="120" w:after="120"/>
      </w:pPr>
      <w:r>
        <w:rPr>
          <w:rFonts w:ascii="Arial" w:eastAsia="宋体" w:hAnsi="Arial" w:cs="Arial"/>
          <w:color w:val="000000"/>
          <w:sz w:val="17"/>
          <w:szCs w:val="17"/>
        </w:rPr>
        <w:t>Our foreign exchange risk management program is intended to lessen both the positive and negative effects of currency fluctuations on our consolidated results of operations, financial position and cash flows. We ma</w:t>
      </w:r>
      <w:r>
        <w:rPr>
          <w:rFonts w:ascii="Arial" w:eastAsia="宋体" w:hAnsi="Arial" w:cs="Arial"/>
          <w:color w:val="000000"/>
          <w:sz w:val="17"/>
          <w:szCs w:val="17"/>
        </w:rPr>
        <w:t xml:space="preserve">nage global foreign exchange risk </w:t>
      </w:r>
    </w:p>
    <w:p w14:paraId="2470E0AD" w14:textId="77777777" w:rsidR="009C6E2F" w:rsidRDefault="007972BE">
      <w:pPr>
        <w:spacing w:before="120" w:after="120"/>
      </w:pPr>
      <w:r>
        <w:rPr>
          <w:rFonts w:ascii="Arial" w:eastAsia="宋体" w:hAnsi="Arial" w:cs="Arial"/>
          <w:color w:val="E87722"/>
          <w:sz w:val="17"/>
          <w:szCs w:val="17"/>
        </w:rPr>
        <w:t>40</w:t>
      </w:r>
      <w:r>
        <w:rPr>
          <w:rFonts w:ascii="sans-serif" w:eastAsia="sans-serif" w:hAnsi="sans-serif" w:cs="sans-serif"/>
          <w:color w:val="000000"/>
          <w:sz w:val="17"/>
          <w:szCs w:val="17"/>
        </w:rPr>
        <w:t xml:space="preserve"> </w:t>
      </w:r>
    </w:p>
    <w:p w14:paraId="2470E0AE" w14:textId="77777777" w:rsidR="009C6E2F" w:rsidRDefault="007972BE">
      <w:r>
        <w:pict w14:anchorId="2470E20D">
          <v:rect id="_x0000_i1066" style="width:415.3pt;height:1.5pt" o:hralign="center" o:hrstd="t" o:hr="t" fillcolor="#a0a0a0" stroked="f"/>
        </w:pict>
      </w:r>
    </w:p>
    <w:p w14:paraId="2470E0AF" w14:textId="77777777" w:rsidR="009C6E2F" w:rsidRDefault="009C6E2F"/>
    <w:p w14:paraId="2470E0B0" w14:textId="77777777" w:rsidR="009C6E2F" w:rsidRDefault="007972BE">
      <w:hyperlink r:id="rId108" w:anchor="i9e023a7388204bdbacd6aa338988f838_7" w:history="1">
        <w:r>
          <w:rPr>
            <w:rStyle w:val="a5"/>
            <w:rFonts w:ascii="sans-serif" w:eastAsia="sans-serif" w:hAnsi="sans-serif" w:cs="sans-serif"/>
            <w:sz w:val="17"/>
            <w:szCs w:val="17"/>
          </w:rPr>
          <w:t>Table of Contents</w:t>
        </w:r>
      </w:hyperlink>
    </w:p>
    <w:p w14:paraId="2470E0B1" w14:textId="77777777" w:rsidR="009C6E2F" w:rsidRDefault="009C6E2F"/>
    <w:p w14:paraId="2470E0B2" w14:textId="77777777" w:rsidR="009C6E2F" w:rsidRDefault="007972BE">
      <w:pPr>
        <w:spacing w:before="120" w:after="120"/>
      </w:pPr>
      <w:r>
        <w:rPr>
          <w:rFonts w:ascii="Arial" w:eastAsia="宋体" w:hAnsi="Arial" w:cs="Arial"/>
          <w:color w:val="000000"/>
          <w:sz w:val="17"/>
          <w:szCs w:val="17"/>
        </w:rPr>
        <w:t>centrally on a portfolio basis to address t</w:t>
      </w:r>
      <w:r>
        <w:rPr>
          <w:rFonts w:ascii="Arial" w:eastAsia="宋体" w:hAnsi="Arial" w:cs="Arial"/>
          <w:color w:val="000000"/>
          <w:sz w:val="17"/>
          <w:szCs w:val="17"/>
        </w:rPr>
        <w:t>hose risks material to NIKE, Inc. Our hedging policy is designed to partially or entirely offset the impact of exchange rate changes on the underlying net exposures being hedged. Where exposures are hedged, our program has the effect of delaying the impact</w:t>
      </w:r>
      <w:r>
        <w:rPr>
          <w:rFonts w:ascii="Arial" w:eastAsia="宋体" w:hAnsi="Arial" w:cs="Arial"/>
          <w:color w:val="000000"/>
          <w:sz w:val="17"/>
          <w:szCs w:val="17"/>
        </w:rPr>
        <w:t xml:space="preserve"> of exchange rate movements on our Unaudited Condensed Consolidated Financial Statements; the length of the delay is dependent upon hedge horizons. We do not hold or issue derivative instruments for trading or speculative purposes. As of and for the three </w:t>
      </w:r>
      <w:r>
        <w:rPr>
          <w:rFonts w:ascii="Arial" w:eastAsia="宋体" w:hAnsi="Arial" w:cs="Arial"/>
          <w:color w:val="000000"/>
          <w:sz w:val="17"/>
          <w:szCs w:val="17"/>
        </w:rPr>
        <w:t xml:space="preserve">and six months ended November 30, 2021, there have been no material changes to the Company's hedging program or strategy from what was disclosed within the Annual Report on Form 10-K. </w:t>
      </w:r>
    </w:p>
    <w:p w14:paraId="2470E0B3" w14:textId="77777777" w:rsidR="009C6E2F" w:rsidRDefault="007972BE">
      <w:pPr>
        <w:spacing w:before="120" w:after="120"/>
      </w:pPr>
      <w:r>
        <w:rPr>
          <w:rFonts w:ascii="Arial" w:eastAsia="宋体" w:hAnsi="Arial" w:cs="Arial"/>
          <w:color w:val="000000"/>
          <w:sz w:val="17"/>
          <w:szCs w:val="17"/>
        </w:rPr>
        <w:t xml:space="preserve">Refer to Note 4 — Fair Value Measurements and Note 8 — Risk Management </w:t>
      </w:r>
      <w:r>
        <w:rPr>
          <w:rFonts w:ascii="Arial" w:eastAsia="宋体" w:hAnsi="Arial" w:cs="Arial"/>
          <w:color w:val="000000"/>
          <w:sz w:val="17"/>
          <w:szCs w:val="17"/>
        </w:rPr>
        <w:t>and Derivatives in the accompanying Notes to the Unaudited Condensed Consolidated Financial Statements for additional description of outstanding derivatives at each reported period end. For additional information about our Foreign Currency Exposures and He</w:t>
      </w:r>
      <w:r>
        <w:rPr>
          <w:rFonts w:ascii="Arial" w:eastAsia="宋体" w:hAnsi="Arial" w:cs="Arial"/>
          <w:color w:val="000000"/>
          <w:sz w:val="17"/>
          <w:szCs w:val="17"/>
        </w:rPr>
        <w:t>dging Practices refer to Part II, Item 7. Management's Discussion and Analysis of Financial Condition and Results of Operations of our Annual Report on Form 10-K for the fiscal year ended May 31, 2021.</w:t>
      </w:r>
    </w:p>
    <w:p w14:paraId="2470E0B4" w14:textId="77777777" w:rsidR="009C6E2F" w:rsidRDefault="007972BE">
      <w:pPr>
        <w:spacing w:before="240" w:after="120"/>
      </w:pPr>
      <w:r>
        <w:rPr>
          <w:rFonts w:ascii="sans-serif" w:eastAsia="sans-serif" w:hAnsi="sans-serif" w:cs="sans-serif"/>
          <w:b/>
          <w:bCs/>
          <w:color w:val="000000"/>
          <w:sz w:val="28"/>
          <w:szCs w:val="28"/>
        </w:rPr>
        <w:t>TRANSACTIONAL EXPOSURES</w:t>
      </w:r>
    </w:p>
    <w:p w14:paraId="2470E0B5" w14:textId="77777777" w:rsidR="009C6E2F" w:rsidRDefault="007972BE">
      <w:pPr>
        <w:spacing w:before="120" w:after="120"/>
      </w:pPr>
      <w:r>
        <w:rPr>
          <w:rFonts w:ascii="Arial" w:eastAsia="宋体" w:hAnsi="Arial" w:cs="Arial"/>
          <w:color w:val="000000"/>
          <w:sz w:val="17"/>
          <w:szCs w:val="17"/>
        </w:rPr>
        <w:t>We conduct business in various</w:t>
      </w:r>
      <w:r>
        <w:rPr>
          <w:rFonts w:ascii="Arial" w:eastAsia="宋体" w:hAnsi="Arial" w:cs="Arial"/>
          <w:color w:val="000000"/>
          <w:sz w:val="17"/>
          <w:szCs w:val="17"/>
        </w:rPr>
        <w:t xml:space="preserve"> currencies and have transactions which subject us to foreign currency risk. Our most significant transactional foreign currency exposures are:</w:t>
      </w:r>
    </w:p>
    <w:p w14:paraId="2470E0B6"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Product Costs — Product purchases denominated in currencies other than the functional currency of the </w:t>
      </w:r>
      <w:r>
        <w:rPr>
          <w:rFonts w:ascii="Arial" w:eastAsia="宋体" w:hAnsi="Arial" w:cs="Arial"/>
          <w:color w:val="000000"/>
          <w:sz w:val="17"/>
          <w:szCs w:val="17"/>
        </w:rPr>
        <w:t>transacting entity and factory input costs from the foreign currency adjustments program with certain factories.</w:t>
      </w:r>
    </w:p>
    <w:p w14:paraId="2470E0B7"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External Sales — A portion of our NIKE Brand and Converse revenues associated with European operations are</w:t>
      </w:r>
      <w:r>
        <w:rPr>
          <w:rFonts w:ascii="Arial" w:eastAsia="宋体" w:hAnsi="Arial" w:cs="Arial"/>
          <w:color w:val="000000"/>
          <w:sz w:val="17"/>
          <w:szCs w:val="17"/>
        </w:rPr>
        <w:t xml:space="preserve"> earned in currencies other than the Euro (e.g., the British Pound) but are recognized at a subsidiary that uses the Euro as its functional currency. These sales generate a foreign currency exposure.</w:t>
      </w:r>
    </w:p>
    <w:p w14:paraId="2470E0B8"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 xml:space="preserve">Other Costs — Non-functional currency denominated costs, such as endorsement contracts, also generate foreign currency risk, though to a lesser extent. </w:t>
      </w:r>
    </w:p>
    <w:p w14:paraId="2470E0B9" w14:textId="77777777" w:rsidR="009C6E2F" w:rsidRDefault="007972BE">
      <w:pPr>
        <w:pBdr>
          <w:left w:val="none" w:sz="0" w:space="0" w:color="auto"/>
        </w:pBdr>
        <w:spacing w:before="60" w:after="60"/>
        <w:ind w:hanging="180"/>
      </w:pPr>
      <w:r>
        <w:rPr>
          <w:rFonts w:ascii="Arial" w:eastAsia="宋体" w:hAnsi="Arial" w:cs="Arial"/>
          <w:color w:val="E87722"/>
          <w:sz w:val="17"/>
          <w:szCs w:val="17"/>
        </w:rPr>
        <w:t>•</w:t>
      </w:r>
      <w:r>
        <w:rPr>
          <w:rFonts w:ascii="Arial" w:eastAsia="宋体" w:hAnsi="Arial" w:cs="Arial"/>
          <w:color w:val="000000"/>
          <w:sz w:val="17"/>
          <w:szCs w:val="17"/>
        </w:rPr>
        <w:t>Non-Functional Currency Denominated Monetary Assets and Liabilities — Our global subsidiaries have var</w:t>
      </w:r>
      <w:r>
        <w:rPr>
          <w:rFonts w:ascii="Arial" w:eastAsia="宋体" w:hAnsi="Arial" w:cs="Arial"/>
          <w:color w:val="000000"/>
          <w:sz w:val="17"/>
          <w:szCs w:val="17"/>
        </w:rPr>
        <w:t>ious monetary assets and liabilities, primarily receivables and payables, including intercompany receivables and payables, denominated in currencies other than their functional currencies. These balance sheet items are subject to remeasurement which may cr</w:t>
      </w:r>
      <w:r>
        <w:rPr>
          <w:rFonts w:ascii="Arial" w:eastAsia="宋体" w:hAnsi="Arial" w:cs="Arial"/>
          <w:color w:val="000000"/>
          <w:sz w:val="17"/>
          <w:szCs w:val="17"/>
        </w:rPr>
        <w:t>eate fluctuations in Other (income) expense, net within our consolidated results of operations.</w:t>
      </w:r>
    </w:p>
    <w:p w14:paraId="2470E0BA" w14:textId="77777777" w:rsidR="009C6E2F" w:rsidRDefault="007972BE">
      <w:pPr>
        <w:spacing w:before="120"/>
      </w:pPr>
      <w:r>
        <w:rPr>
          <w:rFonts w:ascii="sans-serif" w:eastAsia="sans-serif" w:hAnsi="sans-serif" w:cs="sans-serif"/>
          <w:b/>
          <w:bCs/>
          <w:color w:val="808080"/>
          <w:sz w:val="22"/>
          <w:szCs w:val="22"/>
        </w:rPr>
        <w:t>MANAGING TRANSACTIONAL EXPOSURES</w:t>
      </w:r>
    </w:p>
    <w:p w14:paraId="2470E0BB" w14:textId="77777777" w:rsidR="009C6E2F" w:rsidRDefault="007972BE">
      <w:pPr>
        <w:spacing w:after="120"/>
      </w:pPr>
      <w:r>
        <w:rPr>
          <w:rFonts w:ascii="Arial" w:eastAsia="宋体" w:hAnsi="Arial" w:cs="Arial"/>
          <w:color w:val="000000"/>
          <w:sz w:val="17"/>
          <w:szCs w:val="17"/>
        </w:rPr>
        <w:t>Transactional exposures are managed on a portfolio basis within our foreign currency risk management program. We manage these e</w:t>
      </w:r>
      <w:r>
        <w:rPr>
          <w:rFonts w:ascii="Arial" w:eastAsia="宋体" w:hAnsi="Arial" w:cs="Arial"/>
          <w:color w:val="000000"/>
          <w:sz w:val="17"/>
          <w:szCs w:val="17"/>
        </w:rPr>
        <w:t>xposures by taking advantage of natural offsets and currency correlations that exist within the portfolio and may also elect to use currency forward and option contracts to hedge the remaining effect of exchange rate fluctuations on probable forecasted fut</w:t>
      </w:r>
      <w:r>
        <w:rPr>
          <w:rFonts w:ascii="Arial" w:eastAsia="宋体" w:hAnsi="Arial" w:cs="Arial"/>
          <w:color w:val="000000"/>
          <w:sz w:val="17"/>
          <w:szCs w:val="17"/>
        </w:rPr>
        <w:t>ure cash flows, including certain product cost exposures, non-functional currency denominated external sales and other costs described above. Generally, these are accounted for as cash flow hedges, except for hedges of the embedded derivative components of</w:t>
      </w:r>
      <w:r>
        <w:rPr>
          <w:rFonts w:ascii="Arial" w:eastAsia="宋体" w:hAnsi="Arial" w:cs="Arial"/>
          <w:color w:val="000000"/>
          <w:sz w:val="17"/>
          <w:szCs w:val="17"/>
        </w:rPr>
        <w:t xml:space="preserve"> the product cost exposures and other contractual agreements.</w:t>
      </w:r>
    </w:p>
    <w:p w14:paraId="2470E0BC" w14:textId="77777777" w:rsidR="009C6E2F" w:rsidRDefault="007972BE">
      <w:pPr>
        <w:spacing w:before="120" w:after="120"/>
      </w:pPr>
      <w:r>
        <w:rPr>
          <w:rFonts w:ascii="Arial" w:eastAsia="宋体" w:hAnsi="Arial" w:cs="Arial"/>
          <w:color w:val="000000"/>
          <w:sz w:val="17"/>
          <w:szCs w:val="17"/>
        </w:rPr>
        <w:t>Certain currency forward contracts used to manage the foreign exchange exposure of non-functional currency denominated monetary assets and liabilities subject to remeasurement and embedded deriv</w:t>
      </w:r>
      <w:r>
        <w:rPr>
          <w:rFonts w:ascii="Arial" w:eastAsia="宋体" w:hAnsi="Arial" w:cs="Arial"/>
          <w:color w:val="000000"/>
          <w:sz w:val="17"/>
          <w:szCs w:val="17"/>
        </w:rPr>
        <w:t xml:space="preserve">ative contracts are not formally designated as hedging instruments and are recognized in Other (income) expense, net. </w:t>
      </w:r>
    </w:p>
    <w:p w14:paraId="2470E0BD" w14:textId="77777777" w:rsidR="009C6E2F" w:rsidRDefault="007972BE">
      <w:pPr>
        <w:spacing w:before="240" w:after="120"/>
      </w:pPr>
      <w:r>
        <w:rPr>
          <w:rFonts w:ascii="sans-serif" w:eastAsia="sans-serif" w:hAnsi="sans-serif" w:cs="sans-serif"/>
          <w:b/>
          <w:bCs/>
          <w:color w:val="000000"/>
          <w:sz w:val="28"/>
          <w:szCs w:val="28"/>
        </w:rPr>
        <w:t>TRANSLATIONAL EXPOSURES</w:t>
      </w:r>
    </w:p>
    <w:p w14:paraId="2470E0BE" w14:textId="77777777" w:rsidR="009C6E2F" w:rsidRDefault="007972BE">
      <w:pPr>
        <w:spacing w:before="120" w:after="120"/>
      </w:pPr>
      <w:r>
        <w:rPr>
          <w:rFonts w:ascii="Arial" w:eastAsia="宋体" w:hAnsi="Arial" w:cs="Arial"/>
          <w:color w:val="000000"/>
          <w:sz w:val="17"/>
          <w:szCs w:val="17"/>
        </w:rPr>
        <w:t>Many of our foreign subsidiaries operate in functional currencies other than the U.S. Dollar. Fluctuations in cur</w:t>
      </w:r>
      <w:r>
        <w:rPr>
          <w:rFonts w:ascii="Arial" w:eastAsia="宋体" w:hAnsi="Arial" w:cs="Arial"/>
          <w:color w:val="000000"/>
          <w:sz w:val="17"/>
          <w:szCs w:val="17"/>
        </w:rPr>
        <w:t>rency exchange rates create volatility in our reported results as we are required to translate the balance sheets, operational results and cash flows of these subsidiaries into U.S. Dollars for consolidated reporting. The translation of foreign subsidiarie</w:t>
      </w:r>
      <w:r>
        <w:rPr>
          <w:rFonts w:ascii="Arial" w:eastAsia="宋体" w:hAnsi="Arial" w:cs="Arial"/>
          <w:color w:val="000000"/>
          <w:sz w:val="17"/>
          <w:szCs w:val="17"/>
        </w:rPr>
        <w:t>s' non-U.S. Dollar denominated balance sheets into U.S. Dollars for consolidated reporting results in a cumulative translation adjustment to Accumulated other comprehensive income (loss) within Shareholders' equity. The impact of foreign exchange rate fluc</w:t>
      </w:r>
      <w:r>
        <w:rPr>
          <w:rFonts w:ascii="Arial" w:eastAsia="宋体" w:hAnsi="Arial" w:cs="Arial"/>
          <w:color w:val="000000"/>
          <w:sz w:val="17"/>
          <w:szCs w:val="17"/>
        </w:rPr>
        <w:t>tuations on the translation of our consolidated Revenues was a benefit of approximately $63 million and $445 million for the three and six months ended November 30, 2021, respectively, and a benefit of approximately $184 million and $73 million for the thr</w:t>
      </w:r>
      <w:r>
        <w:rPr>
          <w:rFonts w:ascii="Arial" w:eastAsia="宋体" w:hAnsi="Arial" w:cs="Arial"/>
          <w:color w:val="000000"/>
          <w:sz w:val="17"/>
          <w:szCs w:val="17"/>
        </w:rPr>
        <w:t>ee and six months ended November 30, 2020, respectively. The impact of foreign exchange rate fluctuations on the translation of our</w:t>
      </w:r>
      <w:r>
        <w:rPr>
          <w:rFonts w:ascii="Arial" w:eastAsia="宋体" w:hAnsi="Arial" w:cs="Arial"/>
          <w:i/>
          <w:iCs/>
          <w:color w:val="000000"/>
          <w:sz w:val="17"/>
          <w:szCs w:val="17"/>
        </w:rPr>
        <w:t xml:space="preserve"> </w:t>
      </w:r>
      <w:r>
        <w:rPr>
          <w:rFonts w:ascii="Arial" w:eastAsia="宋体" w:hAnsi="Arial" w:cs="Arial"/>
          <w:color w:val="000000"/>
          <w:sz w:val="17"/>
          <w:szCs w:val="17"/>
        </w:rPr>
        <w:t>Income before income taxes was a benefit of approximately $12 million and $129 million for the three and six months ended No</w:t>
      </w:r>
      <w:r>
        <w:rPr>
          <w:rFonts w:ascii="Arial" w:eastAsia="宋体" w:hAnsi="Arial" w:cs="Arial"/>
          <w:color w:val="000000"/>
          <w:sz w:val="17"/>
          <w:szCs w:val="17"/>
        </w:rPr>
        <w:t>vember 30, 2021, respectively, and a benefit of approximately $63 million and $34 million for the three and six months ended November 30, 2020, respectively.</w:t>
      </w:r>
    </w:p>
    <w:p w14:paraId="2470E0BF" w14:textId="77777777" w:rsidR="009C6E2F" w:rsidRDefault="007972BE">
      <w:pPr>
        <w:spacing w:before="120" w:after="120"/>
      </w:pPr>
      <w:r>
        <w:rPr>
          <w:rFonts w:ascii="Arial" w:eastAsia="宋体" w:hAnsi="Arial" w:cs="Arial"/>
          <w:color w:val="000000"/>
          <w:sz w:val="17"/>
          <w:szCs w:val="17"/>
        </w:rPr>
        <w:t>Management generally identifies hyper-inflationary markets as those markets whose cumulative infla</w:t>
      </w:r>
      <w:r>
        <w:rPr>
          <w:rFonts w:ascii="Arial" w:eastAsia="宋体" w:hAnsi="Arial" w:cs="Arial"/>
          <w:color w:val="000000"/>
          <w:sz w:val="17"/>
          <w:szCs w:val="17"/>
        </w:rPr>
        <w:t>tion rate over a three-year period exceeds 100%. Management has concluded our Argentina subsidiary within our APLA operating segment is operating in a hyper-inflationary market. As a result, beginning in the second quarter of fiscal 2019, the functional cu</w:t>
      </w:r>
      <w:r>
        <w:rPr>
          <w:rFonts w:ascii="Arial" w:eastAsia="宋体" w:hAnsi="Arial" w:cs="Arial"/>
          <w:color w:val="000000"/>
          <w:sz w:val="17"/>
          <w:szCs w:val="17"/>
        </w:rPr>
        <w:t>rrency of our Argentina subsidiary changed from the local currency to the U.S. Dollar. As of and for the three and six months ended November 30, 2021, this change did not have a material impact on our results of operations or financial condition, and we do</w:t>
      </w:r>
      <w:r>
        <w:rPr>
          <w:rFonts w:ascii="Arial" w:eastAsia="宋体" w:hAnsi="Arial" w:cs="Arial"/>
          <w:color w:val="000000"/>
          <w:sz w:val="17"/>
          <w:szCs w:val="17"/>
        </w:rPr>
        <w:t xml:space="preserve"> not anticipate it will have a material impact in future periods based on current rates.</w:t>
      </w:r>
    </w:p>
    <w:p w14:paraId="2470E0C0" w14:textId="77777777" w:rsidR="009C6E2F" w:rsidRDefault="007972BE">
      <w:pPr>
        <w:spacing w:before="120" w:after="120"/>
        <w:jc w:val="right"/>
      </w:pPr>
      <w:r>
        <w:rPr>
          <w:rFonts w:ascii="Arial" w:eastAsia="宋体" w:hAnsi="Arial" w:cs="Arial"/>
          <w:color w:val="E87722"/>
          <w:sz w:val="17"/>
          <w:szCs w:val="17"/>
        </w:rPr>
        <w:t>41</w:t>
      </w:r>
    </w:p>
    <w:p w14:paraId="2470E0C1" w14:textId="77777777" w:rsidR="009C6E2F" w:rsidRDefault="007972BE">
      <w:r>
        <w:pict w14:anchorId="2470E20E">
          <v:rect id="_x0000_i1067" style="width:415.3pt;height:1.5pt" o:hralign="center" o:hrstd="t" o:hr="t" fillcolor="#a0a0a0" stroked="f"/>
        </w:pict>
      </w:r>
    </w:p>
    <w:p w14:paraId="2470E0C2" w14:textId="77777777" w:rsidR="009C6E2F" w:rsidRDefault="009C6E2F"/>
    <w:p w14:paraId="2470E0C3" w14:textId="77777777" w:rsidR="009C6E2F" w:rsidRDefault="007972BE">
      <w:hyperlink r:id="rId109" w:anchor="i9e023a7388204bdbacd6aa338988f838_7" w:history="1">
        <w:r>
          <w:rPr>
            <w:rStyle w:val="a5"/>
            <w:rFonts w:ascii="sans-serif" w:eastAsia="sans-serif" w:hAnsi="sans-serif" w:cs="sans-serif"/>
            <w:sz w:val="17"/>
            <w:szCs w:val="17"/>
          </w:rPr>
          <w:t>Table of Con</w:t>
        </w:r>
        <w:r>
          <w:rPr>
            <w:rStyle w:val="a5"/>
            <w:rFonts w:ascii="sans-serif" w:eastAsia="sans-serif" w:hAnsi="sans-serif" w:cs="sans-serif"/>
            <w:sz w:val="17"/>
            <w:szCs w:val="17"/>
          </w:rPr>
          <w:t>tents</w:t>
        </w:r>
      </w:hyperlink>
    </w:p>
    <w:p w14:paraId="2470E0C4" w14:textId="77777777" w:rsidR="009C6E2F" w:rsidRDefault="009C6E2F"/>
    <w:p w14:paraId="2470E0C5" w14:textId="77777777" w:rsidR="009C6E2F" w:rsidRDefault="007972BE">
      <w:pPr>
        <w:spacing w:before="120"/>
      </w:pPr>
      <w:r>
        <w:rPr>
          <w:rFonts w:ascii="sans-serif" w:eastAsia="sans-serif" w:hAnsi="sans-serif" w:cs="sans-serif"/>
          <w:b/>
          <w:bCs/>
          <w:color w:val="808080"/>
          <w:sz w:val="22"/>
          <w:szCs w:val="22"/>
        </w:rPr>
        <w:t>MANAGING TRANSLATIONAL EXPOSURES</w:t>
      </w:r>
    </w:p>
    <w:p w14:paraId="2470E0C6" w14:textId="77777777" w:rsidR="009C6E2F" w:rsidRDefault="007972BE">
      <w:pPr>
        <w:spacing w:before="120" w:after="120"/>
      </w:pPr>
      <w:r>
        <w:rPr>
          <w:rFonts w:ascii="Arial" w:eastAsia="宋体" w:hAnsi="Arial" w:cs="Arial"/>
          <w:color w:val="000000"/>
          <w:sz w:val="17"/>
          <w:szCs w:val="17"/>
        </w:rPr>
        <w:t>To minimize the impact of translating foreign currency denominated revenues and expenses into U.S. Dollars for consolidated reporting, certain foreign subsidiaries use excess cash to purchase U.S. Dollar denominated available-for-sale investments. The vari</w:t>
      </w:r>
      <w:r>
        <w:rPr>
          <w:rFonts w:ascii="Arial" w:eastAsia="宋体" w:hAnsi="Arial" w:cs="Arial"/>
          <w:color w:val="000000"/>
          <w:sz w:val="17"/>
          <w:szCs w:val="17"/>
        </w:rPr>
        <w:t>able future cash flows associated with the purchase and subsequent sale of these U.S. Dollar denominated investments at non-U.S. Dollar functional currency subsidiaries creates a foreign currency exposure that qualifies for hedge accounting under U.S. GAAP</w:t>
      </w:r>
      <w:r>
        <w:rPr>
          <w:rFonts w:ascii="Arial" w:eastAsia="宋体" w:hAnsi="Arial" w:cs="Arial"/>
          <w:color w:val="000000"/>
          <w:sz w:val="17"/>
          <w:szCs w:val="17"/>
        </w:rPr>
        <w:t>. We utilize forward contracts and/or options to mitigate the variability of the forecasted future purchases and sales of these U.S. Dollar investments. The combination of the purchase and sale of the U.S. Dollar investment and the hedging instrument has t</w:t>
      </w:r>
      <w:r>
        <w:rPr>
          <w:rFonts w:ascii="Arial" w:eastAsia="宋体" w:hAnsi="Arial" w:cs="Arial"/>
          <w:color w:val="000000"/>
          <w:sz w:val="17"/>
          <w:szCs w:val="17"/>
        </w:rPr>
        <w:t>he effect of partially offsetting the year-over-year foreign currency translation impact on net earnings in the period the investments are sold. Hedges of the purchase of U.S. Dollar denominated available-for-sale investments are accounted for as cash flow</w:t>
      </w:r>
      <w:r>
        <w:rPr>
          <w:rFonts w:ascii="Arial" w:eastAsia="宋体" w:hAnsi="Arial" w:cs="Arial"/>
          <w:color w:val="000000"/>
          <w:sz w:val="17"/>
          <w:szCs w:val="17"/>
        </w:rPr>
        <w:t xml:space="preserve"> hedges. </w:t>
      </w:r>
    </w:p>
    <w:p w14:paraId="2470E0C7" w14:textId="77777777" w:rsidR="009C6E2F" w:rsidRDefault="007972BE">
      <w:pPr>
        <w:spacing w:before="120" w:after="120"/>
      </w:pPr>
      <w:r>
        <w:rPr>
          <w:rFonts w:ascii="Arial" w:eastAsia="宋体" w:hAnsi="Arial" w:cs="Arial"/>
          <w:color w:val="000000"/>
          <w:sz w:val="17"/>
          <w:szCs w:val="17"/>
        </w:rPr>
        <w:t>We estimate the combination of translation of foreign currency-denominated profits from our international businesses and the year-over-year change in foreign currency related gains and losses included in Other (income) expense, net had a favorabl</w:t>
      </w:r>
      <w:r>
        <w:rPr>
          <w:rFonts w:ascii="Arial" w:eastAsia="宋体" w:hAnsi="Arial" w:cs="Arial"/>
          <w:color w:val="000000"/>
          <w:sz w:val="17"/>
          <w:szCs w:val="17"/>
        </w:rPr>
        <w:t>e impact of approximately $63 million and $167 million on our Income before income taxes for the three and six months ended November 30, 2021, respectively.</w:t>
      </w:r>
    </w:p>
    <w:p w14:paraId="2470E0C8" w14:textId="77777777" w:rsidR="009C6E2F" w:rsidRDefault="007972BE">
      <w:pPr>
        <w:spacing w:before="300" w:after="120"/>
      </w:pPr>
      <w:r>
        <w:rPr>
          <w:rFonts w:ascii="sans-serif" w:eastAsia="sans-serif" w:hAnsi="sans-serif" w:cs="sans-serif"/>
          <w:b/>
          <w:bCs/>
          <w:color w:val="E87722"/>
          <w:sz w:val="36"/>
          <w:szCs w:val="36"/>
        </w:rPr>
        <w:t>LIQUIDITY AND CAPITAL RESOURCES</w:t>
      </w:r>
    </w:p>
    <w:p w14:paraId="2470E0C9" w14:textId="77777777" w:rsidR="009C6E2F" w:rsidRDefault="007972BE">
      <w:pPr>
        <w:spacing w:before="240" w:after="120"/>
      </w:pPr>
      <w:r>
        <w:rPr>
          <w:rFonts w:ascii="sans-serif" w:eastAsia="sans-serif" w:hAnsi="sans-serif" w:cs="sans-serif"/>
          <w:b/>
          <w:bCs/>
          <w:color w:val="000000"/>
          <w:sz w:val="28"/>
          <w:szCs w:val="28"/>
        </w:rPr>
        <w:t>CASH FLOW ACTIVITY</w:t>
      </w:r>
    </w:p>
    <w:p w14:paraId="2470E0CA" w14:textId="77777777" w:rsidR="009C6E2F" w:rsidRDefault="007972BE">
      <w:pPr>
        <w:spacing w:before="120" w:after="120"/>
      </w:pPr>
      <w:r>
        <w:rPr>
          <w:rFonts w:ascii="Arial" w:eastAsia="宋体" w:hAnsi="Arial" w:cs="Arial"/>
          <w:color w:val="000000"/>
          <w:sz w:val="17"/>
          <w:szCs w:val="17"/>
        </w:rPr>
        <w:t>Cash provided (used) by operations was an inflow</w:t>
      </w:r>
      <w:r>
        <w:rPr>
          <w:rFonts w:ascii="Arial" w:eastAsia="宋体" w:hAnsi="Arial" w:cs="Arial"/>
          <w:color w:val="000000"/>
          <w:sz w:val="17"/>
          <w:szCs w:val="17"/>
        </w:rPr>
        <w:t xml:space="preserve"> of $3,868 million for the first six months of fiscal 2022, compared to $3,355 million for the first six months of fiscal 2021. Net income, adjusted for non-cash items, generated $3,704 million of operating cash inflow for the first six months of fiscal 20</w:t>
      </w:r>
      <w:r>
        <w:rPr>
          <w:rFonts w:ascii="Arial" w:eastAsia="宋体" w:hAnsi="Arial" w:cs="Arial"/>
          <w:color w:val="000000"/>
          <w:sz w:val="17"/>
          <w:szCs w:val="17"/>
        </w:rPr>
        <w:t>22, compared to $3,283 million for the first six months of fiscal 2021. The net change in working capital and other assets and liabilities resulted in an increase to Cash provided (used) by operations</w:t>
      </w:r>
      <w:r>
        <w:rPr>
          <w:rFonts w:ascii="Arial" w:eastAsia="宋体" w:hAnsi="Arial" w:cs="Arial"/>
          <w:i/>
          <w:iCs/>
          <w:color w:val="000000"/>
          <w:sz w:val="17"/>
          <w:szCs w:val="17"/>
        </w:rPr>
        <w:t xml:space="preserve"> </w:t>
      </w:r>
      <w:r>
        <w:rPr>
          <w:rFonts w:ascii="Arial" w:eastAsia="宋体" w:hAnsi="Arial" w:cs="Arial"/>
          <w:color w:val="000000"/>
          <w:sz w:val="17"/>
          <w:szCs w:val="17"/>
        </w:rPr>
        <w:t>of $164 million for the first six months of fiscal 2022</w:t>
      </w:r>
      <w:r>
        <w:rPr>
          <w:rFonts w:ascii="Arial" w:eastAsia="宋体" w:hAnsi="Arial" w:cs="Arial"/>
          <w:color w:val="000000"/>
          <w:sz w:val="17"/>
          <w:szCs w:val="17"/>
        </w:rPr>
        <w:t xml:space="preserve"> compared to an increase of $72 million for the first six months of fiscal 2021. The net change in working capital compared to the prior year was primarily driven by favorable impacts to Cash provided (used) by operations from Accounts receivable of $1,464</w:t>
      </w:r>
      <w:r>
        <w:rPr>
          <w:rFonts w:ascii="Arial" w:eastAsia="宋体" w:hAnsi="Arial" w:cs="Arial"/>
          <w:color w:val="000000"/>
          <w:sz w:val="17"/>
          <w:szCs w:val="17"/>
        </w:rPr>
        <w:t xml:space="preserve"> million, partially offset by unfavorable impacts from Inventories of $1,053 million for the first six months of fiscal 2022, in part due to supply chain constraints which caused a lower supply of available inventory to meet consumer demand during the firs</w:t>
      </w:r>
      <w:r>
        <w:rPr>
          <w:rFonts w:ascii="Arial" w:eastAsia="宋体" w:hAnsi="Arial" w:cs="Arial"/>
          <w:color w:val="000000"/>
          <w:sz w:val="17"/>
          <w:szCs w:val="17"/>
        </w:rPr>
        <w:t>t six months of fiscal 2022.</w:t>
      </w:r>
    </w:p>
    <w:p w14:paraId="2470E0CB" w14:textId="77777777" w:rsidR="009C6E2F" w:rsidRDefault="007972BE">
      <w:pPr>
        <w:spacing w:before="120" w:after="120"/>
      </w:pPr>
      <w:r>
        <w:rPr>
          <w:rFonts w:ascii="Arial" w:eastAsia="宋体" w:hAnsi="Arial" w:cs="Arial"/>
          <w:color w:val="000000"/>
          <w:sz w:val="17"/>
          <w:szCs w:val="17"/>
        </w:rPr>
        <w:t>Cash provided (used) by investing activities was an outflow of $1,105 million for the first six months of fiscal 2022, compared to $2,877 million for the first six months of fiscal 2021, primarily driven by the net change in sh</w:t>
      </w:r>
      <w:r>
        <w:rPr>
          <w:rFonts w:ascii="Arial" w:eastAsia="宋体" w:hAnsi="Arial" w:cs="Arial"/>
          <w:color w:val="000000"/>
          <w:sz w:val="17"/>
          <w:szCs w:val="17"/>
        </w:rPr>
        <w:t>ort-term investments. For the first six months of fiscal 2022, the net change in short-term investments (including sales, maturities and purchases) resulted in a cash outflow of $776 million compared to a cash outflow of $2,789 million for the first six mo</w:t>
      </w:r>
      <w:r>
        <w:rPr>
          <w:rFonts w:ascii="Arial" w:eastAsia="宋体" w:hAnsi="Arial" w:cs="Arial"/>
          <w:color w:val="000000"/>
          <w:sz w:val="17"/>
          <w:szCs w:val="17"/>
        </w:rPr>
        <w:t>nths of fiscal 2021.</w:t>
      </w:r>
    </w:p>
    <w:p w14:paraId="2470E0CC" w14:textId="77777777" w:rsidR="009C6E2F" w:rsidRDefault="007972BE">
      <w:pPr>
        <w:spacing w:before="120" w:after="120"/>
      </w:pPr>
      <w:r>
        <w:rPr>
          <w:rFonts w:ascii="Arial" w:eastAsia="宋体" w:hAnsi="Arial" w:cs="Arial"/>
          <w:color w:val="000000"/>
          <w:sz w:val="17"/>
          <w:szCs w:val="17"/>
        </w:rPr>
        <w:t>Cash provided (used) by financing activities was an outflow of $1,846 million for the first six months of fiscal 2022 compared to $292 million for the first six months of fiscal 2021. The increased outflow in the first six months of fi</w:t>
      </w:r>
      <w:r>
        <w:rPr>
          <w:rFonts w:ascii="Arial" w:eastAsia="宋体" w:hAnsi="Arial" w:cs="Arial"/>
          <w:color w:val="000000"/>
          <w:sz w:val="17"/>
          <w:szCs w:val="17"/>
        </w:rPr>
        <w:t>scal 2022 was driven by our resumption of the share repurchase program in the fourth quarter of fiscal 2021, resulting in $1,723 million of share repurchases for the first six months of fiscal 2022 compared to no share repurchases in the first six months o</w:t>
      </w:r>
      <w:r>
        <w:rPr>
          <w:rFonts w:ascii="Arial" w:eastAsia="宋体" w:hAnsi="Arial" w:cs="Arial"/>
          <w:color w:val="000000"/>
          <w:sz w:val="17"/>
          <w:szCs w:val="17"/>
        </w:rPr>
        <w:t>f fiscal 2021.</w:t>
      </w:r>
    </w:p>
    <w:p w14:paraId="2470E0CD" w14:textId="77777777" w:rsidR="009C6E2F" w:rsidRDefault="007972BE">
      <w:pPr>
        <w:spacing w:before="120" w:after="120"/>
      </w:pPr>
      <w:r>
        <w:rPr>
          <w:rFonts w:ascii="Arial" w:eastAsia="宋体" w:hAnsi="Arial" w:cs="Arial"/>
          <w:color w:val="000000"/>
          <w:sz w:val="17"/>
          <w:szCs w:val="17"/>
        </w:rPr>
        <w:t>During the first six months of fiscal 2022, we repurchased 10.8 million shares of NIKE's Class B Common Stock for $1.7 billion (an average price of $158.45 per share) under the four-year, $15 billion share repurchase program approved by the Board of Direct</w:t>
      </w:r>
      <w:r>
        <w:rPr>
          <w:rFonts w:ascii="Arial" w:eastAsia="宋体" w:hAnsi="Arial" w:cs="Arial"/>
          <w:color w:val="000000"/>
          <w:sz w:val="17"/>
          <w:szCs w:val="17"/>
        </w:rPr>
        <w:t>ors in June 2018. As of November 30, 2021, we had repurchased 60.8 million shares at a cost of approximately $6.4 billion (an average price of $104.89 per share) under this program. We continue to expect funding of share repurchases will come from operatin</w:t>
      </w:r>
      <w:r>
        <w:rPr>
          <w:rFonts w:ascii="Arial" w:eastAsia="宋体" w:hAnsi="Arial" w:cs="Arial"/>
          <w:color w:val="000000"/>
          <w:sz w:val="17"/>
          <w:szCs w:val="17"/>
        </w:rPr>
        <w:t xml:space="preserve">g cash flows and excess cash. The timing and the amount of share repurchases will be dictated by our capital needs and stock market conditions. </w:t>
      </w:r>
    </w:p>
    <w:p w14:paraId="2470E0CE" w14:textId="77777777" w:rsidR="009C6E2F" w:rsidRDefault="007972BE">
      <w:pPr>
        <w:spacing w:before="240" w:after="120"/>
      </w:pPr>
      <w:r>
        <w:rPr>
          <w:rFonts w:ascii="sans-serif" w:eastAsia="sans-serif" w:hAnsi="sans-serif" w:cs="sans-serif"/>
          <w:b/>
          <w:bCs/>
          <w:color w:val="000000"/>
          <w:sz w:val="28"/>
          <w:szCs w:val="28"/>
        </w:rPr>
        <w:t>CAPITAL RESOURCES</w:t>
      </w:r>
    </w:p>
    <w:p w14:paraId="2470E0CF" w14:textId="77777777" w:rsidR="009C6E2F" w:rsidRDefault="007972BE">
      <w:pPr>
        <w:spacing w:before="120" w:after="120"/>
      </w:pPr>
      <w:r>
        <w:rPr>
          <w:rFonts w:ascii="Arial" w:eastAsia="宋体" w:hAnsi="Arial" w:cs="Arial"/>
          <w:color w:val="000000"/>
          <w:sz w:val="17"/>
          <w:szCs w:val="17"/>
        </w:rPr>
        <w:t>On July 23, 2019, we filed a shelf registration statement (the “Shelf”) with the U.S. Securit</w:t>
      </w:r>
      <w:r>
        <w:rPr>
          <w:rFonts w:ascii="Arial" w:eastAsia="宋体" w:hAnsi="Arial" w:cs="Arial"/>
          <w:color w:val="000000"/>
          <w:sz w:val="17"/>
          <w:szCs w:val="17"/>
        </w:rPr>
        <w:t>ies and Exchange Commission (SEC) which permits us to issue an unlimited amount of debt securities from time to time. The Shelf expires on July 23, 2022.</w:t>
      </w:r>
    </w:p>
    <w:p w14:paraId="2470E0D0" w14:textId="77777777" w:rsidR="009C6E2F" w:rsidRDefault="007972BE">
      <w:pPr>
        <w:spacing w:before="120" w:after="120"/>
      </w:pPr>
      <w:r>
        <w:rPr>
          <w:rFonts w:ascii="Arial" w:eastAsia="宋体" w:hAnsi="Arial" w:cs="Arial"/>
          <w:color w:val="000000"/>
          <w:sz w:val="17"/>
          <w:szCs w:val="17"/>
        </w:rPr>
        <w:t>As of November 30, 2021, our committed credit facilities were unchanged from the information previousl</w:t>
      </w:r>
      <w:r>
        <w:rPr>
          <w:rFonts w:ascii="Arial" w:eastAsia="宋体" w:hAnsi="Arial" w:cs="Arial"/>
          <w:color w:val="000000"/>
          <w:sz w:val="17"/>
          <w:szCs w:val="17"/>
        </w:rPr>
        <w:t>y reported on Form 10-K for the fiscal year ended May 31, 2021. We currently have long-term debt ratings of AA- and A1 from Standard and Poor's Corporation and Moody's Investor Services, respectively. Any changes to these ratings could result in interest r</w:t>
      </w:r>
      <w:r>
        <w:rPr>
          <w:rFonts w:ascii="Arial" w:eastAsia="宋体" w:hAnsi="Arial" w:cs="Arial"/>
          <w:color w:val="000000"/>
          <w:sz w:val="17"/>
          <w:szCs w:val="17"/>
        </w:rPr>
        <w:t>ate and facility fee changes. As of November 30, 2021, we were in full compliance with the covenants under our facilities and believe it is unlikely we will fail to meet any of the covenants in the foreseeable future. As of November 30, 2021 and May 31, 20</w:t>
      </w:r>
      <w:r>
        <w:rPr>
          <w:rFonts w:ascii="Arial" w:eastAsia="宋体" w:hAnsi="Arial" w:cs="Arial"/>
          <w:color w:val="000000"/>
          <w:sz w:val="17"/>
          <w:szCs w:val="17"/>
        </w:rPr>
        <w:t xml:space="preserve">21, no amounts were outstanding under our committed credit facilities. </w:t>
      </w:r>
    </w:p>
    <w:p w14:paraId="2470E0D1" w14:textId="77777777" w:rsidR="009C6E2F" w:rsidRDefault="007972BE">
      <w:pPr>
        <w:spacing w:before="120" w:after="120"/>
      </w:pPr>
      <w:r>
        <w:rPr>
          <w:rFonts w:ascii="Arial" w:eastAsia="宋体" w:hAnsi="Arial" w:cs="Arial"/>
          <w:color w:val="000000"/>
          <w:sz w:val="17"/>
          <w:szCs w:val="17"/>
        </w:rPr>
        <w:t xml:space="preserve">Liquidity was also provided by our $3 billion commercial paper program. As of and for the three months ended November 30, 2021, we did not have any borrowings outstanding under our $3 </w:t>
      </w:r>
      <w:r>
        <w:rPr>
          <w:rFonts w:ascii="Arial" w:eastAsia="宋体" w:hAnsi="Arial" w:cs="Arial"/>
          <w:color w:val="000000"/>
          <w:sz w:val="17"/>
          <w:szCs w:val="17"/>
        </w:rPr>
        <w:t xml:space="preserve">billion program. We may continue to issue commercial paper or </w:t>
      </w:r>
    </w:p>
    <w:p w14:paraId="2470E0D2" w14:textId="77777777" w:rsidR="009C6E2F" w:rsidRDefault="007972BE">
      <w:pPr>
        <w:spacing w:before="120" w:after="120"/>
      </w:pPr>
      <w:r>
        <w:rPr>
          <w:rFonts w:ascii="Arial" w:eastAsia="宋体" w:hAnsi="Arial" w:cs="Arial"/>
          <w:color w:val="E87722"/>
          <w:sz w:val="17"/>
          <w:szCs w:val="17"/>
        </w:rPr>
        <w:t>42</w:t>
      </w:r>
      <w:r>
        <w:rPr>
          <w:rFonts w:ascii="sans-serif" w:eastAsia="sans-serif" w:hAnsi="sans-serif" w:cs="sans-serif"/>
          <w:color w:val="000000"/>
          <w:sz w:val="17"/>
          <w:szCs w:val="17"/>
        </w:rPr>
        <w:t xml:space="preserve"> </w:t>
      </w:r>
    </w:p>
    <w:p w14:paraId="2470E0D3" w14:textId="77777777" w:rsidR="009C6E2F" w:rsidRDefault="007972BE">
      <w:r>
        <w:pict w14:anchorId="2470E20F">
          <v:rect id="_x0000_i1068" style="width:415.3pt;height:1.5pt" o:hralign="center" o:hrstd="t" o:hr="t" fillcolor="#a0a0a0" stroked="f"/>
        </w:pict>
      </w:r>
    </w:p>
    <w:p w14:paraId="2470E0D4" w14:textId="77777777" w:rsidR="009C6E2F" w:rsidRDefault="009C6E2F"/>
    <w:p w14:paraId="2470E0D5" w14:textId="77777777" w:rsidR="009C6E2F" w:rsidRDefault="007972BE">
      <w:hyperlink r:id="rId110" w:anchor="i9e023a7388204bdbacd6aa338988f838_7" w:history="1">
        <w:r>
          <w:rPr>
            <w:rStyle w:val="a5"/>
            <w:rFonts w:ascii="sans-serif" w:eastAsia="sans-serif" w:hAnsi="sans-serif" w:cs="sans-serif"/>
            <w:sz w:val="17"/>
            <w:szCs w:val="17"/>
          </w:rPr>
          <w:t>Table of Contents</w:t>
        </w:r>
      </w:hyperlink>
    </w:p>
    <w:p w14:paraId="2470E0D6" w14:textId="77777777" w:rsidR="009C6E2F" w:rsidRDefault="009C6E2F"/>
    <w:p w14:paraId="2470E0D7" w14:textId="77777777" w:rsidR="009C6E2F" w:rsidRDefault="007972BE">
      <w:pPr>
        <w:spacing w:before="120" w:after="120"/>
      </w:pPr>
      <w:r>
        <w:rPr>
          <w:rFonts w:ascii="Arial" w:eastAsia="宋体" w:hAnsi="Arial" w:cs="Arial"/>
          <w:color w:val="000000"/>
          <w:sz w:val="17"/>
          <w:szCs w:val="17"/>
        </w:rPr>
        <w:t>other debt securities depending on general corporate needs. We currently have short-t</w:t>
      </w:r>
      <w:r>
        <w:rPr>
          <w:rFonts w:ascii="Arial" w:eastAsia="宋体" w:hAnsi="Arial" w:cs="Arial"/>
          <w:color w:val="000000"/>
          <w:sz w:val="17"/>
          <w:szCs w:val="17"/>
        </w:rPr>
        <w:t xml:space="preserve">erm debt ratings of A1+ and P1 from Standard and Poor's Corporation and Moody's Investor Services, respectively. </w:t>
      </w:r>
    </w:p>
    <w:p w14:paraId="2470E0D8" w14:textId="77777777" w:rsidR="009C6E2F" w:rsidRDefault="007972BE">
      <w:pPr>
        <w:spacing w:before="120" w:after="120"/>
      </w:pPr>
      <w:r>
        <w:rPr>
          <w:rFonts w:ascii="Arial" w:eastAsia="宋体" w:hAnsi="Arial" w:cs="Arial"/>
          <w:color w:val="000000"/>
          <w:sz w:val="17"/>
          <w:szCs w:val="17"/>
        </w:rPr>
        <w:t>To date, in fiscal 2022, we have not experienced difficulty accessing the credit markets; however, future volatility in the capital markets ma</w:t>
      </w:r>
      <w:r>
        <w:rPr>
          <w:rFonts w:ascii="Arial" w:eastAsia="宋体" w:hAnsi="Arial" w:cs="Arial"/>
          <w:color w:val="000000"/>
          <w:sz w:val="17"/>
          <w:szCs w:val="17"/>
        </w:rPr>
        <w:t>y increase costs associated with issuing commercial paper or other debt instruments or affect our ability to access those markets.</w:t>
      </w:r>
    </w:p>
    <w:p w14:paraId="2470E0D9" w14:textId="77777777" w:rsidR="009C6E2F" w:rsidRDefault="007972BE">
      <w:pPr>
        <w:spacing w:before="120" w:after="120"/>
      </w:pPr>
      <w:r>
        <w:rPr>
          <w:rFonts w:ascii="Arial" w:eastAsia="宋体" w:hAnsi="Arial" w:cs="Arial"/>
          <w:color w:val="000000"/>
          <w:sz w:val="17"/>
          <w:szCs w:val="17"/>
        </w:rPr>
        <w:t>As of November 30, 2021, we had cash, cash equivalents and short-term investments totaling $15.1 billion, primarily consistin</w:t>
      </w:r>
      <w:r>
        <w:rPr>
          <w:rFonts w:ascii="Arial" w:eastAsia="宋体" w:hAnsi="Arial" w:cs="Arial"/>
          <w:color w:val="000000"/>
          <w:sz w:val="17"/>
          <w:szCs w:val="17"/>
        </w:rPr>
        <w:t>g of commercial paper, corporate notes, deposits held at major banks, money market funds, U.S. government sponsored enterprise obligations, U.S. Treasury obligations and other investment grade fixed-income securities. Our fixed-income investments are expos</w:t>
      </w:r>
      <w:r>
        <w:rPr>
          <w:rFonts w:ascii="Arial" w:eastAsia="宋体" w:hAnsi="Arial" w:cs="Arial"/>
          <w:color w:val="000000"/>
          <w:sz w:val="17"/>
          <w:szCs w:val="17"/>
        </w:rPr>
        <w:t>ed to both credit and interest rate risk. All of our investments are investment grade to minimize our credit risk. While individual securities have varying durations, as of November 30, 2021, the weighted average days to maturity of our cash equivalents an</w:t>
      </w:r>
      <w:r>
        <w:rPr>
          <w:rFonts w:ascii="Arial" w:eastAsia="宋体" w:hAnsi="Arial" w:cs="Arial"/>
          <w:color w:val="000000"/>
          <w:sz w:val="17"/>
          <w:szCs w:val="17"/>
        </w:rPr>
        <w:t>d short-term investments portfolio was 62 days.</w:t>
      </w:r>
    </w:p>
    <w:p w14:paraId="2470E0DA" w14:textId="77777777" w:rsidR="009C6E2F" w:rsidRDefault="007972BE">
      <w:pPr>
        <w:spacing w:before="120" w:after="120"/>
      </w:pPr>
      <w:r>
        <w:rPr>
          <w:rFonts w:ascii="Arial" w:eastAsia="宋体" w:hAnsi="Arial" w:cs="Arial"/>
          <w:color w:val="000000"/>
          <w:sz w:val="17"/>
          <w:szCs w:val="17"/>
        </w:rPr>
        <w:t>We believe that existing cash, cash equivalents, short-term investments and cash generated by operations, together with access to external sources of funds as described above, will be sufficient to meet our d</w:t>
      </w:r>
      <w:r>
        <w:rPr>
          <w:rFonts w:ascii="Arial" w:eastAsia="宋体" w:hAnsi="Arial" w:cs="Arial"/>
          <w:color w:val="000000"/>
          <w:sz w:val="17"/>
          <w:szCs w:val="17"/>
        </w:rPr>
        <w:t>omestic and foreign capital needs in the foreseeable future.</w:t>
      </w:r>
    </w:p>
    <w:p w14:paraId="2470E0DB" w14:textId="77777777" w:rsidR="009C6E2F" w:rsidRDefault="007972BE">
      <w:pPr>
        <w:spacing w:before="120" w:after="120"/>
      </w:pPr>
      <w:r>
        <w:rPr>
          <w:rFonts w:ascii="Arial" w:eastAsia="宋体" w:hAnsi="Arial" w:cs="Arial"/>
          <w:color w:val="000000"/>
          <w:sz w:val="17"/>
          <w:szCs w:val="17"/>
        </w:rPr>
        <w:t>We utilize a variety of tax planning and financing strategies to manage our worldwide cash and deploy funds to locations where they are needed. We indefinitely reinvest a significant portion of o</w:t>
      </w:r>
      <w:r>
        <w:rPr>
          <w:rFonts w:ascii="Arial" w:eastAsia="宋体" w:hAnsi="Arial" w:cs="Arial"/>
          <w:color w:val="000000"/>
          <w:sz w:val="17"/>
          <w:szCs w:val="17"/>
        </w:rPr>
        <w:t>ur foreign earnings, and our current plans do not demonstrate a need to repatriate these earnings. Should we require additional capital in the United States, we may determine to repatriate indefinitely reinvested foreign funds or raise capital in the Unite</w:t>
      </w:r>
      <w:r>
        <w:rPr>
          <w:rFonts w:ascii="Arial" w:eastAsia="宋体" w:hAnsi="Arial" w:cs="Arial"/>
          <w:color w:val="000000"/>
          <w:sz w:val="17"/>
          <w:szCs w:val="17"/>
        </w:rPr>
        <w:t>d States through debt. Given our existing structure, if we were to repatriate indefinitely reinvested foreign earnings, we would be required to accrue and pay withholding taxes in certain foreign jurisdictions.</w:t>
      </w:r>
    </w:p>
    <w:p w14:paraId="2470E0DC" w14:textId="77777777" w:rsidR="009C6E2F" w:rsidRDefault="007972BE">
      <w:pPr>
        <w:spacing w:before="240" w:after="120"/>
      </w:pPr>
      <w:r>
        <w:rPr>
          <w:rFonts w:ascii="sans-serif" w:eastAsia="sans-serif" w:hAnsi="sans-serif" w:cs="sans-serif"/>
          <w:b/>
          <w:bCs/>
          <w:color w:val="000000"/>
          <w:sz w:val="28"/>
          <w:szCs w:val="28"/>
        </w:rPr>
        <w:t>OFF-BALANCE SHEET ARRANGEMENTS</w:t>
      </w:r>
    </w:p>
    <w:p w14:paraId="2470E0DD" w14:textId="77777777" w:rsidR="009C6E2F" w:rsidRDefault="007972BE">
      <w:pPr>
        <w:spacing w:before="120" w:after="120"/>
      </w:pPr>
      <w:r>
        <w:rPr>
          <w:rFonts w:ascii="Arial" w:eastAsia="宋体" w:hAnsi="Arial" w:cs="Arial"/>
          <w:color w:val="000000"/>
          <w:sz w:val="17"/>
          <w:szCs w:val="17"/>
        </w:rPr>
        <w:t>As of November</w:t>
      </w:r>
      <w:r>
        <w:rPr>
          <w:rFonts w:ascii="Arial" w:eastAsia="宋体" w:hAnsi="Arial" w:cs="Arial"/>
          <w:color w:val="000000"/>
          <w:sz w:val="17"/>
          <w:szCs w:val="17"/>
        </w:rPr>
        <w:t> 30, 2021, we did not have any off-balance sheet arrangements that have, or are reasonably likely to have, a material effect on our current or future financial condition, results of operations, liquidity, capital expenditures or capital resources.</w:t>
      </w:r>
    </w:p>
    <w:p w14:paraId="2470E0DE" w14:textId="77777777" w:rsidR="009C6E2F" w:rsidRDefault="007972BE">
      <w:pPr>
        <w:spacing w:before="240" w:after="120"/>
      </w:pPr>
      <w:r>
        <w:rPr>
          <w:rFonts w:ascii="sans-serif" w:eastAsia="sans-serif" w:hAnsi="sans-serif" w:cs="sans-serif"/>
          <w:b/>
          <w:bCs/>
          <w:color w:val="000000"/>
          <w:sz w:val="28"/>
          <w:szCs w:val="28"/>
        </w:rPr>
        <w:t>CONTRACT</w:t>
      </w:r>
      <w:r>
        <w:rPr>
          <w:rFonts w:ascii="sans-serif" w:eastAsia="sans-serif" w:hAnsi="sans-serif" w:cs="sans-serif"/>
          <w:b/>
          <w:bCs/>
          <w:color w:val="000000"/>
          <w:sz w:val="28"/>
          <w:szCs w:val="28"/>
        </w:rPr>
        <w:t>UAL OBLIGATIONS</w:t>
      </w:r>
    </w:p>
    <w:p w14:paraId="2470E0DF" w14:textId="77777777" w:rsidR="009C6E2F" w:rsidRDefault="007972BE">
      <w:pPr>
        <w:spacing w:before="120" w:after="120"/>
      </w:pPr>
      <w:r>
        <w:rPr>
          <w:rFonts w:ascii="Arial" w:eastAsia="宋体" w:hAnsi="Arial" w:cs="Arial"/>
          <w:color w:val="000000"/>
          <w:sz w:val="17"/>
          <w:szCs w:val="17"/>
        </w:rPr>
        <w:t>There have been no significant changes to the contractual obligations reported in our Annual Report on Form 10-K for the fiscal year ended May 31, 2021.</w:t>
      </w:r>
    </w:p>
    <w:p w14:paraId="2470E0E0" w14:textId="77777777" w:rsidR="009C6E2F" w:rsidRDefault="007972BE">
      <w:pPr>
        <w:spacing w:before="300" w:after="120"/>
      </w:pPr>
      <w:r>
        <w:rPr>
          <w:rFonts w:ascii="sans-serif" w:eastAsia="sans-serif" w:hAnsi="sans-serif" w:cs="sans-serif"/>
          <w:b/>
          <w:bCs/>
          <w:color w:val="E87722"/>
          <w:sz w:val="36"/>
          <w:szCs w:val="36"/>
        </w:rPr>
        <w:t>NEW ACCOUNTING PRONOUNCEMENTS</w:t>
      </w:r>
    </w:p>
    <w:p w14:paraId="2470E0E1" w14:textId="77777777" w:rsidR="009C6E2F" w:rsidRDefault="007972BE">
      <w:pPr>
        <w:spacing w:before="120" w:after="120"/>
      </w:pPr>
      <w:r>
        <w:rPr>
          <w:rFonts w:ascii="Arial" w:eastAsia="宋体" w:hAnsi="Arial" w:cs="Arial"/>
          <w:color w:val="000000"/>
          <w:sz w:val="17"/>
          <w:szCs w:val="17"/>
        </w:rPr>
        <w:t>There have been no material changes in recently issued or</w:t>
      </w:r>
      <w:r>
        <w:rPr>
          <w:rFonts w:ascii="Arial" w:eastAsia="宋体" w:hAnsi="Arial" w:cs="Arial"/>
          <w:color w:val="000000"/>
          <w:sz w:val="17"/>
          <w:szCs w:val="17"/>
        </w:rPr>
        <w:t xml:space="preserve"> adopted accounting standards from those disclosed in our Annual Report on Form 10-K for the fiscal year ended May 31, 2021.</w:t>
      </w:r>
    </w:p>
    <w:p w14:paraId="2470E0E2" w14:textId="77777777" w:rsidR="009C6E2F" w:rsidRDefault="007972BE">
      <w:pPr>
        <w:spacing w:before="300" w:after="120"/>
      </w:pPr>
      <w:r>
        <w:rPr>
          <w:rFonts w:ascii="sans-serif" w:eastAsia="sans-serif" w:hAnsi="sans-serif" w:cs="sans-serif"/>
          <w:b/>
          <w:bCs/>
          <w:color w:val="E87722"/>
          <w:sz w:val="36"/>
          <w:szCs w:val="36"/>
        </w:rPr>
        <w:t>CRITICAL ACCOUNTING POLICIES</w:t>
      </w:r>
    </w:p>
    <w:p w14:paraId="2470E0E3" w14:textId="77777777" w:rsidR="009C6E2F" w:rsidRDefault="007972BE">
      <w:pPr>
        <w:spacing w:before="120" w:after="120"/>
      </w:pPr>
      <w:r>
        <w:rPr>
          <w:rFonts w:ascii="Arial" w:eastAsia="宋体" w:hAnsi="Arial" w:cs="Arial"/>
          <w:color w:val="000000"/>
          <w:sz w:val="17"/>
          <w:szCs w:val="17"/>
        </w:rPr>
        <w:t>Our discussion and analysis of our financial condition and results of operations are based upon our Un</w:t>
      </w:r>
      <w:r>
        <w:rPr>
          <w:rFonts w:ascii="Arial" w:eastAsia="宋体" w:hAnsi="Arial" w:cs="Arial"/>
          <w:color w:val="000000"/>
          <w:sz w:val="17"/>
          <w:szCs w:val="17"/>
        </w:rPr>
        <w:t>audited Condensed Consolidated Financial Statements, which have been prepared in accordance with accounting principles generally accepted in the United States of America. The preparation of these financial statements requires us to make estimates and judgm</w:t>
      </w:r>
      <w:r>
        <w:rPr>
          <w:rFonts w:ascii="Arial" w:eastAsia="宋体" w:hAnsi="Arial" w:cs="Arial"/>
          <w:color w:val="000000"/>
          <w:sz w:val="17"/>
          <w:szCs w:val="17"/>
        </w:rPr>
        <w:t xml:space="preserve">ents that affect the reported amounts of assets, liabilities, revenues and expenses and related disclosure of contingent assets and liabilities. </w:t>
      </w:r>
    </w:p>
    <w:p w14:paraId="2470E0E4" w14:textId="77777777" w:rsidR="009C6E2F" w:rsidRDefault="007972BE">
      <w:pPr>
        <w:spacing w:before="120" w:after="120"/>
      </w:pPr>
      <w:r>
        <w:rPr>
          <w:rFonts w:ascii="Arial" w:eastAsia="宋体" w:hAnsi="Arial" w:cs="Arial"/>
          <w:color w:val="000000"/>
          <w:sz w:val="17"/>
          <w:szCs w:val="17"/>
        </w:rPr>
        <w:t xml:space="preserve">We believe that the estimates, assumptions and judgments involved in the accounting policies described in the </w:t>
      </w:r>
      <w:r>
        <w:rPr>
          <w:rFonts w:ascii="Arial" w:eastAsia="宋体" w:hAnsi="Arial" w:cs="Arial"/>
          <w:color w:val="000000"/>
          <w:sz w:val="17"/>
          <w:szCs w:val="17"/>
        </w:rPr>
        <w:t>“Management's Discussion and Analysis of Financial Condition and Results of Operations” section of our most recent Annual Report on Form 10-K have the greatest potential impact on our financial statements, so we consider these to be our critical accounting</w:t>
      </w:r>
      <w:r>
        <w:rPr>
          <w:rFonts w:ascii="Arial" w:eastAsia="宋体" w:hAnsi="Arial" w:cs="Arial"/>
          <w:color w:val="000000"/>
          <w:sz w:val="17"/>
          <w:szCs w:val="17"/>
        </w:rPr>
        <w:t xml:space="preserve"> policies. Actual results could differ from the estimates we use in applying our critical accounting policies. We are not currently aware of any reasonably likely events or circumstances that would result in materially different amounts being reported.</w:t>
      </w:r>
    </w:p>
    <w:p w14:paraId="2470E0E5" w14:textId="77777777" w:rsidR="009C6E2F" w:rsidRDefault="007972BE">
      <w:pPr>
        <w:spacing w:before="120" w:after="120"/>
        <w:jc w:val="right"/>
      </w:pPr>
      <w:r>
        <w:rPr>
          <w:rFonts w:ascii="Arial" w:eastAsia="宋体" w:hAnsi="Arial" w:cs="Arial"/>
          <w:color w:val="E87722"/>
          <w:sz w:val="17"/>
          <w:szCs w:val="17"/>
        </w:rPr>
        <w:t>43</w:t>
      </w:r>
    </w:p>
    <w:p w14:paraId="2470E0E6" w14:textId="77777777" w:rsidR="009C6E2F" w:rsidRDefault="007972BE">
      <w:r>
        <w:pict w14:anchorId="2470E210">
          <v:rect id="_x0000_i1069" style="width:415.3pt;height:1.5pt" o:hralign="center" o:hrstd="t" o:hr="t" fillcolor="#a0a0a0" stroked="f"/>
        </w:pict>
      </w:r>
    </w:p>
    <w:p w14:paraId="2470E0E7" w14:textId="77777777" w:rsidR="009C6E2F" w:rsidRDefault="009C6E2F"/>
    <w:p w14:paraId="2470E0E8" w14:textId="77777777" w:rsidR="009C6E2F" w:rsidRDefault="007972BE">
      <w:hyperlink r:id="rId111" w:anchor="i9e023a7388204bdbacd6aa338988f838_7" w:history="1">
        <w:r>
          <w:rPr>
            <w:rStyle w:val="a5"/>
            <w:rFonts w:ascii="sans-serif" w:eastAsia="sans-serif" w:hAnsi="sans-serif" w:cs="sans-serif"/>
            <w:sz w:val="17"/>
            <w:szCs w:val="17"/>
          </w:rPr>
          <w:t>Table of Contents</w:t>
        </w:r>
      </w:hyperlink>
    </w:p>
    <w:p w14:paraId="2470E0E9" w14:textId="77777777" w:rsidR="009C6E2F" w:rsidRDefault="009C6E2F"/>
    <w:p w14:paraId="2470E0EA" w14:textId="77777777" w:rsidR="009C6E2F" w:rsidRDefault="007972BE">
      <w:pPr>
        <w:spacing w:before="360" w:after="180"/>
      </w:pPr>
      <w:r>
        <w:rPr>
          <w:rFonts w:ascii="sans-serif" w:eastAsia="sans-serif" w:hAnsi="sans-serif" w:cs="sans-serif"/>
          <w:color w:val="000000"/>
          <w:sz w:val="44"/>
          <w:szCs w:val="44"/>
        </w:rPr>
        <w:t>ITEM 3. QUANTITATIVE AND QUALITATIVE DISCLOSURES ABOUT MARKET RISK</w:t>
      </w:r>
    </w:p>
    <w:p w14:paraId="2470E0EB" w14:textId="77777777" w:rsidR="009C6E2F" w:rsidRDefault="007972BE">
      <w:pPr>
        <w:spacing w:before="120" w:after="120"/>
      </w:pPr>
      <w:r>
        <w:rPr>
          <w:rFonts w:ascii="Arial" w:eastAsia="宋体" w:hAnsi="Arial" w:cs="Arial"/>
          <w:color w:val="000000"/>
          <w:sz w:val="17"/>
          <w:szCs w:val="17"/>
        </w:rPr>
        <w:t>There have been no</w:t>
      </w:r>
      <w:r>
        <w:rPr>
          <w:rFonts w:ascii="Arial" w:eastAsia="宋体" w:hAnsi="Arial" w:cs="Arial"/>
          <w:color w:val="000000"/>
          <w:sz w:val="17"/>
          <w:szCs w:val="17"/>
        </w:rPr>
        <w:t xml:space="preserve"> material changes from the information previously reported under Part II, Item 7A of our Annual Report on Form 10-K for the fiscal year ended May 31, 2021.</w:t>
      </w:r>
    </w:p>
    <w:p w14:paraId="2470E0EC" w14:textId="77777777" w:rsidR="009C6E2F" w:rsidRDefault="007972BE">
      <w:pPr>
        <w:spacing w:before="360" w:after="180"/>
      </w:pPr>
      <w:r>
        <w:rPr>
          <w:rFonts w:ascii="sans-serif" w:eastAsia="sans-serif" w:hAnsi="sans-serif" w:cs="sans-serif"/>
          <w:color w:val="000000"/>
          <w:sz w:val="44"/>
          <w:szCs w:val="44"/>
        </w:rPr>
        <w:t>ITEM 4. CONTROLS AND PROCEDURES</w:t>
      </w:r>
    </w:p>
    <w:p w14:paraId="2470E0ED" w14:textId="77777777" w:rsidR="009C6E2F" w:rsidRDefault="007972BE">
      <w:pPr>
        <w:spacing w:before="120" w:after="120"/>
      </w:pPr>
      <w:r>
        <w:rPr>
          <w:rFonts w:ascii="Arial" w:eastAsia="宋体" w:hAnsi="Arial" w:cs="Arial"/>
          <w:color w:val="000000"/>
          <w:sz w:val="17"/>
          <w:szCs w:val="17"/>
        </w:rPr>
        <w:t xml:space="preserve">We maintain disclosure controls and procedures that are designed to </w:t>
      </w:r>
      <w:r>
        <w:rPr>
          <w:rFonts w:ascii="Arial" w:eastAsia="宋体" w:hAnsi="Arial" w:cs="Arial"/>
          <w:color w:val="000000"/>
          <w:sz w:val="17"/>
          <w:szCs w:val="17"/>
        </w:rPr>
        <w:t>provide reasonable assurance that information required to be disclosed in our Securities Exchange Act of 1934, as amended ("the Exchange Act") reports is recorded, processed, summarized and reported within the time periods specified in the Securities and E</w:t>
      </w:r>
      <w:r>
        <w:rPr>
          <w:rFonts w:ascii="Arial" w:eastAsia="宋体" w:hAnsi="Arial" w:cs="Arial"/>
          <w:color w:val="000000"/>
          <w:sz w:val="17"/>
          <w:szCs w:val="17"/>
        </w:rPr>
        <w:t>xchange Commission's rules and forms and that such information is accumulated and communicated to our management, including our Chief Executive Officer and Chief Financial Officer, as appropriate, to allow for timely decisions regarding required disclosure</w:t>
      </w:r>
      <w:r>
        <w:rPr>
          <w:rFonts w:ascii="Arial" w:eastAsia="宋体" w:hAnsi="Arial" w:cs="Arial"/>
          <w:color w:val="000000"/>
          <w:sz w:val="17"/>
          <w:szCs w:val="17"/>
        </w:rPr>
        <w:t>. In designing and evaluating the disclosure controls and procedures, management recognizes that any controls and procedures, no matter how well designed and operated, can provide only reasonable assurance of achieving the desired control objectives, and m</w:t>
      </w:r>
      <w:r>
        <w:rPr>
          <w:rFonts w:ascii="Arial" w:eastAsia="宋体" w:hAnsi="Arial" w:cs="Arial"/>
          <w:color w:val="000000"/>
          <w:sz w:val="17"/>
          <w:szCs w:val="17"/>
        </w:rPr>
        <w:t>anagement is required to apply its judgment in evaluating the cost-benefit relationship of possible controls and procedures.</w:t>
      </w:r>
    </w:p>
    <w:p w14:paraId="2470E0EE" w14:textId="77777777" w:rsidR="009C6E2F" w:rsidRDefault="007972BE">
      <w:pPr>
        <w:spacing w:before="120" w:after="120"/>
      </w:pPr>
      <w:r>
        <w:rPr>
          <w:rFonts w:ascii="Arial" w:eastAsia="宋体" w:hAnsi="Arial" w:cs="Arial"/>
          <w:color w:val="000000"/>
          <w:sz w:val="17"/>
          <w:szCs w:val="17"/>
        </w:rPr>
        <w:t>We carry out a variety of ongoing procedures, under the supervision and with the participation of our management, including our Chi</w:t>
      </w:r>
      <w:r>
        <w:rPr>
          <w:rFonts w:ascii="Arial" w:eastAsia="宋体" w:hAnsi="Arial" w:cs="Arial"/>
          <w:color w:val="000000"/>
          <w:sz w:val="17"/>
          <w:szCs w:val="17"/>
        </w:rPr>
        <w:t>ef Executive Officer and Chief Financial Officer, to evaluate the effectiveness of the design and operation of our disclosure controls and procedures. Based on the foregoing, our Chief Executive Officer and Chief Financial Officer concluded that our disclo</w:t>
      </w:r>
      <w:r>
        <w:rPr>
          <w:rFonts w:ascii="Arial" w:eastAsia="宋体" w:hAnsi="Arial" w:cs="Arial"/>
          <w:color w:val="000000"/>
          <w:sz w:val="17"/>
          <w:szCs w:val="17"/>
        </w:rPr>
        <w:t>sure controls and procedures were effective at the reasonable assurance level as of November 30, 2021.</w:t>
      </w:r>
    </w:p>
    <w:p w14:paraId="2470E0EF" w14:textId="77777777" w:rsidR="009C6E2F" w:rsidRDefault="007972BE">
      <w:pPr>
        <w:spacing w:before="120" w:after="120"/>
      </w:pPr>
      <w:r>
        <w:rPr>
          <w:rFonts w:ascii="Arial" w:eastAsia="宋体" w:hAnsi="Arial" w:cs="Arial"/>
          <w:color w:val="000000"/>
          <w:sz w:val="17"/>
          <w:szCs w:val="17"/>
        </w:rPr>
        <w:t>We are continuing several transformation initiatives to centralize and simplify our business processes and systems. These are long-term initiatives, whic</w:t>
      </w:r>
      <w:r>
        <w:rPr>
          <w:rFonts w:ascii="Arial" w:eastAsia="宋体" w:hAnsi="Arial" w:cs="Arial"/>
          <w:color w:val="000000"/>
          <w:sz w:val="17"/>
          <w:szCs w:val="17"/>
        </w:rPr>
        <w:t>h we believe will enhance our internal control over financial reporting due to increased automation and further integration of related processes. We will continue to monitor our internal control over financial reporting for effectiveness throughout these t</w:t>
      </w:r>
      <w:r>
        <w:rPr>
          <w:rFonts w:ascii="Arial" w:eastAsia="宋体" w:hAnsi="Arial" w:cs="Arial"/>
          <w:color w:val="000000"/>
          <w:sz w:val="17"/>
          <w:szCs w:val="17"/>
        </w:rPr>
        <w:t>ransformation initiatives.</w:t>
      </w:r>
    </w:p>
    <w:p w14:paraId="2470E0F0" w14:textId="77777777" w:rsidR="009C6E2F" w:rsidRDefault="007972BE">
      <w:pPr>
        <w:spacing w:before="120" w:after="120"/>
      </w:pPr>
      <w:r>
        <w:rPr>
          <w:rFonts w:ascii="Arial" w:eastAsia="宋体" w:hAnsi="Arial" w:cs="Arial"/>
          <w:color w:val="000000"/>
          <w:sz w:val="17"/>
          <w:szCs w:val="17"/>
        </w:rPr>
        <w:t>There have not been any changes in our internal control over financial reporting during our most recent fiscal quarter that have materially affected, or are reasonably likely to materially affect, our internal control over financ</w:t>
      </w:r>
      <w:r>
        <w:rPr>
          <w:rFonts w:ascii="Arial" w:eastAsia="宋体" w:hAnsi="Arial" w:cs="Arial"/>
          <w:color w:val="000000"/>
          <w:sz w:val="17"/>
          <w:szCs w:val="17"/>
        </w:rPr>
        <w:t>ial reporting.</w:t>
      </w:r>
    </w:p>
    <w:p w14:paraId="2470E0F1" w14:textId="77777777" w:rsidR="009C6E2F" w:rsidRDefault="007972BE">
      <w:pPr>
        <w:spacing w:before="120" w:after="120"/>
      </w:pPr>
      <w:r>
        <w:rPr>
          <w:rFonts w:ascii="Arial" w:eastAsia="宋体" w:hAnsi="Arial" w:cs="Arial"/>
          <w:color w:val="E87722"/>
          <w:sz w:val="17"/>
          <w:szCs w:val="17"/>
        </w:rPr>
        <w:t>44</w:t>
      </w:r>
      <w:r>
        <w:rPr>
          <w:rFonts w:ascii="sans-serif" w:eastAsia="sans-serif" w:hAnsi="sans-serif" w:cs="sans-serif"/>
          <w:color w:val="000000"/>
          <w:sz w:val="17"/>
          <w:szCs w:val="17"/>
        </w:rPr>
        <w:t xml:space="preserve"> </w:t>
      </w:r>
    </w:p>
    <w:p w14:paraId="2470E0F2" w14:textId="77777777" w:rsidR="009C6E2F" w:rsidRDefault="007972BE">
      <w:r>
        <w:pict w14:anchorId="2470E211">
          <v:rect id="_x0000_i1070" style="width:415.3pt;height:1.5pt" o:hralign="center" o:hrstd="t" o:hr="t" fillcolor="#a0a0a0" stroked="f"/>
        </w:pict>
      </w:r>
    </w:p>
    <w:p w14:paraId="2470E0F3" w14:textId="77777777" w:rsidR="009C6E2F" w:rsidRDefault="009C6E2F"/>
    <w:p w14:paraId="2470E0F4" w14:textId="77777777" w:rsidR="009C6E2F" w:rsidRDefault="007972BE">
      <w:hyperlink r:id="rId112" w:anchor="i9e023a7388204bdbacd6aa338988f838_7" w:history="1">
        <w:r>
          <w:rPr>
            <w:rStyle w:val="a5"/>
            <w:rFonts w:ascii="sans-serif" w:eastAsia="sans-serif" w:hAnsi="sans-serif" w:cs="sans-serif"/>
            <w:sz w:val="17"/>
            <w:szCs w:val="17"/>
          </w:rPr>
          <w:t>Table of Contents</w:t>
        </w:r>
      </w:hyperlink>
    </w:p>
    <w:p w14:paraId="2470E0F5" w14:textId="77777777" w:rsidR="009C6E2F" w:rsidRDefault="009C6E2F"/>
    <w:p w14:paraId="2470E0F6" w14:textId="77777777" w:rsidR="009C6E2F" w:rsidRDefault="007972BE">
      <w:pPr>
        <w:spacing w:before="360" w:after="180"/>
      </w:pPr>
      <w:r>
        <w:rPr>
          <w:rFonts w:ascii="sans-serif" w:eastAsia="sans-serif" w:hAnsi="sans-serif" w:cs="sans-serif"/>
          <w:color w:val="000000"/>
          <w:sz w:val="44"/>
          <w:szCs w:val="44"/>
        </w:rPr>
        <w:t>SPECIAL NOTE REGARDING FORWARD-LOOKING STATEMENTS AND ANALYST R</w:t>
      </w:r>
      <w:r>
        <w:rPr>
          <w:rFonts w:ascii="sans-serif" w:eastAsia="sans-serif" w:hAnsi="sans-serif" w:cs="sans-serif"/>
          <w:color w:val="000000"/>
          <w:sz w:val="44"/>
          <w:szCs w:val="44"/>
        </w:rPr>
        <w:t>EPORTS</w:t>
      </w:r>
    </w:p>
    <w:p w14:paraId="2470E0F7" w14:textId="77777777" w:rsidR="009C6E2F" w:rsidRDefault="007972BE">
      <w:pPr>
        <w:spacing w:before="120" w:after="120"/>
      </w:pPr>
      <w:r>
        <w:rPr>
          <w:rFonts w:ascii="Arial" w:eastAsia="宋体" w:hAnsi="Arial" w:cs="Arial"/>
          <w:color w:val="000000"/>
          <w:sz w:val="17"/>
          <w:szCs w:val="17"/>
        </w:rPr>
        <w:t>Certain written and oral statements, other than purely historic information, including estimates, projections, statements relating to NIKE’s business plans, objectives and expected operating results and the assumptions upon which those statements ar</w:t>
      </w:r>
      <w:r>
        <w:rPr>
          <w:rFonts w:ascii="Arial" w:eastAsia="宋体" w:hAnsi="Arial" w:cs="Arial"/>
          <w:color w:val="000000"/>
          <w:sz w:val="17"/>
          <w:szCs w:val="17"/>
        </w:rPr>
        <w:t>e based, made or incorporated by reference from time to time by NIKE or its representatives in this report, other reports, filings with the SEC, press releases, conferences or otherwise, are “forward-looking statements” within the meaning of the Private Se</w:t>
      </w:r>
      <w:r>
        <w:rPr>
          <w:rFonts w:ascii="Arial" w:eastAsia="宋体" w:hAnsi="Arial" w:cs="Arial"/>
          <w:color w:val="000000"/>
          <w:sz w:val="17"/>
          <w:szCs w:val="17"/>
        </w:rPr>
        <w:t>curities Litigation Reform Act of 1995 and Section 21E of the Securities Exchange Act of 1934, as amended. Forward-looking statements include, without limitation, any statement that may predict, forecast, indicate or imply future results, performance or ac</w:t>
      </w:r>
      <w:r>
        <w:rPr>
          <w:rFonts w:ascii="Arial" w:eastAsia="宋体" w:hAnsi="Arial" w:cs="Arial"/>
          <w:color w:val="000000"/>
          <w:sz w:val="17"/>
          <w:szCs w:val="17"/>
        </w:rPr>
        <w:t>hievements, and may contain the words “believe,” “anticipate,” “expect,” “estimate,” “project,” “will be,” “will continue,” “will likely result” or words or phrases of similar meaning. Forward-looking statements involve risks and uncertainties which may ca</w:t>
      </w:r>
      <w:r>
        <w:rPr>
          <w:rFonts w:ascii="Arial" w:eastAsia="宋体" w:hAnsi="Arial" w:cs="Arial"/>
          <w:color w:val="000000"/>
          <w:sz w:val="17"/>
          <w:szCs w:val="17"/>
        </w:rPr>
        <w:t>use actual results to differ materially from the forward-looking statements. The risks and uncertainties are detailed from time to time in reports filed by NIKE with the SEC, including reports filed on Forms 8-K, 10-Q and 10-K, and include, among others, t</w:t>
      </w:r>
      <w:r>
        <w:rPr>
          <w:rFonts w:ascii="Arial" w:eastAsia="宋体" w:hAnsi="Arial" w:cs="Arial"/>
          <w:color w:val="000000"/>
          <w:sz w:val="17"/>
          <w:szCs w:val="17"/>
        </w:rPr>
        <w:t>he following: health epidemics, pandemics and similar outbreaks, including the COVID-19 pandemic; international, national and local political, civil, economic and market conditions; the size and growth of the overall athletic footwear, apparel and equipmen</w:t>
      </w:r>
      <w:r>
        <w:rPr>
          <w:rFonts w:ascii="Arial" w:eastAsia="宋体" w:hAnsi="Arial" w:cs="Arial"/>
          <w:color w:val="000000"/>
          <w:sz w:val="17"/>
          <w:szCs w:val="17"/>
        </w:rPr>
        <w:t xml:space="preserve">t markets; intense competition among designers, marketers, distributors and sellers of athletic footwear, apparel and equipment for consumers and endorsers; demographic changes; changes in consumer preferences; popularity of particular designs, categories </w:t>
      </w:r>
      <w:r>
        <w:rPr>
          <w:rFonts w:ascii="Arial" w:eastAsia="宋体" w:hAnsi="Arial" w:cs="Arial"/>
          <w:color w:val="000000"/>
          <w:sz w:val="17"/>
          <w:szCs w:val="17"/>
        </w:rPr>
        <w:t>of products and sports; seasonal and geographic demand for NIKE products; difficulties in anticipating or forecasting changes in consumer preferences, consumer demand for NIKE products and the various market factors described above; difficulties in impleme</w:t>
      </w:r>
      <w:r>
        <w:rPr>
          <w:rFonts w:ascii="Arial" w:eastAsia="宋体" w:hAnsi="Arial" w:cs="Arial"/>
          <w:color w:val="000000"/>
          <w:sz w:val="17"/>
          <w:szCs w:val="17"/>
        </w:rPr>
        <w:t>nting, operating and maintaining NIKE’s increasingly complex information technology systems and controls, including, without limitation, the systems related to demand and supply planning and inventory control; interruptions in data and information technolo</w:t>
      </w:r>
      <w:r>
        <w:rPr>
          <w:rFonts w:ascii="Arial" w:eastAsia="宋体" w:hAnsi="Arial" w:cs="Arial"/>
          <w:color w:val="000000"/>
          <w:sz w:val="17"/>
          <w:szCs w:val="17"/>
        </w:rPr>
        <w:t>gy systems; consumer data security; fluctuations and difficulty in forecasting operating results, including, without limitation, the fact that advance orders may not be indicative of future revenues due to changes in shipment timing, the changing mix of or</w:t>
      </w:r>
      <w:r>
        <w:rPr>
          <w:rFonts w:ascii="Arial" w:eastAsia="宋体" w:hAnsi="Arial" w:cs="Arial"/>
          <w:color w:val="000000"/>
          <w:sz w:val="17"/>
          <w:szCs w:val="17"/>
        </w:rPr>
        <w:t>ders with shorter lead times, and discounts, order cancellations and returns; the ability of NIKE to sustain, manage or forecast its growth and inventories; the size, timing and mix of purchases of NIKE’s products; increases in the cost of materials, labor</w:t>
      </w:r>
      <w:r>
        <w:rPr>
          <w:rFonts w:ascii="Arial" w:eastAsia="宋体" w:hAnsi="Arial" w:cs="Arial"/>
          <w:color w:val="000000"/>
          <w:sz w:val="17"/>
          <w:szCs w:val="17"/>
        </w:rPr>
        <w:t xml:space="preserve"> and energy used to manufacture products; new product development and introduction; the ability to secure and protect trademarks, patents and other intellectual property; product performance and quality; customer service; adverse publicity, including witho</w:t>
      </w:r>
      <w:r>
        <w:rPr>
          <w:rFonts w:ascii="Arial" w:eastAsia="宋体" w:hAnsi="Arial" w:cs="Arial"/>
          <w:color w:val="000000"/>
          <w:sz w:val="17"/>
          <w:szCs w:val="17"/>
        </w:rPr>
        <w:t xml:space="preserve">ut limitation, through social media or in connection with brand damaging events; the loss of significant customers or suppliers; dependence on distributors and licensees; business disruptions; increased costs of freight and transportation to meet delivery </w:t>
      </w:r>
      <w:r>
        <w:rPr>
          <w:rFonts w:ascii="Arial" w:eastAsia="宋体" w:hAnsi="Arial" w:cs="Arial"/>
          <w:color w:val="000000"/>
          <w:sz w:val="17"/>
          <w:szCs w:val="17"/>
        </w:rPr>
        <w:t>deadlines; increases in borrowing costs due to any decline in NIKE’s debt ratings; changes in business strategy or development plans; general risks associated with doing business outside of the United States, including, without limitation, exchange rate fl</w:t>
      </w:r>
      <w:r>
        <w:rPr>
          <w:rFonts w:ascii="Arial" w:eastAsia="宋体" w:hAnsi="Arial" w:cs="Arial"/>
          <w:color w:val="000000"/>
          <w:sz w:val="17"/>
          <w:szCs w:val="17"/>
        </w:rPr>
        <w:t>uctuations, inflation, import duties, tariffs, quotas, political and economic instability and terrorism; the potential impact of new laws, regulations or policy, including, without limitation, tariffs, import/export, trade and immigration regulations or po</w:t>
      </w:r>
      <w:r>
        <w:rPr>
          <w:rFonts w:ascii="Arial" w:eastAsia="宋体" w:hAnsi="Arial" w:cs="Arial"/>
          <w:color w:val="000000"/>
          <w:sz w:val="17"/>
          <w:szCs w:val="17"/>
        </w:rPr>
        <w:t>licies; changes in government regulations; the impact of, including business and legal developments relating to, climate change and natural disasters; our ability to execute on our sustainability strategy and achieve our sustainability-related goals and ta</w:t>
      </w:r>
      <w:r>
        <w:rPr>
          <w:rFonts w:ascii="Arial" w:eastAsia="宋体" w:hAnsi="Arial" w:cs="Arial"/>
          <w:color w:val="000000"/>
          <w:sz w:val="17"/>
          <w:szCs w:val="17"/>
        </w:rPr>
        <w:t>rgets, including sustainable product offerings; litigation, regulatory proceedings, sanctions or any other claims asserted against NIKE; the ability to attract and retain qualified employees, and any negative public perception with respect to key personnel</w:t>
      </w:r>
      <w:r>
        <w:rPr>
          <w:rFonts w:ascii="Arial" w:eastAsia="宋体" w:hAnsi="Arial" w:cs="Arial"/>
          <w:color w:val="000000"/>
          <w:sz w:val="17"/>
          <w:szCs w:val="17"/>
        </w:rPr>
        <w:t xml:space="preserve"> or our corporate culture, values or purpose; the effects of NIKE’s decision to invest in or divest of businesses and other factors referenced or incorporated by reference in this report and other reports.</w:t>
      </w:r>
    </w:p>
    <w:p w14:paraId="2470E0F8" w14:textId="77777777" w:rsidR="009C6E2F" w:rsidRDefault="007972BE">
      <w:pPr>
        <w:spacing w:before="120" w:after="120"/>
        <w:jc w:val="right"/>
      </w:pPr>
      <w:r>
        <w:rPr>
          <w:rFonts w:ascii="Arial" w:eastAsia="宋体" w:hAnsi="Arial" w:cs="Arial"/>
          <w:color w:val="E87722"/>
          <w:sz w:val="17"/>
          <w:szCs w:val="17"/>
        </w:rPr>
        <w:t>45</w:t>
      </w:r>
    </w:p>
    <w:p w14:paraId="2470E0F9" w14:textId="77777777" w:rsidR="009C6E2F" w:rsidRDefault="007972BE">
      <w:r>
        <w:pict w14:anchorId="2470E212">
          <v:rect id="_x0000_i1071" style="width:415.3pt;height:1.5pt" o:hralign="center" o:hrstd="t" o:hr="t" fillcolor="#a0a0a0" stroked="f"/>
        </w:pict>
      </w:r>
    </w:p>
    <w:p w14:paraId="2470E0FA" w14:textId="77777777" w:rsidR="009C6E2F" w:rsidRDefault="009C6E2F"/>
    <w:p w14:paraId="2470E0FB" w14:textId="77777777" w:rsidR="009C6E2F" w:rsidRDefault="007972BE">
      <w:hyperlink r:id="rId113" w:anchor="i9e023a7388204bdbacd6aa338988f838_7" w:history="1">
        <w:r>
          <w:rPr>
            <w:rStyle w:val="a5"/>
            <w:rFonts w:ascii="sans-serif" w:eastAsia="sans-serif" w:hAnsi="sans-serif" w:cs="sans-serif"/>
            <w:sz w:val="17"/>
            <w:szCs w:val="17"/>
          </w:rPr>
          <w:t>Table of Contents</w:t>
        </w:r>
      </w:hyperlink>
    </w:p>
    <w:p w14:paraId="2470E0FC" w14:textId="77777777" w:rsidR="009C6E2F" w:rsidRDefault="009C6E2F"/>
    <w:p w14:paraId="2470E0FD" w14:textId="77777777" w:rsidR="009C6E2F" w:rsidRDefault="007972BE">
      <w:pPr>
        <w:spacing w:after="420"/>
      </w:pPr>
      <w:r>
        <w:rPr>
          <w:rFonts w:ascii="sans-serif" w:eastAsia="sans-serif" w:hAnsi="sans-serif" w:cs="sans-serif"/>
          <w:color w:val="E87722"/>
          <w:sz w:val="68"/>
          <w:szCs w:val="68"/>
        </w:rPr>
        <w:t>PART II - OTHER INFORMATION</w:t>
      </w:r>
    </w:p>
    <w:p w14:paraId="2470E0FE" w14:textId="77777777" w:rsidR="009C6E2F" w:rsidRDefault="007972BE">
      <w:pPr>
        <w:spacing w:before="360" w:after="180"/>
      </w:pPr>
      <w:r>
        <w:rPr>
          <w:rFonts w:ascii="sans-serif" w:eastAsia="sans-serif" w:hAnsi="sans-serif" w:cs="sans-serif"/>
          <w:color w:val="000000"/>
          <w:sz w:val="44"/>
          <w:szCs w:val="44"/>
        </w:rPr>
        <w:t>ITEM 1. LEGAL PROCEEDINGS</w:t>
      </w:r>
    </w:p>
    <w:p w14:paraId="2470E0FF" w14:textId="77777777" w:rsidR="009C6E2F" w:rsidRDefault="007972BE">
      <w:pPr>
        <w:spacing w:before="120" w:after="120"/>
      </w:pPr>
      <w:r>
        <w:rPr>
          <w:rFonts w:ascii="Arial" w:eastAsia="宋体" w:hAnsi="Arial" w:cs="Arial"/>
          <w:color w:val="000000"/>
          <w:sz w:val="17"/>
          <w:szCs w:val="17"/>
        </w:rPr>
        <w:t xml:space="preserve">There have been no material developments with respect to the </w:t>
      </w:r>
      <w:r>
        <w:rPr>
          <w:rFonts w:ascii="Arial" w:eastAsia="宋体" w:hAnsi="Arial" w:cs="Arial"/>
          <w:color w:val="000000"/>
          <w:sz w:val="17"/>
          <w:szCs w:val="17"/>
        </w:rPr>
        <w:t>information previously reported under Part I, Item 3 of our Annual Report on Form 10-K for the fiscal year ended May 31, 2021.</w:t>
      </w:r>
    </w:p>
    <w:p w14:paraId="2470E100" w14:textId="77777777" w:rsidR="009C6E2F" w:rsidRDefault="007972BE">
      <w:pPr>
        <w:spacing w:before="360" w:after="180"/>
      </w:pPr>
      <w:r>
        <w:rPr>
          <w:rFonts w:ascii="sans-serif" w:eastAsia="sans-serif" w:hAnsi="sans-serif" w:cs="sans-serif"/>
          <w:color w:val="000000"/>
          <w:sz w:val="44"/>
          <w:szCs w:val="44"/>
        </w:rPr>
        <w:t>ITEM 1A. RISK FACTORS</w:t>
      </w:r>
    </w:p>
    <w:p w14:paraId="2470E101" w14:textId="77777777" w:rsidR="009C6E2F" w:rsidRDefault="007972BE">
      <w:pPr>
        <w:spacing w:before="120" w:after="120"/>
      </w:pPr>
      <w:r>
        <w:rPr>
          <w:rFonts w:ascii="Arial" w:eastAsia="宋体" w:hAnsi="Arial" w:cs="Arial"/>
          <w:color w:val="000000"/>
          <w:sz w:val="17"/>
          <w:szCs w:val="17"/>
        </w:rPr>
        <w:t xml:space="preserve">There have been no material changes in our risk factors from those disclosed in Part I, Item 1A of our </w:t>
      </w:r>
      <w:r>
        <w:rPr>
          <w:rFonts w:ascii="Arial" w:eastAsia="宋体" w:hAnsi="Arial" w:cs="Arial"/>
          <w:color w:val="000000"/>
          <w:sz w:val="17"/>
          <w:szCs w:val="17"/>
        </w:rPr>
        <w:t>Annual Report on Form 10-K for the fiscal year ended May 31, 2021.</w:t>
      </w:r>
    </w:p>
    <w:p w14:paraId="2470E102" w14:textId="77777777" w:rsidR="009C6E2F" w:rsidRDefault="007972BE">
      <w:pPr>
        <w:spacing w:before="120" w:after="120"/>
      </w:pPr>
      <w:r>
        <w:rPr>
          <w:rFonts w:ascii="Arial" w:eastAsia="宋体" w:hAnsi="Arial" w:cs="Arial"/>
          <w:color w:val="E87722"/>
          <w:sz w:val="17"/>
          <w:szCs w:val="17"/>
        </w:rPr>
        <w:t>46</w:t>
      </w:r>
      <w:r>
        <w:rPr>
          <w:rFonts w:ascii="sans-serif" w:eastAsia="sans-serif" w:hAnsi="sans-serif" w:cs="sans-serif"/>
          <w:color w:val="000000"/>
          <w:sz w:val="17"/>
          <w:szCs w:val="17"/>
        </w:rPr>
        <w:t xml:space="preserve"> </w:t>
      </w:r>
    </w:p>
    <w:p w14:paraId="2470E103" w14:textId="77777777" w:rsidR="009C6E2F" w:rsidRDefault="007972BE">
      <w:r>
        <w:pict w14:anchorId="2470E213">
          <v:rect id="_x0000_i1072" style="width:415.3pt;height:1.5pt" o:hralign="center" o:hrstd="t" o:hr="t" fillcolor="#a0a0a0" stroked="f"/>
        </w:pict>
      </w:r>
    </w:p>
    <w:p w14:paraId="2470E104" w14:textId="77777777" w:rsidR="009C6E2F" w:rsidRDefault="009C6E2F"/>
    <w:p w14:paraId="2470E105" w14:textId="77777777" w:rsidR="009C6E2F" w:rsidRDefault="007972BE">
      <w:hyperlink r:id="rId114" w:anchor="i9e023a7388204bdbacd6aa338988f838_7" w:history="1">
        <w:r>
          <w:rPr>
            <w:rStyle w:val="a5"/>
            <w:rFonts w:ascii="sans-serif" w:eastAsia="sans-serif" w:hAnsi="sans-serif" w:cs="sans-serif"/>
            <w:sz w:val="17"/>
            <w:szCs w:val="17"/>
          </w:rPr>
          <w:t>Table of Contents</w:t>
        </w:r>
      </w:hyperlink>
    </w:p>
    <w:p w14:paraId="2470E106" w14:textId="77777777" w:rsidR="009C6E2F" w:rsidRDefault="009C6E2F"/>
    <w:p w14:paraId="2470E107" w14:textId="77777777" w:rsidR="009C6E2F" w:rsidRDefault="007972BE">
      <w:pPr>
        <w:spacing w:before="360" w:after="180"/>
      </w:pPr>
      <w:r>
        <w:rPr>
          <w:rFonts w:ascii="sans-serif" w:eastAsia="sans-serif" w:hAnsi="sans-serif" w:cs="sans-serif"/>
          <w:color w:val="000000"/>
          <w:sz w:val="44"/>
          <w:szCs w:val="44"/>
        </w:rPr>
        <w:t>ITEM 2. UNR</w:t>
      </w:r>
      <w:r>
        <w:rPr>
          <w:rFonts w:ascii="sans-serif" w:eastAsia="sans-serif" w:hAnsi="sans-serif" w:cs="sans-serif"/>
          <w:color w:val="000000"/>
          <w:sz w:val="44"/>
          <w:szCs w:val="44"/>
        </w:rPr>
        <w:t>EGISTERED SALES OF EQUITY SECURITIES AND USE OF PROCEEDS</w:t>
      </w:r>
    </w:p>
    <w:p w14:paraId="2470E108" w14:textId="77777777" w:rsidR="009C6E2F" w:rsidRDefault="007972BE">
      <w:pPr>
        <w:spacing w:before="120" w:after="120"/>
      </w:pPr>
      <w:r>
        <w:rPr>
          <w:rFonts w:ascii="Arial" w:eastAsia="宋体" w:hAnsi="Arial" w:cs="Arial"/>
          <w:color w:val="000000"/>
          <w:sz w:val="17"/>
          <w:szCs w:val="17"/>
        </w:rPr>
        <w:t>In June 2018, the Board of Directors approved a four-year, $15 billion share repurchase program. As of November 30, 2021, the Company had repurchased 60.8 million shares at an average price of $104.8</w:t>
      </w:r>
      <w:r>
        <w:rPr>
          <w:rFonts w:ascii="Arial" w:eastAsia="宋体" w:hAnsi="Arial" w:cs="Arial"/>
          <w:color w:val="000000"/>
          <w:sz w:val="17"/>
          <w:szCs w:val="17"/>
        </w:rPr>
        <w:t xml:space="preserve">9 per share for a total approximate cost of $6.4 billion under this program. </w:t>
      </w:r>
    </w:p>
    <w:p w14:paraId="2470E109" w14:textId="77777777" w:rsidR="009C6E2F" w:rsidRDefault="007972BE">
      <w:pPr>
        <w:spacing w:before="120" w:after="120"/>
      </w:pPr>
      <w:r>
        <w:rPr>
          <w:rFonts w:ascii="Arial" w:eastAsia="宋体" w:hAnsi="Arial" w:cs="Arial"/>
          <w:color w:val="000000"/>
          <w:sz w:val="17"/>
          <w:szCs w:val="17"/>
        </w:rPr>
        <w:t xml:space="preserve">All share repurchases were made under NIKE's publicly announced program, and there are no other programs under which the Company repurchases shares. The following table presents </w:t>
      </w:r>
      <w:r>
        <w:rPr>
          <w:rFonts w:ascii="Arial" w:eastAsia="宋体" w:hAnsi="Arial" w:cs="Arial"/>
          <w:color w:val="000000"/>
          <w:sz w:val="17"/>
          <w:szCs w:val="17"/>
        </w:rPr>
        <w:t xml:space="preserve">a summary of share repurchases made during the quarter ended November 30, 2021: </w:t>
      </w:r>
    </w:p>
    <w:tbl>
      <w:tblPr>
        <w:tblW w:w="4977" w:type="pct"/>
        <w:tblCellMar>
          <w:top w:w="15" w:type="dxa"/>
          <w:left w:w="15" w:type="dxa"/>
          <w:bottom w:w="15" w:type="dxa"/>
          <w:right w:w="15" w:type="dxa"/>
        </w:tblCellMar>
        <w:tblLook w:val="04A0" w:firstRow="1" w:lastRow="0" w:firstColumn="1" w:lastColumn="0" w:noHBand="0" w:noVBand="1"/>
      </w:tblPr>
      <w:tblGrid>
        <w:gridCol w:w="54"/>
        <w:gridCol w:w="3635"/>
        <w:gridCol w:w="36"/>
        <w:gridCol w:w="55"/>
        <w:gridCol w:w="1268"/>
        <w:gridCol w:w="36"/>
        <w:gridCol w:w="115"/>
        <w:gridCol w:w="1269"/>
        <w:gridCol w:w="36"/>
        <w:gridCol w:w="116"/>
        <w:gridCol w:w="1642"/>
        <w:gridCol w:w="36"/>
      </w:tblGrid>
      <w:tr w:rsidR="009C6E2F" w14:paraId="2470E116" w14:textId="77777777">
        <w:tc>
          <w:tcPr>
            <w:tcW w:w="50" w:type="pct"/>
            <w:shd w:val="clear" w:color="auto" w:fill="auto"/>
            <w:vAlign w:val="bottom"/>
          </w:tcPr>
          <w:p w14:paraId="2470E10A" w14:textId="77777777" w:rsidR="009C6E2F" w:rsidRDefault="009C6E2F">
            <w:pPr>
              <w:rPr>
                <w:rFonts w:ascii="宋体"/>
              </w:rPr>
            </w:pPr>
          </w:p>
        </w:tc>
        <w:tc>
          <w:tcPr>
            <w:tcW w:w="2208" w:type="pct"/>
            <w:shd w:val="clear" w:color="auto" w:fill="auto"/>
            <w:vAlign w:val="bottom"/>
          </w:tcPr>
          <w:p w14:paraId="2470E10B" w14:textId="77777777" w:rsidR="009C6E2F" w:rsidRDefault="009C6E2F">
            <w:pPr>
              <w:rPr>
                <w:rFonts w:ascii="宋体"/>
              </w:rPr>
            </w:pPr>
          </w:p>
        </w:tc>
        <w:tc>
          <w:tcPr>
            <w:tcW w:w="5" w:type="pct"/>
            <w:shd w:val="clear" w:color="auto" w:fill="auto"/>
            <w:vAlign w:val="bottom"/>
          </w:tcPr>
          <w:p w14:paraId="2470E10C" w14:textId="77777777" w:rsidR="009C6E2F" w:rsidRDefault="009C6E2F">
            <w:pPr>
              <w:rPr>
                <w:rFonts w:ascii="宋体"/>
              </w:rPr>
            </w:pPr>
          </w:p>
        </w:tc>
        <w:tc>
          <w:tcPr>
            <w:tcW w:w="50" w:type="pct"/>
            <w:shd w:val="clear" w:color="auto" w:fill="auto"/>
            <w:vAlign w:val="bottom"/>
          </w:tcPr>
          <w:p w14:paraId="2470E10D" w14:textId="77777777" w:rsidR="009C6E2F" w:rsidRDefault="009C6E2F">
            <w:pPr>
              <w:rPr>
                <w:rFonts w:ascii="宋体"/>
              </w:rPr>
            </w:pPr>
          </w:p>
        </w:tc>
        <w:tc>
          <w:tcPr>
            <w:tcW w:w="782" w:type="pct"/>
            <w:shd w:val="clear" w:color="auto" w:fill="auto"/>
            <w:vAlign w:val="bottom"/>
          </w:tcPr>
          <w:p w14:paraId="2470E10E" w14:textId="77777777" w:rsidR="009C6E2F" w:rsidRDefault="009C6E2F">
            <w:pPr>
              <w:rPr>
                <w:rFonts w:ascii="宋体"/>
              </w:rPr>
            </w:pPr>
          </w:p>
        </w:tc>
        <w:tc>
          <w:tcPr>
            <w:tcW w:w="5" w:type="pct"/>
            <w:shd w:val="clear" w:color="auto" w:fill="auto"/>
            <w:vAlign w:val="bottom"/>
          </w:tcPr>
          <w:p w14:paraId="2470E10F" w14:textId="77777777" w:rsidR="009C6E2F" w:rsidRDefault="009C6E2F">
            <w:pPr>
              <w:rPr>
                <w:rFonts w:ascii="宋体"/>
              </w:rPr>
            </w:pPr>
          </w:p>
        </w:tc>
        <w:tc>
          <w:tcPr>
            <w:tcW w:w="50" w:type="pct"/>
            <w:shd w:val="clear" w:color="auto" w:fill="auto"/>
            <w:vAlign w:val="bottom"/>
          </w:tcPr>
          <w:p w14:paraId="2470E110" w14:textId="77777777" w:rsidR="009C6E2F" w:rsidRDefault="009C6E2F">
            <w:pPr>
              <w:rPr>
                <w:rFonts w:ascii="宋体"/>
              </w:rPr>
            </w:pPr>
          </w:p>
        </w:tc>
        <w:tc>
          <w:tcPr>
            <w:tcW w:w="782" w:type="pct"/>
            <w:shd w:val="clear" w:color="auto" w:fill="auto"/>
            <w:vAlign w:val="bottom"/>
          </w:tcPr>
          <w:p w14:paraId="2470E111" w14:textId="77777777" w:rsidR="009C6E2F" w:rsidRDefault="009C6E2F">
            <w:pPr>
              <w:rPr>
                <w:rFonts w:ascii="宋体"/>
              </w:rPr>
            </w:pPr>
          </w:p>
        </w:tc>
        <w:tc>
          <w:tcPr>
            <w:tcW w:w="5" w:type="pct"/>
            <w:shd w:val="clear" w:color="auto" w:fill="auto"/>
            <w:vAlign w:val="bottom"/>
          </w:tcPr>
          <w:p w14:paraId="2470E112" w14:textId="77777777" w:rsidR="009C6E2F" w:rsidRDefault="009C6E2F">
            <w:pPr>
              <w:rPr>
                <w:rFonts w:ascii="宋体"/>
              </w:rPr>
            </w:pPr>
          </w:p>
        </w:tc>
        <w:tc>
          <w:tcPr>
            <w:tcW w:w="50" w:type="pct"/>
            <w:shd w:val="clear" w:color="auto" w:fill="auto"/>
            <w:vAlign w:val="bottom"/>
          </w:tcPr>
          <w:p w14:paraId="2470E113" w14:textId="77777777" w:rsidR="009C6E2F" w:rsidRDefault="009C6E2F">
            <w:pPr>
              <w:rPr>
                <w:rFonts w:ascii="宋体"/>
              </w:rPr>
            </w:pPr>
          </w:p>
        </w:tc>
        <w:tc>
          <w:tcPr>
            <w:tcW w:w="1007" w:type="pct"/>
            <w:shd w:val="clear" w:color="auto" w:fill="auto"/>
            <w:vAlign w:val="bottom"/>
          </w:tcPr>
          <w:p w14:paraId="2470E114" w14:textId="77777777" w:rsidR="009C6E2F" w:rsidRDefault="009C6E2F">
            <w:pPr>
              <w:rPr>
                <w:rFonts w:ascii="宋体"/>
              </w:rPr>
            </w:pPr>
          </w:p>
        </w:tc>
        <w:tc>
          <w:tcPr>
            <w:tcW w:w="5" w:type="pct"/>
            <w:shd w:val="clear" w:color="auto" w:fill="auto"/>
            <w:vAlign w:val="bottom"/>
          </w:tcPr>
          <w:p w14:paraId="2470E115" w14:textId="77777777" w:rsidR="009C6E2F" w:rsidRDefault="009C6E2F">
            <w:pPr>
              <w:rPr>
                <w:rFonts w:ascii="宋体"/>
              </w:rPr>
            </w:pPr>
          </w:p>
        </w:tc>
      </w:tr>
      <w:tr w:rsidR="009C6E2F" w14:paraId="2470E11B" w14:textId="77777777">
        <w:tc>
          <w:tcPr>
            <w:tcW w:w="0" w:type="auto"/>
            <w:gridSpan w:val="3"/>
            <w:shd w:val="clear" w:color="auto" w:fill="auto"/>
            <w:tcMar>
              <w:top w:w="40" w:type="dxa"/>
              <w:left w:w="20" w:type="dxa"/>
              <w:bottom w:w="40" w:type="dxa"/>
              <w:right w:w="20" w:type="dxa"/>
            </w:tcMar>
            <w:vAlign w:val="bottom"/>
          </w:tcPr>
          <w:p w14:paraId="2470E117" w14:textId="77777777" w:rsidR="009C6E2F" w:rsidRDefault="007972BE">
            <w:pPr>
              <w:textAlignment w:val="bottom"/>
            </w:pPr>
            <w:r>
              <w:rPr>
                <w:rFonts w:ascii="sans-serif" w:eastAsia="sans-serif" w:hAnsi="sans-serif" w:cs="sans-serif"/>
                <w:b/>
                <w:bCs/>
                <w:color w:val="000000"/>
                <w:sz w:val="17"/>
                <w:szCs w:val="17"/>
              </w:rPr>
              <w:t>PERIOD</w:t>
            </w:r>
          </w:p>
        </w:tc>
        <w:tc>
          <w:tcPr>
            <w:tcW w:w="0" w:type="auto"/>
            <w:gridSpan w:val="3"/>
            <w:shd w:val="clear" w:color="auto" w:fill="auto"/>
            <w:tcMar>
              <w:top w:w="40" w:type="dxa"/>
              <w:left w:w="20" w:type="dxa"/>
              <w:bottom w:w="40" w:type="dxa"/>
              <w:right w:w="20" w:type="dxa"/>
            </w:tcMar>
            <w:vAlign w:val="bottom"/>
          </w:tcPr>
          <w:p w14:paraId="2470E118" w14:textId="77777777" w:rsidR="009C6E2F" w:rsidRDefault="007972BE">
            <w:pPr>
              <w:jc w:val="right"/>
              <w:textAlignment w:val="bottom"/>
            </w:pPr>
            <w:r>
              <w:rPr>
                <w:rFonts w:ascii="sans-serif" w:eastAsia="sans-serif" w:hAnsi="sans-serif" w:cs="sans-serif"/>
                <w:b/>
                <w:bCs/>
                <w:color w:val="000000"/>
                <w:sz w:val="17"/>
                <w:szCs w:val="17"/>
              </w:rPr>
              <w:t>TOTAL NUMBER OF SHARES PURCHASED</w:t>
            </w:r>
          </w:p>
        </w:tc>
        <w:tc>
          <w:tcPr>
            <w:tcW w:w="0" w:type="auto"/>
            <w:gridSpan w:val="3"/>
            <w:shd w:val="clear" w:color="auto" w:fill="auto"/>
            <w:tcMar>
              <w:top w:w="40" w:type="dxa"/>
              <w:left w:w="20" w:type="dxa"/>
              <w:bottom w:w="40" w:type="dxa"/>
              <w:right w:w="20" w:type="dxa"/>
            </w:tcMar>
            <w:vAlign w:val="bottom"/>
          </w:tcPr>
          <w:p w14:paraId="2470E119" w14:textId="77777777" w:rsidR="009C6E2F" w:rsidRDefault="007972BE">
            <w:pPr>
              <w:jc w:val="right"/>
              <w:textAlignment w:val="bottom"/>
            </w:pPr>
            <w:r>
              <w:rPr>
                <w:rFonts w:ascii="sans-serif" w:eastAsia="sans-serif" w:hAnsi="sans-serif" w:cs="sans-serif"/>
                <w:b/>
                <w:bCs/>
                <w:color w:val="000000"/>
                <w:sz w:val="17"/>
                <w:szCs w:val="17"/>
              </w:rPr>
              <w:t xml:space="preserve">AVERAGE PRICE </w:t>
            </w:r>
            <w:r>
              <w:rPr>
                <w:rFonts w:ascii="sans-serif" w:eastAsia="sans-serif" w:hAnsi="sans-serif" w:cs="sans-serif"/>
                <w:b/>
                <w:bCs/>
                <w:color w:val="000000"/>
                <w:sz w:val="17"/>
                <w:szCs w:val="17"/>
              </w:rPr>
              <w:br/>
              <w:t>PAID PER SHARE</w:t>
            </w:r>
          </w:p>
        </w:tc>
        <w:tc>
          <w:tcPr>
            <w:tcW w:w="0" w:type="auto"/>
            <w:gridSpan w:val="3"/>
            <w:shd w:val="clear" w:color="auto" w:fill="auto"/>
            <w:tcMar>
              <w:top w:w="40" w:type="dxa"/>
              <w:left w:w="20" w:type="dxa"/>
              <w:bottom w:w="40" w:type="dxa"/>
              <w:right w:w="20" w:type="dxa"/>
            </w:tcMar>
            <w:vAlign w:val="bottom"/>
          </w:tcPr>
          <w:p w14:paraId="2470E11A" w14:textId="77777777" w:rsidR="009C6E2F" w:rsidRDefault="007972BE">
            <w:pPr>
              <w:jc w:val="right"/>
              <w:textAlignment w:val="bottom"/>
            </w:pPr>
            <w:r>
              <w:rPr>
                <w:rFonts w:ascii="sans-serif" w:eastAsia="sans-serif" w:hAnsi="sans-serif" w:cs="sans-serif"/>
                <w:b/>
                <w:bCs/>
                <w:color w:val="000000"/>
                <w:sz w:val="17"/>
                <w:szCs w:val="17"/>
              </w:rPr>
              <w:t xml:space="preserve">APPROXIMATE DOLLAR </w:t>
            </w:r>
            <w:r>
              <w:rPr>
                <w:rFonts w:ascii="sans-serif" w:eastAsia="sans-serif" w:hAnsi="sans-serif" w:cs="sans-serif"/>
                <w:b/>
                <w:bCs/>
                <w:color w:val="000000"/>
                <w:sz w:val="17"/>
                <w:szCs w:val="17"/>
              </w:rPr>
              <w:br/>
              <w:t xml:space="preserve">VALUE OF SHARES THAT </w:t>
            </w:r>
            <w:r>
              <w:rPr>
                <w:rFonts w:ascii="sans-serif" w:eastAsia="sans-serif" w:hAnsi="sans-serif" w:cs="sans-serif"/>
                <w:b/>
                <w:bCs/>
                <w:color w:val="000000"/>
                <w:sz w:val="17"/>
                <w:szCs w:val="17"/>
              </w:rPr>
              <w:br/>
              <w:t xml:space="preserve">MAY YET BE PURCHASED </w:t>
            </w:r>
            <w:r>
              <w:rPr>
                <w:rFonts w:ascii="sans-serif" w:eastAsia="sans-serif" w:hAnsi="sans-serif" w:cs="sans-serif"/>
                <w:b/>
                <w:bCs/>
                <w:color w:val="000000"/>
                <w:sz w:val="17"/>
                <w:szCs w:val="17"/>
              </w:rPr>
              <w:br/>
            </w:r>
            <w:r>
              <w:rPr>
                <w:rFonts w:ascii="sans-serif" w:eastAsia="sans-serif" w:hAnsi="sans-serif" w:cs="sans-serif"/>
                <w:b/>
                <w:bCs/>
                <w:color w:val="000000"/>
                <w:sz w:val="17"/>
                <w:szCs w:val="17"/>
              </w:rPr>
              <w:t xml:space="preserve">UNDER THE PLANS </w:t>
            </w:r>
            <w:r>
              <w:rPr>
                <w:rFonts w:ascii="sans-serif" w:eastAsia="sans-serif" w:hAnsi="sans-serif" w:cs="sans-serif"/>
                <w:b/>
                <w:bCs/>
                <w:color w:val="000000"/>
                <w:sz w:val="17"/>
                <w:szCs w:val="17"/>
              </w:rPr>
              <w:br/>
              <w:t xml:space="preserve">OR PROGRAMS </w:t>
            </w:r>
            <w:r>
              <w:rPr>
                <w:rFonts w:ascii="sans-serif" w:eastAsia="sans-serif" w:hAnsi="sans-serif" w:cs="sans-serif"/>
                <w:b/>
                <w:bCs/>
                <w:color w:val="000000"/>
                <w:sz w:val="17"/>
                <w:szCs w:val="17"/>
              </w:rPr>
              <w:br/>
              <w:t>(IN MILLIONS)</w:t>
            </w:r>
          </w:p>
        </w:tc>
      </w:tr>
      <w:tr w:rsidR="009C6E2F" w14:paraId="2470E124" w14:textId="77777777">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11C" w14:textId="77777777" w:rsidR="009C6E2F" w:rsidRDefault="007972BE">
            <w:pPr>
              <w:textAlignment w:val="bottom"/>
            </w:pPr>
            <w:r>
              <w:rPr>
                <w:rFonts w:ascii="Arial" w:eastAsia="宋体" w:hAnsi="Arial" w:cs="Arial"/>
                <w:color w:val="000000"/>
                <w:sz w:val="17"/>
                <w:szCs w:val="17"/>
              </w:rPr>
              <w:t>September 1 — September 30, 2021</w:t>
            </w:r>
          </w:p>
        </w:tc>
        <w:tc>
          <w:tcPr>
            <w:tcW w:w="0" w:type="auto"/>
            <w:gridSpan w:val="3"/>
            <w:tcBorders>
              <w:top w:val="single" w:sz="8" w:space="0" w:color="E87722"/>
            </w:tcBorders>
            <w:shd w:val="clear" w:color="auto" w:fill="FFF1E7"/>
            <w:tcMar>
              <w:top w:w="40" w:type="dxa"/>
              <w:left w:w="20" w:type="dxa"/>
              <w:bottom w:w="40" w:type="dxa"/>
              <w:right w:w="20" w:type="dxa"/>
            </w:tcMar>
            <w:vAlign w:val="bottom"/>
          </w:tcPr>
          <w:p w14:paraId="2470E11D" w14:textId="77777777" w:rsidR="009C6E2F" w:rsidRDefault="007972BE">
            <w:pPr>
              <w:jc w:val="right"/>
              <w:textAlignment w:val="bottom"/>
            </w:pPr>
            <w:r>
              <w:rPr>
                <w:rFonts w:ascii="Arial" w:eastAsia="宋体" w:hAnsi="Arial" w:cs="Arial"/>
                <w:color w:val="000000"/>
                <w:sz w:val="17"/>
                <w:szCs w:val="17"/>
              </w:rPr>
              <w:t>2,145,173</w:t>
            </w:r>
          </w:p>
        </w:tc>
        <w:tc>
          <w:tcPr>
            <w:tcW w:w="0" w:type="auto"/>
            <w:tcBorders>
              <w:top w:val="single" w:sz="8" w:space="0" w:color="E87722"/>
            </w:tcBorders>
            <w:shd w:val="clear" w:color="auto" w:fill="FFF1E7"/>
            <w:tcMar>
              <w:top w:w="40" w:type="dxa"/>
              <w:left w:w="20" w:type="dxa"/>
              <w:bottom w:w="40" w:type="dxa"/>
              <w:right w:w="0" w:type="dxa"/>
            </w:tcMar>
            <w:vAlign w:val="bottom"/>
          </w:tcPr>
          <w:p w14:paraId="2470E11E"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E11F" w14:textId="77777777" w:rsidR="009C6E2F" w:rsidRDefault="007972BE">
            <w:pPr>
              <w:jc w:val="right"/>
              <w:textAlignment w:val="bottom"/>
            </w:pPr>
            <w:r>
              <w:rPr>
                <w:rFonts w:ascii="Arial" w:eastAsia="宋体" w:hAnsi="Arial" w:cs="Arial"/>
                <w:color w:val="000000"/>
                <w:sz w:val="17"/>
                <w:szCs w:val="17"/>
              </w:rPr>
              <w:t>156.78 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E120" w14:textId="77777777" w:rsidR="009C6E2F" w:rsidRDefault="009C6E2F">
            <w:pPr>
              <w:jc w:val="right"/>
              <w:rPr>
                <w:rFonts w:ascii="宋体"/>
              </w:rPr>
            </w:pPr>
          </w:p>
        </w:tc>
        <w:tc>
          <w:tcPr>
            <w:tcW w:w="0" w:type="auto"/>
            <w:tcBorders>
              <w:top w:val="single" w:sz="8" w:space="0" w:color="E87722"/>
            </w:tcBorders>
            <w:shd w:val="clear" w:color="auto" w:fill="FFF1E7"/>
            <w:tcMar>
              <w:top w:w="40" w:type="dxa"/>
              <w:left w:w="20" w:type="dxa"/>
              <w:bottom w:w="40" w:type="dxa"/>
              <w:right w:w="0" w:type="dxa"/>
            </w:tcMar>
            <w:vAlign w:val="bottom"/>
          </w:tcPr>
          <w:p w14:paraId="2470E121" w14:textId="77777777" w:rsidR="009C6E2F" w:rsidRDefault="007972BE">
            <w:pPr>
              <w:textAlignment w:val="bottom"/>
            </w:pPr>
            <w:r>
              <w:rPr>
                <w:rFonts w:ascii="Arial" w:eastAsia="宋体" w:hAnsi="Arial" w:cs="Arial"/>
                <w:color w:val="000000"/>
                <w:sz w:val="17"/>
                <w:szCs w:val="17"/>
              </w:rPr>
              <w:t>$</w:t>
            </w:r>
          </w:p>
        </w:tc>
        <w:tc>
          <w:tcPr>
            <w:tcW w:w="0" w:type="auto"/>
            <w:tcBorders>
              <w:top w:val="single" w:sz="8" w:space="0" w:color="E87722"/>
            </w:tcBorders>
            <w:shd w:val="clear" w:color="auto" w:fill="FFF1E7"/>
            <w:tcMar>
              <w:top w:w="40" w:type="dxa"/>
              <w:left w:w="0" w:type="dxa"/>
              <w:bottom w:w="40" w:type="dxa"/>
              <w:right w:w="0" w:type="dxa"/>
            </w:tcMar>
            <w:vAlign w:val="bottom"/>
          </w:tcPr>
          <w:p w14:paraId="2470E122" w14:textId="77777777" w:rsidR="009C6E2F" w:rsidRDefault="007972BE">
            <w:pPr>
              <w:jc w:val="right"/>
              <w:textAlignment w:val="bottom"/>
            </w:pPr>
            <w:r>
              <w:rPr>
                <w:rFonts w:ascii="Arial" w:eastAsia="宋体" w:hAnsi="Arial" w:cs="Arial"/>
                <w:color w:val="000000"/>
                <w:sz w:val="17"/>
                <w:szCs w:val="17"/>
              </w:rPr>
              <w:t>9,252 </w:t>
            </w:r>
          </w:p>
        </w:tc>
        <w:tc>
          <w:tcPr>
            <w:tcW w:w="0" w:type="auto"/>
            <w:tcBorders>
              <w:top w:val="single" w:sz="8" w:space="0" w:color="E87722"/>
            </w:tcBorders>
            <w:shd w:val="clear" w:color="auto" w:fill="FFF1E7"/>
            <w:tcMar>
              <w:top w:w="40" w:type="dxa"/>
              <w:left w:w="0" w:type="dxa"/>
              <w:bottom w:w="40" w:type="dxa"/>
              <w:right w:w="20" w:type="dxa"/>
            </w:tcMar>
            <w:vAlign w:val="bottom"/>
          </w:tcPr>
          <w:p w14:paraId="2470E123" w14:textId="77777777" w:rsidR="009C6E2F" w:rsidRDefault="009C6E2F">
            <w:pPr>
              <w:jc w:val="right"/>
              <w:rPr>
                <w:rFonts w:ascii="宋体"/>
              </w:rPr>
            </w:pPr>
          </w:p>
        </w:tc>
      </w:tr>
      <w:tr w:rsidR="009C6E2F" w14:paraId="2470E12D"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25" w14:textId="77777777" w:rsidR="009C6E2F" w:rsidRDefault="007972BE">
            <w:pPr>
              <w:textAlignment w:val="bottom"/>
            </w:pPr>
            <w:r>
              <w:rPr>
                <w:rFonts w:ascii="Arial" w:eastAsia="宋体" w:hAnsi="Arial" w:cs="Arial"/>
                <w:color w:val="000000"/>
                <w:sz w:val="17"/>
                <w:szCs w:val="17"/>
              </w:rPr>
              <w:t>October 1 — October 31, 2021</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470E126" w14:textId="77777777" w:rsidR="009C6E2F" w:rsidRDefault="007972BE">
            <w:pPr>
              <w:jc w:val="right"/>
              <w:textAlignment w:val="bottom"/>
            </w:pPr>
            <w:r>
              <w:rPr>
                <w:rFonts w:ascii="Arial" w:eastAsia="宋体" w:hAnsi="Arial" w:cs="Arial"/>
                <w:color w:val="000000"/>
                <w:sz w:val="17"/>
                <w:szCs w:val="17"/>
              </w:rPr>
              <w:t>2,054,002</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E127"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E128" w14:textId="77777777" w:rsidR="009C6E2F" w:rsidRDefault="007972BE">
            <w:pPr>
              <w:jc w:val="right"/>
              <w:textAlignment w:val="bottom"/>
            </w:pPr>
            <w:r>
              <w:rPr>
                <w:rFonts w:ascii="Arial" w:eastAsia="宋体" w:hAnsi="Arial" w:cs="Arial"/>
                <w:color w:val="000000"/>
                <w:sz w:val="17"/>
                <w:szCs w:val="17"/>
              </w:rPr>
              <w:t>156.20 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E129"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E12A"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E12B" w14:textId="77777777" w:rsidR="009C6E2F" w:rsidRDefault="007972BE">
            <w:pPr>
              <w:jc w:val="right"/>
              <w:textAlignment w:val="bottom"/>
            </w:pPr>
            <w:r>
              <w:rPr>
                <w:rFonts w:ascii="Arial" w:eastAsia="宋体" w:hAnsi="Arial" w:cs="Arial"/>
                <w:color w:val="000000"/>
                <w:sz w:val="17"/>
                <w:szCs w:val="17"/>
              </w:rPr>
              <w:t>8,932 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E12C" w14:textId="77777777" w:rsidR="009C6E2F" w:rsidRDefault="009C6E2F">
            <w:pPr>
              <w:jc w:val="right"/>
              <w:rPr>
                <w:rFonts w:ascii="宋体"/>
              </w:rPr>
            </w:pPr>
          </w:p>
        </w:tc>
      </w:tr>
      <w:tr w:rsidR="009C6E2F" w14:paraId="2470E136" w14:textId="77777777">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2E" w14:textId="77777777" w:rsidR="009C6E2F" w:rsidRDefault="007972BE">
            <w:pPr>
              <w:textAlignment w:val="bottom"/>
            </w:pPr>
            <w:r>
              <w:rPr>
                <w:rFonts w:ascii="Arial" w:eastAsia="宋体" w:hAnsi="Arial" w:cs="Arial"/>
                <w:color w:val="000000"/>
                <w:sz w:val="17"/>
                <w:szCs w:val="17"/>
              </w:rPr>
              <w:t>November 1 — November 30, 2021</w:t>
            </w:r>
          </w:p>
        </w:tc>
        <w:tc>
          <w:tcPr>
            <w:tcW w:w="0" w:type="auto"/>
            <w:gridSpan w:val="3"/>
            <w:tcBorders>
              <w:top w:val="single" w:sz="4" w:space="0" w:color="808080"/>
            </w:tcBorders>
            <w:shd w:val="clear" w:color="auto" w:fill="FFF1E7"/>
            <w:tcMar>
              <w:top w:w="40" w:type="dxa"/>
              <w:left w:w="20" w:type="dxa"/>
              <w:bottom w:w="40" w:type="dxa"/>
              <w:right w:w="20" w:type="dxa"/>
            </w:tcMar>
            <w:vAlign w:val="bottom"/>
          </w:tcPr>
          <w:p w14:paraId="2470E12F" w14:textId="77777777" w:rsidR="009C6E2F" w:rsidRDefault="007972BE">
            <w:pPr>
              <w:jc w:val="right"/>
              <w:textAlignment w:val="bottom"/>
            </w:pPr>
            <w:r>
              <w:rPr>
                <w:rFonts w:ascii="Arial" w:eastAsia="宋体" w:hAnsi="Arial" w:cs="Arial"/>
                <w:color w:val="000000"/>
                <w:sz w:val="17"/>
                <w:szCs w:val="17"/>
              </w:rPr>
              <w:t>1,814,713</w:t>
            </w:r>
          </w:p>
        </w:tc>
        <w:tc>
          <w:tcPr>
            <w:tcW w:w="0" w:type="auto"/>
            <w:tcBorders>
              <w:top w:val="single" w:sz="4" w:space="0" w:color="808080"/>
            </w:tcBorders>
            <w:shd w:val="clear" w:color="auto" w:fill="FFF1E7"/>
            <w:tcMar>
              <w:top w:w="40" w:type="dxa"/>
              <w:left w:w="20" w:type="dxa"/>
              <w:bottom w:w="40" w:type="dxa"/>
              <w:right w:w="0" w:type="dxa"/>
            </w:tcMar>
            <w:vAlign w:val="bottom"/>
          </w:tcPr>
          <w:p w14:paraId="2470E130"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E131" w14:textId="77777777" w:rsidR="009C6E2F" w:rsidRDefault="007972BE">
            <w:pPr>
              <w:jc w:val="right"/>
              <w:textAlignment w:val="bottom"/>
            </w:pPr>
            <w:r>
              <w:rPr>
                <w:rFonts w:ascii="Arial" w:eastAsia="宋体" w:hAnsi="Arial" w:cs="Arial"/>
                <w:color w:val="000000"/>
                <w:sz w:val="17"/>
                <w:szCs w:val="17"/>
              </w:rPr>
              <w:t>171.26 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E132" w14:textId="77777777" w:rsidR="009C6E2F" w:rsidRDefault="009C6E2F">
            <w:pPr>
              <w:jc w:val="right"/>
              <w:rPr>
                <w:rFonts w:ascii="宋体"/>
              </w:rPr>
            </w:pPr>
          </w:p>
        </w:tc>
        <w:tc>
          <w:tcPr>
            <w:tcW w:w="0" w:type="auto"/>
            <w:tcBorders>
              <w:top w:val="single" w:sz="4" w:space="0" w:color="808080"/>
            </w:tcBorders>
            <w:shd w:val="clear" w:color="auto" w:fill="FFF1E7"/>
            <w:tcMar>
              <w:top w:w="40" w:type="dxa"/>
              <w:left w:w="20" w:type="dxa"/>
              <w:bottom w:w="40" w:type="dxa"/>
              <w:right w:w="0" w:type="dxa"/>
            </w:tcMar>
            <w:vAlign w:val="bottom"/>
          </w:tcPr>
          <w:p w14:paraId="2470E133" w14:textId="77777777" w:rsidR="009C6E2F" w:rsidRDefault="007972BE">
            <w:pPr>
              <w:textAlignment w:val="bottom"/>
            </w:pPr>
            <w:r>
              <w:rPr>
                <w:rFonts w:ascii="Arial" w:eastAsia="宋体" w:hAnsi="Arial" w:cs="Arial"/>
                <w:color w:val="000000"/>
                <w:sz w:val="17"/>
                <w:szCs w:val="17"/>
              </w:rPr>
              <w:t>$</w:t>
            </w:r>
          </w:p>
        </w:tc>
        <w:tc>
          <w:tcPr>
            <w:tcW w:w="0" w:type="auto"/>
            <w:tcBorders>
              <w:top w:val="single" w:sz="4" w:space="0" w:color="808080"/>
            </w:tcBorders>
            <w:shd w:val="clear" w:color="auto" w:fill="FFF1E7"/>
            <w:tcMar>
              <w:top w:w="40" w:type="dxa"/>
              <w:left w:w="0" w:type="dxa"/>
              <w:bottom w:w="40" w:type="dxa"/>
              <w:right w:w="0" w:type="dxa"/>
            </w:tcMar>
            <w:vAlign w:val="bottom"/>
          </w:tcPr>
          <w:p w14:paraId="2470E134" w14:textId="77777777" w:rsidR="009C6E2F" w:rsidRDefault="007972BE">
            <w:pPr>
              <w:jc w:val="right"/>
              <w:textAlignment w:val="bottom"/>
            </w:pPr>
            <w:r>
              <w:rPr>
                <w:rFonts w:ascii="Arial" w:eastAsia="宋体" w:hAnsi="Arial" w:cs="Arial"/>
                <w:color w:val="000000"/>
                <w:sz w:val="17"/>
                <w:szCs w:val="17"/>
              </w:rPr>
              <w:t>8,621 </w:t>
            </w:r>
          </w:p>
        </w:tc>
        <w:tc>
          <w:tcPr>
            <w:tcW w:w="0" w:type="auto"/>
            <w:tcBorders>
              <w:top w:val="single" w:sz="4" w:space="0" w:color="808080"/>
            </w:tcBorders>
            <w:shd w:val="clear" w:color="auto" w:fill="FFF1E7"/>
            <w:tcMar>
              <w:top w:w="40" w:type="dxa"/>
              <w:left w:w="0" w:type="dxa"/>
              <w:bottom w:w="40" w:type="dxa"/>
              <w:right w:w="20" w:type="dxa"/>
            </w:tcMar>
            <w:vAlign w:val="bottom"/>
          </w:tcPr>
          <w:p w14:paraId="2470E135" w14:textId="77777777" w:rsidR="009C6E2F" w:rsidRDefault="009C6E2F">
            <w:pPr>
              <w:jc w:val="right"/>
              <w:rPr>
                <w:rFonts w:ascii="宋体"/>
              </w:rPr>
            </w:pPr>
          </w:p>
        </w:tc>
      </w:tr>
      <w:tr w:rsidR="009C6E2F" w14:paraId="2470E13D" w14:textId="77777777">
        <w:tc>
          <w:tcPr>
            <w:tcW w:w="0" w:type="auto"/>
            <w:gridSpan w:val="3"/>
            <w:tcBorders>
              <w:top w:val="single" w:sz="8" w:space="0" w:color="E87722"/>
              <w:bottom w:val="single" w:sz="8" w:space="0" w:color="E87722"/>
            </w:tcBorders>
            <w:shd w:val="clear" w:color="auto" w:fill="auto"/>
            <w:tcMar>
              <w:top w:w="0" w:type="dxa"/>
              <w:left w:w="20" w:type="dxa"/>
              <w:bottom w:w="0" w:type="dxa"/>
              <w:right w:w="20" w:type="dxa"/>
            </w:tcMar>
            <w:vAlign w:val="bottom"/>
          </w:tcPr>
          <w:p w14:paraId="2470E137" w14:textId="77777777" w:rsidR="009C6E2F" w:rsidRDefault="009C6E2F">
            <w:pPr>
              <w:rPr>
                <w:rFonts w:ascii="宋体"/>
              </w:rPr>
            </w:pPr>
          </w:p>
        </w:tc>
        <w:tc>
          <w:tcPr>
            <w:tcW w:w="0" w:type="auto"/>
            <w:gridSpan w:val="3"/>
            <w:tcBorders>
              <w:top w:val="single" w:sz="8" w:space="0" w:color="E87722"/>
              <w:bottom w:val="single" w:sz="8" w:space="0" w:color="E87722"/>
            </w:tcBorders>
            <w:shd w:val="clear" w:color="auto" w:fill="FFF1E7"/>
            <w:tcMar>
              <w:top w:w="40" w:type="dxa"/>
              <w:left w:w="20" w:type="dxa"/>
              <w:bottom w:w="40" w:type="dxa"/>
              <w:right w:w="20" w:type="dxa"/>
            </w:tcMar>
            <w:vAlign w:val="bottom"/>
          </w:tcPr>
          <w:p w14:paraId="2470E138" w14:textId="77777777" w:rsidR="009C6E2F" w:rsidRDefault="007972BE">
            <w:pPr>
              <w:jc w:val="right"/>
              <w:textAlignment w:val="bottom"/>
            </w:pPr>
            <w:r>
              <w:rPr>
                <w:rFonts w:ascii="Arial" w:eastAsia="宋体" w:hAnsi="Arial" w:cs="Arial"/>
                <w:b/>
                <w:bCs/>
                <w:color w:val="000000"/>
                <w:sz w:val="17"/>
                <w:szCs w:val="17"/>
              </w:rPr>
              <w:t>6,013,888</w:t>
            </w:r>
          </w:p>
        </w:tc>
        <w:tc>
          <w:tcPr>
            <w:tcW w:w="0" w:type="auto"/>
            <w:tcBorders>
              <w:top w:val="single" w:sz="8" w:space="0" w:color="E87722"/>
              <w:bottom w:val="single" w:sz="8" w:space="0" w:color="E87722"/>
            </w:tcBorders>
            <w:shd w:val="clear" w:color="auto" w:fill="FFF1E7"/>
            <w:tcMar>
              <w:top w:w="40" w:type="dxa"/>
              <w:left w:w="20" w:type="dxa"/>
              <w:bottom w:w="40" w:type="dxa"/>
              <w:right w:w="0" w:type="dxa"/>
            </w:tcMar>
            <w:vAlign w:val="bottom"/>
          </w:tcPr>
          <w:p w14:paraId="2470E139" w14:textId="77777777" w:rsidR="009C6E2F" w:rsidRDefault="007972BE">
            <w:pPr>
              <w:textAlignment w:val="bottom"/>
            </w:pPr>
            <w:r>
              <w:rPr>
                <w:rFonts w:ascii="Arial" w:eastAsia="宋体" w:hAnsi="Arial" w:cs="Arial"/>
                <w:b/>
                <w:bCs/>
                <w:color w:val="000000"/>
                <w:sz w:val="17"/>
                <w:szCs w:val="17"/>
              </w:rPr>
              <w:t>$</w:t>
            </w:r>
          </w:p>
        </w:tc>
        <w:tc>
          <w:tcPr>
            <w:tcW w:w="0" w:type="auto"/>
            <w:tcBorders>
              <w:top w:val="single" w:sz="8" w:space="0" w:color="E87722"/>
              <w:bottom w:val="single" w:sz="8" w:space="0" w:color="E87722"/>
            </w:tcBorders>
            <w:shd w:val="clear" w:color="auto" w:fill="FFF1E7"/>
            <w:tcMar>
              <w:top w:w="40" w:type="dxa"/>
              <w:left w:w="0" w:type="dxa"/>
              <w:bottom w:w="40" w:type="dxa"/>
              <w:right w:w="0" w:type="dxa"/>
            </w:tcMar>
            <w:vAlign w:val="bottom"/>
          </w:tcPr>
          <w:p w14:paraId="2470E13A" w14:textId="77777777" w:rsidR="009C6E2F" w:rsidRDefault="007972BE">
            <w:pPr>
              <w:jc w:val="right"/>
              <w:textAlignment w:val="bottom"/>
            </w:pPr>
            <w:r>
              <w:rPr>
                <w:rFonts w:ascii="Arial" w:eastAsia="宋体" w:hAnsi="Arial" w:cs="Arial"/>
                <w:b/>
                <w:bCs/>
                <w:color w:val="000000"/>
                <w:sz w:val="17"/>
                <w:szCs w:val="17"/>
              </w:rPr>
              <w:t>160.95</w:t>
            </w:r>
            <w:r>
              <w:rPr>
                <w:rFonts w:ascii="Arial" w:eastAsia="宋体" w:hAnsi="Arial" w:cs="Arial"/>
                <w:color w:val="000000"/>
                <w:sz w:val="17"/>
                <w:szCs w:val="17"/>
              </w:rPr>
              <w:t> </w:t>
            </w:r>
          </w:p>
        </w:tc>
        <w:tc>
          <w:tcPr>
            <w:tcW w:w="0" w:type="auto"/>
            <w:tcBorders>
              <w:top w:val="single" w:sz="8" w:space="0" w:color="E87722"/>
              <w:bottom w:val="single" w:sz="8" w:space="0" w:color="E87722"/>
            </w:tcBorders>
            <w:shd w:val="clear" w:color="auto" w:fill="FFF1E7"/>
            <w:tcMar>
              <w:top w:w="40" w:type="dxa"/>
              <w:left w:w="0" w:type="dxa"/>
              <w:bottom w:w="40" w:type="dxa"/>
              <w:right w:w="20" w:type="dxa"/>
            </w:tcMar>
            <w:vAlign w:val="bottom"/>
          </w:tcPr>
          <w:p w14:paraId="2470E13B" w14:textId="77777777" w:rsidR="009C6E2F" w:rsidRDefault="009C6E2F">
            <w:pPr>
              <w:jc w:val="right"/>
              <w:rPr>
                <w:rFonts w:ascii="宋体"/>
              </w:rPr>
            </w:pPr>
          </w:p>
        </w:tc>
        <w:tc>
          <w:tcPr>
            <w:tcW w:w="0" w:type="auto"/>
            <w:gridSpan w:val="3"/>
            <w:tcBorders>
              <w:top w:val="single" w:sz="8" w:space="0" w:color="E87722"/>
              <w:bottom w:val="single" w:sz="8" w:space="0" w:color="E87722"/>
            </w:tcBorders>
            <w:shd w:val="clear" w:color="auto" w:fill="FFF1E7"/>
            <w:tcMar>
              <w:top w:w="0" w:type="dxa"/>
              <w:left w:w="20" w:type="dxa"/>
              <w:bottom w:w="0" w:type="dxa"/>
              <w:right w:w="20" w:type="dxa"/>
            </w:tcMar>
            <w:vAlign w:val="bottom"/>
          </w:tcPr>
          <w:p w14:paraId="2470E13C" w14:textId="77777777" w:rsidR="009C6E2F" w:rsidRDefault="009C6E2F">
            <w:pPr>
              <w:rPr>
                <w:rFonts w:ascii="宋体"/>
              </w:rPr>
            </w:pPr>
          </w:p>
        </w:tc>
      </w:tr>
    </w:tbl>
    <w:p w14:paraId="2470E13E" w14:textId="77777777" w:rsidR="009C6E2F" w:rsidRDefault="007972BE">
      <w:pPr>
        <w:spacing w:before="120" w:after="120"/>
        <w:jc w:val="right"/>
      </w:pPr>
      <w:r>
        <w:rPr>
          <w:rFonts w:ascii="Arial" w:eastAsia="宋体" w:hAnsi="Arial" w:cs="Arial"/>
          <w:color w:val="E87722"/>
          <w:sz w:val="17"/>
          <w:szCs w:val="17"/>
        </w:rPr>
        <w:t>47</w:t>
      </w:r>
    </w:p>
    <w:p w14:paraId="2470E13F" w14:textId="77777777" w:rsidR="009C6E2F" w:rsidRDefault="007972BE">
      <w:r>
        <w:pict w14:anchorId="2470E214">
          <v:rect id="_x0000_i1073" style="width:415.3pt;height:1.5pt" o:hralign="center" o:hrstd="t" o:hr="t" fillcolor="#a0a0a0" stroked="f"/>
        </w:pict>
      </w:r>
    </w:p>
    <w:p w14:paraId="2470E140" w14:textId="77777777" w:rsidR="009C6E2F" w:rsidRDefault="009C6E2F"/>
    <w:p w14:paraId="2470E141" w14:textId="77777777" w:rsidR="009C6E2F" w:rsidRDefault="007972BE">
      <w:hyperlink r:id="rId115" w:anchor="i9e023a7388204bdbacd6aa338988f838_7" w:history="1">
        <w:r>
          <w:rPr>
            <w:rStyle w:val="a5"/>
            <w:rFonts w:ascii="sans-serif" w:eastAsia="sans-serif" w:hAnsi="sans-serif" w:cs="sans-serif"/>
            <w:sz w:val="17"/>
            <w:szCs w:val="17"/>
          </w:rPr>
          <w:t>Table of Contents</w:t>
        </w:r>
      </w:hyperlink>
    </w:p>
    <w:p w14:paraId="2470E142" w14:textId="77777777" w:rsidR="009C6E2F" w:rsidRDefault="009C6E2F"/>
    <w:p w14:paraId="2470E143" w14:textId="77777777" w:rsidR="009C6E2F" w:rsidRDefault="007972BE">
      <w:pPr>
        <w:spacing w:before="360" w:after="180"/>
      </w:pPr>
      <w:r>
        <w:rPr>
          <w:rFonts w:ascii="sans-serif" w:eastAsia="sans-serif" w:hAnsi="sans-serif" w:cs="sans-serif"/>
          <w:color w:val="000000"/>
          <w:sz w:val="44"/>
          <w:szCs w:val="44"/>
        </w:rPr>
        <w:t>ITEM 6. EXHIBITS</w:t>
      </w:r>
    </w:p>
    <w:p w14:paraId="2470E144" w14:textId="77777777" w:rsidR="009C6E2F" w:rsidRDefault="007972BE">
      <w:pPr>
        <w:spacing w:before="120" w:after="120"/>
      </w:pPr>
      <w:r>
        <w:rPr>
          <w:rFonts w:ascii="Arial" w:eastAsia="宋体" w:hAnsi="Arial" w:cs="Arial"/>
          <w:color w:val="000000"/>
          <w:sz w:val="17"/>
          <w:szCs w:val="17"/>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1"/>
        <w:gridCol w:w="753"/>
        <w:gridCol w:w="36"/>
        <w:gridCol w:w="69"/>
        <w:gridCol w:w="7370"/>
        <w:gridCol w:w="37"/>
      </w:tblGrid>
      <w:tr w:rsidR="009C6E2F" w14:paraId="2470E14B" w14:textId="77777777">
        <w:tc>
          <w:tcPr>
            <w:tcW w:w="50" w:type="pct"/>
            <w:shd w:val="clear" w:color="auto" w:fill="auto"/>
            <w:vAlign w:val="bottom"/>
          </w:tcPr>
          <w:p w14:paraId="2470E145" w14:textId="77777777" w:rsidR="009C6E2F" w:rsidRDefault="009C6E2F">
            <w:pPr>
              <w:rPr>
                <w:rFonts w:ascii="宋体"/>
              </w:rPr>
            </w:pPr>
          </w:p>
        </w:tc>
        <w:tc>
          <w:tcPr>
            <w:tcW w:w="461" w:type="pct"/>
            <w:shd w:val="clear" w:color="auto" w:fill="auto"/>
            <w:vAlign w:val="bottom"/>
          </w:tcPr>
          <w:p w14:paraId="2470E146" w14:textId="77777777" w:rsidR="009C6E2F" w:rsidRDefault="009C6E2F">
            <w:pPr>
              <w:rPr>
                <w:rFonts w:ascii="宋体"/>
              </w:rPr>
            </w:pPr>
          </w:p>
        </w:tc>
        <w:tc>
          <w:tcPr>
            <w:tcW w:w="5" w:type="pct"/>
            <w:shd w:val="clear" w:color="auto" w:fill="auto"/>
            <w:vAlign w:val="bottom"/>
          </w:tcPr>
          <w:p w14:paraId="2470E147" w14:textId="77777777" w:rsidR="009C6E2F" w:rsidRDefault="009C6E2F">
            <w:pPr>
              <w:rPr>
                <w:rFonts w:ascii="宋体"/>
              </w:rPr>
            </w:pPr>
          </w:p>
        </w:tc>
        <w:tc>
          <w:tcPr>
            <w:tcW w:w="50" w:type="pct"/>
            <w:shd w:val="clear" w:color="auto" w:fill="auto"/>
            <w:vAlign w:val="bottom"/>
          </w:tcPr>
          <w:p w14:paraId="2470E148" w14:textId="77777777" w:rsidR="009C6E2F" w:rsidRDefault="009C6E2F">
            <w:pPr>
              <w:rPr>
                <w:rFonts w:ascii="宋体"/>
              </w:rPr>
            </w:pPr>
          </w:p>
        </w:tc>
        <w:tc>
          <w:tcPr>
            <w:tcW w:w="4428" w:type="pct"/>
            <w:shd w:val="clear" w:color="auto" w:fill="auto"/>
            <w:vAlign w:val="bottom"/>
          </w:tcPr>
          <w:p w14:paraId="2470E149" w14:textId="77777777" w:rsidR="009C6E2F" w:rsidRDefault="009C6E2F">
            <w:pPr>
              <w:rPr>
                <w:rFonts w:ascii="宋体"/>
              </w:rPr>
            </w:pPr>
          </w:p>
        </w:tc>
        <w:tc>
          <w:tcPr>
            <w:tcW w:w="5" w:type="pct"/>
            <w:shd w:val="clear" w:color="auto" w:fill="auto"/>
            <w:vAlign w:val="bottom"/>
          </w:tcPr>
          <w:p w14:paraId="2470E14A" w14:textId="77777777" w:rsidR="009C6E2F" w:rsidRDefault="009C6E2F">
            <w:pPr>
              <w:rPr>
                <w:rFonts w:ascii="宋体"/>
              </w:rPr>
            </w:pPr>
          </w:p>
        </w:tc>
      </w:tr>
      <w:tr w:rsidR="009C6E2F" w14:paraId="2470E14E" w14:textId="77777777">
        <w:trPr>
          <w:trHeight w:val="240"/>
        </w:trPr>
        <w:tc>
          <w:tcPr>
            <w:tcW w:w="0" w:type="auto"/>
            <w:gridSpan w:val="3"/>
            <w:shd w:val="clear" w:color="auto" w:fill="auto"/>
            <w:tcMar>
              <w:top w:w="0" w:type="dxa"/>
              <w:left w:w="20" w:type="dxa"/>
              <w:bottom w:w="0" w:type="dxa"/>
              <w:right w:w="20" w:type="dxa"/>
            </w:tcMar>
            <w:vAlign w:val="bottom"/>
          </w:tcPr>
          <w:p w14:paraId="2470E14C" w14:textId="77777777" w:rsidR="009C6E2F" w:rsidRDefault="009C6E2F">
            <w:pPr>
              <w:rPr>
                <w:rFonts w:ascii="宋体"/>
              </w:rPr>
            </w:pPr>
          </w:p>
        </w:tc>
        <w:tc>
          <w:tcPr>
            <w:tcW w:w="0" w:type="auto"/>
            <w:gridSpan w:val="3"/>
            <w:shd w:val="clear" w:color="auto" w:fill="auto"/>
            <w:tcMar>
              <w:top w:w="0" w:type="dxa"/>
              <w:left w:w="20" w:type="dxa"/>
              <w:bottom w:w="0" w:type="dxa"/>
              <w:right w:w="20" w:type="dxa"/>
            </w:tcMar>
            <w:vAlign w:val="bottom"/>
          </w:tcPr>
          <w:p w14:paraId="2470E14D" w14:textId="77777777" w:rsidR="009C6E2F" w:rsidRDefault="009C6E2F">
            <w:pPr>
              <w:rPr>
                <w:rFonts w:ascii="宋体"/>
              </w:rPr>
            </w:pPr>
          </w:p>
        </w:tc>
      </w:tr>
      <w:tr w:rsidR="009C6E2F" w14:paraId="2470E151" w14:textId="77777777">
        <w:tc>
          <w:tcPr>
            <w:tcW w:w="0" w:type="auto"/>
            <w:gridSpan w:val="3"/>
            <w:tcBorders>
              <w:top w:val="single" w:sz="8" w:space="0" w:color="E87722"/>
            </w:tcBorders>
            <w:shd w:val="clear" w:color="auto" w:fill="auto"/>
            <w:tcMar>
              <w:top w:w="40" w:type="dxa"/>
              <w:left w:w="20" w:type="dxa"/>
              <w:bottom w:w="40" w:type="dxa"/>
              <w:right w:w="20" w:type="dxa"/>
            </w:tcMar>
          </w:tcPr>
          <w:p w14:paraId="2470E14F" w14:textId="77777777" w:rsidR="009C6E2F" w:rsidRDefault="007972BE">
            <w:pPr>
              <w:textAlignment w:val="top"/>
            </w:pPr>
            <w:r>
              <w:rPr>
                <w:rFonts w:ascii="Arial" w:eastAsia="宋体" w:hAnsi="Arial" w:cs="Arial"/>
                <w:b/>
                <w:bCs/>
                <w:color w:val="000000"/>
                <w:sz w:val="17"/>
                <w:szCs w:val="17"/>
              </w:rPr>
              <w:t>3.</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150" w14:textId="77777777" w:rsidR="009C6E2F" w:rsidRDefault="007972BE">
            <w:pPr>
              <w:textAlignment w:val="bottom"/>
            </w:pPr>
            <w:r>
              <w:rPr>
                <w:rFonts w:ascii="Arial" w:eastAsia="宋体" w:hAnsi="Arial" w:cs="Arial"/>
                <w:b/>
                <w:bCs/>
                <w:color w:val="000000"/>
                <w:sz w:val="17"/>
                <w:szCs w:val="17"/>
              </w:rPr>
              <w:t>Exhibits:</w:t>
            </w:r>
          </w:p>
        </w:tc>
      </w:tr>
      <w:tr w:rsidR="009C6E2F" w14:paraId="2470E154" w14:textId="77777777">
        <w:tc>
          <w:tcPr>
            <w:tcW w:w="0" w:type="auto"/>
            <w:gridSpan w:val="3"/>
            <w:tcBorders>
              <w:top w:val="single" w:sz="8" w:space="0" w:color="E87722"/>
            </w:tcBorders>
            <w:shd w:val="clear" w:color="auto" w:fill="auto"/>
            <w:tcMar>
              <w:top w:w="40" w:type="dxa"/>
              <w:left w:w="20" w:type="dxa"/>
              <w:bottom w:w="40" w:type="dxa"/>
              <w:right w:w="20" w:type="dxa"/>
            </w:tcMar>
          </w:tcPr>
          <w:p w14:paraId="2470E152" w14:textId="77777777" w:rsidR="009C6E2F" w:rsidRDefault="007972BE">
            <w:pPr>
              <w:textAlignment w:val="top"/>
            </w:pPr>
            <w:r>
              <w:rPr>
                <w:rFonts w:ascii="Arial" w:eastAsia="宋体" w:hAnsi="Arial" w:cs="Arial"/>
                <w:color w:val="000000"/>
                <w:sz w:val="17"/>
                <w:szCs w:val="17"/>
              </w:rPr>
              <w:t>3.1</w:t>
            </w:r>
          </w:p>
        </w:tc>
        <w:tc>
          <w:tcPr>
            <w:tcW w:w="0" w:type="auto"/>
            <w:gridSpan w:val="3"/>
            <w:tcBorders>
              <w:top w:val="single" w:sz="8" w:space="0" w:color="E87722"/>
            </w:tcBorders>
            <w:shd w:val="clear" w:color="auto" w:fill="auto"/>
            <w:tcMar>
              <w:top w:w="40" w:type="dxa"/>
              <w:left w:w="20" w:type="dxa"/>
              <w:bottom w:w="40" w:type="dxa"/>
              <w:right w:w="20" w:type="dxa"/>
            </w:tcMar>
            <w:vAlign w:val="bottom"/>
          </w:tcPr>
          <w:p w14:paraId="2470E153"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16" w:history="1">
              <w:r>
                <w:rPr>
                  <w:rStyle w:val="a5"/>
                  <w:rFonts w:ascii="Arial" w:eastAsia="宋体" w:hAnsi="Arial" w:cs="Arial"/>
                  <w:color w:val="000000"/>
                  <w:sz w:val="17"/>
                  <w:szCs w:val="17"/>
                  <w:u w:val="none"/>
                </w:rPr>
                <w:t xml:space="preserve">Restated Articles of Incorporation, as amended (incorporated by reference to Exhibit 3.1 to the Company's Quarterly Report on Form 10-Q for the fiscal </w:t>
              </w:r>
              <w:r>
                <w:rPr>
                  <w:rStyle w:val="a5"/>
                  <w:rFonts w:ascii="Arial" w:eastAsia="宋体" w:hAnsi="Arial" w:cs="Arial"/>
                  <w:color w:val="000000"/>
                  <w:sz w:val="17"/>
                  <w:szCs w:val="17"/>
                  <w:u w:val="none"/>
                </w:rPr>
                <w:t>quarter ended November 30, 2015).</w:t>
              </w:r>
            </w:hyperlink>
          </w:p>
        </w:tc>
      </w:tr>
      <w:tr w:rsidR="009C6E2F" w14:paraId="2470E157"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55" w14:textId="77777777" w:rsidR="009C6E2F" w:rsidRDefault="007972BE">
            <w:pPr>
              <w:textAlignment w:val="top"/>
            </w:pPr>
            <w:r>
              <w:rPr>
                <w:rFonts w:ascii="Arial" w:eastAsia="宋体" w:hAnsi="Arial" w:cs="Arial"/>
                <w:color w:val="000000"/>
                <w:sz w:val="17"/>
                <w:szCs w:val="17"/>
              </w:rPr>
              <w:t>3.2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56"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17" w:history="1">
              <w:r>
                <w:rPr>
                  <w:rStyle w:val="a5"/>
                  <w:rFonts w:ascii="Arial" w:eastAsia="宋体" w:hAnsi="Arial" w:cs="Arial"/>
                  <w:color w:val="000000"/>
                  <w:sz w:val="17"/>
                  <w:szCs w:val="17"/>
                  <w:u w:val="none"/>
                </w:rPr>
                <w:t xml:space="preserve">Fifth Restated Bylaws, as amended (incorporated by reference to Exhibit 3.1 to the Company's Current Report on </w:t>
              </w:r>
              <w:r>
                <w:rPr>
                  <w:rStyle w:val="a5"/>
                  <w:rFonts w:ascii="Arial" w:eastAsia="宋体" w:hAnsi="Arial" w:cs="Arial"/>
                  <w:color w:val="000000"/>
                  <w:sz w:val="17"/>
                  <w:szCs w:val="17"/>
                  <w:u w:val="none"/>
                </w:rPr>
                <w:t>Form 8-K filed June 19, 2020).</w:t>
              </w:r>
            </w:hyperlink>
          </w:p>
        </w:tc>
      </w:tr>
      <w:tr w:rsidR="009C6E2F" w14:paraId="2470E15A"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58" w14:textId="77777777" w:rsidR="009C6E2F" w:rsidRDefault="007972BE">
            <w:pPr>
              <w:textAlignment w:val="top"/>
            </w:pPr>
            <w:r>
              <w:rPr>
                <w:rFonts w:ascii="Arial" w:eastAsia="宋体" w:hAnsi="Arial" w:cs="Arial"/>
                <w:color w:val="000000"/>
                <w:sz w:val="17"/>
                <w:szCs w:val="17"/>
              </w:rPr>
              <w:t>4.1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59"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18" w:history="1">
              <w:r>
                <w:rPr>
                  <w:rStyle w:val="a5"/>
                  <w:rFonts w:ascii="Arial" w:eastAsia="宋体" w:hAnsi="Arial" w:cs="Arial"/>
                  <w:color w:val="000000"/>
                  <w:sz w:val="17"/>
                  <w:szCs w:val="17"/>
                  <w:u w:val="none"/>
                </w:rPr>
                <w:t>Restated Articles of Incorporation, as amended (see Exhibit 3.1).</w:t>
              </w:r>
            </w:hyperlink>
          </w:p>
        </w:tc>
      </w:tr>
      <w:tr w:rsidR="009C6E2F" w14:paraId="2470E15D"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5B" w14:textId="77777777" w:rsidR="009C6E2F" w:rsidRDefault="007972BE">
            <w:pPr>
              <w:textAlignment w:val="top"/>
            </w:pPr>
            <w:r>
              <w:rPr>
                <w:rFonts w:ascii="Arial" w:eastAsia="宋体" w:hAnsi="Arial" w:cs="Arial"/>
                <w:color w:val="000000"/>
                <w:sz w:val="17"/>
                <w:szCs w:val="17"/>
              </w:rPr>
              <w:t>4.2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5C"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19" w:history="1">
              <w:r>
                <w:rPr>
                  <w:rStyle w:val="a5"/>
                  <w:rFonts w:ascii="Arial" w:eastAsia="宋体" w:hAnsi="Arial" w:cs="Arial"/>
                  <w:color w:val="000000"/>
                  <w:sz w:val="17"/>
                  <w:szCs w:val="17"/>
                  <w:u w:val="none"/>
                </w:rPr>
                <w:t>Fifth Restated Bylaws, as amended (see Exhibit 3.2).</w:t>
              </w:r>
            </w:hyperlink>
          </w:p>
        </w:tc>
      </w:tr>
      <w:tr w:rsidR="009C6E2F" w14:paraId="2470E160"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5E" w14:textId="77777777" w:rsidR="009C6E2F" w:rsidRDefault="007972BE">
            <w:pPr>
              <w:textAlignment w:val="top"/>
            </w:pPr>
            <w:r>
              <w:rPr>
                <w:rFonts w:ascii="Arial" w:eastAsia="宋体" w:hAnsi="Arial" w:cs="Arial"/>
                <w:color w:val="000000"/>
                <w:sz w:val="17"/>
                <w:szCs w:val="17"/>
              </w:rPr>
              <w:t>31.1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5F"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20" w:history="1">
              <w:r>
                <w:rPr>
                  <w:rStyle w:val="a5"/>
                  <w:rFonts w:ascii="Arial" w:eastAsia="宋体" w:hAnsi="Arial" w:cs="Arial"/>
                  <w:color w:val="000000"/>
                  <w:sz w:val="17"/>
                  <w:szCs w:val="17"/>
                  <w:u w:val="none"/>
                </w:rPr>
                <w:t>Rule 13a-14(a)/15d-14(a) Certification of Chief Executive Officer.</w:t>
              </w:r>
            </w:hyperlink>
          </w:p>
        </w:tc>
      </w:tr>
      <w:tr w:rsidR="009C6E2F" w14:paraId="2470E163"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61" w14:textId="77777777" w:rsidR="009C6E2F" w:rsidRDefault="007972BE">
            <w:pPr>
              <w:textAlignment w:val="top"/>
            </w:pPr>
            <w:r>
              <w:rPr>
                <w:rFonts w:ascii="Arial" w:eastAsia="宋体" w:hAnsi="Arial" w:cs="Arial"/>
                <w:color w:val="000000"/>
                <w:sz w:val="17"/>
                <w:szCs w:val="17"/>
              </w:rPr>
              <w:t>31.2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62"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21" w:history="1">
              <w:r>
                <w:rPr>
                  <w:rStyle w:val="a5"/>
                  <w:rFonts w:ascii="Arial" w:eastAsia="宋体" w:hAnsi="Arial" w:cs="Arial"/>
                  <w:color w:val="000000"/>
                  <w:sz w:val="17"/>
                  <w:szCs w:val="17"/>
                  <w:u w:val="none"/>
                </w:rPr>
                <w:t>Rule 13a-14(a)/15d-14(a) Certification of Chief Financia</w:t>
              </w:r>
              <w:r>
                <w:rPr>
                  <w:rStyle w:val="a5"/>
                  <w:rFonts w:ascii="Arial" w:eastAsia="宋体" w:hAnsi="Arial" w:cs="Arial"/>
                  <w:color w:val="000000"/>
                  <w:sz w:val="17"/>
                  <w:szCs w:val="17"/>
                  <w:u w:val="none"/>
                </w:rPr>
                <w:t>l Officer.</w:t>
              </w:r>
            </w:hyperlink>
          </w:p>
        </w:tc>
      </w:tr>
      <w:tr w:rsidR="009C6E2F" w14:paraId="2470E166"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64" w14:textId="77777777" w:rsidR="009C6E2F" w:rsidRDefault="007972BE">
            <w:pPr>
              <w:textAlignment w:val="top"/>
            </w:pPr>
            <w:r>
              <w:rPr>
                <w:rFonts w:ascii="Arial" w:eastAsia="宋体" w:hAnsi="Arial" w:cs="Arial"/>
                <w:color w:val="000000"/>
                <w:sz w:val="17"/>
                <w:szCs w:val="17"/>
              </w:rPr>
              <w:t>32.1†</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65"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22" w:history="1">
              <w:r>
                <w:rPr>
                  <w:rStyle w:val="a5"/>
                  <w:rFonts w:ascii="Arial" w:eastAsia="宋体" w:hAnsi="Arial" w:cs="Arial"/>
                  <w:color w:val="000000"/>
                  <w:sz w:val="17"/>
                  <w:szCs w:val="17"/>
                  <w:u w:val="none"/>
                </w:rPr>
                <w:t>Section 1350 Certificate of Chief Executive Officer.</w:t>
              </w:r>
            </w:hyperlink>
          </w:p>
        </w:tc>
      </w:tr>
      <w:tr w:rsidR="009C6E2F" w14:paraId="2470E169"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67" w14:textId="77777777" w:rsidR="009C6E2F" w:rsidRDefault="007972BE">
            <w:pPr>
              <w:textAlignment w:val="top"/>
            </w:pPr>
            <w:r>
              <w:rPr>
                <w:rFonts w:ascii="Arial" w:eastAsia="宋体" w:hAnsi="Arial" w:cs="Arial"/>
                <w:color w:val="000000"/>
                <w:sz w:val="17"/>
                <w:szCs w:val="17"/>
              </w:rPr>
              <w:t>32.2†</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68" w14:textId="77777777" w:rsidR="009C6E2F" w:rsidRDefault="007972BE">
            <w:pPr>
              <w:pBdr>
                <w:top w:val="none" w:sz="0" w:space="0" w:color="auto"/>
                <w:left w:val="none" w:sz="0" w:space="0" w:color="auto"/>
                <w:bottom w:val="none" w:sz="0" w:space="0" w:color="auto"/>
                <w:right w:val="none" w:sz="0" w:space="0" w:color="auto"/>
              </w:pBdr>
              <w:textAlignment w:val="bottom"/>
            </w:pPr>
            <w:hyperlink r:id="rId123" w:history="1">
              <w:r>
                <w:rPr>
                  <w:rStyle w:val="a5"/>
                  <w:rFonts w:ascii="Arial" w:eastAsia="宋体" w:hAnsi="Arial" w:cs="Arial"/>
                  <w:color w:val="000000"/>
                  <w:sz w:val="17"/>
                  <w:szCs w:val="17"/>
                  <w:u w:val="none"/>
                </w:rPr>
                <w:t>Section 1350 Certificate of Chief Financial Officer.</w:t>
              </w:r>
            </w:hyperlink>
          </w:p>
        </w:tc>
      </w:tr>
      <w:tr w:rsidR="009C6E2F" w14:paraId="2470E16C" w14:textId="77777777">
        <w:tc>
          <w:tcPr>
            <w:tcW w:w="0" w:type="auto"/>
            <w:gridSpan w:val="3"/>
            <w:tcBorders>
              <w:top w:val="single" w:sz="4" w:space="0" w:color="929292"/>
            </w:tcBorders>
            <w:shd w:val="clear" w:color="auto" w:fill="auto"/>
            <w:tcMar>
              <w:top w:w="40" w:type="dxa"/>
              <w:left w:w="20" w:type="dxa"/>
              <w:bottom w:w="40" w:type="dxa"/>
              <w:right w:w="20" w:type="dxa"/>
            </w:tcMar>
          </w:tcPr>
          <w:p w14:paraId="2470E16A" w14:textId="77777777" w:rsidR="009C6E2F" w:rsidRDefault="007972BE">
            <w:pPr>
              <w:textAlignment w:val="top"/>
            </w:pPr>
            <w:r>
              <w:rPr>
                <w:rFonts w:ascii="Arial" w:eastAsia="宋体" w:hAnsi="Arial" w:cs="Arial"/>
                <w:color w:val="000000"/>
                <w:sz w:val="17"/>
                <w:szCs w:val="17"/>
              </w:rPr>
              <w:t>101.INS</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6B" w14:textId="77777777" w:rsidR="009C6E2F" w:rsidRDefault="007972BE">
            <w:pPr>
              <w:textAlignment w:val="bottom"/>
            </w:pPr>
            <w:r>
              <w:rPr>
                <w:rFonts w:ascii="Arial" w:eastAsia="宋体" w:hAnsi="Arial" w:cs="Arial"/>
                <w:color w:val="000000"/>
                <w:sz w:val="17"/>
                <w:szCs w:val="17"/>
              </w:rPr>
              <w:t>Inline XBRL Instance Document - the instance document does not appear in the Int</w:t>
            </w:r>
            <w:r>
              <w:rPr>
                <w:rFonts w:ascii="Arial" w:eastAsia="宋体" w:hAnsi="Arial" w:cs="Arial"/>
                <w:color w:val="000000"/>
                <w:sz w:val="17"/>
                <w:szCs w:val="17"/>
              </w:rPr>
              <w:t>eractive Data File because its XBRL tags are embedded within the Inline XBRL document.</w:t>
            </w:r>
          </w:p>
        </w:tc>
      </w:tr>
      <w:tr w:rsidR="009C6E2F" w14:paraId="2470E16F"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6D" w14:textId="77777777" w:rsidR="009C6E2F" w:rsidRDefault="007972BE">
            <w:pPr>
              <w:textAlignment w:val="top"/>
            </w:pPr>
            <w:r>
              <w:rPr>
                <w:rFonts w:ascii="Arial" w:eastAsia="宋体" w:hAnsi="Arial" w:cs="Arial"/>
                <w:color w:val="000000"/>
                <w:sz w:val="17"/>
                <w:szCs w:val="17"/>
              </w:rPr>
              <w:t>101.SCH</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6E" w14:textId="77777777" w:rsidR="009C6E2F" w:rsidRDefault="007972BE">
            <w:pPr>
              <w:textAlignment w:val="bottom"/>
            </w:pPr>
            <w:r>
              <w:rPr>
                <w:rFonts w:ascii="Arial" w:eastAsia="宋体" w:hAnsi="Arial" w:cs="Arial"/>
                <w:color w:val="000000"/>
                <w:sz w:val="17"/>
                <w:szCs w:val="17"/>
              </w:rPr>
              <w:t>Inline XBRL Taxonomy Extension Schema</w:t>
            </w:r>
          </w:p>
        </w:tc>
      </w:tr>
      <w:tr w:rsidR="009C6E2F" w14:paraId="2470E172"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70" w14:textId="77777777" w:rsidR="009C6E2F" w:rsidRDefault="007972BE">
            <w:pPr>
              <w:textAlignment w:val="top"/>
            </w:pPr>
            <w:r>
              <w:rPr>
                <w:rFonts w:ascii="Arial" w:eastAsia="宋体" w:hAnsi="Arial" w:cs="Arial"/>
                <w:color w:val="000000"/>
                <w:sz w:val="17"/>
                <w:szCs w:val="17"/>
              </w:rPr>
              <w:t>101.CAL</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71" w14:textId="77777777" w:rsidR="009C6E2F" w:rsidRDefault="007972BE">
            <w:pPr>
              <w:textAlignment w:val="bottom"/>
            </w:pPr>
            <w:r>
              <w:rPr>
                <w:rFonts w:ascii="Arial" w:eastAsia="宋体" w:hAnsi="Arial" w:cs="Arial"/>
                <w:color w:val="000000"/>
                <w:sz w:val="17"/>
                <w:szCs w:val="17"/>
              </w:rPr>
              <w:t>Inline XBRL Taxonomy Extension Calculation Linkbase</w:t>
            </w:r>
          </w:p>
        </w:tc>
      </w:tr>
      <w:tr w:rsidR="009C6E2F" w14:paraId="2470E175"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73" w14:textId="77777777" w:rsidR="009C6E2F" w:rsidRDefault="007972BE">
            <w:pPr>
              <w:textAlignment w:val="top"/>
            </w:pPr>
            <w:r>
              <w:rPr>
                <w:rFonts w:ascii="Arial" w:eastAsia="宋体" w:hAnsi="Arial" w:cs="Arial"/>
                <w:color w:val="000000"/>
                <w:sz w:val="17"/>
                <w:szCs w:val="17"/>
              </w:rPr>
              <w:t>101.DEF</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74" w14:textId="77777777" w:rsidR="009C6E2F" w:rsidRDefault="007972BE">
            <w:pPr>
              <w:textAlignment w:val="bottom"/>
            </w:pPr>
            <w:r>
              <w:rPr>
                <w:rFonts w:ascii="Arial" w:eastAsia="宋体" w:hAnsi="Arial" w:cs="Arial"/>
                <w:color w:val="000000"/>
                <w:sz w:val="17"/>
                <w:szCs w:val="17"/>
              </w:rPr>
              <w:t xml:space="preserve">Inline XBRL Taxonomy Extension Definition </w:t>
            </w:r>
            <w:r>
              <w:rPr>
                <w:rFonts w:ascii="Arial" w:eastAsia="宋体" w:hAnsi="Arial" w:cs="Arial"/>
                <w:color w:val="000000"/>
                <w:sz w:val="17"/>
                <w:szCs w:val="17"/>
              </w:rPr>
              <w:t>Document</w:t>
            </w:r>
          </w:p>
        </w:tc>
      </w:tr>
      <w:tr w:rsidR="009C6E2F" w14:paraId="2470E178"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76" w14:textId="77777777" w:rsidR="009C6E2F" w:rsidRDefault="007972BE">
            <w:pPr>
              <w:textAlignment w:val="top"/>
            </w:pPr>
            <w:r>
              <w:rPr>
                <w:rFonts w:ascii="Arial" w:eastAsia="宋体" w:hAnsi="Arial" w:cs="Arial"/>
                <w:color w:val="000000"/>
                <w:sz w:val="17"/>
                <w:szCs w:val="17"/>
              </w:rPr>
              <w:t>101.LAB</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77" w14:textId="77777777" w:rsidR="009C6E2F" w:rsidRDefault="007972BE">
            <w:pPr>
              <w:textAlignment w:val="bottom"/>
            </w:pPr>
            <w:r>
              <w:rPr>
                <w:rFonts w:ascii="Arial" w:eastAsia="宋体" w:hAnsi="Arial" w:cs="Arial"/>
                <w:color w:val="000000"/>
                <w:sz w:val="17"/>
                <w:szCs w:val="17"/>
              </w:rPr>
              <w:t>Inline XBRL Taxonomy Extension Label Linkbase</w:t>
            </w:r>
          </w:p>
        </w:tc>
      </w:tr>
      <w:tr w:rsidR="009C6E2F" w14:paraId="2470E17B"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79" w14:textId="77777777" w:rsidR="009C6E2F" w:rsidRDefault="007972BE">
            <w:pPr>
              <w:textAlignment w:val="top"/>
            </w:pPr>
            <w:r>
              <w:rPr>
                <w:rFonts w:ascii="Arial" w:eastAsia="宋体" w:hAnsi="Arial" w:cs="Arial"/>
                <w:color w:val="000000"/>
                <w:sz w:val="17"/>
                <w:szCs w:val="17"/>
              </w:rPr>
              <w:t>101.PRE</w:t>
            </w: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7A" w14:textId="77777777" w:rsidR="009C6E2F" w:rsidRDefault="007972BE">
            <w:pPr>
              <w:textAlignment w:val="bottom"/>
            </w:pPr>
            <w:r>
              <w:rPr>
                <w:rFonts w:ascii="Arial" w:eastAsia="宋体" w:hAnsi="Arial" w:cs="Arial"/>
                <w:color w:val="000000"/>
                <w:sz w:val="17"/>
                <w:szCs w:val="17"/>
              </w:rPr>
              <w:t>Inline XBRL Taxonomy Extension Presentation Linkbase</w:t>
            </w:r>
          </w:p>
        </w:tc>
      </w:tr>
      <w:tr w:rsidR="009C6E2F" w14:paraId="2470E17E" w14:textId="77777777">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tcPr>
          <w:p w14:paraId="2470E17C" w14:textId="77777777" w:rsidR="009C6E2F" w:rsidRDefault="007972BE">
            <w:pPr>
              <w:textAlignment w:val="top"/>
            </w:pPr>
            <w:r>
              <w:rPr>
                <w:rFonts w:ascii="Arial" w:eastAsia="宋体" w:hAnsi="Arial" w:cs="Arial"/>
                <w:color w:val="000000"/>
                <w:sz w:val="17"/>
                <w:szCs w:val="17"/>
              </w:rPr>
              <w:t>104</w:t>
            </w:r>
          </w:p>
        </w:tc>
        <w:tc>
          <w:tcPr>
            <w:tcW w:w="0" w:type="auto"/>
            <w:gridSpan w:val="3"/>
            <w:tcBorders>
              <w:top w:val="single" w:sz="4" w:space="0" w:color="808080"/>
              <w:bottom w:val="single" w:sz="8" w:space="0" w:color="E87722"/>
            </w:tcBorders>
            <w:shd w:val="clear" w:color="auto" w:fill="auto"/>
            <w:tcMar>
              <w:top w:w="40" w:type="dxa"/>
              <w:left w:w="20" w:type="dxa"/>
              <w:bottom w:w="40" w:type="dxa"/>
              <w:right w:w="20" w:type="dxa"/>
            </w:tcMar>
            <w:vAlign w:val="bottom"/>
          </w:tcPr>
          <w:p w14:paraId="2470E17D" w14:textId="77777777" w:rsidR="009C6E2F" w:rsidRDefault="007972BE">
            <w:pPr>
              <w:textAlignment w:val="bottom"/>
            </w:pPr>
            <w:r>
              <w:rPr>
                <w:rFonts w:ascii="Arial" w:eastAsia="宋体" w:hAnsi="Arial" w:cs="Arial"/>
                <w:color w:val="000000"/>
                <w:sz w:val="17"/>
                <w:szCs w:val="17"/>
              </w:rPr>
              <w:t>Cover Page Interactive Data File - formatted in Inline XBRL and included in Exhibit 101</w:t>
            </w:r>
          </w:p>
        </w:tc>
      </w:tr>
    </w:tbl>
    <w:p w14:paraId="2470E17F" w14:textId="77777777" w:rsidR="009C6E2F" w:rsidRDefault="007972BE">
      <w:pPr>
        <w:spacing w:before="120" w:after="120"/>
      </w:pPr>
      <w:r>
        <w:rPr>
          <w:rFonts w:ascii="Arial" w:eastAsia="宋体" w:hAnsi="Arial" w:cs="Arial"/>
          <w:color w:val="000000"/>
          <w:sz w:val="17"/>
          <w:szCs w:val="17"/>
        </w:rPr>
        <w:t>†</w:t>
      </w:r>
      <w:r>
        <w:rPr>
          <w:rFonts w:ascii="Arial" w:eastAsia="宋体" w:hAnsi="Arial" w:cs="Arial"/>
          <w:i/>
          <w:iCs/>
          <w:color w:val="000000"/>
          <w:sz w:val="17"/>
          <w:szCs w:val="17"/>
        </w:rPr>
        <w:t xml:space="preserve"> Furnished herewith</w:t>
      </w:r>
    </w:p>
    <w:p w14:paraId="2470E180" w14:textId="77777777" w:rsidR="009C6E2F" w:rsidRDefault="007972BE">
      <w:pPr>
        <w:spacing w:before="120" w:after="120"/>
      </w:pPr>
      <w:r>
        <w:rPr>
          <w:rFonts w:ascii="Arial" w:eastAsia="宋体" w:hAnsi="Arial" w:cs="Arial"/>
          <w:color w:val="E87722"/>
          <w:sz w:val="17"/>
          <w:szCs w:val="17"/>
        </w:rPr>
        <w:t>48</w:t>
      </w:r>
      <w:r>
        <w:rPr>
          <w:rFonts w:ascii="sans-serif" w:eastAsia="sans-serif" w:hAnsi="sans-serif" w:cs="sans-serif"/>
          <w:color w:val="000000"/>
          <w:sz w:val="17"/>
          <w:szCs w:val="17"/>
        </w:rPr>
        <w:t xml:space="preserve"> </w:t>
      </w:r>
    </w:p>
    <w:p w14:paraId="2470E181" w14:textId="77777777" w:rsidR="009C6E2F" w:rsidRDefault="007972BE">
      <w:r>
        <w:pict w14:anchorId="2470E215">
          <v:rect id="_x0000_i1074" style="width:415.3pt;height:1.5pt" o:hralign="center" o:hrstd="t" o:hr="t" fillcolor="#a0a0a0" stroked="f"/>
        </w:pict>
      </w:r>
    </w:p>
    <w:p w14:paraId="2470E182" w14:textId="77777777" w:rsidR="009C6E2F" w:rsidRDefault="009C6E2F"/>
    <w:p w14:paraId="2470E183" w14:textId="77777777" w:rsidR="009C6E2F" w:rsidRDefault="007972BE">
      <w:hyperlink r:id="rId124" w:anchor="i9e023a7388204bdbacd6aa338988f838_7" w:history="1">
        <w:r>
          <w:rPr>
            <w:rStyle w:val="a5"/>
            <w:rFonts w:ascii="sans-serif" w:eastAsia="sans-serif" w:hAnsi="sans-serif" w:cs="sans-serif"/>
            <w:sz w:val="17"/>
            <w:szCs w:val="17"/>
          </w:rPr>
          <w:t>Table of Contents</w:t>
        </w:r>
      </w:hyperlink>
    </w:p>
    <w:p w14:paraId="2470E184" w14:textId="77777777" w:rsidR="009C6E2F" w:rsidRDefault="009C6E2F"/>
    <w:p w14:paraId="2470E185" w14:textId="77777777" w:rsidR="009C6E2F" w:rsidRDefault="007972BE">
      <w:pPr>
        <w:spacing w:before="360" w:after="180"/>
      </w:pPr>
      <w:r>
        <w:rPr>
          <w:rFonts w:ascii="sans-serif" w:eastAsia="sans-serif" w:hAnsi="sans-serif" w:cs="sans-serif"/>
          <w:color w:val="000000"/>
          <w:sz w:val="44"/>
          <w:szCs w:val="44"/>
        </w:rPr>
        <w:t>SIGNATURES</w:t>
      </w:r>
    </w:p>
    <w:p w14:paraId="2470E186" w14:textId="77777777" w:rsidR="009C6E2F" w:rsidRDefault="007972BE">
      <w:pPr>
        <w:spacing w:before="120"/>
      </w:pPr>
      <w:r>
        <w:rPr>
          <w:rFonts w:ascii="Arial" w:eastAsia="宋体" w:hAnsi="Arial" w:cs="Arial"/>
          <w:color w:val="000000"/>
          <w:sz w:val="17"/>
          <w:szCs w:val="17"/>
        </w:rPr>
        <w:t xml:space="preserve">Pursuant to the requirements of the Securities </w:t>
      </w:r>
      <w:r>
        <w:rPr>
          <w:rFonts w:ascii="Arial" w:eastAsia="宋体" w:hAnsi="Arial" w:cs="Arial"/>
          <w:color w:val="000000"/>
          <w:sz w:val="17"/>
          <w:szCs w:val="17"/>
        </w:rPr>
        <w:t>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58"/>
        <w:gridCol w:w="36"/>
        <w:gridCol w:w="36"/>
        <w:gridCol w:w="98"/>
        <w:gridCol w:w="36"/>
        <w:gridCol w:w="61"/>
        <w:gridCol w:w="7594"/>
        <w:gridCol w:w="36"/>
      </w:tblGrid>
      <w:tr w:rsidR="009C6E2F" w14:paraId="2470E190" w14:textId="77777777">
        <w:tc>
          <w:tcPr>
            <w:tcW w:w="50" w:type="pct"/>
            <w:shd w:val="clear" w:color="auto" w:fill="auto"/>
            <w:vAlign w:val="bottom"/>
          </w:tcPr>
          <w:p w14:paraId="2470E187" w14:textId="77777777" w:rsidR="009C6E2F" w:rsidRDefault="009C6E2F">
            <w:pPr>
              <w:rPr>
                <w:rFonts w:ascii="宋体"/>
              </w:rPr>
            </w:pPr>
          </w:p>
        </w:tc>
        <w:tc>
          <w:tcPr>
            <w:tcW w:w="222" w:type="pct"/>
            <w:shd w:val="clear" w:color="auto" w:fill="auto"/>
            <w:vAlign w:val="bottom"/>
          </w:tcPr>
          <w:p w14:paraId="2470E188" w14:textId="77777777" w:rsidR="009C6E2F" w:rsidRDefault="009C6E2F">
            <w:pPr>
              <w:rPr>
                <w:rFonts w:ascii="宋体"/>
              </w:rPr>
            </w:pPr>
          </w:p>
        </w:tc>
        <w:tc>
          <w:tcPr>
            <w:tcW w:w="5" w:type="pct"/>
            <w:shd w:val="clear" w:color="auto" w:fill="auto"/>
            <w:vAlign w:val="bottom"/>
          </w:tcPr>
          <w:p w14:paraId="2470E189" w14:textId="77777777" w:rsidR="009C6E2F" w:rsidRDefault="009C6E2F">
            <w:pPr>
              <w:rPr>
                <w:rFonts w:ascii="宋体"/>
              </w:rPr>
            </w:pPr>
          </w:p>
        </w:tc>
        <w:tc>
          <w:tcPr>
            <w:tcW w:w="5" w:type="pct"/>
            <w:shd w:val="clear" w:color="auto" w:fill="auto"/>
            <w:vAlign w:val="bottom"/>
          </w:tcPr>
          <w:p w14:paraId="2470E18A" w14:textId="77777777" w:rsidR="009C6E2F" w:rsidRDefault="009C6E2F">
            <w:pPr>
              <w:rPr>
                <w:rFonts w:ascii="宋体"/>
              </w:rPr>
            </w:pPr>
          </w:p>
        </w:tc>
        <w:tc>
          <w:tcPr>
            <w:tcW w:w="90" w:type="pct"/>
            <w:shd w:val="clear" w:color="auto" w:fill="auto"/>
            <w:vAlign w:val="bottom"/>
          </w:tcPr>
          <w:p w14:paraId="2470E18B" w14:textId="77777777" w:rsidR="009C6E2F" w:rsidRDefault="009C6E2F">
            <w:pPr>
              <w:rPr>
                <w:rFonts w:ascii="宋体"/>
              </w:rPr>
            </w:pPr>
          </w:p>
        </w:tc>
        <w:tc>
          <w:tcPr>
            <w:tcW w:w="5" w:type="pct"/>
            <w:shd w:val="clear" w:color="auto" w:fill="auto"/>
            <w:vAlign w:val="bottom"/>
          </w:tcPr>
          <w:p w14:paraId="2470E18C" w14:textId="77777777" w:rsidR="009C6E2F" w:rsidRDefault="009C6E2F">
            <w:pPr>
              <w:rPr>
                <w:rFonts w:ascii="宋体"/>
              </w:rPr>
            </w:pPr>
          </w:p>
        </w:tc>
        <w:tc>
          <w:tcPr>
            <w:tcW w:w="50" w:type="pct"/>
            <w:shd w:val="clear" w:color="auto" w:fill="auto"/>
            <w:vAlign w:val="bottom"/>
          </w:tcPr>
          <w:p w14:paraId="2470E18D" w14:textId="77777777" w:rsidR="009C6E2F" w:rsidRDefault="009C6E2F">
            <w:pPr>
              <w:rPr>
                <w:rFonts w:ascii="宋体"/>
              </w:rPr>
            </w:pPr>
          </w:p>
        </w:tc>
        <w:tc>
          <w:tcPr>
            <w:tcW w:w="4566" w:type="pct"/>
            <w:shd w:val="clear" w:color="auto" w:fill="auto"/>
            <w:vAlign w:val="bottom"/>
          </w:tcPr>
          <w:p w14:paraId="2470E18E" w14:textId="77777777" w:rsidR="009C6E2F" w:rsidRDefault="009C6E2F">
            <w:pPr>
              <w:rPr>
                <w:rFonts w:ascii="宋体"/>
              </w:rPr>
            </w:pPr>
          </w:p>
        </w:tc>
        <w:tc>
          <w:tcPr>
            <w:tcW w:w="5" w:type="pct"/>
            <w:shd w:val="clear" w:color="auto" w:fill="auto"/>
            <w:vAlign w:val="bottom"/>
          </w:tcPr>
          <w:p w14:paraId="2470E18F" w14:textId="77777777" w:rsidR="009C6E2F" w:rsidRDefault="009C6E2F">
            <w:pPr>
              <w:rPr>
                <w:rFonts w:ascii="宋体"/>
              </w:rPr>
            </w:pPr>
          </w:p>
        </w:tc>
      </w:tr>
      <w:tr w:rsidR="009C6E2F" w14:paraId="2470E193" w14:textId="77777777">
        <w:tc>
          <w:tcPr>
            <w:tcW w:w="0" w:type="auto"/>
            <w:gridSpan w:val="9"/>
            <w:shd w:val="clear" w:color="auto" w:fill="auto"/>
            <w:tcMar>
              <w:top w:w="40" w:type="dxa"/>
              <w:left w:w="20" w:type="dxa"/>
              <w:bottom w:w="40" w:type="dxa"/>
              <w:right w:w="20" w:type="dxa"/>
            </w:tcMar>
            <w:vAlign w:val="bottom"/>
          </w:tcPr>
          <w:p w14:paraId="2470E191"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7"/>
                <w:szCs w:val="17"/>
              </w:rPr>
              <w:t xml:space="preserve">NIKE, INC. </w:t>
            </w:r>
          </w:p>
          <w:p w14:paraId="2470E192"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7"/>
                <w:szCs w:val="17"/>
              </w:rPr>
              <w:t>an Oregon Corporation</w:t>
            </w:r>
          </w:p>
        </w:tc>
      </w:tr>
      <w:tr w:rsidR="009C6E2F" w14:paraId="2470E199" w14:textId="77777777">
        <w:tc>
          <w:tcPr>
            <w:tcW w:w="0" w:type="auto"/>
            <w:gridSpan w:val="3"/>
            <w:tcBorders>
              <w:top w:val="single" w:sz="4" w:space="0" w:color="808080"/>
            </w:tcBorders>
            <w:shd w:val="clear" w:color="auto" w:fill="auto"/>
            <w:tcMar>
              <w:top w:w="40" w:type="dxa"/>
              <w:left w:w="20" w:type="dxa"/>
              <w:bottom w:w="40" w:type="dxa"/>
              <w:right w:w="20" w:type="dxa"/>
            </w:tcMar>
          </w:tcPr>
          <w:p w14:paraId="2470E194" w14:textId="77777777" w:rsidR="009C6E2F" w:rsidRDefault="007972BE">
            <w:pPr>
              <w:textAlignment w:val="top"/>
            </w:pPr>
            <w:r>
              <w:rPr>
                <w:rFonts w:ascii="Arial" w:eastAsia="宋体" w:hAnsi="Arial" w:cs="Arial"/>
                <w:color w:val="000000"/>
                <w:sz w:val="17"/>
                <w:szCs w:val="17"/>
              </w:rPr>
              <w:t>By:</w:t>
            </w:r>
          </w:p>
        </w:tc>
        <w:tc>
          <w:tcPr>
            <w:tcW w:w="0" w:type="auto"/>
            <w:gridSpan w:val="3"/>
            <w:tcBorders>
              <w:top w:val="single" w:sz="4" w:space="0" w:color="808080"/>
            </w:tcBorders>
            <w:shd w:val="clear" w:color="auto" w:fill="auto"/>
            <w:tcMar>
              <w:top w:w="0" w:type="dxa"/>
              <w:left w:w="20" w:type="dxa"/>
              <w:bottom w:w="0" w:type="dxa"/>
              <w:right w:w="20" w:type="dxa"/>
            </w:tcMar>
            <w:vAlign w:val="bottom"/>
          </w:tcPr>
          <w:p w14:paraId="2470E195" w14:textId="77777777" w:rsidR="009C6E2F" w:rsidRDefault="009C6E2F">
            <w:pPr>
              <w:rPr>
                <w:rFonts w:ascii="宋体"/>
              </w:rPr>
            </w:pPr>
          </w:p>
        </w:tc>
        <w:tc>
          <w:tcPr>
            <w:tcW w:w="0" w:type="auto"/>
            <w:gridSpan w:val="3"/>
            <w:tcBorders>
              <w:top w:val="single" w:sz="4" w:space="0" w:color="808080"/>
            </w:tcBorders>
            <w:shd w:val="clear" w:color="auto" w:fill="auto"/>
            <w:tcMar>
              <w:top w:w="40" w:type="dxa"/>
              <w:left w:w="20" w:type="dxa"/>
              <w:bottom w:w="40" w:type="dxa"/>
              <w:right w:w="20" w:type="dxa"/>
            </w:tcMar>
            <w:vAlign w:val="bottom"/>
          </w:tcPr>
          <w:p w14:paraId="2470E196"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/s/ MATTHEW FRIEND</w:t>
            </w:r>
          </w:p>
          <w:p w14:paraId="2470E197"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7"/>
                <w:szCs w:val="17"/>
              </w:rPr>
              <w:t>Matthew Friend</w:t>
            </w:r>
          </w:p>
          <w:p w14:paraId="2470E198" w14:textId="77777777" w:rsidR="009C6E2F" w:rsidRDefault="007972BE">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7"/>
                <w:szCs w:val="17"/>
              </w:rPr>
              <w:t xml:space="preserve">Chief Financial Officer and </w:t>
            </w:r>
            <w:r>
              <w:rPr>
                <w:rFonts w:ascii="Arial" w:eastAsia="宋体" w:hAnsi="Arial" w:cs="Arial"/>
                <w:color w:val="000000"/>
                <w:sz w:val="17"/>
                <w:szCs w:val="17"/>
              </w:rPr>
              <w:t>Authorized Officer</w:t>
            </w:r>
          </w:p>
        </w:tc>
      </w:tr>
      <w:tr w:rsidR="009C6E2F" w14:paraId="2470E19D" w14:textId="77777777">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E19A" w14:textId="77777777" w:rsidR="009C6E2F" w:rsidRDefault="007972BE">
            <w:pPr>
              <w:textAlignment w:val="bottom"/>
            </w:pPr>
            <w:r>
              <w:rPr>
                <w:rFonts w:ascii="Arial" w:eastAsia="宋体" w:hAnsi="Arial" w:cs="Arial"/>
                <w:color w:val="000000"/>
                <w:sz w:val="17"/>
                <w:szCs w:val="17"/>
              </w:rPr>
              <w:t>Date:</w:t>
            </w:r>
          </w:p>
        </w:tc>
        <w:tc>
          <w:tcPr>
            <w:tcW w:w="0" w:type="auto"/>
            <w:gridSpan w:val="3"/>
            <w:tcBorders>
              <w:bottom w:val="single" w:sz="4" w:space="0" w:color="808080"/>
            </w:tcBorders>
            <w:shd w:val="clear" w:color="auto" w:fill="auto"/>
            <w:tcMar>
              <w:top w:w="0" w:type="dxa"/>
              <w:left w:w="20" w:type="dxa"/>
              <w:bottom w:w="0" w:type="dxa"/>
              <w:right w:w="20" w:type="dxa"/>
            </w:tcMar>
            <w:vAlign w:val="bottom"/>
          </w:tcPr>
          <w:p w14:paraId="2470E19B" w14:textId="77777777" w:rsidR="009C6E2F" w:rsidRDefault="009C6E2F">
            <w:pPr>
              <w:rPr>
                <w:rFonts w:ascii="宋体"/>
              </w:rPr>
            </w:pPr>
          </w:p>
        </w:tc>
        <w:tc>
          <w:tcPr>
            <w:tcW w:w="0" w:type="auto"/>
            <w:gridSpan w:val="3"/>
            <w:tcBorders>
              <w:bottom w:val="single" w:sz="4" w:space="0" w:color="808080"/>
            </w:tcBorders>
            <w:shd w:val="clear" w:color="auto" w:fill="auto"/>
            <w:tcMar>
              <w:top w:w="40" w:type="dxa"/>
              <w:left w:w="20" w:type="dxa"/>
              <w:bottom w:w="40" w:type="dxa"/>
              <w:right w:w="20" w:type="dxa"/>
            </w:tcMar>
            <w:vAlign w:val="bottom"/>
          </w:tcPr>
          <w:p w14:paraId="2470E19C" w14:textId="77777777" w:rsidR="009C6E2F" w:rsidRDefault="007972BE">
            <w:pPr>
              <w:textAlignment w:val="bottom"/>
            </w:pPr>
            <w:r>
              <w:rPr>
                <w:rFonts w:ascii="Arial" w:eastAsia="宋体" w:hAnsi="Arial" w:cs="Arial"/>
                <w:color w:val="000000"/>
                <w:sz w:val="17"/>
                <w:szCs w:val="17"/>
              </w:rPr>
              <w:t>January 6, 2022</w:t>
            </w:r>
          </w:p>
        </w:tc>
      </w:tr>
    </w:tbl>
    <w:p w14:paraId="2470E19E" w14:textId="77777777" w:rsidR="009C6E2F" w:rsidRDefault="007972BE">
      <w:pPr>
        <w:spacing w:before="120" w:after="120"/>
        <w:jc w:val="right"/>
      </w:pPr>
      <w:r>
        <w:rPr>
          <w:rFonts w:ascii="Arial" w:eastAsia="宋体" w:hAnsi="Arial" w:cs="Arial"/>
          <w:color w:val="E87722"/>
          <w:sz w:val="17"/>
          <w:szCs w:val="17"/>
        </w:rPr>
        <w:t>49</w:t>
      </w:r>
    </w:p>
    <w:p w14:paraId="2470E19F" w14:textId="77777777" w:rsidR="009C6E2F" w:rsidRDefault="007972B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470E216" wp14:editId="2470E217">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A1" w14:textId="77777777">
        <w:trPr>
          <w:tblCellSpacing w:w="15" w:type="dxa"/>
        </w:trPr>
        <w:tc>
          <w:tcPr>
            <w:tcW w:w="0" w:type="auto"/>
            <w:shd w:val="clear" w:color="auto" w:fill="auto"/>
            <w:vAlign w:val="center"/>
          </w:tcPr>
          <w:p w14:paraId="2470E1A0" w14:textId="77777777" w:rsidR="009C6E2F" w:rsidRDefault="009C6E2F">
            <w:pPr>
              <w:rPr>
                <w:rFonts w:ascii="宋体"/>
              </w:rPr>
            </w:pPr>
          </w:p>
        </w:tc>
      </w:tr>
    </w:tbl>
    <w:p w14:paraId="2470E1A2"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A4" w14:textId="77777777">
        <w:trPr>
          <w:tblCellSpacing w:w="15" w:type="dxa"/>
        </w:trPr>
        <w:tc>
          <w:tcPr>
            <w:tcW w:w="0" w:type="auto"/>
            <w:shd w:val="clear" w:color="auto" w:fill="auto"/>
            <w:vAlign w:val="center"/>
          </w:tcPr>
          <w:p w14:paraId="2470E1A3" w14:textId="77777777" w:rsidR="009C6E2F" w:rsidRDefault="009C6E2F">
            <w:pPr>
              <w:rPr>
                <w:rFonts w:ascii="宋体"/>
              </w:rPr>
            </w:pPr>
          </w:p>
        </w:tc>
      </w:tr>
    </w:tbl>
    <w:p w14:paraId="2470E1A5"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A7" w14:textId="77777777">
        <w:trPr>
          <w:tblCellSpacing w:w="15" w:type="dxa"/>
        </w:trPr>
        <w:tc>
          <w:tcPr>
            <w:tcW w:w="0" w:type="auto"/>
            <w:shd w:val="clear" w:color="auto" w:fill="auto"/>
            <w:vAlign w:val="center"/>
          </w:tcPr>
          <w:p w14:paraId="2470E1A6" w14:textId="77777777" w:rsidR="009C6E2F" w:rsidRDefault="009C6E2F">
            <w:pPr>
              <w:rPr>
                <w:rFonts w:ascii="宋体"/>
              </w:rPr>
            </w:pPr>
          </w:p>
        </w:tc>
      </w:tr>
    </w:tbl>
    <w:p w14:paraId="2470E1A8"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AA" w14:textId="77777777">
        <w:trPr>
          <w:tblCellSpacing w:w="15" w:type="dxa"/>
        </w:trPr>
        <w:tc>
          <w:tcPr>
            <w:tcW w:w="0" w:type="auto"/>
            <w:shd w:val="clear" w:color="auto" w:fill="auto"/>
            <w:vAlign w:val="center"/>
          </w:tcPr>
          <w:p w14:paraId="2470E1A9" w14:textId="77777777" w:rsidR="009C6E2F" w:rsidRDefault="009C6E2F">
            <w:pPr>
              <w:rPr>
                <w:rFonts w:ascii="宋体"/>
              </w:rPr>
            </w:pPr>
          </w:p>
        </w:tc>
      </w:tr>
    </w:tbl>
    <w:p w14:paraId="2470E1AB" w14:textId="77777777" w:rsidR="009C6E2F" w:rsidRDefault="007972BE">
      <w:r>
        <w:rPr>
          <w:rFonts w:ascii="宋体" w:eastAsia="宋体" w:hAnsi="宋体" w:cs="宋体"/>
        </w:rPr>
        <w:t xml:space="preserve">Previous Next </w:t>
      </w:r>
    </w:p>
    <w:p w14:paraId="2470E1AC" w14:textId="77777777" w:rsidR="009C6E2F" w:rsidRDefault="007972BE">
      <w:pPr>
        <w:pStyle w:val="a3"/>
      </w:pPr>
      <w:r>
        <w:t>Settings</w:t>
      </w:r>
    </w:p>
    <w:p w14:paraId="2470E1AD" w14:textId="77777777" w:rsidR="009C6E2F" w:rsidRDefault="007972BE">
      <w:pPr>
        <w:pStyle w:val="Style4"/>
      </w:pPr>
      <w:r>
        <w:t>窗体顶端</w:t>
      </w:r>
    </w:p>
    <w:p w14:paraId="2470E1AE" w14:textId="77777777" w:rsidR="009C6E2F" w:rsidRDefault="007972B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470E218" wp14:editId="2470E219">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470E1AF" w14:textId="77777777" w:rsidR="009C6E2F" w:rsidRDefault="007972B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470E21A" wp14:editId="2470E21B">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2470E1B0" w14:textId="77777777" w:rsidR="009C6E2F" w:rsidRDefault="007972BE">
      <w:r>
        <w:pict w14:anchorId="2470E21C">
          <v:rect id="_x0000_i1075" style="width:415.3pt;height:1.5pt" o:hralign="center" o:hrstd="t" o:hr="t" fillcolor="#a0a0a0" stroked="f"/>
        </w:pict>
      </w:r>
    </w:p>
    <w:p w14:paraId="2470E1B1" w14:textId="77777777" w:rsidR="009C6E2F" w:rsidRDefault="007972BE">
      <w:r>
        <w:rPr>
          <w:rFonts w:ascii="宋体" w:eastAsia="宋体" w:hAnsi="宋体" w:cs="宋体"/>
        </w:rPr>
        <w:t xml:space="preserve">Tagged Data </w:t>
      </w:r>
    </w:p>
    <w:p w14:paraId="2470E1B2" w14:textId="77777777" w:rsidR="009C6E2F" w:rsidRDefault="007972BE">
      <w:r>
        <w:rPr>
          <w:rFonts w:ascii="monospace" w:eastAsia="monospace" w:hAnsi="monospace" w:cs="monospace"/>
          <w:noProof/>
        </w:rPr>
        <mc:AlternateContent>
          <mc:Choice Requires="wps">
            <w:drawing>
              <wp:inline distT="0" distB="0" distL="114300" distR="114300" wp14:anchorId="2470E21D" wp14:editId="2470E21E">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470E1B3" w14:textId="77777777" w:rsidR="009C6E2F" w:rsidRDefault="007972BE">
      <w:r>
        <w:rPr>
          <w:rFonts w:ascii="宋体" w:eastAsia="宋体" w:hAnsi="宋体" w:cs="宋体"/>
        </w:rPr>
        <w:t>Save</w:t>
      </w:r>
    </w:p>
    <w:p w14:paraId="2470E1B4" w14:textId="77777777" w:rsidR="009C6E2F" w:rsidRDefault="007972BE">
      <w:r>
        <w:rPr>
          <w:rFonts w:ascii="宋体" w:eastAsia="宋体" w:hAnsi="宋体" w:cs="宋体"/>
        </w:rPr>
        <w:t>Reset</w:t>
      </w:r>
    </w:p>
    <w:p w14:paraId="2470E1B5" w14:textId="77777777" w:rsidR="009C6E2F" w:rsidRDefault="007972BE">
      <w:r>
        <w:pict w14:anchorId="2470E21F">
          <v:rect id="_x0000_i1076" style="width:415.3pt;height:1.5pt" o:hralign="center" o:hrstd="t" o:hr="t" fillcolor="#a0a0a0" stroked="f"/>
        </w:pict>
      </w:r>
    </w:p>
    <w:p w14:paraId="2470E1B6" w14:textId="77777777" w:rsidR="009C6E2F" w:rsidRDefault="007972BE">
      <w:r>
        <w:rPr>
          <w:rFonts w:ascii="宋体" w:eastAsia="宋体" w:hAnsi="宋体" w:cs="宋体"/>
        </w:rPr>
        <w:t xml:space="preserve">Search Results </w:t>
      </w:r>
    </w:p>
    <w:p w14:paraId="2470E1B7" w14:textId="77777777" w:rsidR="009C6E2F" w:rsidRDefault="007972BE">
      <w:r>
        <w:rPr>
          <w:rFonts w:ascii="monospace" w:eastAsia="monospace" w:hAnsi="monospace" w:cs="monospace"/>
          <w:noProof/>
        </w:rPr>
        <mc:AlternateContent>
          <mc:Choice Requires="wps">
            <w:drawing>
              <wp:inline distT="0" distB="0" distL="114300" distR="114300" wp14:anchorId="2470E220" wp14:editId="2470E221">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470E1B8" w14:textId="77777777" w:rsidR="009C6E2F" w:rsidRDefault="007972BE">
      <w:r>
        <w:rPr>
          <w:rFonts w:ascii="宋体" w:eastAsia="宋体" w:hAnsi="宋体" w:cs="宋体"/>
        </w:rPr>
        <w:t>Save</w:t>
      </w:r>
    </w:p>
    <w:p w14:paraId="2470E1B9" w14:textId="77777777" w:rsidR="009C6E2F" w:rsidRDefault="007972BE">
      <w:r>
        <w:rPr>
          <w:rFonts w:ascii="宋体" w:eastAsia="宋体" w:hAnsi="宋体" w:cs="宋体"/>
        </w:rPr>
        <w:t>Reset</w:t>
      </w:r>
    </w:p>
    <w:p w14:paraId="2470E1BA" w14:textId="77777777" w:rsidR="009C6E2F" w:rsidRDefault="007972BE">
      <w:r>
        <w:pict w14:anchorId="2470E222">
          <v:rect id="_x0000_i1077" style="width:415.3pt;height:1.5pt" o:hralign="center" o:hrstd="t" o:hr="t" fillcolor="#a0a0a0" stroked="f"/>
        </w:pict>
      </w:r>
    </w:p>
    <w:p w14:paraId="2470E1BB" w14:textId="77777777" w:rsidR="009C6E2F" w:rsidRDefault="007972BE">
      <w:r>
        <w:rPr>
          <w:rFonts w:ascii="宋体" w:eastAsia="宋体" w:hAnsi="宋体" w:cs="宋体"/>
        </w:rPr>
        <w:t xml:space="preserve">Selected Fact </w:t>
      </w:r>
    </w:p>
    <w:p w14:paraId="2470E1BC" w14:textId="77777777" w:rsidR="009C6E2F" w:rsidRDefault="007972BE">
      <w:r>
        <w:rPr>
          <w:rFonts w:ascii="monospace" w:eastAsia="monospace" w:hAnsi="monospace" w:cs="monospace"/>
          <w:noProof/>
        </w:rPr>
        <mc:AlternateContent>
          <mc:Choice Requires="wps">
            <w:drawing>
              <wp:inline distT="0" distB="0" distL="114300" distR="114300" wp14:anchorId="2470E223" wp14:editId="2470E224">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470E1BD" w14:textId="77777777" w:rsidR="009C6E2F" w:rsidRDefault="007972BE">
      <w:r>
        <w:rPr>
          <w:rFonts w:ascii="宋体" w:eastAsia="宋体" w:hAnsi="宋体" w:cs="宋体"/>
        </w:rPr>
        <w:t>Save</w:t>
      </w:r>
    </w:p>
    <w:p w14:paraId="2470E1BE" w14:textId="77777777" w:rsidR="009C6E2F" w:rsidRDefault="007972BE">
      <w:r>
        <w:rPr>
          <w:rFonts w:ascii="宋体" w:eastAsia="宋体" w:hAnsi="宋体" w:cs="宋体"/>
        </w:rPr>
        <w:t>Reset</w:t>
      </w:r>
    </w:p>
    <w:p w14:paraId="2470E1BF" w14:textId="77777777" w:rsidR="009C6E2F" w:rsidRDefault="007972BE">
      <w:r>
        <w:pict w14:anchorId="2470E225">
          <v:rect id="_x0000_i1078" style="width:415.3pt;height:1.5pt" o:hralign="center" o:hrstd="t" o:hr="t" fillcolor="#a0a0a0" stroked="f"/>
        </w:pict>
      </w:r>
    </w:p>
    <w:p w14:paraId="2470E1C0" w14:textId="77777777" w:rsidR="009C6E2F" w:rsidRDefault="007972BE">
      <w:r>
        <w:rPr>
          <w:rFonts w:ascii="宋体" w:eastAsia="宋体" w:hAnsi="宋体" w:cs="宋体"/>
        </w:rPr>
        <w:t xml:space="preserve">Tag Shading (hover) </w:t>
      </w:r>
    </w:p>
    <w:p w14:paraId="2470E1C1" w14:textId="77777777" w:rsidR="009C6E2F" w:rsidRDefault="007972BE">
      <w:r>
        <w:rPr>
          <w:rFonts w:ascii="monospace" w:eastAsia="monospace" w:hAnsi="monospace" w:cs="monospace"/>
          <w:noProof/>
        </w:rPr>
        <mc:AlternateContent>
          <mc:Choice Requires="wps">
            <w:drawing>
              <wp:inline distT="0" distB="0" distL="114300" distR="114300" wp14:anchorId="2470E226" wp14:editId="2470E227">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470E1C2" w14:textId="77777777" w:rsidR="009C6E2F" w:rsidRDefault="007972BE">
      <w:r>
        <w:rPr>
          <w:rFonts w:ascii="宋体" w:eastAsia="宋体" w:hAnsi="宋体" w:cs="宋体"/>
        </w:rPr>
        <w:t>Save</w:t>
      </w:r>
    </w:p>
    <w:p w14:paraId="2470E1C3" w14:textId="77777777" w:rsidR="009C6E2F" w:rsidRDefault="007972BE">
      <w:r>
        <w:rPr>
          <w:rFonts w:ascii="宋体" w:eastAsia="宋体" w:hAnsi="宋体" w:cs="宋体"/>
        </w:rPr>
        <w:t>Reset</w:t>
      </w:r>
    </w:p>
    <w:p w14:paraId="2470E1C4" w14:textId="77777777" w:rsidR="009C6E2F" w:rsidRDefault="007972BE">
      <w:pPr>
        <w:pStyle w:val="Style5"/>
      </w:pPr>
      <w:r>
        <w:t>窗体底端</w:t>
      </w:r>
    </w:p>
    <w:p w14:paraId="2470E1C5" w14:textId="77777777" w:rsidR="009C6E2F" w:rsidRDefault="007972B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470E228" wp14:editId="2470E229">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C7" w14:textId="77777777">
        <w:trPr>
          <w:tblCellSpacing w:w="15" w:type="dxa"/>
        </w:trPr>
        <w:tc>
          <w:tcPr>
            <w:tcW w:w="0" w:type="auto"/>
            <w:shd w:val="clear" w:color="auto" w:fill="auto"/>
            <w:vAlign w:val="center"/>
          </w:tcPr>
          <w:p w14:paraId="2470E1C6" w14:textId="77777777" w:rsidR="009C6E2F" w:rsidRDefault="009C6E2F">
            <w:pPr>
              <w:rPr>
                <w:rFonts w:ascii="宋体"/>
              </w:rPr>
            </w:pPr>
          </w:p>
        </w:tc>
      </w:tr>
    </w:tbl>
    <w:p w14:paraId="2470E1C8"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CA" w14:textId="77777777">
        <w:trPr>
          <w:tblCellSpacing w:w="15" w:type="dxa"/>
        </w:trPr>
        <w:tc>
          <w:tcPr>
            <w:tcW w:w="0" w:type="auto"/>
            <w:shd w:val="clear" w:color="auto" w:fill="auto"/>
            <w:vAlign w:val="center"/>
          </w:tcPr>
          <w:p w14:paraId="2470E1C9" w14:textId="77777777" w:rsidR="009C6E2F" w:rsidRDefault="009C6E2F">
            <w:pPr>
              <w:rPr>
                <w:rFonts w:ascii="宋体"/>
              </w:rPr>
            </w:pPr>
          </w:p>
        </w:tc>
      </w:tr>
    </w:tbl>
    <w:p w14:paraId="2470E1CB"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CD" w14:textId="77777777">
        <w:trPr>
          <w:tblCellSpacing w:w="15" w:type="dxa"/>
        </w:trPr>
        <w:tc>
          <w:tcPr>
            <w:tcW w:w="0" w:type="auto"/>
            <w:shd w:val="clear" w:color="auto" w:fill="auto"/>
            <w:vAlign w:val="center"/>
          </w:tcPr>
          <w:p w14:paraId="2470E1CC" w14:textId="77777777" w:rsidR="009C6E2F" w:rsidRDefault="009C6E2F">
            <w:pPr>
              <w:rPr>
                <w:rFonts w:ascii="宋体"/>
              </w:rPr>
            </w:pPr>
          </w:p>
        </w:tc>
      </w:tr>
    </w:tbl>
    <w:p w14:paraId="2470E1CE"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D0" w14:textId="77777777">
        <w:trPr>
          <w:tblCellSpacing w:w="15" w:type="dxa"/>
        </w:trPr>
        <w:tc>
          <w:tcPr>
            <w:tcW w:w="0" w:type="auto"/>
            <w:shd w:val="clear" w:color="auto" w:fill="auto"/>
            <w:vAlign w:val="center"/>
          </w:tcPr>
          <w:p w14:paraId="2470E1CF" w14:textId="77777777" w:rsidR="009C6E2F" w:rsidRDefault="009C6E2F">
            <w:pPr>
              <w:rPr>
                <w:rFonts w:ascii="宋体"/>
              </w:rPr>
            </w:pPr>
          </w:p>
        </w:tc>
      </w:tr>
    </w:tbl>
    <w:p w14:paraId="2470E1D1" w14:textId="77777777" w:rsidR="009C6E2F" w:rsidRDefault="007972BE">
      <w:r>
        <w:rPr>
          <w:rFonts w:ascii="宋体" w:eastAsia="宋体" w:hAnsi="宋体" w:cs="宋体"/>
        </w:rPr>
        <w:t xml:space="preserve">Previous Next </w:t>
      </w:r>
    </w:p>
    <w:p w14:paraId="2470E1D2" w14:textId="77777777" w:rsidR="009C6E2F" w:rsidRDefault="007972BE">
      <w:pPr>
        <w:pStyle w:val="a3"/>
      </w:pPr>
      <w:r>
        <w:t xml:space="preserve">Nested Facts / </w:t>
      </w:r>
    </w:p>
    <w:p w14:paraId="2470E1D3" w14:textId="77777777" w:rsidR="009C6E2F" w:rsidRDefault="007972BE">
      <w:r>
        <w:rPr>
          <w:rFonts w:ascii="宋体" w:eastAsia="宋体" w:hAnsi="宋体" w:cs="宋体"/>
        </w:rPr>
        <w:t xml:space="preserve">Previous Next </w:t>
      </w:r>
    </w:p>
    <w:p w14:paraId="2470E1D4" w14:textId="77777777" w:rsidR="009C6E2F" w:rsidRDefault="007972B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470E22A" wp14:editId="2470E22B">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D6" w14:textId="77777777">
        <w:trPr>
          <w:tblCellSpacing w:w="15" w:type="dxa"/>
        </w:trPr>
        <w:tc>
          <w:tcPr>
            <w:tcW w:w="0" w:type="auto"/>
            <w:shd w:val="clear" w:color="auto" w:fill="auto"/>
            <w:vAlign w:val="center"/>
          </w:tcPr>
          <w:p w14:paraId="2470E1D5" w14:textId="77777777" w:rsidR="009C6E2F" w:rsidRDefault="009C6E2F">
            <w:pPr>
              <w:rPr>
                <w:rFonts w:ascii="宋体"/>
              </w:rPr>
            </w:pPr>
          </w:p>
        </w:tc>
      </w:tr>
    </w:tbl>
    <w:p w14:paraId="2470E1D7"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D9" w14:textId="77777777">
        <w:trPr>
          <w:tblCellSpacing w:w="15" w:type="dxa"/>
        </w:trPr>
        <w:tc>
          <w:tcPr>
            <w:tcW w:w="0" w:type="auto"/>
            <w:shd w:val="clear" w:color="auto" w:fill="auto"/>
            <w:vAlign w:val="center"/>
          </w:tcPr>
          <w:p w14:paraId="2470E1D8" w14:textId="77777777" w:rsidR="009C6E2F" w:rsidRDefault="009C6E2F">
            <w:pPr>
              <w:rPr>
                <w:rFonts w:ascii="宋体"/>
              </w:rPr>
            </w:pPr>
          </w:p>
        </w:tc>
      </w:tr>
    </w:tbl>
    <w:p w14:paraId="2470E1DA"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DC" w14:textId="77777777">
        <w:trPr>
          <w:tblCellSpacing w:w="15" w:type="dxa"/>
        </w:trPr>
        <w:tc>
          <w:tcPr>
            <w:tcW w:w="0" w:type="auto"/>
            <w:shd w:val="clear" w:color="auto" w:fill="auto"/>
            <w:vAlign w:val="center"/>
          </w:tcPr>
          <w:p w14:paraId="2470E1DB" w14:textId="77777777" w:rsidR="009C6E2F" w:rsidRDefault="009C6E2F">
            <w:pPr>
              <w:rPr>
                <w:rFonts w:ascii="宋体"/>
              </w:rPr>
            </w:pPr>
          </w:p>
        </w:tc>
      </w:tr>
    </w:tbl>
    <w:p w14:paraId="2470E1DD" w14:textId="77777777" w:rsidR="009C6E2F" w:rsidRDefault="009C6E2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E2F" w14:paraId="2470E1DF" w14:textId="77777777">
        <w:trPr>
          <w:tblCellSpacing w:w="15" w:type="dxa"/>
        </w:trPr>
        <w:tc>
          <w:tcPr>
            <w:tcW w:w="0" w:type="auto"/>
            <w:shd w:val="clear" w:color="auto" w:fill="auto"/>
            <w:vAlign w:val="center"/>
          </w:tcPr>
          <w:p w14:paraId="2470E1DE" w14:textId="77777777" w:rsidR="009C6E2F" w:rsidRDefault="009C6E2F">
            <w:pPr>
              <w:rPr>
                <w:rFonts w:ascii="宋体"/>
              </w:rPr>
            </w:pPr>
          </w:p>
        </w:tc>
      </w:tr>
    </w:tbl>
    <w:p w14:paraId="2470E1E0" w14:textId="77777777" w:rsidR="009C6E2F" w:rsidRDefault="007972BE">
      <w:r>
        <w:rPr>
          <w:rFonts w:ascii="宋体" w:eastAsia="宋体" w:hAnsi="宋体" w:cs="宋体"/>
        </w:rPr>
        <w:t xml:space="preserve">Previous Next </w:t>
      </w:r>
    </w:p>
    <w:p w14:paraId="2470E1E1" w14:textId="77777777" w:rsidR="009C6E2F" w:rsidRDefault="009C6E2F"/>
    <w:sectPr w:rsidR="009C6E2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7AD8" w14:textId="77777777" w:rsidR="007972BE" w:rsidRDefault="007972BE" w:rsidP="007972BE">
      <w:r>
        <w:separator/>
      </w:r>
    </w:p>
  </w:endnote>
  <w:endnote w:type="continuationSeparator" w:id="0">
    <w:p w14:paraId="3161061B" w14:textId="77777777" w:rsidR="007972BE" w:rsidRDefault="007972BE" w:rsidP="0079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E2E18" w14:textId="77777777" w:rsidR="007972BE" w:rsidRDefault="007972BE" w:rsidP="007972BE">
      <w:r>
        <w:separator/>
      </w:r>
    </w:p>
  </w:footnote>
  <w:footnote w:type="continuationSeparator" w:id="0">
    <w:p w14:paraId="2107102F" w14:textId="77777777" w:rsidR="007972BE" w:rsidRDefault="007972BE" w:rsidP="00797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FDB195"/>
    <w:rsid w:val="FBFDB195"/>
    <w:rsid w:val="007972BE"/>
    <w:rsid w:val="009C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0BA00"/>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7972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972BE"/>
    <w:rPr>
      <w:rFonts w:asciiTheme="minorEastAsia" w:hAnsiTheme="minorEastAsia" w:cs="Times New Roman"/>
      <w:sz w:val="18"/>
      <w:szCs w:val="18"/>
    </w:rPr>
  </w:style>
  <w:style w:type="paragraph" w:styleId="a8">
    <w:name w:val="footer"/>
    <w:basedOn w:val="a"/>
    <w:link w:val="a9"/>
    <w:rsid w:val="007972BE"/>
    <w:pPr>
      <w:tabs>
        <w:tab w:val="center" w:pos="4153"/>
        <w:tab w:val="right" w:pos="8306"/>
      </w:tabs>
      <w:snapToGrid w:val="0"/>
    </w:pPr>
    <w:rPr>
      <w:sz w:val="18"/>
      <w:szCs w:val="18"/>
    </w:rPr>
  </w:style>
  <w:style w:type="character" w:customStyle="1" w:styleId="a9">
    <w:name w:val="页脚 字符"/>
    <w:basedOn w:val="a0"/>
    <w:link w:val="a8"/>
    <w:rsid w:val="007972B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320187/000032018722000004/nke-20211130.htm" TargetMode="External"/><Relationship Id="rId117" Type="http://schemas.openxmlformats.org/officeDocument/2006/relationships/hyperlink" Target="https://www.sec.gov/Archives/edgar/data/320187/000032018720000029/nkeexhibit31.htm" TargetMode="External"/><Relationship Id="rId21" Type="http://schemas.openxmlformats.org/officeDocument/2006/relationships/hyperlink" Target="https://www.sec.gov/ix?doc=/Archives/edgar/data/0000320187/000032018722000004/nke-20211130.htm" TargetMode="External"/><Relationship Id="rId42" Type="http://schemas.openxmlformats.org/officeDocument/2006/relationships/hyperlink" Target="https://www.sec.gov/ix?doc=/Archives/edgar/data/0000320187/000032018722000004/nke-20211130.htm" TargetMode="External"/><Relationship Id="rId47" Type="http://schemas.openxmlformats.org/officeDocument/2006/relationships/hyperlink" Target="https://www.sec.gov/ix?doc=/Archives/edgar/data/0000320187/000032018722000004/nke-20211130.htm" TargetMode="External"/><Relationship Id="rId63" Type="http://schemas.openxmlformats.org/officeDocument/2006/relationships/hyperlink" Target="https://www.sec.gov/ix?doc=/Archives/edgar/data/0000320187/000032018722000004/nke-20211130.htm" TargetMode="External"/><Relationship Id="rId68" Type="http://schemas.openxmlformats.org/officeDocument/2006/relationships/hyperlink" Target="https://www.sec.gov/ix?doc=/Archives/edgar/data/0000320187/000032018722000004/nke-20211130.htm" TargetMode="External"/><Relationship Id="rId84" Type="http://schemas.openxmlformats.org/officeDocument/2006/relationships/hyperlink" Target="https://www.sec.gov/ix?doc=/Archives/edgar/data/0000320187/000032018722000004/nke-20211130.htm" TargetMode="External"/><Relationship Id="rId89" Type="http://schemas.openxmlformats.org/officeDocument/2006/relationships/hyperlink" Target="https://www.sec.gov/ix?doc=/Archives/edgar/data/0000320187/000032018722000004/nke-20211130.htm" TargetMode="External"/><Relationship Id="rId112" Type="http://schemas.openxmlformats.org/officeDocument/2006/relationships/hyperlink" Target="https://www.sec.gov/ix?doc=/Archives/edgar/data/0000320187/000032018722000004/nke-20211130.htm" TargetMode="External"/><Relationship Id="rId16" Type="http://schemas.openxmlformats.org/officeDocument/2006/relationships/hyperlink" Target="https://www.sec.gov/ix?doc=/Archives/edgar/data/0000320187/000032018722000004/nke-20211130.htm" TargetMode="External"/><Relationship Id="rId107" Type="http://schemas.openxmlformats.org/officeDocument/2006/relationships/hyperlink" Target="https://www.sec.gov/ix?doc=/Archives/edgar/data/0000320187/000032018722000004/nke-20211130.htm" TargetMode="External"/><Relationship Id="rId11" Type="http://schemas.openxmlformats.org/officeDocument/2006/relationships/hyperlink" Target="https://www.sec.gov/ix?doc=/Archives/edgar/data/0000320187/000032018722000004/nke-20211130.htm" TargetMode="External"/><Relationship Id="rId32" Type="http://schemas.openxmlformats.org/officeDocument/2006/relationships/hyperlink" Target="https://www.sec.gov/ix?doc=/Archives/edgar/data/0000320187/000032018722000004/nke-20211130.htm" TargetMode="External"/><Relationship Id="rId37" Type="http://schemas.openxmlformats.org/officeDocument/2006/relationships/hyperlink" Target="https://www.sec.gov/ix?doc=/Archives/edgar/data/0000320187/000032018722000004/nke-20211130.htm" TargetMode="External"/><Relationship Id="rId53" Type="http://schemas.openxmlformats.org/officeDocument/2006/relationships/hyperlink" Target="https://www.sec.gov/ix?doc=/Archives/edgar/data/0000320187/000032018722000004/nke-20211130.htm" TargetMode="External"/><Relationship Id="rId58" Type="http://schemas.openxmlformats.org/officeDocument/2006/relationships/hyperlink" Target="https://www.sec.gov/ix?doc=/Archives/edgar/data/0000320187/000032018722000004/nke-20211130.htm" TargetMode="External"/><Relationship Id="rId74" Type="http://schemas.openxmlformats.org/officeDocument/2006/relationships/hyperlink" Target="https://www.sec.gov/ix?doc=/Archives/edgar/data/0000320187/000032018722000004/nke-20211130.htm" TargetMode="External"/><Relationship Id="rId79" Type="http://schemas.openxmlformats.org/officeDocument/2006/relationships/hyperlink" Target="https://www.sec.gov/ix?doc=/Archives/edgar/data/0000320187/000032018722000004/nke-20211130.htm" TargetMode="External"/><Relationship Id="rId102" Type="http://schemas.openxmlformats.org/officeDocument/2006/relationships/hyperlink" Target="https://www.sec.gov/ix?doc=/Archives/edgar/data/0000320187/000032018722000004/nke-20211130.htm" TargetMode="External"/><Relationship Id="rId123" Type="http://schemas.openxmlformats.org/officeDocument/2006/relationships/hyperlink" Target="https://www.sec.gov/Archives/edgar/data/0000320187/000032018722000004/nke-11302021xexhibit322.htm" TargetMode="External"/><Relationship Id="rId5" Type="http://schemas.openxmlformats.org/officeDocument/2006/relationships/endnotes" Target="endnotes.xml"/><Relationship Id="rId90" Type="http://schemas.openxmlformats.org/officeDocument/2006/relationships/hyperlink" Target="https://www.sec.gov/ix?doc=/Archives/edgar/data/0000320187/000032018722000004/nke-20211130.htm" TargetMode="External"/><Relationship Id="rId95" Type="http://schemas.openxmlformats.org/officeDocument/2006/relationships/hyperlink" Target="https://www.sec.gov/ix?doc=/Archives/edgar/data/0000320187/000032018722000004/nke-20211130.htm" TargetMode="External"/><Relationship Id="rId22" Type="http://schemas.openxmlformats.org/officeDocument/2006/relationships/hyperlink" Target="https://www.sec.gov/ix?doc=/Archives/edgar/data/0000320187/000032018722000004/nke-20211130.htm" TargetMode="External"/><Relationship Id="rId27" Type="http://schemas.openxmlformats.org/officeDocument/2006/relationships/hyperlink" Target="https://www.sec.gov/ix?doc=/Archives/edgar/data/0000320187/000032018722000004/nke-20211130.htm" TargetMode="External"/><Relationship Id="rId43" Type="http://schemas.openxmlformats.org/officeDocument/2006/relationships/hyperlink" Target="https://www.sec.gov/ix?doc=/Archives/edgar/data/0000320187/000032018722000004/nke-20211130.htm" TargetMode="External"/><Relationship Id="rId48" Type="http://schemas.openxmlformats.org/officeDocument/2006/relationships/hyperlink" Target="https://www.sec.gov/ix?doc=/Archives/edgar/data/0000320187/000032018722000004/nke-20211130.htm" TargetMode="External"/><Relationship Id="rId64" Type="http://schemas.openxmlformats.org/officeDocument/2006/relationships/hyperlink" Target="https://www.sec.gov/ix?doc=/Archives/edgar/data/0000320187/000032018722000004/nke-20211130.htm" TargetMode="External"/><Relationship Id="rId69" Type="http://schemas.openxmlformats.org/officeDocument/2006/relationships/hyperlink" Target="https://www.sec.gov/ix?doc=/Archives/edgar/data/0000320187/000032018722000004/nke-20211130.htm" TargetMode="External"/><Relationship Id="rId113" Type="http://schemas.openxmlformats.org/officeDocument/2006/relationships/hyperlink" Target="https://www.sec.gov/ix?doc=/Archives/edgar/data/0000320187/000032018722000004/nke-20211130.htm" TargetMode="External"/><Relationship Id="rId118" Type="http://schemas.openxmlformats.org/officeDocument/2006/relationships/hyperlink" Target="http://www.sec.gov/Archives/edgar/data/320187/000032018716000242/nke-11302015xexhibit31.htm" TargetMode="External"/><Relationship Id="rId80" Type="http://schemas.openxmlformats.org/officeDocument/2006/relationships/hyperlink" Target="https://www.sec.gov/ix?doc=/Archives/edgar/data/0000320187/000032018722000004/nke-20211130.htm" TargetMode="External"/><Relationship Id="rId85" Type="http://schemas.openxmlformats.org/officeDocument/2006/relationships/hyperlink" Target="https://www.sec.gov/ix?doc=/Archives/edgar/data/0000320187/000032018722000004/nke-20211130.htm" TargetMode="External"/><Relationship Id="rId12" Type="http://schemas.openxmlformats.org/officeDocument/2006/relationships/hyperlink" Target="https://www.sec.gov/ix?doc=/Archives/edgar/data/0000320187/000032018722000004/nke-20211130.htm" TargetMode="External"/><Relationship Id="rId17" Type="http://schemas.openxmlformats.org/officeDocument/2006/relationships/hyperlink" Target="https://www.sec.gov/ix?doc=/Archives/edgar/data/0000320187/000032018722000004/nke-20211130.htm" TargetMode="External"/><Relationship Id="rId33" Type="http://schemas.openxmlformats.org/officeDocument/2006/relationships/hyperlink" Target="https://www.sec.gov/ix?doc=/Archives/edgar/data/0000320187/000032018722000004/nke-20211130.htm" TargetMode="External"/><Relationship Id="rId38" Type="http://schemas.openxmlformats.org/officeDocument/2006/relationships/hyperlink" Target="https://www.sec.gov/ix?doc=/Archives/edgar/data/0000320187/000032018722000004/nke-20211130.htm" TargetMode="External"/><Relationship Id="rId59" Type="http://schemas.openxmlformats.org/officeDocument/2006/relationships/hyperlink" Target="https://www.sec.gov/ix?doc=/Archives/edgar/data/0000320187/000032018722000004/nke-20211130.htm" TargetMode="External"/><Relationship Id="rId103" Type="http://schemas.openxmlformats.org/officeDocument/2006/relationships/hyperlink" Target="https://www.sec.gov/ix?doc=/Archives/edgar/data/0000320187/000032018722000004/nke-20211130.htm" TargetMode="External"/><Relationship Id="rId108" Type="http://schemas.openxmlformats.org/officeDocument/2006/relationships/hyperlink" Target="https://www.sec.gov/ix?doc=/Archives/edgar/data/0000320187/000032018722000004/nke-20211130.htm" TargetMode="External"/><Relationship Id="rId124" Type="http://schemas.openxmlformats.org/officeDocument/2006/relationships/hyperlink" Target="https://www.sec.gov/ix?doc=/Archives/edgar/data/0000320187/000032018722000004/nke-20211130.htm" TargetMode="External"/><Relationship Id="rId54" Type="http://schemas.openxmlformats.org/officeDocument/2006/relationships/hyperlink" Target="https://www.sec.gov/ix?doc=/Archives/edgar/data/0000320187/000032018722000004/nke-20211130.htm" TargetMode="External"/><Relationship Id="rId70" Type="http://schemas.openxmlformats.org/officeDocument/2006/relationships/hyperlink" Target="https://www.sec.gov/ix?doc=/Archives/edgar/data/0000320187/000032018722000004/nke-20211130.htm" TargetMode="External"/><Relationship Id="rId75" Type="http://schemas.openxmlformats.org/officeDocument/2006/relationships/hyperlink" Target="https://www.sec.gov/ix?doc=/Archives/edgar/data/0000320187/000032018722000004/nke-20211130.htm" TargetMode="External"/><Relationship Id="rId91" Type="http://schemas.openxmlformats.org/officeDocument/2006/relationships/hyperlink" Target="https://www.sec.gov/ix?doc=/Archives/edgar/data/0000320187/000032018722000004/nke-20211130.htm" TargetMode="External"/><Relationship Id="rId96" Type="http://schemas.openxmlformats.org/officeDocument/2006/relationships/hyperlink" Target="https://www.sec.gov/ix?doc=/Archives/edgar/data/0000320187/000032018722000004/nke-20211130.htm" TargetMode="External"/><Relationship Id="rId1" Type="http://schemas.openxmlformats.org/officeDocument/2006/relationships/styles" Target="styles.xml"/><Relationship Id="rId23" Type="http://schemas.openxmlformats.org/officeDocument/2006/relationships/hyperlink" Target="https://www.sec.gov/ix?doc=/Archives/edgar/data/0000320187/000032018722000004/nke-20211130.htm" TargetMode="External"/><Relationship Id="rId28" Type="http://schemas.openxmlformats.org/officeDocument/2006/relationships/hyperlink" Target="https://www.sec.gov/ix?doc=/Archives/edgar/data/0000320187/000032018722000004/nke-20211130.htm" TargetMode="External"/><Relationship Id="rId49" Type="http://schemas.openxmlformats.org/officeDocument/2006/relationships/hyperlink" Target="https://www.sec.gov/ix?doc=/Archives/edgar/data/0000320187/000032018722000004/nke-20211130.htm" TargetMode="External"/><Relationship Id="rId114" Type="http://schemas.openxmlformats.org/officeDocument/2006/relationships/hyperlink" Target="https://www.sec.gov/ix?doc=/Archives/edgar/data/0000320187/000032018722000004/nke-20211130.htm" TargetMode="External"/><Relationship Id="rId119" Type="http://schemas.openxmlformats.org/officeDocument/2006/relationships/hyperlink" Target="https://www.sec.gov/Archives/edgar/data/320187/000032018720000029/nkeexhibit31.htm" TargetMode="External"/><Relationship Id="rId44" Type="http://schemas.openxmlformats.org/officeDocument/2006/relationships/hyperlink" Target="https://www.sec.gov/ix?doc=/Archives/edgar/data/0000320187/000032018722000004/nke-20211130.htm" TargetMode="External"/><Relationship Id="rId60" Type="http://schemas.openxmlformats.org/officeDocument/2006/relationships/hyperlink" Target="https://www.sec.gov/ix?doc=/Archives/edgar/data/0000320187/000032018722000004/nke-20211130.htm" TargetMode="External"/><Relationship Id="rId65" Type="http://schemas.openxmlformats.org/officeDocument/2006/relationships/hyperlink" Target="https://www.sec.gov/ix?doc=/Archives/edgar/data/0000320187/000032018722000004/nke-20211130.htm" TargetMode="External"/><Relationship Id="rId81" Type="http://schemas.openxmlformats.org/officeDocument/2006/relationships/hyperlink" Target="https://www.sec.gov/ix?doc=/Archives/edgar/data/0000320187/000032018722000004/nke-20211130.htm" TargetMode="External"/><Relationship Id="rId86" Type="http://schemas.openxmlformats.org/officeDocument/2006/relationships/hyperlink" Target="https://www.sec.gov/ix?doc=/Archives/edgar/data/0000320187/000032018722000004/nke-20211130.htm" TargetMode="External"/><Relationship Id="rId13" Type="http://schemas.openxmlformats.org/officeDocument/2006/relationships/hyperlink" Target="https://www.sec.gov/ix?doc=/Archives/edgar/data/0000320187/000032018722000004/nke-20211130.htm" TargetMode="External"/><Relationship Id="rId18" Type="http://schemas.openxmlformats.org/officeDocument/2006/relationships/hyperlink" Target="https://www.sec.gov/ix?doc=/Archives/edgar/data/0000320187/000032018722000004/nke-20211130.htm" TargetMode="External"/><Relationship Id="rId39" Type="http://schemas.openxmlformats.org/officeDocument/2006/relationships/hyperlink" Target="https://www.sec.gov/ix?doc=/Archives/edgar/data/0000320187/000032018722000004/nke-20211130.htm" TargetMode="External"/><Relationship Id="rId109" Type="http://schemas.openxmlformats.org/officeDocument/2006/relationships/hyperlink" Target="https://www.sec.gov/ix?doc=/Archives/edgar/data/0000320187/000032018722000004/nke-20211130.htm" TargetMode="External"/><Relationship Id="rId34" Type="http://schemas.openxmlformats.org/officeDocument/2006/relationships/hyperlink" Target="https://www.sec.gov/ix?doc=/Archives/edgar/data/0000320187/000032018722000004/nke-20211130.htm" TargetMode="External"/><Relationship Id="rId50" Type="http://schemas.openxmlformats.org/officeDocument/2006/relationships/hyperlink" Target="https://www.sec.gov/ix?doc=/Archives/edgar/data/0000320187/000032018722000004/nke-20211130.htm" TargetMode="External"/><Relationship Id="rId55" Type="http://schemas.openxmlformats.org/officeDocument/2006/relationships/hyperlink" Target="https://www.sec.gov/ix?doc=/Archives/edgar/data/0000320187/000032018722000004/nke-20211130.htm" TargetMode="External"/><Relationship Id="rId76" Type="http://schemas.openxmlformats.org/officeDocument/2006/relationships/hyperlink" Target="https://www.sec.gov/ix?doc=/Archives/edgar/data/0000320187/000032018722000004/nke-20211130.htm" TargetMode="External"/><Relationship Id="rId97" Type="http://schemas.openxmlformats.org/officeDocument/2006/relationships/hyperlink" Target="https://www.sec.gov/ix?doc=/Archives/edgar/data/0000320187/000032018722000004/nke-20211130.htm" TargetMode="External"/><Relationship Id="rId104" Type="http://schemas.openxmlformats.org/officeDocument/2006/relationships/hyperlink" Target="https://www.sec.gov/ix?doc=/Archives/edgar/data/0000320187/000032018722000004/nke-20211130.htm" TargetMode="External"/><Relationship Id="rId120" Type="http://schemas.openxmlformats.org/officeDocument/2006/relationships/hyperlink" Target="https://www.sec.gov/Archives/edgar/data/0000320187/000032018722000004/nke-11302021xexhibit311.htm" TargetMode="External"/><Relationship Id="rId125" Type="http://schemas.openxmlformats.org/officeDocument/2006/relationships/fontTable" Target="fontTable.xml"/><Relationship Id="rId7" Type="http://schemas.openxmlformats.org/officeDocument/2006/relationships/hyperlink" Target="https://www.sec.gov/ix?doc=/Archives/edgar/data/0000320187/000032018722000004/nke-20211130.htm" TargetMode="External"/><Relationship Id="rId71" Type="http://schemas.openxmlformats.org/officeDocument/2006/relationships/hyperlink" Target="https://www.sec.gov/ix?doc=/Archives/edgar/data/0000320187/000032018722000004/nke-20211130.htm" TargetMode="External"/><Relationship Id="rId92" Type="http://schemas.openxmlformats.org/officeDocument/2006/relationships/hyperlink" Target="https://www.sec.gov/ix?doc=/Archives/edgar/data/0000320187/000032018722000004/nke-20211130.htm" TargetMode="External"/><Relationship Id="rId2" Type="http://schemas.openxmlformats.org/officeDocument/2006/relationships/settings" Target="settings.xml"/><Relationship Id="rId29" Type="http://schemas.openxmlformats.org/officeDocument/2006/relationships/hyperlink" Target="https://www.sec.gov/ix?doc=/Archives/edgar/data/0000320187/000032018722000004/nke-20211130.htm" TargetMode="External"/><Relationship Id="rId24" Type="http://schemas.openxmlformats.org/officeDocument/2006/relationships/hyperlink" Target="https://www.sec.gov/ix?doc=/Archives/edgar/data/0000320187/000032018722000004/nke-20211130.htm" TargetMode="External"/><Relationship Id="rId40" Type="http://schemas.openxmlformats.org/officeDocument/2006/relationships/hyperlink" Target="https://www.sec.gov/ix?doc=/Archives/edgar/data/0000320187/000032018722000004/nke-20211130.htm" TargetMode="External"/><Relationship Id="rId45" Type="http://schemas.openxmlformats.org/officeDocument/2006/relationships/hyperlink" Target="https://www.sec.gov/ix?doc=/Archives/edgar/data/0000320187/000032018722000004/nke-20211130.htm" TargetMode="External"/><Relationship Id="rId66" Type="http://schemas.openxmlformats.org/officeDocument/2006/relationships/hyperlink" Target="https://www.sec.gov/ix?doc=/Archives/edgar/data/0000320187/000032018722000004/nke-20211130.htm" TargetMode="External"/><Relationship Id="rId87" Type="http://schemas.openxmlformats.org/officeDocument/2006/relationships/hyperlink" Target="https://www.sec.gov/ix?doc=/Archives/edgar/data/0000320187/000032018722000004/nke-20211130.htm" TargetMode="External"/><Relationship Id="rId110" Type="http://schemas.openxmlformats.org/officeDocument/2006/relationships/hyperlink" Target="https://www.sec.gov/ix?doc=/Archives/edgar/data/0000320187/000032018722000004/nke-20211130.htm" TargetMode="External"/><Relationship Id="rId115" Type="http://schemas.openxmlformats.org/officeDocument/2006/relationships/hyperlink" Target="https://www.sec.gov/ix?doc=/Archives/edgar/data/0000320187/000032018722000004/nke-20211130.htm" TargetMode="External"/><Relationship Id="rId61" Type="http://schemas.openxmlformats.org/officeDocument/2006/relationships/hyperlink" Target="https://www.sec.gov/ix?doc=/Archives/edgar/data/0000320187/000032018722000004/nke-20211130.htm" TargetMode="External"/><Relationship Id="rId82" Type="http://schemas.openxmlformats.org/officeDocument/2006/relationships/hyperlink" Target="https://www.sec.gov/ix?doc=/Archives/edgar/data/0000320187/000032018722000004/nke-20211130.htm" TargetMode="External"/><Relationship Id="rId19" Type="http://schemas.openxmlformats.org/officeDocument/2006/relationships/hyperlink" Target="https://www.sec.gov/ix?doc=/Archives/edgar/data/0000320187/000032018722000004/nke-20211130.htm" TargetMode="External"/><Relationship Id="rId14" Type="http://schemas.openxmlformats.org/officeDocument/2006/relationships/hyperlink" Target="https://www.sec.gov/ix?doc=/Archives/edgar/data/0000320187/000032018722000004/nke-20211130.htm" TargetMode="External"/><Relationship Id="rId30" Type="http://schemas.openxmlformats.org/officeDocument/2006/relationships/hyperlink" Target="https://www.sec.gov/ix?doc=/Archives/edgar/data/0000320187/000032018722000004/nke-20211130.htm" TargetMode="External"/><Relationship Id="rId35" Type="http://schemas.openxmlformats.org/officeDocument/2006/relationships/hyperlink" Target="https://www.sec.gov/ix?doc=/Archives/edgar/data/0000320187/000032018722000004/nke-20211130.htm" TargetMode="External"/><Relationship Id="rId56" Type="http://schemas.openxmlformats.org/officeDocument/2006/relationships/hyperlink" Target="https://www.sec.gov/ix?doc=/Archives/edgar/data/0000320187/000032018722000004/nke-20211130.htm" TargetMode="External"/><Relationship Id="rId77" Type="http://schemas.openxmlformats.org/officeDocument/2006/relationships/hyperlink" Target="https://www.sec.gov/ix?doc=/Archives/edgar/data/0000320187/000032018722000004/nke-20211130.htm" TargetMode="External"/><Relationship Id="rId100" Type="http://schemas.openxmlformats.org/officeDocument/2006/relationships/hyperlink" Target="https://www.sec.gov/ix?doc=/Archives/edgar/data/0000320187/000032018722000004/nke-20211130.htm" TargetMode="External"/><Relationship Id="rId105" Type="http://schemas.openxmlformats.org/officeDocument/2006/relationships/hyperlink" Target="https://www.sec.gov/ix?doc=/Archives/edgar/data/0000320187/000032018722000004/nke-20211130.htm" TargetMode="External"/><Relationship Id="rId126" Type="http://schemas.openxmlformats.org/officeDocument/2006/relationships/theme" Target="theme/theme1.xml"/><Relationship Id="rId8" Type="http://schemas.openxmlformats.org/officeDocument/2006/relationships/hyperlink" Target="https://www.sec.gov/ix?doc=/Archives/edgar/data/0000320187/000032018722000004/nke-20211130.htm" TargetMode="External"/><Relationship Id="rId51" Type="http://schemas.openxmlformats.org/officeDocument/2006/relationships/hyperlink" Target="https://www.sec.gov/ix?doc=/Archives/edgar/data/0000320187/000032018722000004/nke-20211130.htm" TargetMode="External"/><Relationship Id="rId72" Type="http://schemas.openxmlformats.org/officeDocument/2006/relationships/hyperlink" Target="https://www.sec.gov/ix?doc=/Archives/edgar/data/0000320187/000032018722000004/nke-20211130.htm" TargetMode="External"/><Relationship Id="rId93" Type="http://schemas.openxmlformats.org/officeDocument/2006/relationships/hyperlink" Target="https://www.sec.gov/ix?doc=/Archives/edgar/data/0000320187/000032018722000004/nke-20211130.htm" TargetMode="External"/><Relationship Id="rId98" Type="http://schemas.openxmlformats.org/officeDocument/2006/relationships/hyperlink" Target="https://www.sec.gov/ix?doc=/Archives/edgar/data/0000320187/000032018722000004/nke-20211130.htm" TargetMode="External"/><Relationship Id="rId121" Type="http://schemas.openxmlformats.org/officeDocument/2006/relationships/hyperlink" Target="https://www.sec.gov/Archives/edgar/data/0000320187/000032018722000004/nke-11302021xexhibit312.htm" TargetMode="External"/><Relationship Id="rId3" Type="http://schemas.openxmlformats.org/officeDocument/2006/relationships/webSettings" Target="webSettings.xml"/><Relationship Id="rId25" Type="http://schemas.openxmlformats.org/officeDocument/2006/relationships/hyperlink" Target="https://www.sec.gov/ix?doc=/Archives/edgar/data/0000320187/000032018722000004/nke-20211130.htm" TargetMode="External"/><Relationship Id="rId46" Type="http://schemas.openxmlformats.org/officeDocument/2006/relationships/hyperlink" Target="https://www.sec.gov/ix?doc=/Archives/edgar/data/0000320187/000032018722000004/nke-20211130.htm" TargetMode="External"/><Relationship Id="rId67" Type="http://schemas.openxmlformats.org/officeDocument/2006/relationships/hyperlink" Target="https://www.sec.gov/ix?doc=/Archives/edgar/data/0000320187/000032018722000004/nke-20211130.htm" TargetMode="External"/><Relationship Id="rId116" Type="http://schemas.openxmlformats.org/officeDocument/2006/relationships/hyperlink" Target="http://www.sec.gov/Archives/edgar/data/320187/000032018716000242/nke-11302015xexhibit31.htm" TargetMode="External"/><Relationship Id="rId20" Type="http://schemas.openxmlformats.org/officeDocument/2006/relationships/hyperlink" Target="https://www.sec.gov/ix?doc=/Archives/edgar/data/0000320187/000032018722000004/nke-20211130.htm" TargetMode="External"/><Relationship Id="rId41" Type="http://schemas.openxmlformats.org/officeDocument/2006/relationships/hyperlink" Target="https://www.sec.gov/ix?doc=/Archives/edgar/data/0000320187/000032018722000004/nke-20211130.htm" TargetMode="External"/><Relationship Id="rId62" Type="http://schemas.openxmlformats.org/officeDocument/2006/relationships/hyperlink" Target="https://www.sec.gov/ix?doc=/Archives/edgar/data/0000320187/000032018722000004/nke-20211130.htm" TargetMode="External"/><Relationship Id="rId83" Type="http://schemas.openxmlformats.org/officeDocument/2006/relationships/hyperlink" Target="https://www.sec.gov/ix?doc=/Archives/edgar/data/0000320187/000032018722000004/nke-20211130.htm" TargetMode="External"/><Relationship Id="rId88" Type="http://schemas.openxmlformats.org/officeDocument/2006/relationships/hyperlink" Target="https://www.sec.gov/ix?doc=/Archives/edgar/data/0000320187/000032018722000004/nke-20211130.htm" TargetMode="External"/><Relationship Id="rId111" Type="http://schemas.openxmlformats.org/officeDocument/2006/relationships/hyperlink" Target="https://www.sec.gov/ix?doc=/Archives/edgar/data/0000320187/000032018722000004/nke-20211130.htm" TargetMode="External"/><Relationship Id="rId15" Type="http://schemas.openxmlformats.org/officeDocument/2006/relationships/hyperlink" Target="https://www.sec.gov/ix?doc=/Archives/edgar/data/0000320187/000032018722000004/nke-20211130.htm" TargetMode="External"/><Relationship Id="rId36" Type="http://schemas.openxmlformats.org/officeDocument/2006/relationships/hyperlink" Target="https://www.sec.gov/ix?doc=/Archives/edgar/data/0000320187/000032018722000004/nke-20211130.htm" TargetMode="External"/><Relationship Id="rId57" Type="http://schemas.openxmlformats.org/officeDocument/2006/relationships/hyperlink" Target="https://www.sec.gov/ix?doc=/Archives/edgar/data/0000320187/000032018722000004/nke-20211130.htm" TargetMode="External"/><Relationship Id="rId106" Type="http://schemas.openxmlformats.org/officeDocument/2006/relationships/hyperlink" Target="https://www.sec.gov/ix?doc=/Archives/edgar/data/0000320187/000032018722000004/nke-20211130.htm" TargetMode="External"/><Relationship Id="rId10" Type="http://schemas.openxmlformats.org/officeDocument/2006/relationships/hyperlink" Target="https://www.sec.gov/ix?doc=/Archives/edgar/data/0000320187/000032018722000004/nke-20211130.htm" TargetMode="External"/><Relationship Id="rId31" Type="http://schemas.openxmlformats.org/officeDocument/2006/relationships/hyperlink" Target="https://www.sec.gov/ix?doc=/Archives/edgar/data/0000320187/000032018722000004/nke-20211130.htm" TargetMode="External"/><Relationship Id="rId52" Type="http://schemas.openxmlformats.org/officeDocument/2006/relationships/hyperlink" Target="https://www.sec.gov/ix?doc=/Archives/edgar/data/0000320187/000032018722000004/nke-20211130.htm" TargetMode="External"/><Relationship Id="rId73" Type="http://schemas.openxmlformats.org/officeDocument/2006/relationships/hyperlink" Target="https://www.sec.gov/ix?doc=/Archives/edgar/data/0000320187/000032018722000004/nke-20211130.htm" TargetMode="External"/><Relationship Id="rId78" Type="http://schemas.openxmlformats.org/officeDocument/2006/relationships/hyperlink" Target="https://www.sec.gov/ix?doc=/Archives/edgar/data/0000320187/000032018722000004/nke-20211130.htm" TargetMode="External"/><Relationship Id="rId94" Type="http://schemas.openxmlformats.org/officeDocument/2006/relationships/hyperlink" Target="https://www.sec.gov/ix?doc=/Archives/edgar/data/0000320187/000032018722000004/nke-20211130.htm" TargetMode="External"/><Relationship Id="rId99" Type="http://schemas.openxmlformats.org/officeDocument/2006/relationships/hyperlink" Target="https://www.sec.gov/ix?doc=/Archives/edgar/data/0000320187/000032018722000004/nke-20211130.htm" TargetMode="External"/><Relationship Id="rId101" Type="http://schemas.openxmlformats.org/officeDocument/2006/relationships/hyperlink" Target="https://www.sec.gov/ix?doc=/Archives/edgar/data/0000320187/000032018722000004/nke-20211130.htm" TargetMode="External"/><Relationship Id="rId122" Type="http://schemas.openxmlformats.org/officeDocument/2006/relationships/hyperlink" Target="https://www.sec.gov/Archives/edgar/data/0000320187/000032018722000004/nke-11302021xexhibit321.htm" TargetMode="External"/><Relationship Id="rId4" Type="http://schemas.openxmlformats.org/officeDocument/2006/relationships/footnotes" Target="footnotes.xml"/><Relationship Id="rId9" Type="http://schemas.openxmlformats.org/officeDocument/2006/relationships/hyperlink" Target="https://www.sec.gov/ix?doc=/Archives/edgar/data/0000320187/000032018722000004/nke-202111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26584</Words>
  <Characters>151529</Characters>
  <Application>Microsoft Office Word</Application>
  <DocSecurity>0</DocSecurity>
  <Lines>1262</Lines>
  <Paragraphs>355</Paragraphs>
  <ScaleCrop>false</ScaleCrop>
  <Company/>
  <LinksUpToDate>false</LinksUpToDate>
  <CharactersWithSpaces>177758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2023-02-11T21:31:00Z</dcterms:created>
  <dcterms:modified xsi:type="dcterms:W3CDTF">2023-02-13T11:26:00Z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1CCAC2713F207450B898E7636C0DFF39</vt:lpwstr>
  </property>
</Properties>
</file>