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C087" w14:textId="34ABD222" w:rsidR="008A3BAC" w:rsidRDefault="005C75B9">
      <w:pPr>
        <w:rPr>
          <w:vanish/>
        </w:rPr>
      </w:pPr>
      <w:r>
        <w:rPr>
          <w:rFonts w:ascii="宋体" w:eastAsia="宋体" w:hAnsi="宋体" w:cs="宋体"/>
        </w:rPr>
        <w:t xml:space="preserve"> </w:t>
      </w:r>
      <w:r>
        <w:rPr>
          <w:rFonts w:ascii="宋体" w:eastAsia="宋体" w:hAnsi="宋体" w:cs="宋体"/>
          <w:vanish/>
        </w:rPr>
        <w:t xml:space="preserve">false2022Q30000320187May </w:t>
      </w:r>
      <w:r>
        <w:rPr>
          <w:rFonts w:ascii="宋体" w:eastAsia="宋体" w:hAnsi="宋体" w:cs="宋体"/>
          <w:vanish/>
        </w:rPr>
        <w:t>31YesYes00003201872021-06-012022-02-280000320187us-gaap:CommonClassAMember2022-03-28xbrli:shares0000320187us-gaap:CommonClassBMember2022-03-2800003201872021-12-012022-02-28iso4217:USD00003201872020-12-012021-02-2800003201872020-06-012021-02-28iso4217:USDxb</w:t>
      </w:r>
      <w:r>
        <w:rPr>
          <w:rFonts w:ascii="宋体" w:eastAsia="宋体" w:hAnsi="宋体" w:cs="宋体"/>
          <w:vanish/>
        </w:rPr>
        <w:t>rli:shares00003201872022-02-2800003201872021-05-310000320187us-gaap:CommonClassAMember2022-02-280000320187us-gaap:CommonClassAMember2021-05-310000320187us-gaap:CommonClassBMember2022-02-280000320187us-gaap:CommonClassBMember2021-05-3100003201872020-05-3100</w:t>
      </w:r>
      <w:r>
        <w:rPr>
          <w:rFonts w:ascii="宋体" w:eastAsia="宋体" w:hAnsi="宋体" w:cs="宋体"/>
          <w:vanish/>
        </w:rPr>
        <w:t>003201872021-02-280000320187us-gaap:CommonClassAMemberus-gaap:CommonStockMember2021-11-300000320187us-gaap:CommonStockMemberus-gaap:CommonClassBMember2021-11-300000320187us-gaap:AdditionalPaidInCapitalMember2021-11-300000320187us-gaap:AccumulatedOtherCompr</w:t>
      </w:r>
      <w:r>
        <w:rPr>
          <w:rFonts w:ascii="宋体" w:eastAsia="宋体" w:hAnsi="宋体" w:cs="宋体"/>
          <w:vanish/>
        </w:rPr>
        <w:t>ehensiveIncomeMember2021-11-300000320187us-gaap:RetainedEarningsMember2021-11-3000003201872021-11-300000320187us-gaap:CommonStockMemberus-gaap:CommonClassBMember2021-12-012022-02-280000320187us-gaap:AdditionalPaidInCapitalMember2021-12-012022-02-2800003201</w:t>
      </w:r>
      <w:r>
        <w:rPr>
          <w:rFonts w:ascii="宋体" w:eastAsia="宋体" w:hAnsi="宋体" w:cs="宋体"/>
          <w:vanish/>
        </w:rPr>
        <w:t>87us-gaap:RetainedEarningsMember2021-12-012022-02-280000320187us-gaap:AccumulatedOtherComprehensiveIncomeMember2021-12-012022-02-280000320187us-gaap:CommonClassAMemberus-gaap:CommonStockMember2022-02-280000320187us-gaap:CommonStockMemberus-gaap:CommonClass</w:t>
      </w:r>
      <w:r>
        <w:rPr>
          <w:rFonts w:ascii="宋体" w:eastAsia="宋体" w:hAnsi="宋体" w:cs="宋体"/>
          <w:vanish/>
        </w:rPr>
        <w:t>BMember2022-02-280000320187us-gaap:AdditionalPaidInCapitalMember2022-02-280000320187us-gaap:AccumulatedOtherComprehensiveIncomeMember2022-02-280000320187us-gaap:RetainedEarningsMember2022-02-280000320187us-gaap:CommonClassAMemberus-gaap:CommonStockMember20</w:t>
      </w:r>
      <w:r>
        <w:rPr>
          <w:rFonts w:ascii="宋体" w:eastAsia="宋体" w:hAnsi="宋体" w:cs="宋体"/>
          <w:vanish/>
        </w:rPr>
        <w:t>20-11-300000320187us-gaap:CommonStockMemberus-gaap:CommonClassBMember2020-11-300000320187us-gaap:AdditionalPaidInCapitalMember2020-11-300000320187us-gaap:AccumulatedOtherComprehensiveIncomeMember2020-11-300000320187us-gaap:RetainedEarningsMember2020-11-300</w:t>
      </w:r>
      <w:r>
        <w:rPr>
          <w:rFonts w:ascii="宋体" w:eastAsia="宋体" w:hAnsi="宋体" w:cs="宋体"/>
          <w:vanish/>
        </w:rPr>
        <w:t>0003201872020-11-300000320187us-gaap:CommonStockMemberus-gaap:CommonClassBMember2020-12-012021-02-280000320187us-gaap:AdditionalPaidInCapitalMember2020-12-012021-02-280000320187us-gaap:RetainedEarningsMember2020-12-012021-02-280000320187us-gaap:Accumulated</w:t>
      </w:r>
      <w:r>
        <w:rPr>
          <w:rFonts w:ascii="宋体" w:eastAsia="宋体" w:hAnsi="宋体" w:cs="宋体"/>
          <w:vanish/>
        </w:rPr>
        <w:t>OtherComprehensiveIncomeMember2020-12-012021-02-280000320187us-gaap:CommonClassAMemberus-gaap:CommonStockMember2021-02-280000320187us-gaap:CommonStockMemberus-gaap:CommonClassBMember2021-02-280000320187us-gaap:AdditionalPaidInCapitalMember2021-02-280000320</w:t>
      </w:r>
      <w:r>
        <w:rPr>
          <w:rFonts w:ascii="宋体" w:eastAsia="宋体" w:hAnsi="宋体" w:cs="宋体"/>
          <w:vanish/>
        </w:rPr>
        <w:t>187us-gaap:AccumulatedOtherComprehensiveIncomeMember2021-02-280000320187us-gaap:RetainedEarningsMember2021-02-280000320187us-gaap:CommonClassAMemberus-gaap:CommonStockMember2021-05-310000320187us-gaap:CommonStockMemberus-gaap:CommonClassBMember2021-05-3100</w:t>
      </w:r>
      <w:r>
        <w:rPr>
          <w:rFonts w:ascii="宋体" w:eastAsia="宋体" w:hAnsi="宋体" w:cs="宋体"/>
          <w:vanish/>
        </w:rPr>
        <w:t>00320187us-gaap:AdditionalPaidInCapitalMember2021-05-310000320187us-gaap:AccumulatedOtherComprehensiveIncomeMember2021-05-310000320187us-gaap:RetainedEarningsMember2021-05-310000320187us-gaap:CommonStockMemberus-gaap:CommonClassBMember2021-06-012022-02-280</w:t>
      </w:r>
      <w:r>
        <w:rPr>
          <w:rFonts w:ascii="宋体" w:eastAsia="宋体" w:hAnsi="宋体" w:cs="宋体"/>
          <w:vanish/>
        </w:rPr>
        <w:t>000320187us-gaap:AdditionalPaidInCapitalMember2021-06-012022-02-280000320187us-gaap:RetainedEarningsMember2021-06-012022-02-280000320187us-gaap:AccumulatedOtherComprehensiveIncomeMember2021-06-012022-02-280000320187us-gaap:CommonClassAMemberus-gaap:CommonS</w:t>
      </w:r>
      <w:r>
        <w:rPr>
          <w:rFonts w:ascii="宋体" w:eastAsia="宋体" w:hAnsi="宋体" w:cs="宋体"/>
          <w:vanish/>
        </w:rPr>
        <w:t>tockMember2020-05-310000320187us-gaap:CommonStockMemberus-gaap:CommonClassBMember2020-05-310000320187us-gaap:AdditionalPaidInCapitalMember2020-05-310000320187us-gaap:AccumulatedOtherComprehensiveIncomeMember2020-05-310000320187us-gaap:RetainedEarningsMembe</w:t>
      </w:r>
      <w:r>
        <w:rPr>
          <w:rFonts w:ascii="宋体" w:eastAsia="宋体" w:hAnsi="宋体" w:cs="宋体"/>
          <w:vanish/>
        </w:rPr>
        <w:t>r2020-05-310000320187us-gaap:CommonStockMemberus-gaap:CommonClassBMember2020-06-012021-02-280000320187us-gaap:AdditionalPaidInCapitalMember2020-06-012021-02-280000320187us-gaap:CommonClassAMemberus-gaap:CommonStockMember2020-06-012021-02-280000320187us-gaa</w:t>
      </w:r>
      <w:r>
        <w:rPr>
          <w:rFonts w:ascii="宋体" w:eastAsia="宋体" w:hAnsi="宋体" w:cs="宋体"/>
          <w:vanish/>
        </w:rPr>
        <w:t>p:RetainedEarningsMember2020-06-012021-02-280000320187us-gaap:AccumulatedOtherComprehensiveIncomeMember2020-06-012021-02-280000320187us-gaap:FairValueMeasurementsRecurringMember2022-02-280000320187us-gaap:FairValueInputsLevel1Memberus-gaap:USTreasurySecuri</w:t>
      </w:r>
      <w:r>
        <w:rPr>
          <w:rFonts w:ascii="宋体" w:eastAsia="宋体" w:hAnsi="宋体" w:cs="宋体"/>
          <w:vanish/>
        </w:rPr>
        <w:t>tiesMemberus-gaap:FairValueMeasurementsRecurringMember2022-02-280000320187nke:CommercialPaperandBondsMemberus-gaap:FairValueMeasurementsRecurringMemberus-gaap:FairValueInputsLevel2Member2022-02-280000320187us-gaap:FairValueMeasurementsRecurringMemberus-gaa</w:t>
      </w:r>
      <w:r>
        <w:rPr>
          <w:rFonts w:ascii="宋体" w:eastAsia="宋体" w:hAnsi="宋体" w:cs="宋体"/>
          <w:vanish/>
        </w:rPr>
        <w:t>p:MoneyMarketFundsMemberus-gaap:FairValueInputsLevel2Member2022-02-280000320187us-gaap:FairValueMeasurementsRecurringMemberus-gaap:BankTimeDepositsMemberus-gaap:FairValueInputsLevel2Member2022-02-280000320187us-gaap:FairValueMeasurementsRecurringMemberus-g</w:t>
      </w:r>
      <w:r>
        <w:rPr>
          <w:rFonts w:ascii="宋体" w:eastAsia="宋体" w:hAnsi="宋体" w:cs="宋体"/>
          <w:vanish/>
        </w:rPr>
        <w:t>aap:FairValueInputsLevel2Member2022-02-280000320187us-gaap:FairValueMeasurementsRecurringMember2021-05-310000320187us-gaap:FairValueInputsLevel1Memberus-gaap:USTreasurySecuritiesMemberus-gaap:FairValueMeasurementsRecurringMember2021-05-310000320187nke:Comm</w:t>
      </w:r>
      <w:r>
        <w:rPr>
          <w:rFonts w:ascii="宋体" w:eastAsia="宋体" w:hAnsi="宋体" w:cs="宋体"/>
          <w:vanish/>
        </w:rPr>
        <w:t>ercialPaperandBondsMemberus-gaap:FairValueMeasurementsRecurringMemberus-gaap:FairValueInputsLevel2Member2021-05-310000320187us-gaap:FairValueMeasurementsRecurringMemberus-gaap:MoneyMarketFundsMemberus-gaap:FairValueInputsLevel2Member2021-05-310000320187us-</w:t>
      </w:r>
      <w:r>
        <w:rPr>
          <w:rFonts w:ascii="宋体" w:eastAsia="宋体" w:hAnsi="宋体" w:cs="宋体"/>
          <w:vanish/>
        </w:rPr>
        <w:t>gaap:FairValueMeasurementsRecurringMemberus-gaap:BankTimeDepositsMemberus-gaap:FairValueInputsLevel2Member2021-05-310000320187us-gaap:FairValueMeasurementsRecurringMemberus-gaap:USGovernmentAgenciesDebtSecuritiesMemberus-gaap:FairValueInputsLevel2Member202</w:t>
      </w:r>
      <w:r>
        <w:rPr>
          <w:rFonts w:ascii="宋体" w:eastAsia="宋体" w:hAnsi="宋体" w:cs="宋体"/>
          <w:vanish/>
        </w:rPr>
        <w:t>1-05-310000320187us-gaap:FairValueMeasurementsRecurringMemberus-gaap:FairValueInputsLevel2Member2021-05-310000320187us-gaap:AvailableforsaleSecuritiesMember2022-02-280000320187nke:InterestIncomeExpenseNetMember2021-12-012022-02-280000320187nke:InterestInco</w:t>
      </w:r>
      <w:r>
        <w:rPr>
          <w:rFonts w:ascii="宋体" w:eastAsia="宋体" w:hAnsi="宋体" w:cs="宋体"/>
          <w:vanish/>
        </w:rPr>
        <w:t>meExpenseNetMember2020-12-012021-02-280000320187nke:InterestIncomeExpenseNetMember2021-06-012022-02-280000320187nke:InterestIncomeExpenseNetMember2020-06-012021-02-280000320187us-gaap:ForeignExchangeContractMemberus-gaap:FairValueMeasurementsRecurringMembe</w:t>
      </w:r>
      <w:r>
        <w:rPr>
          <w:rFonts w:ascii="宋体" w:eastAsia="宋体" w:hAnsi="宋体" w:cs="宋体"/>
          <w:vanish/>
        </w:rPr>
        <w:t>rus-gaap:FairValueInputsLevel2Member2022-02-280000320187us-gaap:FairValueMeasurementsRecurringMemberus-gaap:FairValueInputsLevel2Memberus-gaap:EmbeddedDerivativeFinancialInstrumentsMember2022-02-280000320187us-gaap:ForeignExchangeContractMemberus-gaap:Fair</w:t>
      </w:r>
      <w:r>
        <w:rPr>
          <w:rFonts w:ascii="宋体" w:eastAsia="宋体" w:hAnsi="宋体" w:cs="宋体"/>
          <w:vanish/>
        </w:rPr>
        <w:t>ValueMeasurementsRecurringMember2022-02-280000320187us-gaap:ForeignExchangeContractMemberus-gaap:CashAndCashEquivalentsMember2022-02-280000320187us-gaap:ForeignExchangeContractMemberus-gaap:FairValueMeasurementsRecurringMemberus-gaap:FairValueInputsLevel2M</w:t>
      </w:r>
      <w:r>
        <w:rPr>
          <w:rFonts w:ascii="宋体" w:eastAsia="宋体" w:hAnsi="宋体" w:cs="宋体"/>
          <w:vanish/>
        </w:rPr>
        <w:t>ember2021-05-310000320187us-gaap:FairValueMeasurementsRecurringMemberus-gaap:FairValueInputsLevel2Memberus-gaap:EmbeddedDerivativeFinancialInstrumentsMember2021-05-310000320187us-gaap:ForeignExchangeContractMemberus-gaap:FairValueMeasurementsRecurringMembe</w:t>
      </w:r>
      <w:r>
        <w:rPr>
          <w:rFonts w:ascii="宋体" w:eastAsia="宋体" w:hAnsi="宋体" w:cs="宋体"/>
          <w:vanish/>
        </w:rPr>
        <w:t>r2021-05-310000320187us-gaap:ForeignExchangeContractMemberus-gaap:CashAndCashEquivalentsMember2021-05-310000320187us-gaap:CommercialPaperMember2022-02-280000320187us-gaap:CommercialPaperMember2021-05-310000320187us-gaap:RevolvingCreditFacilityMemberus-gaap</w:t>
      </w:r>
      <w:r>
        <w:rPr>
          <w:rFonts w:ascii="宋体" w:eastAsia="宋体" w:hAnsi="宋体" w:cs="宋体"/>
          <w:vanish/>
        </w:rPr>
        <w:t>:SubsequentEventMembernke:CommittedCreditFacilityMaturingMarch102023Memberus-gaap:LineOfCreditMember2022-03-112022-03-110000320187us-gaap:RevolvingCreditFacilityMemberus-gaap:SubsequentEventMembernke:CommittedCreditFacilityMaturingMarch102023Memberus-gaap:</w:t>
      </w:r>
      <w:r>
        <w:rPr>
          <w:rFonts w:ascii="宋体" w:eastAsia="宋体" w:hAnsi="宋体" w:cs="宋体"/>
          <w:vanish/>
        </w:rPr>
        <w:t>LineOfCreditMember2022-03-110000320187nke:RevolvingCreditFacilityOptionToIncreaseUponLenderApprovalMemberus-gaap:SubsequentEventMembernke:CommittedCreditFacilityMaturingMarch102023Memberus-gaap:LineOfCreditMember2022-03-110000320187us-gaap:RevolvingCreditF</w:t>
      </w:r>
      <w:r>
        <w:rPr>
          <w:rFonts w:ascii="宋体" w:eastAsia="宋体" w:hAnsi="宋体" w:cs="宋体"/>
          <w:vanish/>
        </w:rPr>
        <w:t>acilityMembernke:CommittedCreditFacilityMaturingMarch102023Memberus-gaap:LineOfCreditMember2021-03-150000320187us-gaap:RevolvingCreditFacilityMembernke:CommittedCreditFacilityMaturingMarch102023Memberus-gaap:LineOfCreditMember2021-03-152021-03-150000320187</w:t>
      </w:r>
      <w:r>
        <w:rPr>
          <w:rFonts w:ascii="宋体" w:eastAsia="宋体" w:hAnsi="宋体" w:cs="宋体"/>
          <w:vanish/>
        </w:rPr>
        <w:t>us-gaap:RevolvingCreditFacilityMemberus-gaap:SubsequentEventMembernke:CommittedCreditFacilityMaturingMarch102023Memberus-gaap:SecuredOvernightFinancingRateSofrOvernightIndexSwapRateMemberus-gaap:LineOfCreditMember2022-03-112022-03-11xbrli:pure0000320187us-</w:t>
      </w:r>
      <w:r>
        <w:rPr>
          <w:rFonts w:ascii="宋体" w:eastAsia="宋体" w:hAnsi="宋体" w:cs="宋体"/>
          <w:vanish/>
        </w:rPr>
        <w:t>gaap:RevolvingCreditFacilityMemberus-gaap:SubsequentEventMembernke:CommittedCreditFacilityMaturingMarch102023Member2022-04-050000320187us-gaap:RevolvingCreditFacilityMemberus-gaap:SubsequentEventMembernke:CommittedCreditFacilityMaturingMarch112027Memberus-</w:t>
      </w:r>
      <w:r>
        <w:rPr>
          <w:rFonts w:ascii="宋体" w:eastAsia="宋体" w:hAnsi="宋体" w:cs="宋体"/>
          <w:vanish/>
        </w:rPr>
        <w:t>gaap:LineOfCreditMember2022-03-112022-03-110000320187us-gaap:RevolvingCreditFacilityMemberus-gaap:SubsequentEventMembernke:CommittedCreditFacilityMaturingMarch112027Memberus-gaap:LineOfCreditMember2022-03-110000320187nke:RevolvingCreditFacilityOptionToIncr</w:t>
      </w:r>
      <w:r>
        <w:rPr>
          <w:rFonts w:ascii="宋体" w:eastAsia="宋体" w:hAnsi="宋体" w:cs="宋体"/>
          <w:vanish/>
        </w:rPr>
        <w:t>easeUponLenderApprovalMemberus-gaap:SubsequentEventMembernke:CommittedCreditFacilityMaturingMarch112027Memberus-gaap:LineOfCreditMember2022-03-110000320187us-gaap:RevolvingCreditFacilityMembernke:CommittedCreditFacilityMaturingMarch112027Memberus-gaap:Line</w:t>
      </w:r>
      <w:r>
        <w:rPr>
          <w:rFonts w:ascii="宋体" w:eastAsia="宋体" w:hAnsi="宋体" w:cs="宋体"/>
          <w:vanish/>
        </w:rPr>
        <w:t>OfCreditMember2021-03-150000320187us-gaap:RevolvingCreditFacilityMembernke:CommittedCreditFacilityMaturingMarch112027Memberus-gaap:LineOfCreditMember2021-03-152021-03-150000320187us-gaap:RevolvingCreditFacilityMemberus-gaap:SubsequentEventMemberus-gaap:Sec</w:t>
      </w:r>
      <w:r>
        <w:rPr>
          <w:rFonts w:ascii="宋体" w:eastAsia="宋体" w:hAnsi="宋体" w:cs="宋体"/>
          <w:vanish/>
        </w:rPr>
        <w:t>uredOvernightFinancingRateSofrOvernightIndexSwapRateMembernke:CommittedCreditFacilityMaturingMarch112027Memberus-gaap:LineOfCreditMember2022-03-112022-03-110000320187us-gaap:RevolvingCreditFacilityMemberus-gaap:SubsequentEventMembernke:CommittedCreditFacil</w:t>
      </w:r>
      <w:r>
        <w:rPr>
          <w:rFonts w:ascii="宋体" w:eastAsia="宋体" w:hAnsi="宋体" w:cs="宋体"/>
          <w:vanish/>
        </w:rPr>
        <w:t>ityMaturingMarch112027Memberus-gaap:LineOfCreditMember2022-04-050000320187nke:StockIncentivePlanMemberus-gaap:CommonClassBMember2022-02-280000320187us-gaap:EmployeeStockOptionMemberus-gaap:CommonClassBMember2021-12-012022-02-280000320187us-gaap:EmployeeSto</w:t>
      </w:r>
      <w:r>
        <w:rPr>
          <w:rFonts w:ascii="宋体" w:eastAsia="宋体" w:hAnsi="宋体" w:cs="宋体"/>
          <w:vanish/>
        </w:rPr>
        <w:t>ckOptionMemberus-gaap:CommonClassBMember2020-12-012021-02-280000320187us-gaap:EmployeeStockOptionMemberus-gaap:CommonClassBMember2021-06-012022-02-280000320187us-gaap:EmployeeStockOptionMemberus-gaap:CommonClassBMember2020-06-012021-02-280000320187us-gaap:</w:t>
      </w:r>
      <w:r>
        <w:rPr>
          <w:rFonts w:ascii="宋体" w:eastAsia="宋体" w:hAnsi="宋体" w:cs="宋体"/>
          <w:vanish/>
        </w:rPr>
        <w:t>EmployeeStockMemberus-gaap:CommonClassBMember2021-12-012022-02-280000320187us-gaap:EmployeeStockMemberus-gaap:CommonClassBMember2020-12-012021-02-280000320187us-gaap:EmployeeStockMemberus-gaap:CommonClassBMember2021-06-012022-02-280000320187us-gaap:Employe</w:t>
      </w:r>
      <w:r>
        <w:rPr>
          <w:rFonts w:ascii="宋体" w:eastAsia="宋体" w:hAnsi="宋体" w:cs="宋体"/>
          <w:vanish/>
        </w:rPr>
        <w:t>eStockMemberus-gaap:CommonClassBMember2020-06-012021-02-280000320187nke:RestrictedStockAndRestrictedStockUnitsMemberus-gaap:CommonClassBMember2021-12-012022-02-280000320187nke:RestrictedStockAndRestrictedStockUnitsMemberus-gaap:CommonClassBMember2020-12-01</w:t>
      </w:r>
      <w:r>
        <w:rPr>
          <w:rFonts w:ascii="宋体" w:eastAsia="宋体" w:hAnsi="宋体" w:cs="宋体"/>
          <w:vanish/>
        </w:rPr>
        <w:t>2021-02-280000320187nke:RestrictedStockAndRestrictedStockUnitsMemberus-gaap:CommonClassBMember2021-06-012022-02-280000320187nke:RestrictedStockAndRestrictedStockUnitsMemberus-gaap:CommonClassBMember2020-06-012021-02-280000320187us-gaap:CommonClassBMember20</w:t>
      </w:r>
      <w:r>
        <w:rPr>
          <w:rFonts w:ascii="宋体" w:eastAsia="宋体" w:hAnsi="宋体" w:cs="宋体"/>
          <w:vanish/>
        </w:rPr>
        <w:t>21-12-012022-02-280000320187us-gaap:CommonClassBMember2020-12-012021-02-280000320187us-gaap:CommonClassBMember2021-06-012022-02-280000320187us-gaap:CommonClassBMember2020-06-012021-02-280000320187us-gaap:EmployeeStockOptionMember2021-06-012022-02-280000320</w:t>
      </w:r>
      <w:r>
        <w:rPr>
          <w:rFonts w:ascii="宋体" w:eastAsia="宋体" w:hAnsi="宋体" w:cs="宋体"/>
          <w:vanish/>
        </w:rPr>
        <w:t>187us-gaap:EmployeeStockOptionMember2020-06-012021-02-280000320187nke:StockIncentivePlanMemberus-gaap:CommonClassBMember2021-06-012022-02-280000320187nke:StockIncentivePlanMemberus-gaap:EmployeeStockOptionMember2022-02-280000320187nke:StockIncentivePlanMem</w:t>
      </w:r>
      <w:r>
        <w:rPr>
          <w:rFonts w:ascii="宋体" w:eastAsia="宋体" w:hAnsi="宋体" w:cs="宋体"/>
          <w:vanish/>
        </w:rPr>
        <w:t>berus-gaap:EmployeeStockOptionMember2021-06-012022-02-280000320187nke:RestrictedStockAndRestrictedStockUnitsMember2021-06-012022-02-280000320187nke:RestrictedStockAndRestrictedStockUnitsMember2020-06-012021-02-280000320187us-gaap:PerformanceSharesMember202</w:t>
      </w:r>
      <w:r>
        <w:rPr>
          <w:rFonts w:ascii="宋体" w:eastAsia="宋体" w:hAnsi="宋体" w:cs="宋体"/>
          <w:vanish/>
        </w:rPr>
        <w:t>1-12-012022-02-280000320187nke:RestrictedStockRestrictedStockUnitsAndPerformanceBasedRestrictedStockUnitsMember2022-02-280000320187us-gaap:EmployeeStockOptionMember2021-12-012022-02-280000320187us-gaap:EmployeeStockOptionMember2021-06-012022-02-28000032018</w:t>
      </w:r>
      <w:r>
        <w:rPr>
          <w:rFonts w:ascii="宋体" w:eastAsia="宋体" w:hAnsi="宋体" w:cs="宋体"/>
          <w:vanish/>
        </w:rPr>
        <w:t>7us-gaap:EmployeeStockOptionMember2020-06-012021-02-280000320187us-gaap:ForeignExchangeContractMemberus-gaap:DesignatedAsHedgingInstrumentMemberus-gaap:PrepaidExpensesAndOtherCurrentAssetsMember2022-02-280000320187us-gaap:ForeignExchangeContractMemberus-ga</w:t>
      </w:r>
      <w:r>
        <w:rPr>
          <w:rFonts w:ascii="宋体" w:eastAsia="宋体" w:hAnsi="宋体" w:cs="宋体"/>
          <w:vanish/>
        </w:rPr>
        <w:t>ap:DesignatedAsHedgingInstrumentMemberus-gaap:PrepaidExpensesAndOtherCurrentAssetsMember2021-05-310000320187nke:DeferredIncomeTaxesAndOtherLongTermAssetsMemberus-gaap:ForeignExchangeContractMemberus-gaap:DesignatedAsHedgingInstrumentMember2022-02-280000320</w:t>
      </w:r>
      <w:r>
        <w:rPr>
          <w:rFonts w:ascii="宋体" w:eastAsia="宋体" w:hAnsi="宋体" w:cs="宋体"/>
          <w:vanish/>
        </w:rPr>
        <w:t>187nke:DeferredIncomeTaxesAndOtherLongTermAssetsMemberus-gaap:ForeignExchangeContractMemberus-gaap:DesignatedAsHedgingInstrumentMember2021-05-310000320187us-gaap:DesignatedAsHedgingInstrumentMember2022-02-280000320187us-gaap:DesignatedAsHedgingInstrumentMe</w:t>
      </w:r>
      <w:r>
        <w:rPr>
          <w:rFonts w:ascii="宋体" w:eastAsia="宋体" w:hAnsi="宋体" w:cs="宋体"/>
          <w:vanish/>
        </w:rPr>
        <w:t>mber2021-05-310000320187us-gaap:ForeignExchangeContractMemberus-gaap:PrepaidExpensesAndOtherCurrentAssetsMemberus-gaap:NondesignatedMember2022-02-280000320187us-gaap:ForeignExchangeContractMemberus-gaap:PrepaidExpensesAndOtherCurrentAssetsMemberus-gaap:Non</w:t>
      </w:r>
      <w:r>
        <w:rPr>
          <w:rFonts w:ascii="宋体" w:eastAsia="宋体" w:hAnsi="宋体" w:cs="宋体"/>
          <w:vanish/>
        </w:rPr>
        <w:t>designatedMember2021-05-310000320187us-gaap:PrepaidExpensesAndOtherCurrentAssetsMemberus-gaap:EmbeddedDerivativeFinancialInstrumentsMemberus-gaap:NondesignatedMember2022-02-280000320187us-gaap:PrepaidExpensesAndOtherCurrentAssetsMemberus-gaap:EmbeddedDeriv</w:t>
      </w:r>
      <w:r>
        <w:rPr>
          <w:rFonts w:ascii="宋体" w:eastAsia="宋体" w:hAnsi="宋体" w:cs="宋体"/>
          <w:vanish/>
        </w:rPr>
        <w:t>ativeFinancialInstrumentsMemberus-gaap:NondesignatedMember2021-05-310000320187us-gaap:NondesignatedMember2022-02-280000320187us-gaap:NondesignatedMember2021-05-310000320187us-gaap:ForeignExchangeContractMemberus-gaap:DesignatedAsHedgingInstrumentMemberus-g</w:t>
      </w:r>
      <w:r>
        <w:rPr>
          <w:rFonts w:ascii="宋体" w:eastAsia="宋体" w:hAnsi="宋体" w:cs="宋体"/>
          <w:vanish/>
        </w:rPr>
        <w:t>aap:AccruedLiabilitiesMember2022-02-280000320187us-gaap:ForeignExchangeContractMemberus-gaap:DesignatedAsHedgingInstrumentMemberus-gaap:AccruedLiabilitiesMember2021-05-310000320187us-gaap:ForeignExchangeContractMemberus-gaap:DesignatedAsHedgingInstrumentMe</w:t>
      </w:r>
      <w:r>
        <w:rPr>
          <w:rFonts w:ascii="宋体" w:eastAsia="宋体" w:hAnsi="宋体" w:cs="宋体"/>
          <w:vanish/>
        </w:rPr>
        <w:t>mbernke:DeferredIncomeTaxesAndOtherLongTermLiabilitiesMember2022-02-280000320187us-gaap:ForeignExchangeContractMemberus-gaap:DesignatedAsHedgingInstrumentMembernke:DeferredIncomeTaxesAndOtherLongTermLiabilitiesMember2021-05-310000320187us-gaap:ForeignExcha</w:t>
      </w:r>
      <w:r>
        <w:rPr>
          <w:rFonts w:ascii="宋体" w:eastAsia="宋体" w:hAnsi="宋体" w:cs="宋体"/>
          <w:vanish/>
        </w:rPr>
        <w:t>ngeContractMemberus-gaap:NondesignatedMemberus-gaap:AccruedLiabilitiesMember2022-02-280000320187us-gaap:ForeignExchangeContractMemberus-gaap:NondesignatedMemberus-gaap:AccruedLiabilitiesMember2021-05-310000320187us-gaap:EmbeddedDerivativeFinancialInstrumen</w:t>
      </w:r>
      <w:r>
        <w:rPr>
          <w:rFonts w:ascii="宋体" w:eastAsia="宋体" w:hAnsi="宋体" w:cs="宋体"/>
          <w:vanish/>
        </w:rPr>
        <w:t>tsMemberus-gaap:NondesignatedMemberus-gaap:AccruedLiabilitiesMember2022-02-280000320187us-gaap:EmbeddedDerivativeFinancialInstrumentsMemberus-gaap:NondesignatedMemberus-gaap:AccruedLiabilitiesMember2021-05-310000320187us-gaap:ForeignExchangeContractMemberu</w:t>
      </w:r>
      <w:r>
        <w:rPr>
          <w:rFonts w:ascii="宋体" w:eastAsia="宋体" w:hAnsi="宋体" w:cs="宋体"/>
          <w:vanish/>
        </w:rPr>
        <w:t>s-gaap:CashFlowHedgingMemberus-gaap:SalesMember2021-12-012022-02-280000320187us-gaap:ForeignExchangeContractMemberus-gaap:CashFlowHedgingMemberus-gaap:SalesMember2020-12-012021-02-280000320187us-gaap:ForeignExchangeContractMemberus-gaap:CostOfSalesMemberus</w:t>
      </w:r>
      <w:r>
        <w:rPr>
          <w:rFonts w:ascii="宋体" w:eastAsia="宋体" w:hAnsi="宋体" w:cs="宋体"/>
          <w:vanish/>
        </w:rPr>
        <w:t>-gaap:CashFlowHedgingMember2021-12-012022-02-280000320187us-gaap:ForeignExchangeContractMemberus-gaap:CostOfSalesMemberus-gaap:CashFlowHedgingMember2020-12-012021-02-280000320187us-gaap:ForeignExchangeContractMembernke:DemandCreationExpenseMemberus-gaap:Ca</w:t>
      </w:r>
      <w:r>
        <w:rPr>
          <w:rFonts w:ascii="宋体" w:eastAsia="宋体" w:hAnsi="宋体" w:cs="宋体"/>
          <w:vanish/>
        </w:rPr>
        <w:t>shFlowHedgingMember2021-12-012022-02-280000320187us-gaap:ForeignExchangeContractMembernke:DemandCreationExpenseMemberus-gaap:CashFlowHedgingMember2020-12-012021-02-280000320187us-gaap:ForeignExchangeContractMembernke:OtherIncomeAndExpenseMemberus-gaap:Cash</w:t>
      </w:r>
      <w:r>
        <w:rPr>
          <w:rFonts w:ascii="宋体" w:eastAsia="宋体" w:hAnsi="宋体" w:cs="宋体"/>
          <w:vanish/>
        </w:rPr>
        <w:t>FlowHedgingMember2021-12-012022-02-280000320187us-gaap:ForeignExchangeContractMembernke:OtherIncomeAndExpenseMemberus-gaap:CashFlowHedgingMember2020-12-012021-02-280000320187us-gaap:InterestRateSwapMemberus-gaap:CashFlowHedgingMembernke:InterestIncomeExpen</w:t>
      </w:r>
      <w:r>
        <w:rPr>
          <w:rFonts w:ascii="宋体" w:eastAsia="宋体" w:hAnsi="宋体" w:cs="宋体"/>
          <w:vanish/>
        </w:rPr>
        <w:t>seNetMember2021-12-012022-02-280000320187us-gaap:InterestRateSwapMemberus-gaap:CashFlowHedgingMembernke:InterestIncomeExpenseNetMember2020-12-012021-02-280000320187us-gaap:ForeignExchangeContractMemberus-gaap:CashFlowHedgingMemberus-gaap:SalesMember2021-06</w:t>
      </w:r>
      <w:r>
        <w:rPr>
          <w:rFonts w:ascii="宋体" w:eastAsia="宋体" w:hAnsi="宋体" w:cs="宋体"/>
          <w:vanish/>
        </w:rPr>
        <w:t>-012022-02-280000320187us-gaap:ForeignExchangeContractMemberus-gaap:CashFlowHedgingMemberus-gaap:SalesMember2020-06-012021-02-280000320187us-gaap:ForeignExchangeContractMemberus-gaap:CostOfSalesMemberus-gaap:CashFlowHedgingMember2021-06-012022-02-280000320</w:t>
      </w:r>
      <w:r>
        <w:rPr>
          <w:rFonts w:ascii="宋体" w:eastAsia="宋体" w:hAnsi="宋体" w:cs="宋体"/>
          <w:vanish/>
        </w:rPr>
        <w:t>187us-gaap:ForeignExchangeContractMemberus-gaap:CostOfSalesMemberus-gaap:CashFlowHedgingMember2020-06-012021-02-280000320187us-gaap:ForeignExchangeContractMembernke:DemandCreationExpenseMemberus-gaap:CashFlowHedgingMember2021-06-012022-02-280000320187us-ga</w:t>
      </w:r>
      <w:r>
        <w:rPr>
          <w:rFonts w:ascii="宋体" w:eastAsia="宋体" w:hAnsi="宋体" w:cs="宋体"/>
          <w:vanish/>
        </w:rPr>
        <w:t>ap:ForeignExchangeContractMembernke:DemandCreationExpenseMemberus-gaap:CashFlowHedgingMember2020-06-012021-02-280000320187us-gaap:ForeignExchangeContractMembernke:OtherIncomeAndExpenseMemberus-gaap:CashFlowHedgingMember2021-06-012022-02-280000320187us-gaap</w:t>
      </w:r>
      <w:r>
        <w:rPr>
          <w:rFonts w:ascii="宋体" w:eastAsia="宋体" w:hAnsi="宋体" w:cs="宋体"/>
          <w:vanish/>
        </w:rPr>
        <w:t>:ForeignExchangeContractMembernke:OtherIncomeAndExpenseMemberus-gaap:CashFlowHedgingMember2020-06-012021-02-280000320187us-gaap:InterestRateSwapMemberus-gaap:CashFlowHedgingMembernke:InterestIncomeExpenseNetMember2021-06-012022-02-280000320187us-gaap:Inter</w:t>
      </w:r>
      <w:r>
        <w:rPr>
          <w:rFonts w:ascii="宋体" w:eastAsia="宋体" w:hAnsi="宋体" w:cs="宋体"/>
          <w:vanish/>
        </w:rPr>
        <w:t>estRateSwapMemberus-gaap:CashFlowHedgingMembernke:InterestIncomeExpenseNetMember2020-06-012021-02-280000320187us-gaap:CashFlowHedgingMember2021-12-012022-02-280000320187us-gaap:CashFlowHedgingMember2020-12-012021-02-280000320187us-gaap:CashFlowHedgingMembe</w:t>
      </w:r>
      <w:r>
        <w:rPr>
          <w:rFonts w:ascii="宋体" w:eastAsia="宋体" w:hAnsi="宋体" w:cs="宋体"/>
          <w:vanish/>
        </w:rPr>
        <w:t>r2021-06-012022-02-280000320187us-gaap:CashFlowHedgingMember2020-06-012021-02-280000320187us-gaap:ForeignExchangeContractMembernke:OtherIncomeAndExpenseMemberus-gaap:NondesignatedMember2021-12-012022-02-280000320187us-gaap:ForeignExchangeContractMembernke:</w:t>
      </w:r>
      <w:r>
        <w:rPr>
          <w:rFonts w:ascii="宋体" w:eastAsia="宋体" w:hAnsi="宋体" w:cs="宋体"/>
          <w:vanish/>
        </w:rPr>
        <w:t>OtherIncomeAndExpenseMemberus-gaap:NondesignatedMember2020-12-012021-02-280000320187us-gaap:ForeignExchangeContractMembernke:OtherIncomeAndExpenseMemberus-gaap:NondesignatedMember2021-06-012022-02-280000320187us-gaap:ForeignExchangeContractMembernke:OtherI</w:t>
      </w:r>
      <w:r>
        <w:rPr>
          <w:rFonts w:ascii="宋体" w:eastAsia="宋体" w:hAnsi="宋体" w:cs="宋体"/>
          <w:vanish/>
        </w:rPr>
        <w:t>ncomeAndExpenseMemberus-gaap:NondesignatedMember2020-06-012021-02-280000320187nke:OtherIncomeAndExpenseMemberus-gaap:EmbeddedDerivativeFinancialInstrumentsMemberus-gaap:NondesignatedMember2021-12-012022-02-280000320187nke:OtherIncomeAndExpenseMemberus-gaap</w:t>
      </w:r>
      <w:r>
        <w:rPr>
          <w:rFonts w:ascii="宋体" w:eastAsia="宋体" w:hAnsi="宋体" w:cs="宋体"/>
          <w:vanish/>
        </w:rPr>
        <w:t>:EmbeddedDerivativeFinancialInstrumentsMemberus-gaap:NondesignatedMember2020-12-012021-02-280000320187nke:OtherIncomeAndExpenseMemberus-gaap:EmbeddedDerivativeFinancialInstrumentsMemberus-gaap:NondesignatedMember2021-06-012022-02-280000320187nke:OtherIncom</w:t>
      </w:r>
      <w:r>
        <w:rPr>
          <w:rFonts w:ascii="宋体" w:eastAsia="宋体" w:hAnsi="宋体" w:cs="宋体"/>
          <w:vanish/>
        </w:rPr>
        <w:t>eAndExpenseMemberus-gaap:EmbeddedDerivativeFinancialInstrumentsMemberus-gaap:NondesignatedMember2020-06-012021-02-280000320187us-gaap:CashFlowHedgingMember2022-02-280000320187nke:NotDesignatedasDerivativeInstrumentMember2022-02-280000320187us-gaap:Embedded</w:t>
      </w:r>
      <w:r>
        <w:rPr>
          <w:rFonts w:ascii="宋体" w:eastAsia="宋体" w:hAnsi="宋体" w:cs="宋体"/>
          <w:vanish/>
        </w:rPr>
        <w:t>DerivativeFinancialInstrumentsMember2022-02-280000320187us-gaap:CashAndCashEquivalentsMember2022-02-280000320187us-gaap:AccumulatedTranslationAdjustmentMember2021-11-300000320187us-gaap:AccumulatedGainLossNetCashFlowHedgeParentMember2021-11-300000320187us-</w:t>
      </w:r>
      <w:r>
        <w:rPr>
          <w:rFonts w:ascii="宋体" w:eastAsia="宋体" w:hAnsi="宋体" w:cs="宋体"/>
          <w:vanish/>
        </w:rPr>
        <w:t>gaap:AccumulatedNetUnrealizedInvestmentGainLossMember2021-11-300000320187nke:AccumulatedOtherAdjustmentsMember2021-11-300000320187us-gaap:ParentMember2021-11-300000320187us-gaap:AccumulatedTranslationAdjustmentMember2021-12-012022-02-280000320187us-gaap:Ac</w:t>
      </w:r>
      <w:r>
        <w:rPr>
          <w:rFonts w:ascii="宋体" w:eastAsia="宋体" w:hAnsi="宋体" w:cs="宋体"/>
          <w:vanish/>
        </w:rPr>
        <w:t>cumulatedGainLossNetCashFlowHedgeParentMember2021-12-012022-02-280000320187us-gaap:AccumulatedNetUnrealizedInvestmentGainLossMember2021-12-012022-02-280000320187nke:AccumulatedOtherAdjustmentsMember2021-12-012022-02-280000320187us-gaap:AccumulatedTranslati</w:t>
      </w:r>
      <w:r>
        <w:rPr>
          <w:rFonts w:ascii="宋体" w:eastAsia="宋体" w:hAnsi="宋体" w:cs="宋体"/>
          <w:vanish/>
        </w:rPr>
        <w:t>onAdjustmentMember2022-02-280000320187us-gaap:AccumulatedGainLossNetCashFlowHedgeParentMember2022-02-280000320187us-gaap:AccumulatedNetUnrealizedInvestmentGainLossMember2022-02-280000320187nke:AccumulatedOtherAdjustmentsMember2022-02-280000320187us-gaap:Pa</w:t>
      </w:r>
      <w:r>
        <w:rPr>
          <w:rFonts w:ascii="宋体" w:eastAsia="宋体" w:hAnsi="宋体" w:cs="宋体"/>
          <w:vanish/>
        </w:rPr>
        <w:t>rentMember2022-02-280000320187us-gaap:AccumulatedTranslationAdjustmentMember2020-11-300000320187us-gaap:AccumulatedGainLossNetCashFlowHedgeParentMember2020-11-300000320187us-gaap:AccumulatedNetUnrealizedInvestmentGainLossMember2020-11-300000320187nke:Accum</w:t>
      </w:r>
      <w:r>
        <w:rPr>
          <w:rFonts w:ascii="宋体" w:eastAsia="宋体" w:hAnsi="宋体" w:cs="宋体"/>
          <w:vanish/>
        </w:rPr>
        <w:t>ulatedOtherAdjustmentsMember2020-11-300000320187us-gaap:ParentMember2020-11-300000320187us-gaap:AccumulatedTranslationAdjustmentMember2020-12-012021-02-280000320187us-gaap:AccumulatedGainLossNetCashFlowHedgeParentMember2020-12-012021-02-280000320187us-gaap</w:t>
      </w:r>
      <w:r>
        <w:rPr>
          <w:rFonts w:ascii="宋体" w:eastAsia="宋体" w:hAnsi="宋体" w:cs="宋体"/>
          <w:vanish/>
        </w:rPr>
        <w:t>:AccumulatedNetUnrealizedInvestmentGainLossMember2020-12-012021-02-280000320187nke:AccumulatedOtherAdjustmentsMember2020-12-012021-02-280000320187us-gaap:AccumulatedTranslationAdjustmentMember2021-02-280000320187us-gaap:AccumulatedGainLossNetCashFlowHedgeP</w:t>
      </w:r>
      <w:r>
        <w:rPr>
          <w:rFonts w:ascii="宋体" w:eastAsia="宋体" w:hAnsi="宋体" w:cs="宋体"/>
          <w:vanish/>
        </w:rPr>
        <w:t>arentMember2021-02-280000320187us-gaap:AccumulatedNetUnrealizedInvestmentGainLossMember2021-02-280000320187nke:AccumulatedOtherAdjustmentsMember2021-02-280000320187us-gaap:ParentMember2021-02-280000320187us-gaap:AccumulatedTranslationAdjustmentMember2021-0</w:t>
      </w:r>
      <w:r>
        <w:rPr>
          <w:rFonts w:ascii="宋体" w:eastAsia="宋体" w:hAnsi="宋体" w:cs="宋体"/>
          <w:vanish/>
        </w:rPr>
        <w:t>5-310000320187us-gaap:AccumulatedGainLossNetCashFlowHedgeParentMember2021-05-310000320187us-gaap:AccumulatedNetUnrealizedInvestmentGainLossMember2021-05-310000320187nke:AccumulatedOtherAdjustmentsMember2021-05-310000320187us-gaap:ParentMember2021-05-310000</w:t>
      </w:r>
      <w:r>
        <w:rPr>
          <w:rFonts w:ascii="宋体" w:eastAsia="宋体" w:hAnsi="宋体" w:cs="宋体"/>
          <w:vanish/>
        </w:rPr>
        <w:t>320187us-gaap:AccumulatedTranslationAdjustmentMember2021-06-012022-02-280000320187us-gaap:AccumulatedGainLossNetCashFlowHedgeParentMember2021-06-012022-02-280000320187us-gaap:AccumulatedNetUnrealizedInvestmentGainLossMember2021-06-012022-02-280000320187nke</w:t>
      </w:r>
      <w:r>
        <w:rPr>
          <w:rFonts w:ascii="宋体" w:eastAsia="宋体" w:hAnsi="宋体" w:cs="宋体"/>
          <w:vanish/>
        </w:rPr>
        <w:t>:AccumulatedOtherAdjustmentsMember2021-06-012022-02-280000320187us-gaap:AccumulatedTranslationAdjustmentMember2020-05-310000320187us-gaap:AccumulatedGainLossNetCashFlowHedgeParentMember2020-05-310000320187us-gaap:AccumulatedNetUnrealizedInvestmentGainLossM</w:t>
      </w:r>
      <w:r>
        <w:rPr>
          <w:rFonts w:ascii="宋体" w:eastAsia="宋体" w:hAnsi="宋体" w:cs="宋体"/>
          <w:vanish/>
        </w:rPr>
        <w:t>ember2020-05-310000320187nke:AccumulatedOtherAdjustmentsMember2020-05-310000320187us-gaap:ParentMember2020-05-310000320187us-gaap:AccumulatedTranslationAdjustmentMember2020-06-012021-02-280000320187us-gaap:AccumulatedGainLossNetCashFlowHedgeParentMember202</w:t>
      </w:r>
      <w:r>
        <w:rPr>
          <w:rFonts w:ascii="宋体" w:eastAsia="宋体" w:hAnsi="宋体" w:cs="宋体"/>
          <w:vanish/>
        </w:rPr>
        <w:t>0-06-012021-02-280000320187us-gaap:AccumulatedNetUnrealizedInvestmentGainLossMember2020-06-012021-02-280000320187nke:AccumulatedOtherAdjustmentsMember2020-06-012021-02-280000320187us-gaap:ReclassificationOutOfAccumulatedOtherComprehensiveIncomeMemberus-gaa</w:t>
      </w:r>
      <w:r>
        <w:rPr>
          <w:rFonts w:ascii="宋体" w:eastAsia="宋体" w:hAnsi="宋体" w:cs="宋体"/>
          <w:vanish/>
        </w:rPr>
        <w:t>p:AccumulatedTranslationAdjustmentMember2021-12-012022-02-280000320187us-gaap:ReclassificationOutOfAccumulatedOtherComprehensiveIncomeMemberus-gaap:AccumulatedTranslationAdjustmentMember2020-12-012021-02-280000320187us-gaap:ReclassificationOutOfAccumulated</w:t>
      </w:r>
      <w:r>
        <w:rPr>
          <w:rFonts w:ascii="宋体" w:eastAsia="宋体" w:hAnsi="宋体" w:cs="宋体"/>
          <w:vanish/>
        </w:rPr>
        <w:t>OtherComprehensiveIncomeMemberus-gaap:AccumulatedTranslationAdjustmentMember2021-06-012022-02-280000320187us-gaap:ReclassificationOutOfAccumulatedOtherComprehensiveIncomeMemberus-gaap:AccumulatedTranslationAdjustmentMember2020-06-012021-02-280000320187us-g</w:t>
      </w:r>
      <w:r>
        <w:rPr>
          <w:rFonts w:ascii="宋体" w:eastAsia="宋体" w:hAnsi="宋体" w:cs="宋体"/>
          <w:vanish/>
        </w:rPr>
        <w:t>aap:AccumulatedNetGainLossFromDesignatedOrQualifyingCashFlowHedgesMemberus-gaap:ReclassificationOutOfAccumulatedOtherComprehensiveIncomeMembernke:ForeignExchangeForwardandOptionMember2021-12-012022-02-280000320187us-gaap:AccumulatedNetGainLossFromDesignate</w:t>
      </w:r>
      <w:r>
        <w:rPr>
          <w:rFonts w:ascii="宋体" w:eastAsia="宋体" w:hAnsi="宋体" w:cs="宋体"/>
          <w:vanish/>
        </w:rPr>
        <w:t>dOrQualifyingCashFlowHedgesMemberus-gaap:ReclassificationOutOfAccumulatedOtherComprehensiveIncomeMembernke:ForeignExchangeForwardandOptionMember2020-12-012021-02-280000320187us-gaap:AccumulatedNetGainLossFromDesignatedOrQualifyingCashFlowHedgesMemberus-gaa</w:t>
      </w:r>
      <w:r>
        <w:rPr>
          <w:rFonts w:ascii="宋体" w:eastAsia="宋体" w:hAnsi="宋体" w:cs="宋体"/>
          <w:vanish/>
        </w:rPr>
        <w:t>p:ReclassificationOutOfAccumulatedOtherComprehensiveIncomeMembernke:ForeignExchangeForwardandOptionMember2021-06-012022-02-280000320187us-gaap:AccumulatedNetGainLossFromDesignatedOrQualifyingCashFlowHedgesMemberus-gaap:ReclassificationOutOfAccumulatedOther</w:t>
      </w:r>
      <w:r>
        <w:rPr>
          <w:rFonts w:ascii="宋体" w:eastAsia="宋体" w:hAnsi="宋体" w:cs="宋体"/>
          <w:vanish/>
        </w:rPr>
        <w:t>ComprehensiveIncomeMembernke:ForeignExchangeForwardandOptionMember2020-06-012021-02-280000320187us-gaap:AccumulatedNetGainLossFromDesignatedOrQualifyingCashFlowHedgesMemberus-gaap:ReclassificationOutOfAccumulatedOtherComprehensiveIncomeMemberus-gaap:Intere</w:t>
      </w:r>
      <w:r>
        <w:rPr>
          <w:rFonts w:ascii="宋体" w:eastAsia="宋体" w:hAnsi="宋体" w:cs="宋体"/>
          <w:vanish/>
        </w:rPr>
        <w:t>stRateSwapMember2021-12-012022-02-280000320187us-gaap:AccumulatedNetGainLossFromDesignatedOrQualifyingCashFlowHedgesMemberus-gaap:ReclassificationOutOfAccumulatedOtherComprehensiveIncomeMemberus-gaap:InterestRateSwapMember2020-12-012021-02-280000320187us-g</w:t>
      </w:r>
      <w:r>
        <w:rPr>
          <w:rFonts w:ascii="宋体" w:eastAsia="宋体" w:hAnsi="宋体" w:cs="宋体"/>
          <w:vanish/>
        </w:rPr>
        <w:t>aap:AccumulatedNetGainLossFromDesignatedOrQualifyingCashFlowHedgesMemberus-gaap:ReclassificationOutOfAccumulatedOtherComprehensiveIncomeMemberus-gaap:InterestRateSwapMember2021-06-012022-02-280000320187us-gaap:AccumulatedNetGainLossFromDesignatedOrQualifyi</w:t>
      </w:r>
      <w:r>
        <w:rPr>
          <w:rFonts w:ascii="宋体" w:eastAsia="宋体" w:hAnsi="宋体" w:cs="宋体"/>
          <w:vanish/>
        </w:rPr>
        <w:t>ngCashFlowHedgesMemberus-gaap:ReclassificationOutOfAccumulatedOtherComprehensiveIncomeMemberus-gaap:InterestRateSwapMember2020-06-012021-02-280000320187us-gaap:AccumulatedNetGainLossFromDesignatedOrQualifyingCashFlowHedgesMemberus-gaap:ReclassificationOutO</w:t>
      </w:r>
      <w:r>
        <w:rPr>
          <w:rFonts w:ascii="宋体" w:eastAsia="宋体" w:hAnsi="宋体" w:cs="宋体"/>
          <w:vanish/>
        </w:rPr>
        <w:t>fAccumulatedOtherComprehensiveIncomeMember2021-12-012022-02-280000320187us-gaap:AccumulatedNetGainLossFromDesignatedOrQualifyingCashFlowHedgesMemberus-gaap:ReclassificationOutOfAccumulatedOtherComprehensiveIncomeMember2020-12-012021-02-280000320187us-gaap:</w:t>
      </w:r>
      <w:r>
        <w:rPr>
          <w:rFonts w:ascii="宋体" w:eastAsia="宋体" w:hAnsi="宋体" w:cs="宋体"/>
          <w:vanish/>
        </w:rPr>
        <w:t>AccumulatedNetGainLossFromDesignatedOrQualifyingCashFlowHedgesMemberus-gaap:ReclassificationOutOfAccumulatedOtherComprehensiveIncomeMember2021-06-012022-02-280000320187us-gaap:AccumulatedNetGainLossFromDesignatedOrQualifyingCashFlowHedgesMemberus-gaap:Recl</w:t>
      </w:r>
      <w:r>
        <w:rPr>
          <w:rFonts w:ascii="宋体" w:eastAsia="宋体" w:hAnsi="宋体" w:cs="宋体"/>
          <w:vanish/>
        </w:rPr>
        <w:t>assificationOutOfAccumulatedOtherComprehensiveIncomeMember2020-06-012021-02-280000320187us-gaap:ReclassificationOutOfAccumulatedOtherComprehensiveIncomeMembernke:AccumulatedOtherAdjustmentsMember2021-12-012022-02-280000320187us-gaap:ReclassificationOutOfAc</w:t>
      </w:r>
      <w:r>
        <w:rPr>
          <w:rFonts w:ascii="宋体" w:eastAsia="宋体" w:hAnsi="宋体" w:cs="宋体"/>
          <w:vanish/>
        </w:rPr>
        <w:t>cumulatedOtherComprehensiveIncomeMembernke:AccumulatedOtherAdjustmentsMember2020-12-012021-02-280000320187us-gaap:ReclassificationOutOfAccumulatedOtherComprehensiveIncomeMembernke:AccumulatedOtherAdjustmentsMember2021-06-012022-02-280000320187us-gaap:Recla</w:t>
      </w:r>
      <w:r>
        <w:rPr>
          <w:rFonts w:ascii="宋体" w:eastAsia="宋体" w:hAnsi="宋体" w:cs="宋体"/>
          <w:vanish/>
        </w:rPr>
        <w:t>ssificationOutOfAccumulatedOtherComprehensiveIncomeMembernke:AccumulatedOtherAdjustmentsMember2020-06-012021-02-280000320187us-gaap:ReclassificationOutOfAccumulatedOtherComprehensiveIncomeMember2021-12-012022-02-280000320187us-gaap:ReclassificationOutOfAcc</w:t>
      </w:r>
      <w:r>
        <w:rPr>
          <w:rFonts w:ascii="宋体" w:eastAsia="宋体" w:hAnsi="宋体" w:cs="宋体"/>
          <w:vanish/>
        </w:rPr>
        <w:t>umulatedOtherComprehensiveIncomeMember2020-12-012021-02-280000320187us-gaap:ReclassificationOutOfAccumulatedOtherComprehensiveIncomeMember2021-06-012022-02-280000320187us-gaap:ReclassificationOutOfAccumulatedOtherComprehensiveIncomeMember2020-06-012021-02-</w:t>
      </w:r>
      <w:r>
        <w:rPr>
          <w:rFonts w:ascii="宋体" w:eastAsia="宋体" w:hAnsi="宋体" w:cs="宋体"/>
          <w:vanish/>
        </w:rPr>
        <w:t>280000320187nke:NIKEBrandMembernke:NorthAmericaSegmentMemberus-gaap:OperatingSegmentsMembernke:FootwearMember2021-12-012022-02-280000320187nke:NIKEBrandMembernke:EuropeMiddleEastAndAfricaSegmentMemberus-gaap:OperatingSegmentsMembernke:FootwearMember2021-12</w:t>
      </w:r>
      <w:r>
        <w:rPr>
          <w:rFonts w:ascii="宋体" w:eastAsia="宋体" w:hAnsi="宋体" w:cs="宋体"/>
          <w:vanish/>
        </w:rPr>
        <w:t>-012022-02-280000320187nke:NIKEBrandMembernke:GreaterChinaSegmentMemberus-gaap:OperatingSegmentsMembernke:FootwearMember2021-12-012022-02-280000320187nke:NIKEBrandMembernke:AsiaPacificAndLatinAmericaSegmentMemberus-gaap:OperatingSegmentsMembernke:FootwearM</w:t>
      </w:r>
      <w:r>
        <w:rPr>
          <w:rFonts w:ascii="宋体" w:eastAsia="宋体" w:hAnsi="宋体" w:cs="宋体"/>
          <w:vanish/>
        </w:rPr>
        <w:t>ember2021-12-012022-02-280000320187us-gaap:MaterialReconcilingItemsMembernke:FootwearMember2021-12-012022-02-280000320187nke:NIKEBrandMemberus-gaap:OperatingSegmentsMembernke:FootwearMember2021-12-012022-02-280000320187us-gaap:OperatingSegmentsMembernke:Co</w:t>
      </w:r>
      <w:r>
        <w:rPr>
          <w:rFonts w:ascii="宋体" w:eastAsia="宋体" w:hAnsi="宋体" w:cs="宋体"/>
          <w:vanish/>
        </w:rPr>
        <w:t>nverseSegmentMembernke:FootwearMember2021-12-012022-02-280000320187nke:FootwearMemberus-gaap:CorporateNonSegmentMember2021-12-012022-02-280000320187nke:FootwearMember2021-12-012022-02-280000320187nke:NIKEBrandMembernke:NorthAmericaSegmentMembernke:ApparelM</w:t>
      </w:r>
      <w:r>
        <w:rPr>
          <w:rFonts w:ascii="宋体" w:eastAsia="宋体" w:hAnsi="宋体" w:cs="宋体"/>
          <w:vanish/>
        </w:rPr>
        <w:t>emberus-gaap:OperatingSegmentsMember2021-12-012022-02-280000320187nke:NIKEBrandMembernke:EuropeMiddleEastAndAfricaSegmentMembernke:ApparelMemberus-gaap:OperatingSegmentsMember2021-12-012022-02-280000320187nke:NIKEBrandMembernke:GreaterChinaSegmentMembernke</w:t>
      </w:r>
      <w:r>
        <w:rPr>
          <w:rFonts w:ascii="宋体" w:eastAsia="宋体" w:hAnsi="宋体" w:cs="宋体"/>
          <w:vanish/>
        </w:rPr>
        <w:t>:ApparelMemberus-gaap:OperatingSegmentsMember2021-12-012022-02-280000320187nke:NIKEBrandMembernke:AsiaPacificAndLatinAmericaSegmentMembernke:ApparelMemberus-gaap:OperatingSegmentsMember2021-12-012022-02-280000320187nke:ApparelMemberus-gaap:MaterialReconcil</w:t>
      </w:r>
      <w:r>
        <w:rPr>
          <w:rFonts w:ascii="宋体" w:eastAsia="宋体" w:hAnsi="宋体" w:cs="宋体"/>
          <w:vanish/>
        </w:rPr>
        <w:t>ingItemsMember2021-12-012022-02-280000320187nke:NIKEBrandMembernke:ApparelMemberus-gaap:OperatingSegmentsMember2021-12-012022-02-280000320187nke:ApparelMemberus-gaap:OperatingSegmentsMembernke:ConverseSegmentMember2021-12-012022-02-280000320187nke:ApparelM</w:t>
      </w:r>
      <w:r>
        <w:rPr>
          <w:rFonts w:ascii="宋体" w:eastAsia="宋体" w:hAnsi="宋体" w:cs="宋体"/>
          <w:vanish/>
        </w:rPr>
        <w:t>emberus-gaap:CorporateNonSegmentMember2021-12-012022-02-280000320187nke:ApparelMember2021-12-012022-02-280000320187nke:NIKEBrandMembernke:SportingEquipmentMembernke:NorthAmericaSegmentMemberus-gaap:OperatingSegmentsMember2021-12-012022-02-280000320187nke:N</w:t>
      </w:r>
      <w:r>
        <w:rPr>
          <w:rFonts w:ascii="宋体" w:eastAsia="宋体" w:hAnsi="宋体" w:cs="宋体"/>
          <w:vanish/>
        </w:rPr>
        <w:t>IKEBrandMembernke:SportingEquipmentMembernke:EuropeMiddleEastAndAfricaSegmentMemberus-gaap:OperatingSegmentsMember2021-12-012022-02-280000320187nke:NIKEBrandMembernke:SportingEquipmentMembernke:GreaterChinaSegmentMemberus-gaap:OperatingSegmentsMember2021-1</w:t>
      </w:r>
      <w:r>
        <w:rPr>
          <w:rFonts w:ascii="宋体" w:eastAsia="宋体" w:hAnsi="宋体" w:cs="宋体"/>
          <w:vanish/>
        </w:rPr>
        <w:t>2-012022-02-280000320187nke:NIKEBrandMembernke:AsiaPacificAndLatinAmericaSegmentMembernke:SportingEquipmentMemberus-gaap:OperatingSegmentsMember2021-12-012022-02-280000320187nke:SportingEquipmentMemberus-gaap:MaterialReconcilingItemsMember2021-12-012022-02</w:t>
      </w:r>
      <w:r>
        <w:rPr>
          <w:rFonts w:ascii="宋体" w:eastAsia="宋体" w:hAnsi="宋体" w:cs="宋体"/>
          <w:vanish/>
        </w:rPr>
        <w:t>-280000320187nke:NIKEBrandMembernke:SportingEquipmentMemberus-gaap:OperatingSegmentsMember2021-12-012022-02-280000320187nke:SportingEquipmentMemberus-gaap:OperatingSegmentsMembernke:ConverseSegmentMember2021-12-012022-02-280000320187nke:SportingEquipmentMe</w:t>
      </w:r>
      <w:r>
        <w:rPr>
          <w:rFonts w:ascii="宋体" w:eastAsia="宋体" w:hAnsi="宋体" w:cs="宋体"/>
          <w:vanish/>
        </w:rPr>
        <w:t>mberus-gaap:CorporateNonSegmentMember2021-12-012022-02-280000320187nke:SportingEquipmentMember2021-12-012022-02-280000320187nke:NIKEBrandMembernke:NorthAmericaSegmentMemberus-gaap:OperatingSegmentsMembernke:OtherProductLinesMember2021-12-012022-02-28000032</w:t>
      </w:r>
      <w:r>
        <w:rPr>
          <w:rFonts w:ascii="宋体" w:eastAsia="宋体" w:hAnsi="宋体" w:cs="宋体"/>
          <w:vanish/>
        </w:rPr>
        <w:t>0187nke:NIKEBrandMembernke:EuropeMiddleEastAndAfricaSegmentMemberus-gaap:OperatingSegmentsMembernke:OtherProductLinesMember2021-12-012022-02-280000320187nke:NIKEBrandMembernke:GreaterChinaSegmentMemberus-gaap:OperatingSegmentsMembernke:OtherProductLinesMem</w:t>
      </w:r>
      <w:r>
        <w:rPr>
          <w:rFonts w:ascii="宋体" w:eastAsia="宋体" w:hAnsi="宋体" w:cs="宋体"/>
          <w:vanish/>
        </w:rPr>
        <w:t>ber2021-12-012022-02-280000320187nke:NIKEBrandMembernke:AsiaPacificAndLatinAmericaSegmentMemberus-gaap:OperatingSegmentsMembernke:OtherProductLinesMember2021-12-012022-02-280000320187us-gaap:MaterialReconcilingItemsMembernke:OtherProductLinesMember2021-12-</w:t>
      </w:r>
      <w:r>
        <w:rPr>
          <w:rFonts w:ascii="宋体" w:eastAsia="宋体" w:hAnsi="宋体" w:cs="宋体"/>
          <w:vanish/>
        </w:rPr>
        <w:t>012022-02-280000320187nke:NIKEBrandMemberus-gaap:OperatingSegmentsMembernke:OtherProductLinesMember2021-12-012022-02-280000320187us-gaap:OperatingSegmentsMembernke:ConverseSegmentMembernke:OtherProductLinesMember2021-12-012022-02-280000320187us-gaap:Corpor</w:t>
      </w:r>
      <w:r>
        <w:rPr>
          <w:rFonts w:ascii="宋体" w:eastAsia="宋体" w:hAnsi="宋体" w:cs="宋体"/>
          <w:vanish/>
        </w:rPr>
        <w:t>ateNonSegmentMembernke:OtherProductLinesMember2021-12-012022-02-280000320187nke:OtherProductLinesMember2021-12-012022-02-280000320187nke:NIKEBrandMembernke:NorthAmericaSegmentMemberus-gaap:OperatingSegmentsMember2021-12-012022-02-280000320187nke:NIKEBrandM</w:t>
      </w:r>
      <w:r>
        <w:rPr>
          <w:rFonts w:ascii="宋体" w:eastAsia="宋体" w:hAnsi="宋体" w:cs="宋体"/>
          <w:vanish/>
        </w:rPr>
        <w:t>embernke:EuropeMiddleEastAndAfricaSegmentMemberus-gaap:OperatingSegmentsMember2021-12-012022-02-280000320187nke:NIKEBrandMembernke:GreaterChinaSegmentMemberus-gaap:OperatingSegmentsMember2021-12-012022-02-280000320187nke:NIKEBrandMembernke:AsiaPacificAndLa</w:t>
      </w:r>
      <w:r>
        <w:rPr>
          <w:rFonts w:ascii="宋体" w:eastAsia="宋体" w:hAnsi="宋体" w:cs="宋体"/>
          <w:vanish/>
        </w:rPr>
        <w:t>tinAmericaSegmentMemberus-gaap:OperatingSegmentsMember2021-12-012022-02-280000320187us-gaap:MaterialReconcilingItemsMember2021-12-012022-02-280000320187nke:NIKEBrandMemberus-gaap:OperatingSegmentsMember2021-12-012022-02-280000320187us-gaap:OperatingSegment</w:t>
      </w:r>
      <w:r>
        <w:rPr>
          <w:rFonts w:ascii="宋体" w:eastAsia="宋体" w:hAnsi="宋体" w:cs="宋体"/>
          <w:vanish/>
        </w:rPr>
        <w:t>sMembernke:ConverseSegmentMember2021-12-012022-02-280000320187us-gaap:CorporateNonSegmentMember2021-12-012022-02-280000320187nke:NIKEBrandMembernke:NorthAmericaSegmentMemberus-gaap:OperatingSegmentsMembernke:SalesChannelWholesaleMember2021-12-012022-02-280</w:t>
      </w:r>
      <w:r>
        <w:rPr>
          <w:rFonts w:ascii="宋体" w:eastAsia="宋体" w:hAnsi="宋体" w:cs="宋体"/>
          <w:vanish/>
        </w:rPr>
        <w:t>000320187nke:NIKEBrandMembernke:EuropeMiddleEastAndAfricaSegmentMemberus-gaap:OperatingSegmentsMembernke:SalesChannelWholesaleMember2021-12-012022-02-280000320187nke:NIKEBrandMembernke:GreaterChinaSegmentMemberus-gaap:OperatingSegmentsMembernke:SalesChanne</w:t>
      </w:r>
      <w:r>
        <w:rPr>
          <w:rFonts w:ascii="宋体" w:eastAsia="宋体" w:hAnsi="宋体" w:cs="宋体"/>
          <w:vanish/>
        </w:rPr>
        <w:t>lWholesaleMember2021-12-012022-02-280000320187nke:NIKEBrandMembernke:AsiaPacificAndLatinAmericaSegmentMemberus-gaap:OperatingSegmentsMembernke:SalesChannelWholesaleMember2021-12-012022-02-280000320187us-gaap:MaterialReconcilingItemsMembernke:SalesChannelWh</w:t>
      </w:r>
      <w:r>
        <w:rPr>
          <w:rFonts w:ascii="宋体" w:eastAsia="宋体" w:hAnsi="宋体" w:cs="宋体"/>
          <w:vanish/>
        </w:rPr>
        <w:t>olesaleMember2021-12-012022-02-280000320187nke:NIKEBrandMemberus-gaap:OperatingSegmentsMembernke:SalesChannelWholesaleMember2021-12-012022-02-280000320187us-gaap:OperatingSegmentsMembernke:ConverseSegmentMembernke:SalesChannelWholesaleMember2021-12-012022-</w:t>
      </w:r>
      <w:r>
        <w:rPr>
          <w:rFonts w:ascii="宋体" w:eastAsia="宋体" w:hAnsi="宋体" w:cs="宋体"/>
          <w:vanish/>
        </w:rPr>
        <w:t>02-280000320187nke:SalesChannelWholesaleMemberus-gaap:CorporateNonSegmentMember2021-12-012022-02-280000320187nke:SalesChannelWholesaleMember2021-12-012022-02-280000320187nke:NIKEBrandMembernke:NorthAmericaSegmentMemberus-gaap:OperatingSegmentsMemberus-gaap</w:t>
      </w:r>
      <w:r>
        <w:rPr>
          <w:rFonts w:ascii="宋体" w:eastAsia="宋体" w:hAnsi="宋体" w:cs="宋体"/>
          <w:vanish/>
        </w:rPr>
        <w:t>:SalesChannelDirectlyToConsumerMember2021-12-012022-02-280000320187nke:NIKEBrandMembernke:EuropeMiddleEastAndAfricaSegmentMemberus-gaap:OperatingSegmentsMemberus-gaap:SalesChannelDirectlyToConsumerMember2021-12-012022-02-280000320187nke:NIKEBrandMembernke:</w:t>
      </w:r>
      <w:r>
        <w:rPr>
          <w:rFonts w:ascii="宋体" w:eastAsia="宋体" w:hAnsi="宋体" w:cs="宋体"/>
          <w:vanish/>
        </w:rPr>
        <w:t>GreaterChinaSegmentMemberus-gaap:OperatingSegmentsMemberus-gaap:SalesChannelDirectlyToConsumerMember2021-12-012022-02-280000320187nke:NIKEBrandMembernke:AsiaPacificAndLatinAmericaSegmentMemberus-gaap:OperatingSegmentsMemberus-gaap:SalesChannelDirectlyToCon</w:t>
      </w:r>
      <w:r>
        <w:rPr>
          <w:rFonts w:ascii="宋体" w:eastAsia="宋体" w:hAnsi="宋体" w:cs="宋体"/>
          <w:vanish/>
        </w:rPr>
        <w:t>sumerMember2021-12-012022-02-280000320187us-gaap:SalesChannelDirectlyToConsumerMemberus-gaap:MaterialReconcilingItemsMember2021-12-012022-02-280000320187nke:NIKEBrandMemberus-gaap:OperatingSegmentsMemberus-gaap:SalesChannelDirectlyToConsumerMember2021-12-0</w:t>
      </w:r>
      <w:r>
        <w:rPr>
          <w:rFonts w:ascii="宋体" w:eastAsia="宋体" w:hAnsi="宋体" w:cs="宋体"/>
          <w:vanish/>
        </w:rPr>
        <w:t>12022-02-280000320187us-gaap:OperatingSegmentsMemberus-gaap:SalesChannelDirectlyToConsumerMembernke:ConverseSegmentMember2021-12-012022-02-280000320187us-gaap:SalesChannelDirectlyToConsumerMemberus-gaap:CorporateNonSegmentMember2021-12-012022-02-2800003201</w:t>
      </w:r>
      <w:r>
        <w:rPr>
          <w:rFonts w:ascii="宋体" w:eastAsia="宋体" w:hAnsi="宋体" w:cs="宋体"/>
          <w:vanish/>
        </w:rPr>
        <w:t>87us-gaap:SalesChannelDirectlyToConsumerMember2021-12-012022-02-280000320187nke:SalesChannelOtherMembernke:NIKEBrandMembernke:NorthAmericaSegmentMemberus-gaap:OperatingSegmentsMember2021-12-012022-02-280000320187nke:SalesChannelOtherMembernke:NIKEBrandMemb</w:t>
      </w:r>
      <w:r>
        <w:rPr>
          <w:rFonts w:ascii="宋体" w:eastAsia="宋体" w:hAnsi="宋体" w:cs="宋体"/>
          <w:vanish/>
        </w:rPr>
        <w:t>ernke:EuropeMiddleEastAndAfricaSegmentMemberus-gaap:OperatingSegmentsMember2021-12-012022-02-280000320187nke:SalesChannelOtherMembernke:NIKEBrandMembernke:GreaterChinaSegmentMemberus-gaap:OperatingSegmentsMember2021-12-012022-02-280000320187nke:SalesChanne</w:t>
      </w:r>
      <w:r>
        <w:rPr>
          <w:rFonts w:ascii="宋体" w:eastAsia="宋体" w:hAnsi="宋体" w:cs="宋体"/>
          <w:vanish/>
        </w:rPr>
        <w:t>lOtherMembernke:NIKEBrandMembernke:AsiaPacificAndLatinAmericaSegmentMemberus-gaap:OperatingSegmentsMember2021-12-012022-02-280000320187nke:SalesChannelOtherMemberus-gaap:MaterialReconcilingItemsMember2021-12-012022-02-280000320187nke:SalesChannelOtherMembe</w:t>
      </w:r>
      <w:r>
        <w:rPr>
          <w:rFonts w:ascii="宋体" w:eastAsia="宋体" w:hAnsi="宋体" w:cs="宋体"/>
          <w:vanish/>
        </w:rPr>
        <w:t>rnke:NIKEBrandMemberus-gaap:OperatingSegmentsMember2021-12-012022-02-280000320187nke:SalesChannelOtherMemberus-gaap:OperatingSegmentsMembernke:ConverseSegmentMember2021-12-012022-02-280000320187nke:SalesChannelOtherMemberus-gaap:CorporateNonSegmentMember20</w:t>
      </w:r>
      <w:r>
        <w:rPr>
          <w:rFonts w:ascii="宋体" w:eastAsia="宋体" w:hAnsi="宋体" w:cs="宋体"/>
          <w:vanish/>
        </w:rPr>
        <w:t>21-12-012022-02-280000320187nke:SalesChannelOtherMember2021-12-012022-02-280000320187nke:NIKEBrandMembernke:NorthAmericaSegmentMemberus-gaap:OperatingSegmentsMembernke:FootwearMember2020-12-012021-02-280000320187nke:NIKEBrandMembernke:EuropeMiddleEastAndAf</w:t>
      </w:r>
      <w:r>
        <w:rPr>
          <w:rFonts w:ascii="宋体" w:eastAsia="宋体" w:hAnsi="宋体" w:cs="宋体"/>
          <w:vanish/>
        </w:rPr>
        <w:t>ricaSegmentMemberus-gaap:OperatingSegmentsMembernke:FootwearMember2020-12-012021-02-280000320187nke:NIKEBrandMembernke:GreaterChinaSegmentMemberus-gaap:OperatingSegmentsMembernke:FootwearMember2020-12-012021-02-280000320187nke:NIKEBrandMembernke:AsiaPacifi</w:t>
      </w:r>
      <w:r>
        <w:rPr>
          <w:rFonts w:ascii="宋体" w:eastAsia="宋体" w:hAnsi="宋体" w:cs="宋体"/>
          <w:vanish/>
        </w:rPr>
        <w:t>cAndLatinAmericaSegmentMemberus-gaap:OperatingSegmentsMembernke:FootwearMember2020-12-012021-02-280000320187us-gaap:MaterialReconcilingItemsMembernke:FootwearMember2020-12-012021-02-280000320187nke:NIKEBrandMemberus-gaap:OperatingSegmentsMembernke:Footwear</w:t>
      </w:r>
      <w:r>
        <w:rPr>
          <w:rFonts w:ascii="宋体" w:eastAsia="宋体" w:hAnsi="宋体" w:cs="宋体"/>
          <w:vanish/>
        </w:rPr>
        <w:t>Member2020-12-012021-02-280000320187us-gaap:OperatingSegmentsMembernke:ConverseSegmentMembernke:FootwearMember2020-12-012021-02-280000320187nke:FootwearMemberus-gaap:CorporateNonSegmentMember2020-12-012021-02-280000320187nke:FootwearMember2020-12-012021-02</w:t>
      </w:r>
      <w:r>
        <w:rPr>
          <w:rFonts w:ascii="宋体" w:eastAsia="宋体" w:hAnsi="宋体" w:cs="宋体"/>
          <w:vanish/>
        </w:rPr>
        <w:t>-280000320187nke:NIKEBrandMembernke:NorthAmericaSegmentMembernke:ApparelMemberus-gaap:OperatingSegmentsMember2020-12-012021-02-280000320187nke:NIKEBrandMembernke:EuropeMiddleEastAndAfricaSegmentMembernke:ApparelMemberus-gaap:OperatingSegmentsMember2020-12-</w:t>
      </w:r>
      <w:r>
        <w:rPr>
          <w:rFonts w:ascii="宋体" w:eastAsia="宋体" w:hAnsi="宋体" w:cs="宋体"/>
          <w:vanish/>
        </w:rPr>
        <w:t>012021-02-280000320187nke:NIKEBrandMembernke:GreaterChinaSegmentMembernke:ApparelMemberus-gaap:OperatingSegmentsMember2020-12-012021-02-280000320187nke:NIKEBrandMembernke:AsiaPacificAndLatinAmericaSegmentMembernke:ApparelMemberus-gaap:OperatingSegmentsMemb</w:t>
      </w:r>
      <w:r>
        <w:rPr>
          <w:rFonts w:ascii="宋体" w:eastAsia="宋体" w:hAnsi="宋体" w:cs="宋体"/>
          <w:vanish/>
        </w:rPr>
        <w:t>er2020-12-012021-02-280000320187nke:ApparelMemberus-gaap:MaterialReconcilingItemsMember2020-12-012021-02-280000320187nke:NIKEBrandMembernke:ApparelMemberus-gaap:OperatingSegmentsMember2020-12-012021-02-280000320187nke:ApparelMemberus-gaap:OperatingSegments</w:t>
      </w:r>
      <w:r>
        <w:rPr>
          <w:rFonts w:ascii="宋体" w:eastAsia="宋体" w:hAnsi="宋体" w:cs="宋体"/>
          <w:vanish/>
        </w:rPr>
        <w:t>Membernke:ConverseSegmentMember2020-12-012021-02-280000320187nke:ApparelMemberus-gaap:CorporateNonSegmentMember2020-12-012021-02-280000320187nke:ApparelMember2020-12-012021-02-280000320187nke:NIKEBrandMembernke:SportingEquipmentMembernke:NorthAmericaSegmen</w:t>
      </w:r>
      <w:r>
        <w:rPr>
          <w:rFonts w:ascii="宋体" w:eastAsia="宋体" w:hAnsi="宋体" w:cs="宋体"/>
          <w:vanish/>
        </w:rPr>
        <w:t>tMemberus-gaap:OperatingSegmentsMember2020-12-012021-02-280000320187nke:NIKEBrandMembernke:SportingEquipmentMembernke:EuropeMiddleEastAndAfricaSegmentMemberus-gaap:OperatingSegmentsMember2020-12-012021-02-280000320187nke:NIKEBrandMembernke:SportingEquipmen</w:t>
      </w:r>
      <w:r>
        <w:rPr>
          <w:rFonts w:ascii="宋体" w:eastAsia="宋体" w:hAnsi="宋体" w:cs="宋体"/>
          <w:vanish/>
        </w:rPr>
        <w:t>tMembernke:GreaterChinaSegmentMemberus-gaap:OperatingSegmentsMember2020-12-012021-02-280000320187nke:NIKEBrandMembernke:AsiaPacificAndLatinAmericaSegmentMembernke:SportingEquipmentMemberus-gaap:OperatingSegmentsMember2020-12-012021-02-280000320187nke:Sport</w:t>
      </w:r>
      <w:r>
        <w:rPr>
          <w:rFonts w:ascii="宋体" w:eastAsia="宋体" w:hAnsi="宋体" w:cs="宋体"/>
          <w:vanish/>
        </w:rPr>
        <w:t>ingEquipmentMemberus-gaap:MaterialReconcilingItemsMember2020-12-012021-02-280000320187nke:NIKEBrandMembernke:SportingEquipmentMemberus-gaap:OperatingSegmentsMember2020-12-012021-02-280000320187nke:SportingEquipmentMemberus-gaap:OperatingSegmentsMembernke:C</w:t>
      </w:r>
      <w:r>
        <w:rPr>
          <w:rFonts w:ascii="宋体" w:eastAsia="宋体" w:hAnsi="宋体" w:cs="宋体"/>
          <w:vanish/>
        </w:rPr>
        <w:t>onverseSegmentMember2020-12-012021-02-280000320187nke:SportingEquipmentMemberus-gaap:CorporateNonSegmentMember2020-12-012021-02-280000320187nke:SportingEquipmentMember2020-12-012021-02-280000320187nke:NIKEBrandMembernke:NorthAmericaSegmentMemberus-gaap:Ope</w:t>
      </w:r>
      <w:r>
        <w:rPr>
          <w:rFonts w:ascii="宋体" w:eastAsia="宋体" w:hAnsi="宋体" w:cs="宋体"/>
          <w:vanish/>
        </w:rPr>
        <w:t>ratingSegmentsMembernke:OtherProductLinesMember2020-12-012021-02-280000320187nke:NIKEBrandMembernke:EuropeMiddleEastAndAfricaSegmentMemberus-gaap:OperatingSegmentsMembernke:OtherProductLinesMember2020-12-012021-02-280000320187nke:NIKEBrandMembernke:Greater</w:t>
      </w:r>
      <w:r>
        <w:rPr>
          <w:rFonts w:ascii="宋体" w:eastAsia="宋体" w:hAnsi="宋体" w:cs="宋体"/>
          <w:vanish/>
        </w:rPr>
        <w:t>ChinaSegmentMemberus-gaap:OperatingSegmentsMembernke:OtherProductLinesMember2020-12-012021-02-280000320187nke:NIKEBrandMembernke:AsiaPacificAndLatinAmericaSegmentMemberus-gaap:OperatingSegmentsMembernke:OtherProductLinesMember2020-12-012021-02-280000320187</w:t>
      </w:r>
      <w:r>
        <w:rPr>
          <w:rFonts w:ascii="宋体" w:eastAsia="宋体" w:hAnsi="宋体" w:cs="宋体"/>
          <w:vanish/>
        </w:rPr>
        <w:t>us-gaap:MaterialReconcilingItemsMembernke:OtherProductLinesMember2020-12-012021-02-280000320187nke:NIKEBrandMemberus-gaap:OperatingSegmentsMembernke:OtherProductLinesMember2020-12-012021-02-280000320187us-gaap:OperatingSegmentsMembernke:ConverseSegmentMemb</w:t>
      </w:r>
      <w:r>
        <w:rPr>
          <w:rFonts w:ascii="宋体" w:eastAsia="宋体" w:hAnsi="宋体" w:cs="宋体"/>
          <w:vanish/>
        </w:rPr>
        <w:t>ernke:OtherProductLinesMember2020-12-012021-02-280000320187us-gaap:CorporateNonSegmentMembernke:OtherProductLinesMember2020-12-012021-02-280000320187nke:OtherProductLinesMember2020-12-012021-02-280000320187nke:NIKEBrandMembernke:NorthAmericaSegmentMemberus</w:t>
      </w:r>
      <w:r>
        <w:rPr>
          <w:rFonts w:ascii="宋体" w:eastAsia="宋体" w:hAnsi="宋体" w:cs="宋体"/>
          <w:vanish/>
        </w:rPr>
        <w:t>-gaap:OperatingSegmentsMember2020-12-012021-02-280000320187nke:NIKEBrandMembernke:EuropeMiddleEastAndAfricaSegmentMemberus-gaap:OperatingSegmentsMember2020-12-012021-02-280000320187nke:NIKEBrandMembernke:GreaterChinaSegmentMemberus-gaap:OperatingSegmentsMe</w:t>
      </w:r>
      <w:r>
        <w:rPr>
          <w:rFonts w:ascii="宋体" w:eastAsia="宋体" w:hAnsi="宋体" w:cs="宋体"/>
          <w:vanish/>
        </w:rPr>
        <w:t>mber2020-12-012021-02-280000320187nke:NIKEBrandMembernke:AsiaPacificAndLatinAmericaSegmentMemberus-gaap:OperatingSegmentsMember2020-12-012021-02-280000320187us-gaap:MaterialReconcilingItemsMember2020-12-012021-02-280000320187nke:NIKEBrandMemberus-gaap:Oper</w:t>
      </w:r>
      <w:r>
        <w:rPr>
          <w:rFonts w:ascii="宋体" w:eastAsia="宋体" w:hAnsi="宋体" w:cs="宋体"/>
          <w:vanish/>
        </w:rPr>
        <w:t>atingSegmentsMember2020-12-012021-02-280000320187us-gaap:OperatingSegmentsMembernke:ConverseSegmentMember2020-12-012021-02-280000320187us-gaap:CorporateNonSegmentMember2020-12-012021-02-280000320187nke:NIKEBrandMembernke:NorthAmericaSegmentMemberus-gaap:Op</w:t>
      </w:r>
      <w:r>
        <w:rPr>
          <w:rFonts w:ascii="宋体" w:eastAsia="宋体" w:hAnsi="宋体" w:cs="宋体"/>
          <w:vanish/>
        </w:rPr>
        <w:t>eratingSegmentsMembernke:SalesChannelWholesaleMember2020-12-012021-02-280000320187nke:NIKEBrandMembernke:EuropeMiddleEastAndAfricaSegmentMemberus-gaap:OperatingSegmentsMembernke:SalesChannelWholesaleMember2020-12-012021-02-280000320187nke:NIKEBrandMembernk</w:t>
      </w:r>
      <w:r>
        <w:rPr>
          <w:rFonts w:ascii="宋体" w:eastAsia="宋体" w:hAnsi="宋体" w:cs="宋体"/>
          <w:vanish/>
        </w:rPr>
        <w:t>e:GreaterChinaSegmentMemberus-gaap:OperatingSegmentsMembernke:SalesChannelWholesaleMember2020-12-012021-02-280000320187nke:NIKEBrandMembernke:AsiaPacificAndLatinAmericaSegmentMemberus-gaap:OperatingSegmentsMembernke:SalesChannelWholesaleMember2020-12-01202</w:t>
      </w:r>
      <w:r>
        <w:rPr>
          <w:rFonts w:ascii="宋体" w:eastAsia="宋体" w:hAnsi="宋体" w:cs="宋体"/>
          <w:vanish/>
        </w:rPr>
        <w:t>1-02-280000320187us-gaap:MaterialReconcilingItemsMembernke:SalesChannelWholesaleMember2020-12-012021-02-280000320187nke:NIKEBrandMemberus-gaap:OperatingSegmentsMembernke:SalesChannelWholesaleMember2020-12-012021-02-280000320187us-gaap:OperatingSegmentsMemb</w:t>
      </w:r>
      <w:r>
        <w:rPr>
          <w:rFonts w:ascii="宋体" w:eastAsia="宋体" w:hAnsi="宋体" w:cs="宋体"/>
          <w:vanish/>
        </w:rPr>
        <w:t>ernke:ConverseSegmentMembernke:SalesChannelWholesaleMember2020-12-012021-02-280000320187nke:SalesChannelWholesaleMemberus-gaap:CorporateNonSegmentMember2020-12-012021-02-280000320187nke:SalesChannelWholesaleMember2020-12-012021-02-280000320187nke:NIKEBrand</w:t>
      </w:r>
      <w:r>
        <w:rPr>
          <w:rFonts w:ascii="宋体" w:eastAsia="宋体" w:hAnsi="宋体" w:cs="宋体"/>
          <w:vanish/>
        </w:rPr>
        <w:t>Membernke:NorthAmericaSegmentMemberus-gaap:OperatingSegmentsMemberus-gaap:SalesChannelDirectlyToConsumerMember2020-12-012021-02-280000320187nke:NIKEBrandMembernke:EuropeMiddleEastAndAfricaSegmentMemberus-gaap:OperatingSegmentsMemberus-gaap:SalesChannelDire</w:t>
      </w:r>
      <w:r>
        <w:rPr>
          <w:rFonts w:ascii="宋体" w:eastAsia="宋体" w:hAnsi="宋体" w:cs="宋体"/>
          <w:vanish/>
        </w:rPr>
        <w:t>ctlyToConsumerMember2020-12-012021-02-280000320187nke:NIKEBrandMembernke:GreaterChinaSegmentMemberus-gaap:OperatingSegmentsMemberus-gaap:SalesChannelDirectlyToConsumerMember2020-12-012021-02-280000320187nke:NIKEBrandMembernke:AsiaPacificAndLatinAmericaSegm</w:t>
      </w:r>
      <w:r>
        <w:rPr>
          <w:rFonts w:ascii="宋体" w:eastAsia="宋体" w:hAnsi="宋体" w:cs="宋体"/>
          <w:vanish/>
        </w:rPr>
        <w:t>entMemberus-gaap:OperatingSegmentsMemberus-gaap:SalesChannelDirectlyToConsumerMember2020-12-012021-02-280000320187us-gaap:SalesChannelDirectlyToConsumerMemberus-gaap:MaterialReconcilingItemsMember2020-12-012021-02-280000320187nke:NIKEBrandMemberus-gaap:Ope</w:t>
      </w:r>
      <w:r>
        <w:rPr>
          <w:rFonts w:ascii="宋体" w:eastAsia="宋体" w:hAnsi="宋体" w:cs="宋体"/>
          <w:vanish/>
        </w:rPr>
        <w:t>ratingSegmentsMemberus-gaap:SalesChannelDirectlyToConsumerMember2020-12-012021-02-280000320187us-gaap:OperatingSegmentsMemberus-gaap:SalesChannelDirectlyToConsumerMembernke:ConverseSegmentMember2020-12-012021-02-280000320187us-gaap:SalesChannelDirectlyToCo</w:t>
      </w:r>
      <w:r>
        <w:rPr>
          <w:rFonts w:ascii="宋体" w:eastAsia="宋体" w:hAnsi="宋体" w:cs="宋体"/>
          <w:vanish/>
        </w:rPr>
        <w:t>nsumerMemberus-gaap:CorporateNonSegmentMember2020-12-012021-02-280000320187us-gaap:SalesChannelDirectlyToConsumerMember2020-12-012021-02-280000320187nke:SalesChannelOtherMembernke:NIKEBrandMembernke:NorthAmericaSegmentMemberus-gaap:OperatingSegmentsMember2</w:t>
      </w:r>
      <w:r>
        <w:rPr>
          <w:rFonts w:ascii="宋体" w:eastAsia="宋体" w:hAnsi="宋体" w:cs="宋体"/>
          <w:vanish/>
        </w:rPr>
        <w:t>020-12-012021-02-280000320187nke:SalesChannelOtherMembernke:NIKEBrandMembernke:EuropeMiddleEastAndAfricaSegmentMemberus-gaap:OperatingSegmentsMember2020-12-012021-02-280000320187nke:SalesChannelOtherMembernke:NIKEBrandMembernke:GreaterChinaSegmentMemberus-</w:t>
      </w:r>
      <w:r>
        <w:rPr>
          <w:rFonts w:ascii="宋体" w:eastAsia="宋体" w:hAnsi="宋体" w:cs="宋体"/>
          <w:vanish/>
        </w:rPr>
        <w:t>gaap:OperatingSegmentsMember2020-12-012021-02-280000320187nke:SalesChannelOtherMembernke:NIKEBrandMembernke:AsiaPacificAndLatinAmericaSegmentMemberus-gaap:OperatingSegmentsMember2020-12-012021-02-280000320187nke:SalesChannelOtherMemberus-gaap:MaterialRecon</w:t>
      </w:r>
      <w:r>
        <w:rPr>
          <w:rFonts w:ascii="宋体" w:eastAsia="宋体" w:hAnsi="宋体" w:cs="宋体"/>
          <w:vanish/>
        </w:rPr>
        <w:t>cilingItemsMember2020-12-012021-02-280000320187nke:SalesChannelOtherMembernke:NIKEBrandMemberus-gaap:OperatingSegmentsMember2020-12-012021-02-280000320187nke:SalesChannelOtherMemberus-gaap:OperatingSegmentsMembernke:ConverseSegmentMember2020-12-012021-02-2</w:t>
      </w:r>
      <w:r>
        <w:rPr>
          <w:rFonts w:ascii="宋体" w:eastAsia="宋体" w:hAnsi="宋体" w:cs="宋体"/>
          <w:vanish/>
        </w:rPr>
        <w:t>80000320187nke:SalesChannelOtherMemberus-gaap:CorporateNonSegmentMember2020-12-012021-02-280000320187nke:SalesChannelOtherMember2020-12-012021-02-280000320187nke:NIKEBrandMembernke:NorthAmericaSegmentMemberus-gaap:OperatingSegmentsMembernke:FootwearMember2</w:t>
      </w:r>
      <w:r>
        <w:rPr>
          <w:rFonts w:ascii="宋体" w:eastAsia="宋体" w:hAnsi="宋体" w:cs="宋体"/>
          <w:vanish/>
        </w:rPr>
        <w:t>021-06-012022-02-280000320187nke:NIKEBrandMembernke:EuropeMiddleEastAndAfricaSegmentMemberus-gaap:OperatingSegmentsMembernke:FootwearMember2021-06-012022-02-280000320187nke:NIKEBrandMembernke:GreaterChinaSegmentMemberus-gaap:OperatingSegmentsMembernke:Foot</w:t>
      </w:r>
      <w:r>
        <w:rPr>
          <w:rFonts w:ascii="宋体" w:eastAsia="宋体" w:hAnsi="宋体" w:cs="宋体"/>
          <w:vanish/>
        </w:rPr>
        <w:t>wearMember2021-06-012022-02-280000320187nke:NIKEBrandMembernke:AsiaPacificAndLatinAmericaSegmentMemberus-gaap:OperatingSegmentsMembernke:FootwearMember2021-06-012022-02-280000320187us-gaap:MaterialReconcilingItemsMembernke:FootwearMember2021-06-012022-02-2</w:t>
      </w:r>
      <w:r>
        <w:rPr>
          <w:rFonts w:ascii="宋体" w:eastAsia="宋体" w:hAnsi="宋体" w:cs="宋体"/>
          <w:vanish/>
        </w:rPr>
        <w:t>80000320187nke:NIKEBrandMemberus-gaap:OperatingSegmentsMembernke:FootwearMember2021-06-012022-02-280000320187us-gaap:OperatingSegmentsMembernke:ConverseSegmentMembernke:FootwearMember2021-06-012022-02-280000320187nke:FootwearMemberus-gaap:CorporateNonSegme</w:t>
      </w:r>
      <w:r>
        <w:rPr>
          <w:rFonts w:ascii="宋体" w:eastAsia="宋体" w:hAnsi="宋体" w:cs="宋体"/>
          <w:vanish/>
        </w:rPr>
        <w:t>ntMember2021-06-012022-02-280000320187nke:FootwearMember2021-06-012022-02-280000320187nke:NIKEBrandMembernke:NorthAmericaSegmentMembernke:ApparelMemberus-gaap:OperatingSegmentsMember2021-06-012022-02-280000320187nke:NIKEBrandMembernke:EuropeMiddleEastAndAf</w:t>
      </w:r>
      <w:r>
        <w:rPr>
          <w:rFonts w:ascii="宋体" w:eastAsia="宋体" w:hAnsi="宋体" w:cs="宋体"/>
          <w:vanish/>
        </w:rPr>
        <w:t>ricaSegmentMembernke:ApparelMemberus-gaap:OperatingSegmentsMember2021-06-012022-02-280000320187nke:NIKEBrandMembernke:GreaterChinaSegmentMembernke:ApparelMemberus-gaap:OperatingSegmentsMember2021-06-012022-02-280000320187nke:NIKEBrandMembernke:AsiaPacificA</w:t>
      </w:r>
      <w:r>
        <w:rPr>
          <w:rFonts w:ascii="宋体" w:eastAsia="宋体" w:hAnsi="宋体" w:cs="宋体"/>
          <w:vanish/>
        </w:rPr>
        <w:t>ndLatinAmericaSegmentMembernke:ApparelMemberus-gaap:OperatingSegmentsMember2021-06-012022-02-280000320187nke:ApparelMemberus-gaap:MaterialReconcilingItemsMember2021-06-012022-02-280000320187nke:NIKEBrandMembernke:ApparelMemberus-gaap:OperatingSegmentsMembe</w:t>
      </w:r>
      <w:r>
        <w:rPr>
          <w:rFonts w:ascii="宋体" w:eastAsia="宋体" w:hAnsi="宋体" w:cs="宋体"/>
          <w:vanish/>
        </w:rPr>
        <w:t>r2021-06-012022-02-280000320187nke:ApparelMemberus-gaap:OperatingSegmentsMembernke:ConverseSegmentMember2021-06-012022-02-280000320187nke:ApparelMemberus-gaap:CorporateNonSegmentMember2021-06-012022-02-280000320187nke:ApparelMember2021-06-012022-02-2800003</w:t>
      </w:r>
      <w:r>
        <w:rPr>
          <w:rFonts w:ascii="宋体" w:eastAsia="宋体" w:hAnsi="宋体" w:cs="宋体"/>
          <w:vanish/>
        </w:rPr>
        <w:t>20187nke:NIKEBrandMembernke:SportingEquipmentMembernke:NorthAmericaSegmentMemberus-gaap:OperatingSegmentsMember2021-06-012022-02-280000320187nke:NIKEBrandMembernke:SportingEquipmentMembernke:EuropeMiddleEastAndAfricaSegmentMemberus-gaap:OperatingSegmentsMe</w:t>
      </w:r>
      <w:r>
        <w:rPr>
          <w:rFonts w:ascii="宋体" w:eastAsia="宋体" w:hAnsi="宋体" w:cs="宋体"/>
          <w:vanish/>
        </w:rPr>
        <w:t>mber2021-06-012022-02-280000320187nke:NIKEBrandMembernke:SportingEquipmentMembernke:GreaterChinaSegmentMemberus-gaap:OperatingSegmentsMember2021-06-012022-02-280000320187nke:NIKEBrandMembernke:AsiaPacificAndLatinAmericaSegmentMembernke:SportingEquipmentMem</w:t>
      </w:r>
      <w:r>
        <w:rPr>
          <w:rFonts w:ascii="宋体" w:eastAsia="宋体" w:hAnsi="宋体" w:cs="宋体"/>
          <w:vanish/>
        </w:rPr>
        <w:t>berus-gaap:OperatingSegmentsMember2021-06-012022-02-280000320187nke:SportingEquipmentMemberus-gaap:MaterialReconcilingItemsMember2021-06-012022-02-280000320187nke:NIKEBrandMembernke:SportingEquipmentMemberus-gaap:OperatingSegmentsMember2021-06-012022-02-28</w:t>
      </w:r>
      <w:r>
        <w:rPr>
          <w:rFonts w:ascii="宋体" w:eastAsia="宋体" w:hAnsi="宋体" w:cs="宋体"/>
          <w:vanish/>
        </w:rPr>
        <w:t>0000320187nke:SportingEquipmentMemberus-gaap:OperatingSegmentsMembernke:ConverseSegmentMember2021-06-012022-02-280000320187nke:SportingEquipmentMemberus-gaap:CorporateNonSegmentMember2021-06-012022-02-280000320187nke:SportingEquipmentMember2021-06-012022-0</w:t>
      </w:r>
      <w:r>
        <w:rPr>
          <w:rFonts w:ascii="宋体" w:eastAsia="宋体" w:hAnsi="宋体" w:cs="宋体"/>
          <w:vanish/>
        </w:rPr>
        <w:t>2-280000320187nke:NIKEBrandMembernke:NorthAmericaSegmentMemberus-gaap:OperatingSegmentsMembernke:OtherProductLinesMember2021-06-012022-02-280000320187nke:NIKEBrandMembernke:EuropeMiddleEastAndAfricaSegmentMemberus-gaap:OperatingSegmentsMembernke:OtherProdu</w:t>
      </w:r>
      <w:r>
        <w:rPr>
          <w:rFonts w:ascii="宋体" w:eastAsia="宋体" w:hAnsi="宋体" w:cs="宋体"/>
          <w:vanish/>
        </w:rPr>
        <w:t>ctLinesMember2021-06-012022-02-280000320187nke:NIKEBrandMembernke:GreaterChinaSegmentMemberus-gaap:OperatingSegmentsMembernke:OtherProductLinesMember2021-06-012022-02-280000320187nke:NIKEBrandMembernke:AsiaPacificAndLatinAmericaSegmentMemberus-gaap:Operati</w:t>
      </w:r>
      <w:r>
        <w:rPr>
          <w:rFonts w:ascii="宋体" w:eastAsia="宋体" w:hAnsi="宋体" w:cs="宋体"/>
          <w:vanish/>
        </w:rPr>
        <w:t>ngSegmentsMembernke:OtherProductLinesMember2021-06-012022-02-280000320187us-gaap:MaterialReconcilingItemsMembernke:OtherProductLinesMember2021-06-012022-02-280000320187nke:NIKEBrandMemberus-gaap:OperatingSegmentsMembernke:OtherProductLinesMember2021-06-012</w:t>
      </w:r>
      <w:r>
        <w:rPr>
          <w:rFonts w:ascii="宋体" w:eastAsia="宋体" w:hAnsi="宋体" w:cs="宋体"/>
          <w:vanish/>
        </w:rPr>
        <w:t>022-02-280000320187us-gaap:OperatingSegmentsMembernke:ConverseSegmentMembernke:OtherProductLinesMember2021-06-012022-02-280000320187us-gaap:CorporateNonSegmentMembernke:OtherProductLinesMember2021-06-012022-02-280000320187nke:OtherProductLinesMember2021-06</w:t>
      </w:r>
      <w:r>
        <w:rPr>
          <w:rFonts w:ascii="宋体" w:eastAsia="宋体" w:hAnsi="宋体" w:cs="宋体"/>
          <w:vanish/>
        </w:rPr>
        <w:t>-012022-02-280000320187nke:NIKEBrandMembernke:NorthAmericaSegmentMemberus-gaap:OperatingSegmentsMember2021-06-012022-02-280000320187nke:NIKEBrandMembernke:EuropeMiddleEastAndAfricaSegmentMemberus-gaap:OperatingSegmentsMember2021-06-012022-02-280000320187nk</w:t>
      </w:r>
      <w:r>
        <w:rPr>
          <w:rFonts w:ascii="宋体" w:eastAsia="宋体" w:hAnsi="宋体" w:cs="宋体"/>
          <w:vanish/>
        </w:rPr>
        <w:t>e:NIKEBrandMembernke:GreaterChinaSegmentMemberus-gaap:OperatingSegmentsMember2021-06-012022-02-280000320187nke:NIKEBrandMembernke:AsiaPacificAndLatinAmericaSegmentMemberus-gaap:OperatingSegmentsMember2021-06-012022-02-280000320187us-gaap:MaterialReconcilin</w:t>
      </w:r>
      <w:r>
        <w:rPr>
          <w:rFonts w:ascii="宋体" w:eastAsia="宋体" w:hAnsi="宋体" w:cs="宋体"/>
          <w:vanish/>
        </w:rPr>
        <w:t>gItemsMember2021-06-012022-02-280000320187nke:NIKEBrandMemberus-gaap:OperatingSegmentsMember2021-06-012022-02-280000320187us-gaap:OperatingSegmentsMembernke:ConverseSegmentMember2021-06-012022-02-280000320187us-gaap:CorporateNonSegmentMember2021-06-012022-</w:t>
      </w:r>
      <w:r>
        <w:rPr>
          <w:rFonts w:ascii="宋体" w:eastAsia="宋体" w:hAnsi="宋体" w:cs="宋体"/>
          <w:vanish/>
        </w:rPr>
        <w:t>02-280000320187nke:NIKEBrandMembernke:NorthAmericaSegmentMemberus-gaap:OperatingSegmentsMembernke:SalesChannelWholesaleMember2021-06-012022-02-280000320187nke:NIKEBrandMembernke:EuropeMiddleEastAndAfricaSegmentMemberus-gaap:OperatingSegmentsMembernke:Sales</w:t>
      </w:r>
      <w:r>
        <w:rPr>
          <w:rFonts w:ascii="宋体" w:eastAsia="宋体" w:hAnsi="宋体" w:cs="宋体"/>
          <w:vanish/>
        </w:rPr>
        <w:t>ChannelWholesaleMember2021-06-012022-02-280000320187nke:NIKEBrandMembernke:GreaterChinaSegmentMemberus-gaap:OperatingSegmentsMembernke:SalesChannelWholesaleMember2021-06-012022-02-280000320187nke:NIKEBrandMembernke:AsiaPacificAndLatinAmericaSegmentMemberus</w:t>
      </w:r>
      <w:r>
        <w:rPr>
          <w:rFonts w:ascii="宋体" w:eastAsia="宋体" w:hAnsi="宋体" w:cs="宋体"/>
          <w:vanish/>
        </w:rPr>
        <w:t>-gaap:OperatingSegmentsMembernke:SalesChannelWholesaleMember2021-06-012022-02-280000320187us-gaap:MaterialReconcilingItemsMembernke:SalesChannelWholesaleMember2021-06-012022-02-280000320187nke:NIKEBrandMemberus-gaap:OperatingSegmentsMembernke:SalesChannelW</w:t>
      </w:r>
      <w:r>
        <w:rPr>
          <w:rFonts w:ascii="宋体" w:eastAsia="宋体" w:hAnsi="宋体" w:cs="宋体"/>
          <w:vanish/>
        </w:rPr>
        <w:t>holesaleMember2021-06-012022-02-280000320187us-gaap:OperatingSegmentsMembernke:ConverseSegmentMembernke:SalesChannelWholesaleMember2021-06-012022-02-280000320187nke:SalesChannelWholesaleMemberus-gaap:CorporateNonSegmentMember2021-06-012022-02-280000320187n</w:t>
      </w:r>
      <w:r>
        <w:rPr>
          <w:rFonts w:ascii="宋体" w:eastAsia="宋体" w:hAnsi="宋体" w:cs="宋体"/>
          <w:vanish/>
        </w:rPr>
        <w:t>ke:SalesChannelWholesaleMember2021-06-012022-02-280000320187nke:NIKEBrandMembernke:NorthAmericaSegmentMemberus-gaap:OperatingSegmentsMemberus-gaap:SalesChannelDirectlyToConsumerMember2021-06-012022-02-280000320187nke:NIKEBrandMembernke:EuropeMiddleEastAndA</w:t>
      </w:r>
      <w:r>
        <w:rPr>
          <w:rFonts w:ascii="宋体" w:eastAsia="宋体" w:hAnsi="宋体" w:cs="宋体"/>
          <w:vanish/>
        </w:rPr>
        <w:t>fricaSegmentMemberus-gaap:OperatingSegmentsMemberus-gaap:SalesChannelDirectlyToConsumerMember2021-06-012022-02-280000320187nke:NIKEBrandMembernke:GreaterChinaSegmentMemberus-gaap:OperatingSegmentsMemberus-gaap:SalesChannelDirectlyToConsumerMember2021-06-01</w:t>
      </w:r>
      <w:r>
        <w:rPr>
          <w:rFonts w:ascii="宋体" w:eastAsia="宋体" w:hAnsi="宋体" w:cs="宋体"/>
          <w:vanish/>
        </w:rPr>
        <w:t>2022-02-280000320187nke:NIKEBrandMembernke:AsiaPacificAndLatinAmericaSegmentMemberus-gaap:OperatingSegmentsMemberus-gaap:SalesChannelDirectlyToConsumerMember2021-06-012022-02-280000320187us-gaap:SalesChannelDirectlyToConsumerMemberus-gaap:MaterialReconcili</w:t>
      </w:r>
      <w:r>
        <w:rPr>
          <w:rFonts w:ascii="宋体" w:eastAsia="宋体" w:hAnsi="宋体" w:cs="宋体"/>
          <w:vanish/>
        </w:rPr>
        <w:t>ngItemsMember2021-06-012022-02-280000320187nke:NIKEBrandMemberus-gaap:OperatingSegmentsMemberus-gaap:SalesChannelDirectlyToConsumerMember2021-06-012022-02-280000320187us-gaap:OperatingSegmentsMemberus-gaap:SalesChannelDirectlyToConsumerMembernke:ConverseSe</w:t>
      </w:r>
      <w:r>
        <w:rPr>
          <w:rFonts w:ascii="宋体" w:eastAsia="宋体" w:hAnsi="宋体" w:cs="宋体"/>
          <w:vanish/>
        </w:rPr>
        <w:t>gmentMember2021-06-012022-02-280000320187us-gaap:SalesChannelDirectlyToConsumerMemberus-gaap:CorporateNonSegmentMember2021-06-012022-02-280000320187us-gaap:SalesChannelDirectlyToConsumerMember2021-06-012022-02-280000320187nke:SalesChannelOtherMembernke:NIK</w:t>
      </w:r>
      <w:r>
        <w:rPr>
          <w:rFonts w:ascii="宋体" w:eastAsia="宋体" w:hAnsi="宋体" w:cs="宋体"/>
          <w:vanish/>
        </w:rPr>
        <w:t>EBrandMembernke:NorthAmericaSegmentMemberus-gaap:OperatingSegmentsMember2021-06-012022-02-280000320187nke:SalesChannelOtherMembernke:NIKEBrandMembernke:EuropeMiddleEastAndAfricaSegmentMemberus-gaap:OperatingSegmentsMember2021-06-012022-02-280000320187nke:S</w:t>
      </w:r>
      <w:r>
        <w:rPr>
          <w:rFonts w:ascii="宋体" w:eastAsia="宋体" w:hAnsi="宋体" w:cs="宋体"/>
          <w:vanish/>
        </w:rPr>
        <w:t>alesChannelOtherMembernke:NIKEBrandMembernke:GreaterChinaSegmentMemberus-gaap:OperatingSegmentsMember2021-06-012022-02-280000320187nke:SalesChannelOtherMembernke:NIKEBrandMembernke:AsiaPacificAndLatinAmericaSegmentMemberus-gaap:OperatingSegmentsMember2021-</w:t>
      </w:r>
      <w:r>
        <w:rPr>
          <w:rFonts w:ascii="宋体" w:eastAsia="宋体" w:hAnsi="宋体" w:cs="宋体"/>
          <w:vanish/>
        </w:rPr>
        <w:t>06-012022-02-280000320187nke:SalesChannelOtherMemberus-gaap:MaterialReconcilingItemsMember2021-06-012022-02-280000320187nke:SalesChannelOtherMembernke:NIKEBrandMemberus-gaap:OperatingSegmentsMember2021-06-012022-02-280000320187nke:SalesChannelOtherMemberus</w:t>
      </w:r>
      <w:r>
        <w:rPr>
          <w:rFonts w:ascii="宋体" w:eastAsia="宋体" w:hAnsi="宋体" w:cs="宋体"/>
          <w:vanish/>
        </w:rPr>
        <w:t>-gaap:OperatingSegmentsMembernke:ConverseSegmentMember2021-06-012022-02-280000320187nke:SalesChannelOtherMemberus-gaap:CorporateNonSegmentMember2021-06-012022-02-280000320187nke:SalesChannelOtherMember2021-06-012022-02-280000320187nke:NIKEBrandMembernke:No</w:t>
      </w:r>
      <w:r>
        <w:rPr>
          <w:rFonts w:ascii="宋体" w:eastAsia="宋体" w:hAnsi="宋体" w:cs="宋体"/>
          <w:vanish/>
        </w:rPr>
        <w:t>rthAmericaSegmentMemberus-gaap:OperatingSegmentsMembernke:FootwearMember2020-06-012021-02-280000320187nke:NIKEBrandMembernke:EuropeMiddleEastAndAfricaSegmentMemberus-gaap:OperatingSegmentsMembernke:FootwearMember2020-06-012021-02-280000320187nke:NIKEBrandM</w:t>
      </w:r>
      <w:r>
        <w:rPr>
          <w:rFonts w:ascii="宋体" w:eastAsia="宋体" w:hAnsi="宋体" w:cs="宋体"/>
          <w:vanish/>
        </w:rPr>
        <w:t>embernke:GreaterChinaSegmentMemberus-gaap:OperatingSegmentsMembernke:FootwearMember2020-06-012021-02-280000320187nke:NIKEBrandMembernke:AsiaPacificAndLatinAmericaSegmentMemberus-gaap:OperatingSegmentsMembernke:FootwearMember2020-06-012021-02-280000320187us</w:t>
      </w:r>
      <w:r>
        <w:rPr>
          <w:rFonts w:ascii="宋体" w:eastAsia="宋体" w:hAnsi="宋体" w:cs="宋体"/>
          <w:vanish/>
        </w:rPr>
        <w:t>-gaap:MaterialReconcilingItemsMembernke:FootwearMember2020-06-012021-02-280000320187nke:NIKEBrandMemberus-gaap:OperatingSegmentsMembernke:FootwearMember2020-06-012021-02-280000320187us-gaap:OperatingSegmentsMembernke:ConverseSegmentMembernke:FootwearMember</w:t>
      </w:r>
      <w:r>
        <w:rPr>
          <w:rFonts w:ascii="宋体" w:eastAsia="宋体" w:hAnsi="宋体" w:cs="宋体"/>
          <w:vanish/>
        </w:rPr>
        <w:t>2020-06-012021-02-280000320187nke:FootwearMemberus-gaap:CorporateNonSegmentMember2020-06-012021-02-280000320187nke:FootwearMember2020-06-012021-02-280000320187nke:NIKEBrandMembernke:NorthAmericaSegmentMembernke:ApparelMemberus-gaap:OperatingSegmentsMember2</w:t>
      </w:r>
      <w:r>
        <w:rPr>
          <w:rFonts w:ascii="宋体" w:eastAsia="宋体" w:hAnsi="宋体" w:cs="宋体"/>
          <w:vanish/>
        </w:rPr>
        <w:t>020-06-012021-02-280000320187nke:NIKEBrandMembernke:EuropeMiddleEastAndAfricaSegmentMembernke:ApparelMemberus-gaap:OperatingSegmentsMember2020-06-012021-02-280000320187nke:NIKEBrandMembernke:GreaterChinaSegmentMembernke:ApparelMemberus-gaap:OperatingSegmen</w:t>
      </w:r>
      <w:r>
        <w:rPr>
          <w:rFonts w:ascii="宋体" w:eastAsia="宋体" w:hAnsi="宋体" w:cs="宋体"/>
          <w:vanish/>
        </w:rPr>
        <w:t>tsMember2020-06-012021-02-280000320187nke:NIKEBrandMembernke:AsiaPacificAndLatinAmericaSegmentMembernke:ApparelMemberus-gaap:OperatingSegmentsMember2020-06-012021-02-280000320187nke:ApparelMemberus-gaap:MaterialReconcilingItemsMember2020-06-012021-02-28000</w:t>
      </w:r>
      <w:r>
        <w:rPr>
          <w:rFonts w:ascii="宋体" w:eastAsia="宋体" w:hAnsi="宋体" w:cs="宋体"/>
          <w:vanish/>
        </w:rPr>
        <w:t>0320187nke:NIKEBrandMembernke:ApparelMemberus-gaap:OperatingSegmentsMember2020-06-012021-02-280000320187nke:ApparelMemberus-gaap:OperatingSegmentsMembernke:ConverseSegmentMember2020-06-012021-02-280000320187nke:ApparelMemberus-gaap:CorporateNonSegmentMembe</w:t>
      </w:r>
      <w:r>
        <w:rPr>
          <w:rFonts w:ascii="宋体" w:eastAsia="宋体" w:hAnsi="宋体" w:cs="宋体"/>
          <w:vanish/>
        </w:rPr>
        <w:t>r2020-06-012021-02-280000320187nke:ApparelMember2020-06-012021-02-280000320187nke:NIKEBrandMembernke:SportingEquipmentMembernke:NorthAmericaSegmentMemberus-gaap:OperatingSegmentsMember2020-06-012021-02-280000320187nke:NIKEBrandMembernke:SportingEquipmentMe</w:t>
      </w:r>
      <w:r>
        <w:rPr>
          <w:rFonts w:ascii="宋体" w:eastAsia="宋体" w:hAnsi="宋体" w:cs="宋体"/>
          <w:vanish/>
        </w:rPr>
        <w:t>mbernke:EuropeMiddleEastAndAfricaSegmentMemberus-gaap:OperatingSegmentsMember2020-06-012021-02-280000320187nke:NIKEBrandMembernke:SportingEquipmentMembernke:GreaterChinaSegmentMemberus-gaap:OperatingSegmentsMember2020-06-012021-02-280000320187nke:NIKEBrand</w:t>
      </w:r>
      <w:r>
        <w:rPr>
          <w:rFonts w:ascii="宋体" w:eastAsia="宋体" w:hAnsi="宋体" w:cs="宋体"/>
          <w:vanish/>
        </w:rPr>
        <w:t>Membernke:AsiaPacificAndLatinAmericaSegmentMembernke:SportingEquipmentMemberus-gaap:OperatingSegmentsMember2020-06-012021-02-280000320187nke:SportingEquipmentMemberus-gaap:MaterialReconcilingItemsMember2020-06-012021-02-280000320187nke:NIKEBrandMembernke:S</w:t>
      </w:r>
      <w:r>
        <w:rPr>
          <w:rFonts w:ascii="宋体" w:eastAsia="宋体" w:hAnsi="宋体" w:cs="宋体"/>
          <w:vanish/>
        </w:rPr>
        <w:t>portingEquipmentMemberus-gaap:OperatingSegmentsMember2020-06-012021-02-280000320187nke:SportingEquipmentMemberus-gaap:OperatingSegmentsMembernke:ConverseSegmentMember2020-06-012021-02-280000320187nke:SportingEquipmentMemberus-gaap:CorporateNonSegmentMember</w:t>
      </w:r>
      <w:r>
        <w:rPr>
          <w:rFonts w:ascii="宋体" w:eastAsia="宋体" w:hAnsi="宋体" w:cs="宋体"/>
          <w:vanish/>
        </w:rPr>
        <w:t>2020-06-012021-02-280000320187nke:SportingEquipmentMember2020-06-012021-02-280000320187nke:NIKEBrandMembernke:NorthAmericaSegmentMemberus-gaap:OperatingSegmentsMembernke:OtherProductLinesMember2020-06-012021-02-280000320187nke:NIKEBrandMembernke:EuropeMidd</w:t>
      </w:r>
      <w:r>
        <w:rPr>
          <w:rFonts w:ascii="宋体" w:eastAsia="宋体" w:hAnsi="宋体" w:cs="宋体"/>
          <w:vanish/>
        </w:rPr>
        <w:t>leEastAndAfricaSegmentMemberus-gaap:OperatingSegmentsMembernke:OtherProductLinesMember2020-06-012021-02-280000320187nke:NIKEBrandMembernke:GreaterChinaSegmentMemberus-gaap:OperatingSegmentsMembernke:OtherProductLinesMember2020-06-012021-02-280000320187nke:</w:t>
      </w:r>
      <w:r>
        <w:rPr>
          <w:rFonts w:ascii="宋体" w:eastAsia="宋体" w:hAnsi="宋体" w:cs="宋体"/>
          <w:vanish/>
        </w:rPr>
        <w:t>NIKEBrandMembernke:AsiaPacificAndLatinAmericaSegmentMemberus-gaap:OperatingSegmentsMembernke:OtherProductLinesMember2020-06-012021-02-280000320187us-gaap:MaterialReconcilingItemsMembernke:OtherProductLinesMember2020-06-012021-02-280000320187nke:NIKEBrandMe</w:t>
      </w:r>
      <w:r>
        <w:rPr>
          <w:rFonts w:ascii="宋体" w:eastAsia="宋体" w:hAnsi="宋体" w:cs="宋体"/>
          <w:vanish/>
        </w:rPr>
        <w:t>mberus-gaap:OperatingSegmentsMembernke:OtherProductLinesMember2020-06-012021-02-280000320187us-gaap:OperatingSegmentsMembernke:ConverseSegmentMembernke:OtherProductLinesMember2020-06-012021-02-280000320187us-gaap:CorporateNonSegmentMembernke:OtherProductLi</w:t>
      </w:r>
      <w:r>
        <w:rPr>
          <w:rFonts w:ascii="宋体" w:eastAsia="宋体" w:hAnsi="宋体" w:cs="宋体"/>
          <w:vanish/>
        </w:rPr>
        <w:t>nesMember2020-06-012021-02-280000320187nke:OtherProductLinesMember2020-06-012021-02-280000320187nke:NIKEBrandMembernke:NorthAmericaSegmentMemberus-gaap:OperatingSegmentsMember2020-06-012021-02-280000320187nke:NIKEBrandMembernke:EuropeMiddleEastAndAfricaSeg</w:t>
      </w:r>
      <w:r>
        <w:rPr>
          <w:rFonts w:ascii="宋体" w:eastAsia="宋体" w:hAnsi="宋体" w:cs="宋体"/>
          <w:vanish/>
        </w:rPr>
        <w:t>mentMemberus-gaap:OperatingSegmentsMember2020-06-012021-02-280000320187nke:NIKEBrandMembernke:GreaterChinaSegmentMemberus-gaap:OperatingSegmentsMember2020-06-012021-02-280000320187nke:NIKEBrandMembernke:AsiaPacificAndLatinAmericaSegmentMemberus-gaap:Operat</w:t>
      </w:r>
      <w:r>
        <w:rPr>
          <w:rFonts w:ascii="宋体" w:eastAsia="宋体" w:hAnsi="宋体" w:cs="宋体"/>
          <w:vanish/>
        </w:rPr>
        <w:t>ingSegmentsMember2020-06-012021-02-280000320187us-gaap:MaterialReconcilingItemsMember2020-06-012021-02-280000320187nke:NIKEBrandMemberus-gaap:OperatingSegmentsMember2020-06-012021-02-280000320187us-gaap:OperatingSegmentsMembernke:ConverseSegmentMember2020-</w:t>
      </w:r>
      <w:r>
        <w:rPr>
          <w:rFonts w:ascii="宋体" w:eastAsia="宋体" w:hAnsi="宋体" w:cs="宋体"/>
          <w:vanish/>
        </w:rPr>
        <w:t>06-012021-02-280000320187us-gaap:CorporateNonSegmentMember2020-06-012021-02-280000320187nke:NIKEBrandMembernke:NorthAmericaSegmentMemberus-gaap:OperatingSegmentsMembernke:SalesChannelWholesaleMember2020-06-012021-02-280000320187nke:NIKEBrandMembernke:Europ</w:t>
      </w:r>
      <w:r>
        <w:rPr>
          <w:rFonts w:ascii="宋体" w:eastAsia="宋体" w:hAnsi="宋体" w:cs="宋体"/>
          <w:vanish/>
        </w:rPr>
        <w:t>eMiddleEastAndAfricaSegmentMemberus-gaap:OperatingSegmentsMembernke:SalesChannelWholesaleMember2020-06-012021-02-280000320187nke:NIKEBrandMembernke:GreaterChinaSegmentMemberus-gaap:OperatingSegmentsMembernke:SalesChannelWholesaleMember2020-06-012021-02-280</w:t>
      </w:r>
      <w:r>
        <w:rPr>
          <w:rFonts w:ascii="宋体" w:eastAsia="宋体" w:hAnsi="宋体" w:cs="宋体"/>
          <w:vanish/>
        </w:rPr>
        <w:t>000320187nke:NIKEBrandMembernke:AsiaPacificAndLatinAmericaSegmentMemberus-gaap:OperatingSegmentsMembernke:SalesChannelWholesaleMember2020-06-012021-02-280000320187us-gaap:MaterialReconcilingItemsMembernke:SalesChannelWholesaleMember2020-06-012021-02-280000</w:t>
      </w:r>
      <w:r>
        <w:rPr>
          <w:rFonts w:ascii="宋体" w:eastAsia="宋体" w:hAnsi="宋体" w:cs="宋体"/>
          <w:vanish/>
        </w:rPr>
        <w:t>320187nke:NIKEBrandMemberus-gaap:OperatingSegmentsMembernke:SalesChannelWholesaleMember2020-06-012021-02-280000320187us-gaap:OperatingSegmentsMembernke:ConverseSegmentMembernke:SalesChannelWholesaleMember2020-06-012021-02-280000320187nke:SalesChannelWholes</w:t>
      </w:r>
      <w:r>
        <w:rPr>
          <w:rFonts w:ascii="宋体" w:eastAsia="宋体" w:hAnsi="宋体" w:cs="宋体"/>
          <w:vanish/>
        </w:rPr>
        <w:t>aleMemberus-gaap:CorporateNonSegmentMember2020-06-012021-02-280000320187nke:SalesChannelWholesaleMember2020-06-012021-02-280000320187nke:NIKEBrandMembernke:NorthAmericaSegmentMemberus-gaap:OperatingSegmentsMemberus-gaap:SalesChannelDirectlyToConsumerMember</w:t>
      </w:r>
      <w:r>
        <w:rPr>
          <w:rFonts w:ascii="宋体" w:eastAsia="宋体" w:hAnsi="宋体" w:cs="宋体"/>
          <w:vanish/>
        </w:rPr>
        <w:t>2020-06-012021-02-280000320187nke:NIKEBrandMembernke:EuropeMiddleEastAndAfricaSegmentMemberus-gaap:OperatingSegmentsMemberus-gaap:SalesChannelDirectlyToConsumerMember2020-06-012021-02-280000320187nke:NIKEBrandMembernke:GreaterChinaSegmentMemberus-gaap:Oper</w:t>
      </w:r>
      <w:r>
        <w:rPr>
          <w:rFonts w:ascii="宋体" w:eastAsia="宋体" w:hAnsi="宋体" w:cs="宋体"/>
          <w:vanish/>
        </w:rPr>
        <w:t>atingSegmentsMemberus-gaap:SalesChannelDirectlyToConsumerMember2020-06-012021-02-280000320187nke:NIKEBrandMembernke:AsiaPacificAndLatinAmericaSegmentMemberus-gaap:OperatingSegmentsMemberus-gaap:SalesChannelDirectlyToConsumerMember2020-06-012021-02-28000032</w:t>
      </w:r>
      <w:r>
        <w:rPr>
          <w:rFonts w:ascii="宋体" w:eastAsia="宋体" w:hAnsi="宋体" w:cs="宋体"/>
          <w:vanish/>
        </w:rPr>
        <w:t>0187us-gaap:SalesChannelDirectlyToConsumerMemberus-gaap:MaterialReconcilingItemsMember2020-06-012021-02-280000320187nke:NIKEBrandMemberus-gaap:OperatingSegmentsMemberus-gaap:SalesChannelDirectlyToConsumerMember2020-06-012021-02-280000320187us-gaap:Operatin</w:t>
      </w:r>
      <w:r>
        <w:rPr>
          <w:rFonts w:ascii="宋体" w:eastAsia="宋体" w:hAnsi="宋体" w:cs="宋体"/>
          <w:vanish/>
        </w:rPr>
        <w:t>gSegmentsMemberus-gaap:SalesChannelDirectlyToConsumerMembernke:ConverseSegmentMember2020-06-012021-02-280000320187us-gaap:SalesChannelDirectlyToConsumerMemberus-gaap:CorporateNonSegmentMember2020-06-012021-02-280000320187us-gaap:SalesChannelDirectlyToConsu</w:t>
      </w:r>
      <w:r>
        <w:rPr>
          <w:rFonts w:ascii="宋体" w:eastAsia="宋体" w:hAnsi="宋体" w:cs="宋体"/>
          <w:vanish/>
        </w:rPr>
        <w:t>merMember2020-06-012021-02-280000320187nke:SalesChannelOtherMembernke:NIKEBrandMembernke:NorthAmericaSegmentMemberus-gaap:OperatingSegmentsMember2020-06-012021-02-280000320187nke:SalesChannelOtherMembernke:NIKEBrandMembernke:EuropeMiddleEastAndAfricaSegmen</w:t>
      </w:r>
      <w:r>
        <w:rPr>
          <w:rFonts w:ascii="宋体" w:eastAsia="宋体" w:hAnsi="宋体" w:cs="宋体"/>
          <w:vanish/>
        </w:rPr>
        <w:t>tMemberus-gaap:OperatingSegmentsMember2020-06-012021-02-280000320187nke:SalesChannelOtherMembernke:NIKEBrandMembernke:GreaterChinaSegmentMemberus-gaap:OperatingSegmentsMember2020-06-012021-02-280000320187nke:SalesChannelOtherMembernke:NIKEBrandMembernke:As</w:t>
      </w:r>
      <w:r>
        <w:rPr>
          <w:rFonts w:ascii="宋体" w:eastAsia="宋体" w:hAnsi="宋体" w:cs="宋体"/>
          <w:vanish/>
        </w:rPr>
        <w:t>iaPacificAndLatinAmericaSegmentMemberus-gaap:OperatingSegmentsMember2020-06-012021-02-280000320187nke:SalesChannelOtherMemberus-gaap:MaterialReconcilingItemsMember2020-06-012021-02-280000320187nke:SalesChannelOtherMembernke:NIKEBrandMemberus-gaap:Operating</w:t>
      </w:r>
      <w:r>
        <w:rPr>
          <w:rFonts w:ascii="宋体" w:eastAsia="宋体" w:hAnsi="宋体" w:cs="宋体"/>
          <w:vanish/>
        </w:rPr>
        <w:t>SegmentsMember2020-06-012021-02-280000320187nke:SalesChannelOtherMemberus-gaap:OperatingSegmentsMembernke:ConverseSegmentMember2020-06-012021-02-280000320187nke:SalesChannelOtherMemberus-gaap:CorporateNonSegmentMember2020-06-012021-02-280000320187nke:Sales</w:t>
      </w:r>
      <w:r>
        <w:rPr>
          <w:rFonts w:ascii="宋体" w:eastAsia="宋体" w:hAnsi="宋体" w:cs="宋体"/>
          <w:vanish/>
        </w:rPr>
        <w:t>ChannelOtherMember2020-06-012021-02-280000320187nke:NIKEBrandMembernke:NIKEBrandMembernke:NorthAmericaSegmentMemberus-gaap:OperatingSegmentsMember2021-12-012022-02-280000320187nke:NIKEBrandMembernke:NIKEBrandMembernke:NorthAmericaSegmentMemberus-gaap:Opera</w:t>
      </w:r>
      <w:r>
        <w:rPr>
          <w:rFonts w:ascii="宋体" w:eastAsia="宋体" w:hAnsi="宋体" w:cs="宋体"/>
          <w:vanish/>
        </w:rPr>
        <w:t>tingSegmentsMember2020-12-012021-02-280000320187nke:NIKEBrandMembernke:NIKEBrandMembernke:NorthAmericaSegmentMemberus-gaap:OperatingSegmentsMember2021-06-012022-02-280000320187nke:NIKEBrandMembernke:NIKEBrandMembernke:NorthAmericaSegmentMemberus-gaap:Opera</w:t>
      </w:r>
      <w:r>
        <w:rPr>
          <w:rFonts w:ascii="宋体" w:eastAsia="宋体" w:hAnsi="宋体" w:cs="宋体"/>
          <w:vanish/>
        </w:rPr>
        <w:t>tingSegmentsMember2020-06-012021-02-280000320187nke:NIKEBrandMembernke:NIKEBrandMembernke:EuropeMiddleEastAndAfricaSegmentMemberus-gaap:OperatingSegmentsMember2021-12-012022-02-280000320187nke:NIKEBrandMembernke:NIKEBrandMembernke:EuropeMiddleEastAndAfrica</w:t>
      </w:r>
      <w:r>
        <w:rPr>
          <w:rFonts w:ascii="宋体" w:eastAsia="宋体" w:hAnsi="宋体" w:cs="宋体"/>
          <w:vanish/>
        </w:rPr>
        <w:t>SegmentMemberus-gaap:OperatingSegmentsMember2020-12-012021-02-280000320187nke:NIKEBrandMembernke:NIKEBrandMembernke:EuropeMiddleEastAndAfricaSegmentMemberus-gaap:OperatingSegmentsMember2021-06-012022-02-280000320187nke:NIKEBrandMembernke:NIKEBrandMembernke</w:t>
      </w:r>
      <w:r>
        <w:rPr>
          <w:rFonts w:ascii="宋体" w:eastAsia="宋体" w:hAnsi="宋体" w:cs="宋体"/>
          <w:vanish/>
        </w:rPr>
        <w:t>:EuropeMiddleEastAndAfricaSegmentMemberus-gaap:OperatingSegmentsMember2020-06-012021-02-280000320187nke:NIKEBrandMembernke:NIKEBrandMembernke:GreaterChinaSegmentMemberus-gaap:OperatingSegmentsMember2021-12-012022-02-280000320187nke:NIKEBrandMembernke:NIKEB</w:t>
      </w:r>
      <w:r>
        <w:rPr>
          <w:rFonts w:ascii="宋体" w:eastAsia="宋体" w:hAnsi="宋体" w:cs="宋体"/>
          <w:vanish/>
        </w:rPr>
        <w:t>randMembernke:GreaterChinaSegmentMemberus-gaap:OperatingSegmentsMember2020-12-012021-02-280000320187nke:NIKEBrandMembernke:NIKEBrandMembernke:GreaterChinaSegmentMemberus-gaap:OperatingSegmentsMember2021-06-012022-02-280000320187nke:NIKEBrandMembernke:NIKEB</w:t>
      </w:r>
      <w:r>
        <w:rPr>
          <w:rFonts w:ascii="宋体" w:eastAsia="宋体" w:hAnsi="宋体" w:cs="宋体"/>
          <w:vanish/>
        </w:rPr>
        <w:t>randMembernke:GreaterChinaSegmentMemberus-gaap:OperatingSegmentsMember2020-06-012021-02-280000320187nke:NIKEBrandMembernke:AsiaPacificAndLatinAmericaSegmentMembernke:NIKEBrandMemberus-gaap:OperatingSegmentsMember2021-12-012022-02-280000320187nke:NIKEBrandM</w:t>
      </w:r>
      <w:r>
        <w:rPr>
          <w:rFonts w:ascii="宋体" w:eastAsia="宋体" w:hAnsi="宋体" w:cs="宋体"/>
          <w:vanish/>
        </w:rPr>
        <w:t>embernke:AsiaPacificAndLatinAmericaSegmentMembernke:NIKEBrandMemberus-gaap:OperatingSegmentsMember2020-12-012021-02-280000320187nke:NIKEBrandMembernke:AsiaPacificAndLatinAmericaSegmentMembernke:NIKEBrandMemberus-gaap:OperatingSegmentsMember2021-06-012022-0</w:t>
      </w:r>
      <w:r>
        <w:rPr>
          <w:rFonts w:ascii="宋体" w:eastAsia="宋体" w:hAnsi="宋体" w:cs="宋体"/>
          <w:vanish/>
        </w:rPr>
        <w:t>2-280000320187nke:NIKEBrandMembernke:AsiaPacificAndLatinAmericaSegmentMembernke:NIKEBrandMemberus-gaap:OperatingSegmentsMember2020-06-012021-02-280000320187nke:NIKEBrandMemberus-gaap:MaterialReconcilingItemsMember2021-12-012022-02-280000320187nke:NIKEBrand</w:t>
      </w:r>
      <w:r>
        <w:rPr>
          <w:rFonts w:ascii="宋体" w:eastAsia="宋体" w:hAnsi="宋体" w:cs="宋体"/>
          <w:vanish/>
        </w:rPr>
        <w:t>Memberus-gaap:MaterialReconcilingItemsMember2020-12-012021-02-280000320187nke:NIKEBrandMemberus-gaap:MaterialReconcilingItemsMember2021-06-012022-02-280000320187nke:NIKEBrandMemberus-gaap:MaterialReconcilingItemsMember2020-06-012021-02-280000320187nke:NIKE</w:t>
      </w:r>
      <w:r>
        <w:rPr>
          <w:rFonts w:ascii="宋体" w:eastAsia="宋体" w:hAnsi="宋体" w:cs="宋体"/>
          <w:vanish/>
        </w:rPr>
        <w:t>BrandMembernke:NIKEBrandMemberus-gaap:OperatingSegmentsMember2021-12-012022-02-280000320187nke:NIKEBrandMembernke:NIKEBrandMemberus-gaap:OperatingSegmentsMember2020-12-012021-02-280000320187nke:NIKEBrandMembernke:NIKEBrandMemberus-gaap:OperatingSegmentsMem</w:t>
      </w:r>
      <w:r>
        <w:rPr>
          <w:rFonts w:ascii="宋体" w:eastAsia="宋体" w:hAnsi="宋体" w:cs="宋体"/>
          <w:vanish/>
        </w:rPr>
        <w:t>ber2021-06-012022-02-280000320187nke:NIKEBrandMembernke:NIKEBrandMemberus-gaap:OperatingSegmentsMember2020-06-012021-02-280000320187us-gaap:OperatingSegmentsMembernke:ConverseSegmentMembernke:ConverseSegmentMember2021-12-012022-02-280000320187us-gaap:Opera</w:t>
      </w:r>
      <w:r>
        <w:rPr>
          <w:rFonts w:ascii="宋体" w:eastAsia="宋体" w:hAnsi="宋体" w:cs="宋体"/>
          <w:vanish/>
        </w:rPr>
        <w:t>tingSegmentsMembernke:ConverseSegmentMembernke:ConverseSegmentMember2020-12-012021-02-280000320187us-gaap:OperatingSegmentsMembernke:ConverseSegmentMembernke:ConverseSegmentMember2021-06-012022-02-280000320187us-gaap:OperatingSegmentsMembernke:ConverseSegm</w:t>
      </w:r>
      <w:r>
        <w:rPr>
          <w:rFonts w:ascii="宋体" w:eastAsia="宋体" w:hAnsi="宋体" w:cs="宋体"/>
          <w:vanish/>
        </w:rPr>
        <w:t>entMembernke:ConverseSegmentMember2020-06-012021-02-280000320187nke:NIKEBrandMembernke:NIKEBrandMembernke:NorthAmericaSegmentMemberus-gaap:OperatingSegmentsMember2022-02-280000320187nke:NIKEBrandMembernke:NIKEBrandMembernke:NorthAmericaSegmentMemberus-gaap</w:t>
      </w:r>
      <w:r>
        <w:rPr>
          <w:rFonts w:ascii="宋体" w:eastAsia="宋体" w:hAnsi="宋体" w:cs="宋体"/>
          <w:vanish/>
        </w:rPr>
        <w:t>:OperatingSegmentsMember2021-05-310000320187nke:NIKEBrandMembernke:NIKEBrandMembernke:EuropeMiddleEastAndAfricaSegmentMemberus-gaap:OperatingSegmentsMember2022-02-280000320187nke:NIKEBrandMembernke:NIKEBrandMembernke:EuropeMiddleEastAndAfricaSegmentMemberu</w:t>
      </w:r>
      <w:r>
        <w:rPr>
          <w:rFonts w:ascii="宋体" w:eastAsia="宋体" w:hAnsi="宋体" w:cs="宋体"/>
          <w:vanish/>
        </w:rPr>
        <w:t>s-gaap:OperatingSegmentsMember2021-05-310000320187nke:NIKEBrandMembernke:NIKEBrandMembernke:GreaterChinaSegmentMemberus-gaap:OperatingSegmentsMember2022-02-280000320187nke:NIKEBrandMembernke:NIKEBrandMembernke:GreaterChinaSegmentMemberus-gaap:OperatingSegm</w:t>
      </w:r>
      <w:r>
        <w:rPr>
          <w:rFonts w:ascii="宋体" w:eastAsia="宋体" w:hAnsi="宋体" w:cs="宋体"/>
          <w:vanish/>
        </w:rPr>
        <w:t>entsMember2021-05-310000320187nke:NIKEBrandMembernke:AsiaPacificAndLatinAmericaSegmentMembernke:NIKEBrandMemberus-gaap:OperatingSegmentsMember2022-02-280000320187nke:NIKEBrandMembernke:AsiaPacificAndLatinAmericaSegmentMembernke:NIKEBrandMemberus-gaap:Opera</w:t>
      </w:r>
      <w:r>
        <w:rPr>
          <w:rFonts w:ascii="宋体" w:eastAsia="宋体" w:hAnsi="宋体" w:cs="宋体"/>
          <w:vanish/>
        </w:rPr>
        <w:t>tingSegmentsMember2021-05-310000320187nke:NIKEBrandMemberus-gaap:MaterialReconcilingItemsMember2022-02-280000320187nke:NIKEBrandMemberus-gaap:MaterialReconcilingItemsMember2021-05-310000320187nke:NIKEBrandMembernke:NIKEBrandMemberus-gaap:OperatingSegmentsM</w:t>
      </w:r>
      <w:r>
        <w:rPr>
          <w:rFonts w:ascii="宋体" w:eastAsia="宋体" w:hAnsi="宋体" w:cs="宋体"/>
          <w:vanish/>
        </w:rPr>
        <w:t>ember2022-02-280000320187nke:NIKEBrandMembernke:NIKEBrandMemberus-gaap:OperatingSegmentsMember2021-05-310000320187us-gaap:OperatingSegmentsMembernke:ConverseSegmentMembernke:ConverseSegmentMember2022-02-280000320187us-gaap:OperatingSegmentsMembernke:Conver</w:t>
      </w:r>
      <w:r>
        <w:rPr>
          <w:rFonts w:ascii="宋体" w:eastAsia="宋体" w:hAnsi="宋体" w:cs="宋体"/>
          <w:vanish/>
        </w:rPr>
        <w:t>seSegmentMembernke:ConverseSegmentMember2021-05-310000320187us-gaap:CorporateNonSegmentMember2022-02-280000320187us-gaap:CorporateNonSegmentMember2021-05-310000320187us-gaap:DiscontinuedOperationsHeldforsaleMembernke:GrupoAxoMembernke:ArgentinaChileAndUrug</w:t>
      </w:r>
      <w:r>
        <w:rPr>
          <w:rFonts w:ascii="宋体" w:eastAsia="宋体" w:hAnsi="宋体" w:cs="宋体"/>
          <w:vanish/>
        </w:rPr>
        <w:t>uayMembernke:NIKEBrandBusinessesMember2022-02-280000320187us-gaap:DiscontinuedOperationsHeldforsaleMembernke:GrupoAxoMembernke:ArgentinaChileAndUruguayMembernke:NIKEBrandBusinessesMember2021-05-310000320187us-gaap:DiscontinuedOperationsHeldforsaleMembernke</w:t>
      </w:r>
      <w:r>
        <w:rPr>
          <w:rFonts w:ascii="宋体" w:eastAsia="宋体" w:hAnsi="宋体" w:cs="宋体"/>
          <w:vanish/>
        </w:rPr>
        <w:t>:GrupoAxoMemberus-gaap:OtherNonoperatingIncomeExpenseMembernke:ArgentinaChileAndUruguayMembernke:NIKEBrandBusinessesMember2021-06-012022-02-280000320187us-gaap:DiscontinuedOperationsHeldforsaleMembernke:GrupoAxoMemberus-gaap:OtherNonoperatingIncomeExpenseM</w:t>
      </w:r>
      <w:r>
        <w:rPr>
          <w:rFonts w:ascii="宋体" w:eastAsia="宋体" w:hAnsi="宋体" w:cs="宋体"/>
          <w:vanish/>
        </w:rPr>
        <w:t>embernke:ArgentinaChileAndUruguayMembernke:NIKEBrandBusinessesMember2020-05-310000320187us-gaap:OneTimeTerminationBenefitsMembernke:OperatingOverheadExpenseMember2020-12-012021-02-280000320187us-gaap:OneTimeTerminationBenefitsMemberus-gaap:CostOfSalesMembe</w:t>
      </w:r>
      <w:r>
        <w:rPr>
          <w:rFonts w:ascii="宋体" w:eastAsia="宋体" w:hAnsi="宋体" w:cs="宋体"/>
          <w:vanish/>
        </w:rPr>
        <w:t>r2020-12-012021-02-280000320187us-gaap:OneTimeTerminationBenefitsMember2020-12-012021-02-280000320187us-gaap:OneTimeTerminationBenefitsMembernke:OperatingOverheadExpenseMember2020-06-012021-02-280000320187us-gaap:OneTimeTerminationBenefitsMemberus-gaap:Cos</w:t>
      </w:r>
      <w:r>
        <w:rPr>
          <w:rFonts w:ascii="宋体" w:eastAsia="宋体" w:hAnsi="宋体" w:cs="宋体"/>
          <w:vanish/>
        </w:rPr>
        <w:t>tOfSalesMember2020-06-012021-02-280000320187us-gaap:OneTimeTerminationBenefitsMember2020-06-012021-02-28</w:t>
      </w:r>
    </w:p>
    <w:p w14:paraId="26E9C088" w14:textId="77777777" w:rsidR="008A3BAC" w:rsidRDefault="008A3BAC">
      <w:pPr>
        <w:spacing w:before="120" w:after="120"/>
      </w:pPr>
    </w:p>
    <w:p w14:paraId="26E9C089" w14:textId="77777777" w:rsidR="008A3BAC" w:rsidRDefault="005C75B9">
      <w:pPr>
        <w:jc w:val="center"/>
      </w:pPr>
      <w:r>
        <w:rPr>
          <w:rFonts w:ascii="Arial" w:eastAsia="宋体" w:hAnsi="Arial" w:cs="Arial"/>
          <w:b/>
          <w:bCs/>
          <w:color w:val="000000"/>
          <w:sz w:val="16"/>
          <w:szCs w:val="16"/>
        </w:rPr>
        <w:t>UNITED STATES</w:t>
      </w:r>
    </w:p>
    <w:p w14:paraId="26E9C08A" w14:textId="77777777" w:rsidR="008A3BAC" w:rsidRDefault="005C75B9">
      <w:pPr>
        <w:jc w:val="center"/>
      </w:pPr>
      <w:r>
        <w:rPr>
          <w:rFonts w:ascii="Arial" w:eastAsia="宋体" w:hAnsi="Arial" w:cs="Arial"/>
          <w:b/>
          <w:bCs/>
          <w:color w:val="000000"/>
          <w:sz w:val="16"/>
          <w:szCs w:val="16"/>
        </w:rPr>
        <w:t>SECURITIES AND EXCHANGE COMMISSION</w:t>
      </w:r>
    </w:p>
    <w:p w14:paraId="26E9C08B" w14:textId="77777777" w:rsidR="008A3BAC" w:rsidRDefault="005C75B9">
      <w:pPr>
        <w:jc w:val="center"/>
      </w:pPr>
      <w:r>
        <w:rPr>
          <w:rFonts w:ascii="Arial" w:eastAsia="宋体" w:hAnsi="Arial" w:cs="Arial"/>
          <w:b/>
          <w:bCs/>
          <w:color w:val="000000"/>
          <w:sz w:val="16"/>
          <w:szCs w:val="16"/>
        </w:rPr>
        <w:t>Washington, D.C. 20549</w:t>
      </w:r>
    </w:p>
    <w:p w14:paraId="26E9C08C" w14:textId="77777777" w:rsidR="008A3BAC" w:rsidRDefault="005C75B9">
      <w:pPr>
        <w:spacing w:before="120" w:after="120"/>
        <w:jc w:val="center"/>
      </w:pPr>
      <w:r>
        <w:rPr>
          <w:rFonts w:ascii="Arial" w:eastAsia="宋体" w:hAnsi="Arial" w:cs="Arial"/>
          <w:b/>
          <w:bCs/>
          <w:color w:val="000000"/>
          <w:sz w:val="28"/>
          <w:szCs w:val="28"/>
        </w:rPr>
        <w:t xml:space="preserve">FORM 10-Q </w:t>
      </w:r>
    </w:p>
    <w:p w14:paraId="26E9C08D" w14:textId="77777777" w:rsidR="008A3BAC" w:rsidRDefault="005C75B9">
      <w:pPr>
        <w:jc w:val="center"/>
      </w:pPr>
      <w:r>
        <w:rPr>
          <w:rFonts w:ascii="Arial" w:eastAsia="宋体" w:hAnsi="Arial" w:cs="Arial"/>
          <w:color w:val="000000"/>
          <w:sz w:val="14"/>
          <w:szCs w:val="14"/>
        </w:rPr>
        <w:t>(Mark One)</w:t>
      </w:r>
    </w:p>
    <w:p w14:paraId="26E9C08E" w14:textId="77777777" w:rsidR="008A3BAC" w:rsidRDefault="005C75B9">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TH</w:t>
      </w:r>
      <w:r>
        <w:rPr>
          <w:rFonts w:ascii="Arial" w:eastAsia="宋体" w:hAnsi="Arial" w:cs="Arial"/>
          <w:b/>
          <w:bCs/>
          <w:color w:val="000000"/>
          <w:sz w:val="16"/>
          <w:szCs w:val="16"/>
        </w:rPr>
        <w:t>E SECURITIES EXCHANGE ACT OF 1934</w:t>
      </w:r>
    </w:p>
    <w:p w14:paraId="26E9C08F" w14:textId="77777777" w:rsidR="008A3BAC" w:rsidRDefault="005C75B9">
      <w:pPr>
        <w:jc w:val="center"/>
      </w:pPr>
      <w:r>
        <w:rPr>
          <w:rFonts w:ascii="Arial" w:eastAsia="宋体" w:hAnsi="Arial" w:cs="Arial"/>
          <w:b/>
          <w:bCs/>
          <w:color w:val="000000"/>
          <w:sz w:val="16"/>
          <w:szCs w:val="16"/>
        </w:rPr>
        <w:t xml:space="preserve">FOR THE QUARTERLY PERIOD ENDED FEBRUARY 28, 2022 </w:t>
      </w:r>
    </w:p>
    <w:p w14:paraId="26E9C090" w14:textId="77777777" w:rsidR="008A3BAC" w:rsidRDefault="008A3BAC">
      <w:pPr>
        <w:jc w:val="center"/>
      </w:pPr>
    </w:p>
    <w:p w14:paraId="26E9C091" w14:textId="77777777" w:rsidR="008A3BAC" w:rsidRDefault="005C75B9">
      <w:pPr>
        <w:jc w:val="center"/>
      </w:pPr>
      <w:r>
        <w:rPr>
          <w:rFonts w:ascii="Arial" w:eastAsia="宋体" w:hAnsi="Arial" w:cs="Arial"/>
          <w:b/>
          <w:bCs/>
          <w:color w:val="000000"/>
          <w:sz w:val="16"/>
          <w:szCs w:val="16"/>
        </w:rPr>
        <w:t>OR</w:t>
      </w:r>
    </w:p>
    <w:p w14:paraId="26E9C092" w14:textId="77777777" w:rsidR="008A3BAC" w:rsidRDefault="008A3BAC">
      <w:pPr>
        <w:jc w:val="center"/>
      </w:pPr>
    </w:p>
    <w:p w14:paraId="26E9C093" w14:textId="77777777" w:rsidR="008A3BAC" w:rsidRDefault="005C75B9">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26E9C094" w14:textId="77777777" w:rsidR="008A3BAC" w:rsidRDefault="005C75B9">
      <w:pPr>
        <w:jc w:val="center"/>
      </w:pPr>
      <w:r>
        <w:rPr>
          <w:rFonts w:ascii="Arial" w:eastAsia="宋体" w:hAnsi="Arial" w:cs="Arial"/>
          <w:b/>
          <w:bCs/>
          <w:color w:val="000000"/>
          <w:sz w:val="16"/>
          <w:szCs w:val="16"/>
        </w:rPr>
        <w:t>FOR THE TRANSITION PERIOD FROM                         TO                   </w:t>
      </w:r>
      <w:r>
        <w:rPr>
          <w:rFonts w:ascii="Arial" w:eastAsia="宋体" w:hAnsi="Arial" w:cs="Arial"/>
          <w:b/>
          <w:bCs/>
          <w:color w:val="000000"/>
          <w:sz w:val="16"/>
          <w:szCs w:val="16"/>
        </w:rPr>
        <w:t>      .</w:t>
      </w:r>
    </w:p>
    <w:p w14:paraId="26E9C095" w14:textId="77777777" w:rsidR="008A3BAC" w:rsidRDefault="008A3BAC">
      <w:pPr>
        <w:jc w:val="center"/>
      </w:pPr>
    </w:p>
    <w:p w14:paraId="26E9C096" w14:textId="77777777" w:rsidR="008A3BAC" w:rsidRDefault="005C75B9">
      <w:pPr>
        <w:jc w:val="center"/>
      </w:pPr>
      <w:r>
        <w:rPr>
          <w:rFonts w:ascii="Arial" w:eastAsia="宋体" w:hAnsi="Arial" w:cs="Arial"/>
          <w:b/>
          <w:bCs/>
          <w:color w:val="000000"/>
          <w:sz w:val="16"/>
          <w:szCs w:val="16"/>
        </w:rPr>
        <w:t xml:space="preserve">Commission File No. 1-10635 </w:t>
      </w:r>
    </w:p>
    <w:p w14:paraId="26E9C097" w14:textId="77777777" w:rsidR="008A3BAC" w:rsidRDefault="005C75B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Viewer3_files/nke-20220228_g1.jpg"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6E9E844" wp14:editId="26E9E845">
            <wp:extent cx="304800" cy="304800"/>
            <wp:effectExtent l="0" t="0" r="0" b="0"/>
            <wp:docPr id="3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6E9C098" w14:textId="77777777" w:rsidR="008A3BAC" w:rsidRDefault="005C75B9">
      <w:pPr>
        <w:spacing w:after="120"/>
        <w:jc w:val="center"/>
      </w:pPr>
      <w:r>
        <w:rPr>
          <w:rFonts w:ascii="Arial" w:eastAsia="宋体" w:hAnsi="Arial" w:cs="Arial"/>
          <w:b/>
          <w:bCs/>
          <w:color w:val="000000"/>
          <w:sz w:val="40"/>
          <w:szCs w:val="40"/>
        </w:rPr>
        <w:t xml:space="preserve">NIKE, Inc. </w:t>
      </w:r>
    </w:p>
    <w:p w14:paraId="26E9C099" w14:textId="77777777" w:rsidR="008A3BAC" w:rsidRDefault="005C75B9">
      <w:pPr>
        <w:jc w:val="center"/>
      </w:pPr>
      <w:r>
        <w:rPr>
          <w:rFonts w:ascii="Arial" w:eastAsia="宋体" w:hAnsi="Arial" w:cs="Arial"/>
          <w:b/>
          <w:b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8A3BAC" w14:paraId="26E9C0A6" w14:textId="77777777">
        <w:tc>
          <w:tcPr>
            <w:tcW w:w="50" w:type="pct"/>
            <w:shd w:val="clear" w:color="auto" w:fill="auto"/>
            <w:vAlign w:val="bottom"/>
          </w:tcPr>
          <w:p w14:paraId="26E9C09A" w14:textId="77777777" w:rsidR="008A3BAC" w:rsidRDefault="008A3BAC">
            <w:pPr>
              <w:rPr>
                <w:rFonts w:ascii="宋体"/>
              </w:rPr>
            </w:pPr>
          </w:p>
        </w:tc>
        <w:tc>
          <w:tcPr>
            <w:tcW w:w="1519" w:type="pct"/>
            <w:shd w:val="clear" w:color="auto" w:fill="auto"/>
            <w:vAlign w:val="bottom"/>
          </w:tcPr>
          <w:p w14:paraId="26E9C09B" w14:textId="77777777" w:rsidR="008A3BAC" w:rsidRDefault="008A3BAC">
            <w:pPr>
              <w:rPr>
                <w:rFonts w:ascii="宋体"/>
              </w:rPr>
            </w:pPr>
          </w:p>
        </w:tc>
        <w:tc>
          <w:tcPr>
            <w:tcW w:w="5" w:type="pct"/>
            <w:shd w:val="clear" w:color="auto" w:fill="auto"/>
            <w:vAlign w:val="bottom"/>
          </w:tcPr>
          <w:p w14:paraId="26E9C09C" w14:textId="77777777" w:rsidR="008A3BAC" w:rsidRDefault="008A3BAC">
            <w:pPr>
              <w:rPr>
                <w:rFonts w:ascii="宋体"/>
              </w:rPr>
            </w:pPr>
          </w:p>
        </w:tc>
        <w:tc>
          <w:tcPr>
            <w:tcW w:w="50" w:type="pct"/>
            <w:shd w:val="clear" w:color="auto" w:fill="auto"/>
            <w:vAlign w:val="bottom"/>
          </w:tcPr>
          <w:p w14:paraId="26E9C09D" w14:textId="77777777" w:rsidR="008A3BAC" w:rsidRDefault="008A3BAC">
            <w:pPr>
              <w:rPr>
                <w:rFonts w:ascii="宋体"/>
              </w:rPr>
            </w:pPr>
          </w:p>
        </w:tc>
        <w:tc>
          <w:tcPr>
            <w:tcW w:w="870" w:type="pct"/>
            <w:shd w:val="clear" w:color="auto" w:fill="auto"/>
            <w:vAlign w:val="bottom"/>
          </w:tcPr>
          <w:p w14:paraId="26E9C09E" w14:textId="77777777" w:rsidR="008A3BAC" w:rsidRDefault="008A3BAC">
            <w:pPr>
              <w:rPr>
                <w:rFonts w:ascii="宋体"/>
              </w:rPr>
            </w:pPr>
          </w:p>
        </w:tc>
        <w:tc>
          <w:tcPr>
            <w:tcW w:w="5" w:type="pct"/>
            <w:shd w:val="clear" w:color="auto" w:fill="auto"/>
            <w:vAlign w:val="bottom"/>
          </w:tcPr>
          <w:p w14:paraId="26E9C09F" w14:textId="77777777" w:rsidR="008A3BAC" w:rsidRDefault="008A3BAC">
            <w:pPr>
              <w:rPr>
                <w:rFonts w:ascii="宋体"/>
              </w:rPr>
            </w:pPr>
          </w:p>
        </w:tc>
        <w:tc>
          <w:tcPr>
            <w:tcW w:w="50" w:type="pct"/>
            <w:shd w:val="clear" w:color="auto" w:fill="auto"/>
            <w:vAlign w:val="bottom"/>
          </w:tcPr>
          <w:p w14:paraId="26E9C0A0" w14:textId="77777777" w:rsidR="008A3BAC" w:rsidRDefault="008A3BAC">
            <w:pPr>
              <w:rPr>
                <w:rFonts w:ascii="宋体"/>
              </w:rPr>
            </w:pPr>
          </w:p>
        </w:tc>
        <w:tc>
          <w:tcPr>
            <w:tcW w:w="870" w:type="pct"/>
            <w:shd w:val="clear" w:color="auto" w:fill="auto"/>
            <w:vAlign w:val="bottom"/>
          </w:tcPr>
          <w:p w14:paraId="26E9C0A1" w14:textId="77777777" w:rsidR="008A3BAC" w:rsidRDefault="008A3BAC">
            <w:pPr>
              <w:rPr>
                <w:rFonts w:ascii="宋体"/>
              </w:rPr>
            </w:pPr>
          </w:p>
        </w:tc>
        <w:tc>
          <w:tcPr>
            <w:tcW w:w="5" w:type="pct"/>
            <w:shd w:val="clear" w:color="auto" w:fill="auto"/>
            <w:vAlign w:val="bottom"/>
          </w:tcPr>
          <w:p w14:paraId="26E9C0A2" w14:textId="77777777" w:rsidR="008A3BAC" w:rsidRDefault="008A3BAC">
            <w:pPr>
              <w:rPr>
                <w:rFonts w:ascii="宋体"/>
              </w:rPr>
            </w:pPr>
          </w:p>
        </w:tc>
        <w:tc>
          <w:tcPr>
            <w:tcW w:w="50" w:type="pct"/>
            <w:shd w:val="clear" w:color="auto" w:fill="auto"/>
            <w:vAlign w:val="bottom"/>
          </w:tcPr>
          <w:p w14:paraId="26E9C0A3" w14:textId="77777777" w:rsidR="008A3BAC" w:rsidRDefault="008A3BAC">
            <w:pPr>
              <w:rPr>
                <w:rFonts w:ascii="宋体"/>
              </w:rPr>
            </w:pPr>
          </w:p>
        </w:tc>
        <w:tc>
          <w:tcPr>
            <w:tcW w:w="1519" w:type="pct"/>
            <w:shd w:val="clear" w:color="auto" w:fill="auto"/>
            <w:vAlign w:val="bottom"/>
          </w:tcPr>
          <w:p w14:paraId="26E9C0A4" w14:textId="77777777" w:rsidR="008A3BAC" w:rsidRDefault="008A3BAC">
            <w:pPr>
              <w:rPr>
                <w:rFonts w:ascii="宋体"/>
              </w:rPr>
            </w:pPr>
          </w:p>
        </w:tc>
        <w:tc>
          <w:tcPr>
            <w:tcW w:w="5" w:type="pct"/>
            <w:shd w:val="clear" w:color="auto" w:fill="auto"/>
            <w:vAlign w:val="bottom"/>
          </w:tcPr>
          <w:p w14:paraId="26E9C0A5" w14:textId="77777777" w:rsidR="008A3BAC" w:rsidRDefault="008A3BAC">
            <w:pPr>
              <w:rPr>
                <w:rFonts w:ascii="宋体"/>
              </w:rPr>
            </w:pPr>
          </w:p>
        </w:tc>
      </w:tr>
      <w:tr w:rsidR="008A3BAC" w14:paraId="26E9C0A9" w14:textId="77777777">
        <w:tc>
          <w:tcPr>
            <w:tcW w:w="0" w:type="auto"/>
            <w:gridSpan w:val="6"/>
            <w:shd w:val="clear" w:color="auto" w:fill="auto"/>
            <w:tcMar>
              <w:top w:w="40" w:type="dxa"/>
              <w:left w:w="20" w:type="dxa"/>
              <w:bottom w:w="40" w:type="dxa"/>
              <w:right w:w="20" w:type="dxa"/>
            </w:tcMar>
            <w:vAlign w:val="bottom"/>
          </w:tcPr>
          <w:p w14:paraId="26E9C0A7" w14:textId="77777777" w:rsidR="008A3BAC" w:rsidRDefault="005C75B9">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26E9C0A8" w14:textId="77777777" w:rsidR="008A3BAC" w:rsidRDefault="005C75B9">
            <w:pPr>
              <w:jc w:val="center"/>
              <w:textAlignment w:val="bottom"/>
            </w:pPr>
            <w:r>
              <w:rPr>
                <w:rFonts w:ascii="Arial" w:eastAsia="宋体" w:hAnsi="Arial" w:cs="Arial"/>
                <w:b/>
                <w:bCs/>
                <w:color w:val="000000"/>
                <w:sz w:val="14"/>
                <w:szCs w:val="14"/>
              </w:rPr>
              <w:t>93-0584541</w:t>
            </w:r>
          </w:p>
        </w:tc>
      </w:tr>
      <w:tr w:rsidR="008A3BAC" w14:paraId="26E9C0AC" w14:textId="77777777">
        <w:tc>
          <w:tcPr>
            <w:tcW w:w="0" w:type="auto"/>
            <w:gridSpan w:val="6"/>
            <w:shd w:val="clear" w:color="auto" w:fill="auto"/>
            <w:tcMar>
              <w:top w:w="40" w:type="dxa"/>
              <w:left w:w="20" w:type="dxa"/>
              <w:bottom w:w="40" w:type="dxa"/>
              <w:right w:w="20" w:type="dxa"/>
            </w:tcMar>
          </w:tcPr>
          <w:p w14:paraId="26E9C0AA" w14:textId="77777777" w:rsidR="008A3BAC" w:rsidRDefault="005C75B9">
            <w:pP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26E9C0AB" w14:textId="77777777" w:rsidR="008A3BAC" w:rsidRDefault="005C75B9">
            <w:pPr>
              <w:jc w:val="center"/>
              <w:textAlignment w:val="top"/>
            </w:pPr>
            <w:r>
              <w:rPr>
                <w:rFonts w:ascii="Arial" w:eastAsia="宋体" w:hAnsi="Arial" w:cs="Arial"/>
                <w:i/>
                <w:iCs/>
                <w:color w:val="000000"/>
                <w:sz w:val="14"/>
                <w:szCs w:val="14"/>
              </w:rPr>
              <w:t>(I.R.S. Employer Identification No.)</w:t>
            </w:r>
          </w:p>
        </w:tc>
      </w:tr>
    </w:tbl>
    <w:p w14:paraId="26E9C0AD" w14:textId="77777777" w:rsidR="008A3BAC" w:rsidRDefault="008A3BAC">
      <w:pPr>
        <w:jc w:val="center"/>
      </w:pPr>
    </w:p>
    <w:p w14:paraId="26E9C0AE" w14:textId="77777777" w:rsidR="008A3BAC" w:rsidRDefault="005C75B9">
      <w:pPr>
        <w:jc w:val="center"/>
      </w:pPr>
      <w:r>
        <w:rPr>
          <w:rFonts w:ascii="Arial" w:eastAsia="宋体" w:hAnsi="Arial" w:cs="Arial"/>
          <w:b/>
          <w:bCs/>
          <w:color w:val="000000"/>
          <w:sz w:val="14"/>
          <w:szCs w:val="14"/>
        </w:rPr>
        <w:t xml:space="preserve">One Bowerman Drive, Beaverton, Oregon 97005-6453 </w:t>
      </w:r>
    </w:p>
    <w:p w14:paraId="26E9C0AF" w14:textId="77777777" w:rsidR="008A3BAC" w:rsidRDefault="005C75B9">
      <w:pPr>
        <w:jc w:val="center"/>
      </w:pPr>
      <w:r>
        <w:rPr>
          <w:rFonts w:ascii="Arial" w:eastAsia="宋体" w:hAnsi="Arial" w:cs="Arial"/>
          <w:i/>
          <w:iCs/>
          <w:color w:val="000000"/>
          <w:sz w:val="14"/>
          <w:szCs w:val="14"/>
        </w:rPr>
        <w:t>(Address of principal executive offices and zip code)</w:t>
      </w:r>
    </w:p>
    <w:p w14:paraId="26E9C0B0" w14:textId="77777777" w:rsidR="008A3BAC" w:rsidRDefault="008A3BAC">
      <w:pPr>
        <w:jc w:val="center"/>
      </w:pPr>
    </w:p>
    <w:p w14:paraId="26E9C0B1" w14:textId="77777777" w:rsidR="008A3BAC" w:rsidRDefault="005C75B9">
      <w:pPr>
        <w:jc w:val="center"/>
      </w:pPr>
      <w:r>
        <w:rPr>
          <w:rFonts w:ascii="Arial" w:eastAsia="宋体" w:hAnsi="Arial" w:cs="Arial"/>
          <w:b/>
          <w:bCs/>
          <w:color w:val="000000"/>
          <w:sz w:val="14"/>
          <w:szCs w:val="14"/>
        </w:rPr>
        <w:t xml:space="preserve">(503) 671-6453 </w:t>
      </w:r>
    </w:p>
    <w:p w14:paraId="26E9C0B2" w14:textId="77777777" w:rsidR="008A3BAC" w:rsidRDefault="005C75B9">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8A3BAC" w14:paraId="26E9C0BF" w14:textId="77777777">
        <w:tc>
          <w:tcPr>
            <w:tcW w:w="50" w:type="pct"/>
            <w:shd w:val="clear" w:color="auto" w:fill="auto"/>
            <w:vAlign w:val="bottom"/>
          </w:tcPr>
          <w:p w14:paraId="26E9C0B3" w14:textId="77777777" w:rsidR="008A3BAC" w:rsidRDefault="008A3BAC">
            <w:pPr>
              <w:rPr>
                <w:rFonts w:ascii="宋体"/>
              </w:rPr>
            </w:pPr>
          </w:p>
        </w:tc>
        <w:tc>
          <w:tcPr>
            <w:tcW w:w="1519" w:type="pct"/>
            <w:shd w:val="clear" w:color="auto" w:fill="auto"/>
            <w:vAlign w:val="bottom"/>
          </w:tcPr>
          <w:p w14:paraId="26E9C0B4" w14:textId="77777777" w:rsidR="008A3BAC" w:rsidRDefault="008A3BAC">
            <w:pPr>
              <w:rPr>
                <w:rFonts w:ascii="宋体"/>
              </w:rPr>
            </w:pPr>
          </w:p>
        </w:tc>
        <w:tc>
          <w:tcPr>
            <w:tcW w:w="5" w:type="pct"/>
            <w:shd w:val="clear" w:color="auto" w:fill="auto"/>
            <w:vAlign w:val="bottom"/>
          </w:tcPr>
          <w:p w14:paraId="26E9C0B5" w14:textId="77777777" w:rsidR="008A3BAC" w:rsidRDefault="008A3BAC">
            <w:pPr>
              <w:rPr>
                <w:rFonts w:ascii="宋体"/>
              </w:rPr>
            </w:pPr>
          </w:p>
        </w:tc>
        <w:tc>
          <w:tcPr>
            <w:tcW w:w="50" w:type="pct"/>
            <w:shd w:val="clear" w:color="auto" w:fill="auto"/>
            <w:vAlign w:val="bottom"/>
          </w:tcPr>
          <w:p w14:paraId="26E9C0B6" w14:textId="77777777" w:rsidR="008A3BAC" w:rsidRDefault="008A3BAC">
            <w:pPr>
              <w:rPr>
                <w:rFonts w:ascii="宋体"/>
              </w:rPr>
            </w:pPr>
          </w:p>
        </w:tc>
        <w:tc>
          <w:tcPr>
            <w:tcW w:w="870" w:type="pct"/>
            <w:shd w:val="clear" w:color="auto" w:fill="auto"/>
            <w:vAlign w:val="bottom"/>
          </w:tcPr>
          <w:p w14:paraId="26E9C0B7" w14:textId="77777777" w:rsidR="008A3BAC" w:rsidRDefault="008A3BAC">
            <w:pPr>
              <w:rPr>
                <w:rFonts w:ascii="宋体"/>
              </w:rPr>
            </w:pPr>
          </w:p>
        </w:tc>
        <w:tc>
          <w:tcPr>
            <w:tcW w:w="5" w:type="pct"/>
            <w:shd w:val="clear" w:color="auto" w:fill="auto"/>
            <w:vAlign w:val="bottom"/>
          </w:tcPr>
          <w:p w14:paraId="26E9C0B8" w14:textId="77777777" w:rsidR="008A3BAC" w:rsidRDefault="008A3BAC">
            <w:pPr>
              <w:rPr>
                <w:rFonts w:ascii="宋体"/>
              </w:rPr>
            </w:pPr>
          </w:p>
        </w:tc>
        <w:tc>
          <w:tcPr>
            <w:tcW w:w="50" w:type="pct"/>
            <w:shd w:val="clear" w:color="auto" w:fill="auto"/>
            <w:vAlign w:val="bottom"/>
          </w:tcPr>
          <w:p w14:paraId="26E9C0B9" w14:textId="77777777" w:rsidR="008A3BAC" w:rsidRDefault="008A3BAC">
            <w:pPr>
              <w:rPr>
                <w:rFonts w:ascii="宋体"/>
              </w:rPr>
            </w:pPr>
          </w:p>
        </w:tc>
        <w:tc>
          <w:tcPr>
            <w:tcW w:w="870" w:type="pct"/>
            <w:shd w:val="clear" w:color="auto" w:fill="auto"/>
            <w:vAlign w:val="bottom"/>
          </w:tcPr>
          <w:p w14:paraId="26E9C0BA" w14:textId="77777777" w:rsidR="008A3BAC" w:rsidRDefault="008A3BAC">
            <w:pPr>
              <w:rPr>
                <w:rFonts w:ascii="宋体"/>
              </w:rPr>
            </w:pPr>
          </w:p>
        </w:tc>
        <w:tc>
          <w:tcPr>
            <w:tcW w:w="5" w:type="pct"/>
            <w:shd w:val="clear" w:color="auto" w:fill="auto"/>
            <w:vAlign w:val="bottom"/>
          </w:tcPr>
          <w:p w14:paraId="26E9C0BB" w14:textId="77777777" w:rsidR="008A3BAC" w:rsidRDefault="008A3BAC">
            <w:pPr>
              <w:rPr>
                <w:rFonts w:ascii="宋体"/>
              </w:rPr>
            </w:pPr>
          </w:p>
        </w:tc>
        <w:tc>
          <w:tcPr>
            <w:tcW w:w="50" w:type="pct"/>
            <w:shd w:val="clear" w:color="auto" w:fill="auto"/>
            <w:vAlign w:val="bottom"/>
          </w:tcPr>
          <w:p w14:paraId="26E9C0BC" w14:textId="77777777" w:rsidR="008A3BAC" w:rsidRDefault="008A3BAC">
            <w:pPr>
              <w:rPr>
                <w:rFonts w:ascii="宋体"/>
              </w:rPr>
            </w:pPr>
          </w:p>
        </w:tc>
        <w:tc>
          <w:tcPr>
            <w:tcW w:w="1519" w:type="pct"/>
            <w:shd w:val="clear" w:color="auto" w:fill="auto"/>
            <w:vAlign w:val="bottom"/>
          </w:tcPr>
          <w:p w14:paraId="26E9C0BD" w14:textId="77777777" w:rsidR="008A3BAC" w:rsidRDefault="008A3BAC">
            <w:pPr>
              <w:rPr>
                <w:rFonts w:ascii="宋体"/>
              </w:rPr>
            </w:pPr>
          </w:p>
        </w:tc>
        <w:tc>
          <w:tcPr>
            <w:tcW w:w="5" w:type="pct"/>
            <w:shd w:val="clear" w:color="auto" w:fill="auto"/>
            <w:vAlign w:val="bottom"/>
          </w:tcPr>
          <w:p w14:paraId="26E9C0BE" w14:textId="77777777" w:rsidR="008A3BAC" w:rsidRDefault="008A3BAC">
            <w:pPr>
              <w:rPr>
                <w:rFonts w:ascii="宋体"/>
              </w:rPr>
            </w:pPr>
          </w:p>
        </w:tc>
      </w:tr>
      <w:tr w:rsidR="008A3BAC" w14:paraId="26E9C0C1" w14:textId="77777777">
        <w:tc>
          <w:tcPr>
            <w:tcW w:w="0" w:type="auto"/>
            <w:gridSpan w:val="12"/>
            <w:shd w:val="clear" w:color="auto" w:fill="auto"/>
            <w:tcMar>
              <w:top w:w="40" w:type="dxa"/>
              <w:left w:w="20" w:type="dxa"/>
              <w:bottom w:w="40" w:type="dxa"/>
              <w:right w:w="20" w:type="dxa"/>
            </w:tcMar>
            <w:vAlign w:val="bottom"/>
          </w:tcPr>
          <w:p w14:paraId="26E9C0C0" w14:textId="77777777" w:rsidR="008A3BAC" w:rsidRDefault="005C75B9">
            <w:pPr>
              <w:jc w:val="center"/>
              <w:textAlignment w:val="bottom"/>
            </w:pPr>
            <w:r>
              <w:rPr>
                <w:rFonts w:ascii="Arial" w:eastAsia="宋体" w:hAnsi="Arial" w:cs="Arial"/>
                <w:color w:val="000000"/>
                <w:sz w:val="14"/>
                <w:szCs w:val="14"/>
              </w:rPr>
              <w:t>SECURITIES REGISTERED PURSUANT TO SECTION 12(B) OF THE ACT:</w:t>
            </w:r>
          </w:p>
        </w:tc>
      </w:tr>
      <w:tr w:rsidR="008A3BAC" w14:paraId="26E9C0C5" w14:textId="77777777">
        <w:tc>
          <w:tcPr>
            <w:tcW w:w="0" w:type="auto"/>
            <w:gridSpan w:val="3"/>
            <w:shd w:val="clear" w:color="auto" w:fill="auto"/>
            <w:tcMar>
              <w:top w:w="40" w:type="dxa"/>
              <w:left w:w="20" w:type="dxa"/>
              <w:bottom w:w="40" w:type="dxa"/>
              <w:right w:w="20" w:type="dxa"/>
            </w:tcMar>
            <w:vAlign w:val="bottom"/>
          </w:tcPr>
          <w:p w14:paraId="26E9C0C2" w14:textId="77777777" w:rsidR="008A3BAC" w:rsidRDefault="005C75B9">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26E9C0C3" w14:textId="77777777" w:rsidR="008A3BAC" w:rsidRDefault="005C75B9">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26E9C0C4" w14:textId="77777777" w:rsidR="008A3BAC" w:rsidRDefault="005C75B9">
            <w:pPr>
              <w:jc w:val="center"/>
              <w:textAlignment w:val="bottom"/>
            </w:pPr>
            <w:r>
              <w:rPr>
                <w:rFonts w:ascii="Arial" w:eastAsia="宋体" w:hAnsi="Arial" w:cs="Arial"/>
                <w:b/>
                <w:bCs/>
                <w:color w:val="000000"/>
                <w:sz w:val="14"/>
                <w:szCs w:val="14"/>
              </w:rPr>
              <w:t>New York Stock Exchange</w:t>
            </w:r>
          </w:p>
        </w:tc>
      </w:tr>
      <w:tr w:rsidR="008A3BAC" w14:paraId="26E9C0C9" w14:textId="77777777">
        <w:tc>
          <w:tcPr>
            <w:tcW w:w="0" w:type="auto"/>
            <w:gridSpan w:val="3"/>
            <w:shd w:val="clear" w:color="auto" w:fill="auto"/>
            <w:tcMar>
              <w:top w:w="40" w:type="dxa"/>
              <w:left w:w="20" w:type="dxa"/>
              <w:bottom w:w="40" w:type="dxa"/>
              <w:right w:w="20" w:type="dxa"/>
            </w:tcMar>
            <w:vAlign w:val="bottom"/>
          </w:tcPr>
          <w:p w14:paraId="26E9C0C6" w14:textId="77777777" w:rsidR="008A3BAC" w:rsidRDefault="005C75B9">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26E9C0C7" w14:textId="77777777" w:rsidR="008A3BAC" w:rsidRDefault="005C75B9">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26E9C0C8" w14:textId="77777777" w:rsidR="008A3BAC" w:rsidRDefault="005C75B9">
            <w:pPr>
              <w:jc w:val="center"/>
              <w:textAlignment w:val="bottom"/>
            </w:pPr>
            <w:r>
              <w:rPr>
                <w:rFonts w:ascii="Arial" w:eastAsia="宋体" w:hAnsi="Arial" w:cs="Arial"/>
                <w:i/>
                <w:iCs/>
                <w:color w:val="000000"/>
                <w:sz w:val="14"/>
                <w:szCs w:val="14"/>
              </w:rPr>
              <w:t xml:space="preserve">(Name of each </w:t>
            </w:r>
            <w:r>
              <w:rPr>
                <w:rFonts w:ascii="Arial" w:eastAsia="宋体" w:hAnsi="Arial" w:cs="Arial"/>
                <w:i/>
                <w:iCs/>
                <w:color w:val="000000"/>
                <w:sz w:val="14"/>
                <w:szCs w:val="14"/>
              </w:rPr>
              <w:t>exchange on which registered)</w:t>
            </w:r>
          </w:p>
        </w:tc>
      </w:tr>
    </w:tbl>
    <w:p w14:paraId="26E9C0CA" w14:textId="77777777" w:rsidR="008A3BAC" w:rsidRDefault="008A3BA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8A3BAC" w14:paraId="26E9C0F0" w14:textId="77777777">
        <w:tc>
          <w:tcPr>
            <w:tcW w:w="5" w:type="pct"/>
            <w:shd w:val="clear" w:color="auto" w:fill="auto"/>
            <w:vAlign w:val="bottom"/>
          </w:tcPr>
          <w:p w14:paraId="26E9C0CB" w14:textId="77777777" w:rsidR="008A3BAC" w:rsidRDefault="008A3BAC">
            <w:pPr>
              <w:rPr>
                <w:rFonts w:ascii="宋体"/>
              </w:rPr>
            </w:pPr>
          </w:p>
        </w:tc>
        <w:tc>
          <w:tcPr>
            <w:tcW w:w="59" w:type="pct"/>
            <w:shd w:val="clear" w:color="auto" w:fill="auto"/>
            <w:vAlign w:val="bottom"/>
          </w:tcPr>
          <w:p w14:paraId="26E9C0CC" w14:textId="77777777" w:rsidR="008A3BAC" w:rsidRDefault="008A3BAC">
            <w:pPr>
              <w:rPr>
                <w:rFonts w:ascii="宋体"/>
              </w:rPr>
            </w:pPr>
          </w:p>
        </w:tc>
        <w:tc>
          <w:tcPr>
            <w:tcW w:w="5" w:type="pct"/>
            <w:shd w:val="clear" w:color="auto" w:fill="auto"/>
            <w:vAlign w:val="bottom"/>
          </w:tcPr>
          <w:p w14:paraId="26E9C0CD" w14:textId="77777777" w:rsidR="008A3BAC" w:rsidRDefault="008A3BAC">
            <w:pPr>
              <w:rPr>
                <w:rFonts w:ascii="宋体"/>
              </w:rPr>
            </w:pPr>
          </w:p>
        </w:tc>
        <w:tc>
          <w:tcPr>
            <w:tcW w:w="0" w:type="auto"/>
            <w:shd w:val="clear" w:color="auto" w:fill="auto"/>
            <w:vAlign w:val="bottom"/>
          </w:tcPr>
          <w:p w14:paraId="26E9C0CE" w14:textId="77777777" w:rsidR="008A3BAC" w:rsidRDefault="008A3BAC">
            <w:pPr>
              <w:rPr>
                <w:rFonts w:ascii="宋体"/>
                <w:vanish/>
              </w:rPr>
            </w:pPr>
          </w:p>
        </w:tc>
        <w:tc>
          <w:tcPr>
            <w:tcW w:w="50" w:type="pct"/>
            <w:shd w:val="clear" w:color="auto" w:fill="auto"/>
            <w:vAlign w:val="bottom"/>
          </w:tcPr>
          <w:p w14:paraId="26E9C0CF" w14:textId="77777777" w:rsidR="008A3BAC" w:rsidRDefault="008A3BAC">
            <w:pPr>
              <w:rPr>
                <w:rFonts w:ascii="宋体"/>
              </w:rPr>
            </w:pPr>
          </w:p>
        </w:tc>
        <w:tc>
          <w:tcPr>
            <w:tcW w:w="807" w:type="pct"/>
            <w:shd w:val="clear" w:color="auto" w:fill="auto"/>
            <w:vAlign w:val="bottom"/>
          </w:tcPr>
          <w:p w14:paraId="26E9C0D0" w14:textId="77777777" w:rsidR="008A3BAC" w:rsidRDefault="008A3BAC">
            <w:pPr>
              <w:rPr>
                <w:rFonts w:ascii="宋体"/>
              </w:rPr>
            </w:pPr>
          </w:p>
        </w:tc>
        <w:tc>
          <w:tcPr>
            <w:tcW w:w="5" w:type="pct"/>
            <w:shd w:val="clear" w:color="auto" w:fill="auto"/>
            <w:vAlign w:val="bottom"/>
          </w:tcPr>
          <w:p w14:paraId="26E9C0D1" w14:textId="77777777" w:rsidR="008A3BAC" w:rsidRDefault="008A3BAC">
            <w:pPr>
              <w:rPr>
                <w:rFonts w:ascii="宋体"/>
              </w:rPr>
            </w:pPr>
          </w:p>
        </w:tc>
        <w:tc>
          <w:tcPr>
            <w:tcW w:w="5" w:type="pct"/>
            <w:shd w:val="clear" w:color="auto" w:fill="auto"/>
            <w:vAlign w:val="bottom"/>
          </w:tcPr>
          <w:p w14:paraId="26E9C0D2" w14:textId="77777777" w:rsidR="008A3BAC" w:rsidRDefault="008A3BAC">
            <w:pPr>
              <w:rPr>
                <w:rFonts w:ascii="宋体"/>
              </w:rPr>
            </w:pPr>
          </w:p>
        </w:tc>
        <w:tc>
          <w:tcPr>
            <w:tcW w:w="105" w:type="pct"/>
            <w:shd w:val="clear" w:color="auto" w:fill="auto"/>
            <w:vAlign w:val="bottom"/>
          </w:tcPr>
          <w:p w14:paraId="26E9C0D3" w14:textId="77777777" w:rsidR="008A3BAC" w:rsidRDefault="008A3BAC">
            <w:pPr>
              <w:rPr>
                <w:rFonts w:ascii="宋体"/>
              </w:rPr>
            </w:pPr>
          </w:p>
        </w:tc>
        <w:tc>
          <w:tcPr>
            <w:tcW w:w="5" w:type="pct"/>
            <w:shd w:val="clear" w:color="auto" w:fill="auto"/>
            <w:vAlign w:val="bottom"/>
          </w:tcPr>
          <w:p w14:paraId="26E9C0D4" w14:textId="77777777" w:rsidR="008A3BAC" w:rsidRDefault="008A3BAC">
            <w:pPr>
              <w:rPr>
                <w:rFonts w:ascii="宋体"/>
              </w:rPr>
            </w:pPr>
          </w:p>
        </w:tc>
        <w:tc>
          <w:tcPr>
            <w:tcW w:w="50" w:type="pct"/>
            <w:shd w:val="clear" w:color="auto" w:fill="auto"/>
            <w:vAlign w:val="bottom"/>
          </w:tcPr>
          <w:p w14:paraId="26E9C0D5" w14:textId="77777777" w:rsidR="008A3BAC" w:rsidRDefault="008A3BAC">
            <w:pPr>
              <w:rPr>
                <w:rFonts w:ascii="宋体"/>
              </w:rPr>
            </w:pPr>
          </w:p>
        </w:tc>
        <w:tc>
          <w:tcPr>
            <w:tcW w:w="569" w:type="pct"/>
            <w:shd w:val="clear" w:color="auto" w:fill="auto"/>
            <w:vAlign w:val="bottom"/>
          </w:tcPr>
          <w:p w14:paraId="26E9C0D6" w14:textId="77777777" w:rsidR="008A3BAC" w:rsidRDefault="008A3BAC">
            <w:pPr>
              <w:rPr>
                <w:rFonts w:ascii="宋体"/>
              </w:rPr>
            </w:pPr>
          </w:p>
        </w:tc>
        <w:tc>
          <w:tcPr>
            <w:tcW w:w="5" w:type="pct"/>
            <w:shd w:val="clear" w:color="auto" w:fill="auto"/>
            <w:vAlign w:val="bottom"/>
          </w:tcPr>
          <w:p w14:paraId="26E9C0D7" w14:textId="77777777" w:rsidR="008A3BAC" w:rsidRDefault="008A3BAC">
            <w:pPr>
              <w:rPr>
                <w:rFonts w:ascii="宋体"/>
              </w:rPr>
            </w:pPr>
          </w:p>
        </w:tc>
        <w:tc>
          <w:tcPr>
            <w:tcW w:w="5" w:type="pct"/>
            <w:shd w:val="clear" w:color="auto" w:fill="auto"/>
            <w:vAlign w:val="bottom"/>
          </w:tcPr>
          <w:p w14:paraId="26E9C0D8" w14:textId="77777777" w:rsidR="008A3BAC" w:rsidRDefault="008A3BAC">
            <w:pPr>
              <w:rPr>
                <w:rFonts w:ascii="宋体"/>
              </w:rPr>
            </w:pPr>
          </w:p>
        </w:tc>
        <w:tc>
          <w:tcPr>
            <w:tcW w:w="90" w:type="pct"/>
            <w:shd w:val="clear" w:color="auto" w:fill="auto"/>
            <w:vAlign w:val="bottom"/>
          </w:tcPr>
          <w:p w14:paraId="26E9C0D9" w14:textId="77777777" w:rsidR="008A3BAC" w:rsidRDefault="008A3BAC">
            <w:pPr>
              <w:rPr>
                <w:rFonts w:ascii="宋体"/>
              </w:rPr>
            </w:pPr>
          </w:p>
        </w:tc>
        <w:tc>
          <w:tcPr>
            <w:tcW w:w="5" w:type="pct"/>
            <w:shd w:val="clear" w:color="auto" w:fill="auto"/>
            <w:vAlign w:val="bottom"/>
          </w:tcPr>
          <w:p w14:paraId="26E9C0DA" w14:textId="77777777" w:rsidR="008A3BAC" w:rsidRDefault="008A3BAC">
            <w:pPr>
              <w:rPr>
                <w:rFonts w:ascii="宋体"/>
              </w:rPr>
            </w:pPr>
          </w:p>
        </w:tc>
        <w:tc>
          <w:tcPr>
            <w:tcW w:w="50" w:type="pct"/>
            <w:shd w:val="clear" w:color="auto" w:fill="auto"/>
            <w:vAlign w:val="bottom"/>
          </w:tcPr>
          <w:p w14:paraId="26E9C0DB" w14:textId="77777777" w:rsidR="008A3BAC" w:rsidRDefault="008A3BAC">
            <w:pPr>
              <w:rPr>
                <w:rFonts w:ascii="宋体"/>
              </w:rPr>
            </w:pPr>
          </w:p>
        </w:tc>
        <w:tc>
          <w:tcPr>
            <w:tcW w:w="830" w:type="pct"/>
            <w:shd w:val="clear" w:color="auto" w:fill="auto"/>
            <w:vAlign w:val="bottom"/>
          </w:tcPr>
          <w:p w14:paraId="26E9C0DC" w14:textId="77777777" w:rsidR="008A3BAC" w:rsidRDefault="008A3BAC">
            <w:pPr>
              <w:rPr>
                <w:rFonts w:ascii="宋体"/>
              </w:rPr>
            </w:pPr>
          </w:p>
        </w:tc>
        <w:tc>
          <w:tcPr>
            <w:tcW w:w="5" w:type="pct"/>
            <w:shd w:val="clear" w:color="auto" w:fill="auto"/>
            <w:vAlign w:val="bottom"/>
          </w:tcPr>
          <w:p w14:paraId="26E9C0DD" w14:textId="77777777" w:rsidR="008A3BAC" w:rsidRDefault="008A3BAC">
            <w:pPr>
              <w:rPr>
                <w:rFonts w:ascii="宋体"/>
              </w:rPr>
            </w:pPr>
          </w:p>
        </w:tc>
        <w:tc>
          <w:tcPr>
            <w:tcW w:w="5" w:type="pct"/>
            <w:shd w:val="clear" w:color="auto" w:fill="auto"/>
            <w:vAlign w:val="bottom"/>
          </w:tcPr>
          <w:p w14:paraId="26E9C0DE" w14:textId="77777777" w:rsidR="008A3BAC" w:rsidRDefault="008A3BAC">
            <w:pPr>
              <w:rPr>
                <w:rFonts w:ascii="宋体"/>
              </w:rPr>
            </w:pPr>
          </w:p>
        </w:tc>
        <w:tc>
          <w:tcPr>
            <w:tcW w:w="105" w:type="pct"/>
            <w:shd w:val="clear" w:color="auto" w:fill="auto"/>
            <w:vAlign w:val="bottom"/>
          </w:tcPr>
          <w:p w14:paraId="26E9C0DF" w14:textId="77777777" w:rsidR="008A3BAC" w:rsidRDefault="008A3BAC">
            <w:pPr>
              <w:rPr>
                <w:rFonts w:ascii="宋体"/>
              </w:rPr>
            </w:pPr>
          </w:p>
        </w:tc>
        <w:tc>
          <w:tcPr>
            <w:tcW w:w="5" w:type="pct"/>
            <w:shd w:val="clear" w:color="auto" w:fill="auto"/>
            <w:vAlign w:val="bottom"/>
          </w:tcPr>
          <w:p w14:paraId="26E9C0E0" w14:textId="77777777" w:rsidR="008A3BAC" w:rsidRDefault="008A3BAC">
            <w:pPr>
              <w:rPr>
                <w:rFonts w:ascii="宋体"/>
              </w:rPr>
            </w:pPr>
          </w:p>
        </w:tc>
        <w:tc>
          <w:tcPr>
            <w:tcW w:w="50" w:type="pct"/>
            <w:shd w:val="clear" w:color="auto" w:fill="auto"/>
            <w:vAlign w:val="bottom"/>
          </w:tcPr>
          <w:p w14:paraId="26E9C0E1" w14:textId="77777777" w:rsidR="008A3BAC" w:rsidRDefault="008A3BAC">
            <w:pPr>
              <w:rPr>
                <w:rFonts w:ascii="宋体"/>
              </w:rPr>
            </w:pPr>
          </w:p>
        </w:tc>
        <w:tc>
          <w:tcPr>
            <w:tcW w:w="923" w:type="pct"/>
            <w:shd w:val="clear" w:color="auto" w:fill="auto"/>
            <w:vAlign w:val="bottom"/>
          </w:tcPr>
          <w:p w14:paraId="26E9C0E2" w14:textId="77777777" w:rsidR="008A3BAC" w:rsidRDefault="008A3BAC">
            <w:pPr>
              <w:rPr>
                <w:rFonts w:ascii="宋体"/>
              </w:rPr>
            </w:pPr>
          </w:p>
        </w:tc>
        <w:tc>
          <w:tcPr>
            <w:tcW w:w="5" w:type="pct"/>
            <w:shd w:val="clear" w:color="auto" w:fill="auto"/>
            <w:vAlign w:val="bottom"/>
          </w:tcPr>
          <w:p w14:paraId="26E9C0E3" w14:textId="77777777" w:rsidR="008A3BAC" w:rsidRDefault="008A3BAC">
            <w:pPr>
              <w:rPr>
                <w:rFonts w:ascii="宋体"/>
              </w:rPr>
            </w:pPr>
          </w:p>
        </w:tc>
        <w:tc>
          <w:tcPr>
            <w:tcW w:w="5" w:type="pct"/>
            <w:shd w:val="clear" w:color="auto" w:fill="auto"/>
            <w:vAlign w:val="bottom"/>
          </w:tcPr>
          <w:p w14:paraId="26E9C0E4" w14:textId="77777777" w:rsidR="008A3BAC" w:rsidRDefault="008A3BAC">
            <w:pPr>
              <w:rPr>
                <w:rFonts w:ascii="宋体"/>
              </w:rPr>
            </w:pPr>
          </w:p>
        </w:tc>
        <w:tc>
          <w:tcPr>
            <w:tcW w:w="105" w:type="pct"/>
            <w:shd w:val="clear" w:color="auto" w:fill="auto"/>
            <w:vAlign w:val="bottom"/>
          </w:tcPr>
          <w:p w14:paraId="26E9C0E5" w14:textId="77777777" w:rsidR="008A3BAC" w:rsidRDefault="008A3BAC">
            <w:pPr>
              <w:rPr>
                <w:rFonts w:ascii="宋体"/>
              </w:rPr>
            </w:pPr>
          </w:p>
        </w:tc>
        <w:tc>
          <w:tcPr>
            <w:tcW w:w="5" w:type="pct"/>
            <w:shd w:val="clear" w:color="auto" w:fill="auto"/>
            <w:vAlign w:val="bottom"/>
          </w:tcPr>
          <w:p w14:paraId="26E9C0E6" w14:textId="77777777" w:rsidR="008A3BAC" w:rsidRDefault="008A3BAC">
            <w:pPr>
              <w:rPr>
                <w:rFonts w:ascii="宋体"/>
              </w:rPr>
            </w:pPr>
          </w:p>
        </w:tc>
        <w:tc>
          <w:tcPr>
            <w:tcW w:w="50" w:type="pct"/>
            <w:shd w:val="clear" w:color="auto" w:fill="auto"/>
            <w:vAlign w:val="bottom"/>
          </w:tcPr>
          <w:p w14:paraId="26E9C0E7" w14:textId="77777777" w:rsidR="008A3BAC" w:rsidRDefault="008A3BAC">
            <w:pPr>
              <w:rPr>
                <w:rFonts w:ascii="宋体"/>
              </w:rPr>
            </w:pPr>
          </w:p>
        </w:tc>
        <w:tc>
          <w:tcPr>
            <w:tcW w:w="507" w:type="pct"/>
            <w:shd w:val="clear" w:color="auto" w:fill="auto"/>
            <w:vAlign w:val="bottom"/>
          </w:tcPr>
          <w:p w14:paraId="26E9C0E8" w14:textId="77777777" w:rsidR="008A3BAC" w:rsidRDefault="008A3BAC">
            <w:pPr>
              <w:rPr>
                <w:rFonts w:ascii="宋体"/>
              </w:rPr>
            </w:pPr>
          </w:p>
        </w:tc>
        <w:tc>
          <w:tcPr>
            <w:tcW w:w="5" w:type="pct"/>
            <w:shd w:val="clear" w:color="auto" w:fill="auto"/>
            <w:vAlign w:val="bottom"/>
          </w:tcPr>
          <w:p w14:paraId="26E9C0E9" w14:textId="77777777" w:rsidR="008A3BAC" w:rsidRDefault="008A3BAC">
            <w:pPr>
              <w:rPr>
                <w:rFonts w:ascii="宋体"/>
              </w:rPr>
            </w:pPr>
          </w:p>
        </w:tc>
        <w:tc>
          <w:tcPr>
            <w:tcW w:w="50" w:type="pct"/>
            <w:shd w:val="clear" w:color="auto" w:fill="auto"/>
            <w:vAlign w:val="bottom"/>
          </w:tcPr>
          <w:p w14:paraId="26E9C0EA" w14:textId="77777777" w:rsidR="008A3BAC" w:rsidRDefault="008A3BAC">
            <w:pPr>
              <w:rPr>
                <w:rFonts w:ascii="宋体"/>
              </w:rPr>
            </w:pPr>
          </w:p>
        </w:tc>
        <w:tc>
          <w:tcPr>
            <w:tcW w:w="399" w:type="pct"/>
            <w:shd w:val="clear" w:color="auto" w:fill="auto"/>
            <w:vAlign w:val="bottom"/>
          </w:tcPr>
          <w:p w14:paraId="26E9C0EB" w14:textId="77777777" w:rsidR="008A3BAC" w:rsidRDefault="008A3BAC">
            <w:pPr>
              <w:rPr>
                <w:rFonts w:ascii="宋体"/>
              </w:rPr>
            </w:pPr>
          </w:p>
        </w:tc>
        <w:tc>
          <w:tcPr>
            <w:tcW w:w="5" w:type="pct"/>
            <w:shd w:val="clear" w:color="auto" w:fill="auto"/>
            <w:vAlign w:val="bottom"/>
          </w:tcPr>
          <w:p w14:paraId="26E9C0EC" w14:textId="77777777" w:rsidR="008A3BAC" w:rsidRDefault="008A3BAC">
            <w:pPr>
              <w:rPr>
                <w:rFonts w:ascii="宋体"/>
              </w:rPr>
            </w:pPr>
          </w:p>
        </w:tc>
        <w:tc>
          <w:tcPr>
            <w:tcW w:w="5" w:type="pct"/>
            <w:shd w:val="clear" w:color="auto" w:fill="auto"/>
            <w:vAlign w:val="bottom"/>
          </w:tcPr>
          <w:p w14:paraId="26E9C0ED" w14:textId="77777777" w:rsidR="008A3BAC" w:rsidRDefault="008A3BAC">
            <w:pPr>
              <w:rPr>
                <w:rFonts w:ascii="宋体"/>
              </w:rPr>
            </w:pPr>
          </w:p>
        </w:tc>
        <w:tc>
          <w:tcPr>
            <w:tcW w:w="105" w:type="pct"/>
            <w:shd w:val="clear" w:color="auto" w:fill="auto"/>
            <w:vAlign w:val="bottom"/>
          </w:tcPr>
          <w:p w14:paraId="26E9C0EE" w14:textId="77777777" w:rsidR="008A3BAC" w:rsidRDefault="008A3BAC">
            <w:pPr>
              <w:rPr>
                <w:rFonts w:ascii="宋体"/>
              </w:rPr>
            </w:pPr>
          </w:p>
        </w:tc>
        <w:tc>
          <w:tcPr>
            <w:tcW w:w="5" w:type="pct"/>
            <w:shd w:val="clear" w:color="auto" w:fill="auto"/>
            <w:vAlign w:val="bottom"/>
          </w:tcPr>
          <w:p w14:paraId="26E9C0EF" w14:textId="77777777" w:rsidR="008A3BAC" w:rsidRDefault="008A3BAC">
            <w:pPr>
              <w:rPr>
                <w:rFonts w:ascii="宋体"/>
              </w:rPr>
            </w:pPr>
          </w:p>
        </w:tc>
      </w:tr>
      <w:tr w:rsidR="008A3BAC" w14:paraId="26E9C0F8"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26E9C0F1" w14:textId="77777777" w:rsidR="008A3BAC" w:rsidRDefault="005C75B9">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26E9C0F2"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C0F3" w14:textId="77777777" w:rsidR="008A3BAC" w:rsidRDefault="005C75B9">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6E9C0F4" w14:textId="77777777" w:rsidR="008A3BAC" w:rsidRDefault="005C75B9">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26E9C0F5" w14:textId="77777777" w:rsidR="008A3BAC" w:rsidRDefault="008A3BAC">
            <w:pPr>
              <w:rPr>
                <w:rFonts w:ascii="宋体"/>
              </w:rPr>
            </w:pPr>
          </w:p>
        </w:tc>
        <w:tc>
          <w:tcPr>
            <w:tcW w:w="0" w:type="auto"/>
            <w:shd w:val="clear" w:color="auto" w:fill="auto"/>
            <w:vAlign w:val="bottom"/>
          </w:tcPr>
          <w:p w14:paraId="26E9C0F6" w14:textId="77777777" w:rsidR="008A3BAC" w:rsidRDefault="008A3BAC">
            <w:pPr>
              <w:rPr>
                <w:rFonts w:ascii="宋体"/>
              </w:rPr>
            </w:pPr>
          </w:p>
        </w:tc>
        <w:tc>
          <w:tcPr>
            <w:tcW w:w="0" w:type="auto"/>
            <w:shd w:val="clear" w:color="auto" w:fill="auto"/>
            <w:vAlign w:val="bottom"/>
          </w:tcPr>
          <w:p w14:paraId="26E9C0F7" w14:textId="77777777" w:rsidR="008A3BAC" w:rsidRDefault="008A3BAC">
            <w:pPr>
              <w:rPr>
                <w:rFonts w:ascii="宋体"/>
              </w:rPr>
            </w:pPr>
          </w:p>
        </w:tc>
      </w:tr>
      <w:tr w:rsidR="008A3BAC" w14:paraId="26E9C0FF" w14:textId="77777777">
        <w:tc>
          <w:tcPr>
            <w:tcW w:w="0" w:type="auto"/>
            <w:gridSpan w:val="3"/>
            <w:tcBorders>
              <w:top w:val="single" w:sz="8" w:space="0" w:color="E87722"/>
            </w:tcBorders>
            <w:shd w:val="clear" w:color="auto" w:fill="auto"/>
            <w:tcMar>
              <w:top w:w="40" w:type="dxa"/>
              <w:left w:w="20" w:type="dxa"/>
              <w:bottom w:w="40" w:type="dxa"/>
              <w:right w:w="20" w:type="dxa"/>
            </w:tcMar>
          </w:tcPr>
          <w:p w14:paraId="26E9C0F9" w14:textId="77777777" w:rsidR="008A3BAC" w:rsidRDefault="005C75B9">
            <w:pPr>
              <w:jc w:val="center"/>
              <w:textAlignment w:val="top"/>
            </w:pPr>
            <w:r>
              <w:rPr>
                <w:rFonts w:ascii="Arial" w:eastAsia="宋体" w:hAnsi="Arial" w:cs="Arial"/>
                <w:color w:val="E87722"/>
                <w:sz w:val="16"/>
                <w:szCs w:val="16"/>
              </w:rPr>
              <w:t>•</w:t>
            </w:r>
          </w:p>
        </w:tc>
        <w:tc>
          <w:tcPr>
            <w:tcW w:w="0" w:type="auto"/>
            <w:shd w:val="clear" w:color="auto" w:fill="auto"/>
            <w:vAlign w:val="bottom"/>
          </w:tcPr>
          <w:p w14:paraId="26E9C0FA" w14:textId="77777777" w:rsidR="008A3BAC" w:rsidRDefault="008A3BAC">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26E9C0FB" w14:textId="77777777" w:rsidR="008A3BAC" w:rsidRDefault="005C75B9">
            <w:pPr>
              <w:textAlignment w:val="top"/>
            </w:pPr>
            <w:r>
              <w:rPr>
                <w:rFonts w:ascii="Arial" w:eastAsia="宋体" w:hAnsi="Arial" w:cs="Arial"/>
                <w:color w:val="000000"/>
                <w:sz w:val="14"/>
                <w:szCs w:val="14"/>
              </w:rPr>
              <w:t xml:space="preserve">whether the registrant (1) has </w:t>
            </w:r>
            <w:r>
              <w:rPr>
                <w:rFonts w:ascii="Arial" w:eastAsia="宋体" w:hAnsi="Arial" w:cs="Arial"/>
                <w:color w:val="000000"/>
                <w:sz w:val="14"/>
                <w:szCs w:val="14"/>
              </w:rPr>
              <w:t xml:space="preserve">filed all reports required to be filed by Section 13 or 15(d) of the Securities Exchange Act of 1934 during the preceding 12 months (or for such shorter period that the registrant was required to file such reports), and (2) has been subject to such filing </w:t>
            </w:r>
            <w:r>
              <w:rPr>
                <w:rFonts w:ascii="Arial" w:eastAsia="宋体" w:hAnsi="Arial" w:cs="Arial"/>
                <w:color w:val="000000"/>
                <w:sz w:val="14"/>
                <w:szCs w:val="14"/>
              </w:rPr>
              <w:t>requirements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0FC"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26E9C0FD" w14:textId="77777777" w:rsidR="008A3BAC" w:rsidRDefault="005C75B9">
            <w:pP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tcPr>
          <w:p w14:paraId="26E9C0FE" w14:textId="77777777" w:rsidR="008A3BAC" w:rsidRDefault="005C75B9">
            <w:pPr>
              <w:jc w:val="center"/>
              <w:textAlignment w:val="top"/>
            </w:pPr>
            <w:r>
              <w:rPr>
                <w:rFonts w:ascii="Wingdings" w:eastAsia="宋体" w:hAnsi="Wingdings" w:cs="Wingdings"/>
                <w:color w:val="000000"/>
                <w:sz w:val="14"/>
                <w:szCs w:val="14"/>
              </w:rPr>
              <w:t>☐</w:t>
            </w:r>
          </w:p>
        </w:tc>
      </w:tr>
      <w:tr w:rsidR="008A3BAC" w14:paraId="26E9C106"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C100" w14:textId="77777777" w:rsidR="008A3BAC" w:rsidRDefault="005C75B9">
            <w:pPr>
              <w:jc w:val="center"/>
              <w:textAlignment w:val="top"/>
            </w:pPr>
            <w:r>
              <w:rPr>
                <w:rFonts w:ascii="Arial" w:eastAsia="宋体" w:hAnsi="Arial" w:cs="Arial"/>
                <w:color w:val="E87722"/>
                <w:sz w:val="16"/>
                <w:szCs w:val="16"/>
              </w:rPr>
              <w:t>•</w:t>
            </w:r>
          </w:p>
        </w:tc>
        <w:tc>
          <w:tcPr>
            <w:tcW w:w="0" w:type="auto"/>
            <w:shd w:val="clear" w:color="auto" w:fill="auto"/>
            <w:vAlign w:val="bottom"/>
          </w:tcPr>
          <w:p w14:paraId="26E9C101" w14:textId="77777777" w:rsidR="008A3BAC" w:rsidRDefault="008A3BA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6E9C102" w14:textId="77777777" w:rsidR="008A3BAC" w:rsidRDefault="005C75B9">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w:t>
            </w:r>
            <w:r>
              <w:rPr>
                <w:rFonts w:ascii="Arial" w:eastAsia="宋体" w:hAnsi="Arial" w:cs="Arial"/>
                <w:color w:val="000000"/>
                <w:sz w:val="14"/>
                <w:szCs w:val="14"/>
              </w:rPr>
              <w:t>such shorter 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6E9C103" w14:textId="77777777" w:rsidR="008A3BAC" w:rsidRDefault="008A3BAC">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26E9C104" w14:textId="77777777" w:rsidR="008A3BAC" w:rsidRDefault="005C75B9">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26E9C105" w14:textId="77777777" w:rsidR="008A3BAC" w:rsidRDefault="005C75B9">
            <w:pPr>
              <w:jc w:val="center"/>
              <w:textAlignment w:val="top"/>
            </w:pPr>
            <w:r>
              <w:rPr>
                <w:rFonts w:ascii="Wingdings" w:eastAsia="宋体" w:hAnsi="Wingdings" w:cs="Wingdings"/>
                <w:color w:val="000000"/>
                <w:sz w:val="14"/>
                <w:szCs w:val="14"/>
              </w:rPr>
              <w:t>☐</w:t>
            </w:r>
          </w:p>
        </w:tc>
      </w:tr>
      <w:tr w:rsidR="008A3BAC" w14:paraId="26E9C10A"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C107" w14:textId="77777777" w:rsidR="008A3BAC" w:rsidRDefault="005C75B9">
            <w:pPr>
              <w:jc w:val="center"/>
              <w:textAlignment w:val="top"/>
            </w:pPr>
            <w:r>
              <w:rPr>
                <w:rFonts w:ascii="Arial" w:eastAsia="宋体" w:hAnsi="Arial" w:cs="Arial"/>
                <w:color w:val="E87722"/>
                <w:sz w:val="16"/>
                <w:szCs w:val="16"/>
              </w:rPr>
              <w:t>•</w:t>
            </w:r>
          </w:p>
        </w:tc>
        <w:tc>
          <w:tcPr>
            <w:tcW w:w="0" w:type="auto"/>
            <w:shd w:val="clear" w:color="auto" w:fill="auto"/>
            <w:vAlign w:val="bottom"/>
          </w:tcPr>
          <w:p w14:paraId="26E9C108" w14:textId="77777777" w:rsidR="008A3BAC" w:rsidRDefault="008A3BAC">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26E9C109" w14:textId="77777777" w:rsidR="008A3BAC" w:rsidRDefault="005C75B9">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8A3BAC" w14:paraId="26E9C117" w14:textId="77777777">
        <w:tc>
          <w:tcPr>
            <w:tcW w:w="0" w:type="auto"/>
            <w:gridSpan w:val="3"/>
            <w:shd w:val="clear" w:color="auto" w:fill="auto"/>
            <w:tcMar>
              <w:top w:w="0" w:type="dxa"/>
              <w:left w:w="20" w:type="dxa"/>
              <w:bottom w:w="0" w:type="dxa"/>
              <w:right w:w="20" w:type="dxa"/>
            </w:tcMar>
            <w:vAlign w:val="bottom"/>
          </w:tcPr>
          <w:p w14:paraId="26E9C10B" w14:textId="77777777" w:rsidR="008A3BAC" w:rsidRDefault="008A3BAC">
            <w:pPr>
              <w:rPr>
                <w:rFonts w:ascii="宋体"/>
              </w:rPr>
            </w:pPr>
          </w:p>
        </w:tc>
        <w:tc>
          <w:tcPr>
            <w:tcW w:w="0" w:type="auto"/>
            <w:shd w:val="clear" w:color="auto" w:fill="auto"/>
            <w:vAlign w:val="bottom"/>
          </w:tcPr>
          <w:p w14:paraId="26E9C10C" w14:textId="77777777" w:rsidR="008A3BAC" w:rsidRDefault="008A3BAC">
            <w:pPr>
              <w:rPr>
                <w:rFonts w:ascii="宋体"/>
                <w:vanish/>
              </w:rPr>
            </w:pPr>
          </w:p>
        </w:tc>
        <w:tc>
          <w:tcPr>
            <w:tcW w:w="0" w:type="auto"/>
            <w:gridSpan w:val="3"/>
            <w:shd w:val="clear" w:color="auto" w:fill="auto"/>
            <w:tcMar>
              <w:top w:w="40" w:type="dxa"/>
              <w:left w:w="20" w:type="dxa"/>
              <w:bottom w:w="40" w:type="dxa"/>
              <w:right w:w="20" w:type="dxa"/>
            </w:tcMar>
            <w:vAlign w:val="bottom"/>
          </w:tcPr>
          <w:p w14:paraId="26E9C10D" w14:textId="77777777" w:rsidR="008A3BAC" w:rsidRDefault="005C75B9">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0E" w14:textId="77777777" w:rsidR="008A3BAC" w:rsidRDefault="005C75B9">
            <w:pPr>
              <w:jc w:val="center"/>
              <w:textAlignment w:val="bottom"/>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0F" w14:textId="77777777" w:rsidR="008A3BAC" w:rsidRDefault="005C75B9">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10" w14:textId="77777777" w:rsidR="008A3BAC" w:rsidRDefault="005C75B9">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11" w14:textId="77777777" w:rsidR="008A3BAC" w:rsidRDefault="005C75B9">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12" w14:textId="77777777" w:rsidR="008A3BAC" w:rsidRDefault="005C75B9">
            <w:pP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13" w14:textId="77777777" w:rsidR="008A3BAC" w:rsidRDefault="005C75B9">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26E9C114" w14:textId="77777777" w:rsidR="008A3BAC" w:rsidRDefault="005C75B9">
            <w:pPr>
              <w:jc w:val="center"/>
              <w:textAlignment w:val="bottom"/>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26E9C115" w14:textId="77777777" w:rsidR="008A3BAC" w:rsidRDefault="005C75B9">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C116" w14:textId="77777777" w:rsidR="008A3BAC" w:rsidRDefault="005C75B9">
            <w:pPr>
              <w:jc w:val="center"/>
              <w:textAlignment w:val="bottom"/>
            </w:pPr>
            <w:r>
              <w:rPr>
                <w:rFonts w:ascii="Wingdings" w:eastAsia="宋体" w:hAnsi="Wingdings" w:cs="Wingdings"/>
                <w:color w:val="000000"/>
                <w:sz w:val="14"/>
                <w:szCs w:val="14"/>
              </w:rPr>
              <w:t>☐</w:t>
            </w:r>
          </w:p>
        </w:tc>
      </w:tr>
      <w:tr w:rsidR="008A3BAC" w14:paraId="26E9C11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C118" w14:textId="77777777" w:rsidR="008A3BAC" w:rsidRDefault="005C75B9">
            <w:pPr>
              <w:jc w:val="center"/>
              <w:textAlignment w:val="top"/>
            </w:pPr>
            <w:r>
              <w:rPr>
                <w:rFonts w:ascii="Arial" w:eastAsia="宋体" w:hAnsi="Arial" w:cs="Arial"/>
                <w:color w:val="E87722"/>
                <w:sz w:val="16"/>
                <w:szCs w:val="16"/>
              </w:rPr>
              <w:t>•</w:t>
            </w:r>
          </w:p>
        </w:tc>
        <w:tc>
          <w:tcPr>
            <w:tcW w:w="0" w:type="auto"/>
            <w:shd w:val="clear" w:color="auto" w:fill="auto"/>
            <w:vAlign w:val="bottom"/>
          </w:tcPr>
          <w:p w14:paraId="26E9C119" w14:textId="77777777" w:rsidR="008A3BAC" w:rsidRDefault="008A3BAC">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6E9C11A" w14:textId="77777777" w:rsidR="008A3BAC" w:rsidRDefault="005C75B9">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11B" w14:textId="77777777" w:rsidR="008A3BAC" w:rsidRDefault="008A3BAC">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26E9C11C" w14:textId="77777777" w:rsidR="008A3BAC" w:rsidRDefault="005C75B9">
            <w:pPr>
              <w:jc w:val="center"/>
              <w:textAlignment w:val="top"/>
            </w:pPr>
            <w:r>
              <w:rPr>
                <w:rFonts w:ascii="Wingdings" w:eastAsia="宋体" w:hAnsi="Wingdings" w:cs="Wingdings"/>
                <w:color w:val="000000"/>
                <w:sz w:val="14"/>
                <w:szCs w:val="14"/>
              </w:rPr>
              <w:t>☐</w:t>
            </w:r>
          </w:p>
        </w:tc>
      </w:tr>
      <w:tr w:rsidR="008A3BAC" w14:paraId="26E9C124"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11E" w14:textId="77777777" w:rsidR="008A3BAC" w:rsidRDefault="005C75B9">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26E9C11F" w14:textId="77777777" w:rsidR="008A3BAC" w:rsidRDefault="008A3BAC">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120" w14:textId="77777777" w:rsidR="008A3BAC" w:rsidRDefault="005C75B9">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121" w14:textId="77777777" w:rsidR="008A3BAC" w:rsidRDefault="008A3BAC">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122" w14:textId="77777777" w:rsidR="008A3BAC" w:rsidRDefault="005C75B9">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123" w14:textId="77777777" w:rsidR="008A3BAC" w:rsidRDefault="005C75B9">
            <w:pPr>
              <w:jc w:val="center"/>
              <w:textAlignment w:val="bottom"/>
            </w:pPr>
            <w:r>
              <w:rPr>
                <w:rFonts w:ascii="Wingdings" w:eastAsia="宋体" w:hAnsi="Wingdings" w:cs="Wingdings"/>
                <w:color w:val="000000"/>
                <w:sz w:val="14"/>
                <w:szCs w:val="14"/>
              </w:rPr>
              <w:t>þ</w:t>
            </w:r>
          </w:p>
        </w:tc>
      </w:tr>
    </w:tbl>
    <w:p w14:paraId="26E9C125" w14:textId="77777777" w:rsidR="008A3BAC" w:rsidRDefault="008A3BA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8A3BAC" w14:paraId="26E9C12C" w14:textId="77777777">
        <w:tc>
          <w:tcPr>
            <w:tcW w:w="50" w:type="pct"/>
            <w:shd w:val="clear" w:color="auto" w:fill="auto"/>
            <w:vAlign w:val="bottom"/>
          </w:tcPr>
          <w:p w14:paraId="26E9C126" w14:textId="77777777" w:rsidR="008A3BAC" w:rsidRDefault="008A3BAC">
            <w:pPr>
              <w:rPr>
                <w:rFonts w:ascii="宋体"/>
              </w:rPr>
            </w:pPr>
          </w:p>
        </w:tc>
        <w:tc>
          <w:tcPr>
            <w:tcW w:w="4073" w:type="pct"/>
            <w:shd w:val="clear" w:color="auto" w:fill="auto"/>
            <w:vAlign w:val="bottom"/>
          </w:tcPr>
          <w:p w14:paraId="26E9C127" w14:textId="77777777" w:rsidR="008A3BAC" w:rsidRDefault="008A3BAC">
            <w:pPr>
              <w:rPr>
                <w:rFonts w:ascii="宋体"/>
              </w:rPr>
            </w:pPr>
          </w:p>
        </w:tc>
        <w:tc>
          <w:tcPr>
            <w:tcW w:w="5" w:type="pct"/>
            <w:shd w:val="clear" w:color="auto" w:fill="auto"/>
            <w:vAlign w:val="bottom"/>
          </w:tcPr>
          <w:p w14:paraId="26E9C128" w14:textId="77777777" w:rsidR="008A3BAC" w:rsidRDefault="008A3BAC">
            <w:pPr>
              <w:rPr>
                <w:rFonts w:ascii="宋体"/>
              </w:rPr>
            </w:pPr>
          </w:p>
        </w:tc>
        <w:tc>
          <w:tcPr>
            <w:tcW w:w="50" w:type="pct"/>
            <w:shd w:val="clear" w:color="auto" w:fill="auto"/>
            <w:vAlign w:val="bottom"/>
          </w:tcPr>
          <w:p w14:paraId="26E9C129" w14:textId="77777777" w:rsidR="008A3BAC" w:rsidRDefault="008A3BAC">
            <w:pPr>
              <w:rPr>
                <w:rFonts w:ascii="宋体"/>
              </w:rPr>
            </w:pPr>
          </w:p>
        </w:tc>
        <w:tc>
          <w:tcPr>
            <w:tcW w:w="816" w:type="pct"/>
            <w:shd w:val="clear" w:color="auto" w:fill="auto"/>
            <w:vAlign w:val="bottom"/>
          </w:tcPr>
          <w:p w14:paraId="26E9C12A" w14:textId="77777777" w:rsidR="008A3BAC" w:rsidRDefault="008A3BAC">
            <w:pPr>
              <w:rPr>
                <w:rFonts w:ascii="宋体"/>
              </w:rPr>
            </w:pPr>
          </w:p>
        </w:tc>
        <w:tc>
          <w:tcPr>
            <w:tcW w:w="5" w:type="pct"/>
            <w:shd w:val="clear" w:color="auto" w:fill="auto"/>
            <w:vAlign w:val="bottom"/>
          </w:tcPr>
          <w:p w14:paraId="26E9C12B" w14:textId="77777777" w:rsidR="008A3BAC" w:rsidRDefault="008A3BAC">
            <w:pPr>
              <w:rPr>
                <w:rFonts w:ascii="宋体"/>
              </w:rPr>
            </w:pPr>
          </w:p>
        </w:tc>
      </w:tr>
      <w:tr w:rsidR="008A3BAC" w14:paraId="26E9C12E" w14:textId="77777777">
        <w:tc>
          <w:tcPr>
            <w:tcW w:w="0" w:type="auto"/>
            <w:gridSpan w:val="6"/>
            <w:shd w:val="clear" w:color="auto" w:fill="auto"/>
            <w:tcMar>
              <w:top w:w="40" w:type="dxa"/>
              <w:left w:w="20" w:type="dxa"/>
              <w:bottom w:w="40" w:type="dxa"/>
              <w:right w:w="20" w:type="dxa"/>
            </w:tcMar>
          </w:tcPr>
          <w:p w14:paraId="26E9C12D" w14:textId="77777777" w:rsidR="008A3BAC" w:rsidRDefault="005C75B9">
            <w:pPr>
              <w:textAlignment w:val="top"/>
            </w:pPr>
            <w:r>
              <w:rPr>
                <w:rFonts w:ascii="Arial" w:eastAsia="宋体" w:hAnsi="Arial" w:cs="Arial"/>
                <w:color w:val="000000"/>
                <w:sz w:val="14"/>
                <w:szCs w:val="14"/>
              </w:rPr>
              <w:t>As of March 28, 2022, the number of shares of the Registrant's Common Stock outstanding were:</w:t>
            </w:r>
          </w:p>
        </w:tc>
      </w:tr>
      <w:tr w:rsidR="008A3BAC" w14:paraId="26E9C132" w14:textId="77777777">
        <w:tc>
          <w:tcPr>
            <w:tcW w:w="0" w:type="auto"/>
            <w:gridSpan w:val="3"/>
            <w:tcBorders>
              <w:top w:val="single" w:sz="8" w:space="0" w:color="E87722"/>
            </w:tcBorders>
            <w:shd w:val="clear" w:color="auto" w:fill="auto"/>
            <w:tcMar>
              <w:top w:w="40" w:type="dxa"/>
              <w:left w:w="20" w:type="dxa"/>
              <w:bottom w:w="40" w:type="dxa"/>
              <w:right w:w="20" w:type="dxa"/>
            </w:tcMar>
          </w:tcPr>
          <w:p w14:paraId="26E9C12F" w14:textId="77777777" w:rsidR="008A3BAC" w:rsidRDefault="005C75B9">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130" w14:textId="77777777" w:rsidR="008A3BAC" w:rsidRDefault="005C75B9">
            <w:pPr>
              <w:jc w:val="right"/>
              <w:textAlignment w:val="bottom"/>
            </w:pPr>
            <w:r>
              <w:rPr>
                <w:rFonts w:ascii="Arial" w:eastAsia="宋体" w:hAnsi="Arial" w:cs="Arial"/>
                <w:color w:val="000000"/>
                <w:sz w:val="14"/>
                <w:szCs w:val="14"/>
              </w:rPr>
              <w:t>305,007,252 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131" w14:textId="77777777" w:rsidR="008A3BAC" w:rsidRDefault="008A3BAC">
            <w:pPr>
              <w:jc w:val="right"/>
              <w:rPr>
                <w:rFonts w:ascii="宋体"/>
              </w:rPr>
            </w:pPr>
          </w:p>
        </w:tc>
      </w:tr>
      <w:tr w:rsidR="008A3BAC" w14:paraId="26E9C136"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C133" w14:textId="77777777" w:rsidR="008A3BAC" w:rsidRDefault="005C75B9">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34" w14:textId="77777777" w:rsidR="008A3BAC" w:rsidRDefault="005C75B9">
            <w:pPr>
              <w:jc w:val="right"/>
              <w:textAlignment w:val="bottom"/>
            </w:pPr>
            <w:r>
              <w:rPr>
                <w:rFonts w:ascii="Arial" w:eastAsia="宋体" w:hAnsi="Arial" w:cs="Arial"/>
                <w:color w:val="000000"/>
                <w:sz w:val="14"/>
                <w:szCs w:val="14"/>
              </w:rPr>
              <w:t>1,268,760,217 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35" w14:textId="77777777" w:rsidR="008A3BAC" w:rsidRDefault="008A3BAC">
            <w:pPr>
              <w:jc w:val="right"/>
              <w:rPr>
                <w:rFonts w:ascii="宋体"/>
              </w:rPr>
            </w:pPr>
          </w:p>
        </w:tc>
      </w:tr>
      <w:tr w:rsidR="008A3BAC" w14:paraId="26E9C13A"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137"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138" w14:textId="77777777" w:rsidR="008A3BAC" w:rsidRDefault="005C75B9">
            <w:pPr>
              <w:jc w:val="right"/>
              <w:textAlignment w:val="bottom"/>
            </w:pPr>
            <w:r>
              <w:rPr>
                <w:rFonts w:ascii="Arial" w:eastAsia="宋体" w:hAnsi="Arial" w:cs="Arial"/>
                <w:color w:val="000000"/>
                <w:sz w:val="14"/>
                <w:szCs w:val="14"/>
              </w:rPr>
              <w:t>1,573,767,469 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139" w14:textId="77777777" w:rsidR="008A3BAC" w:rsidRDefault="008A3BAC">
            <w:pPr>
              <w:jc w:val="right"/>
              <w:rPr>
                <w:rFonts w:ascii="宋体"/>
              </w:rPr>
            </w:pPr>
          </w:p>
        </w:tc>
      </w:tr>
    </w:tbl>
    <w:p w14:paraId="26E9C13B" w14:textId="77777777" w:rsidR="008A3BAC" w:rsidRDefault="008A3BAC">
      <w:pPr>
        <w:spacing w:before="120" w:after="120"/>
      </w:pPr>
    </w:p>
    <w:p w14:paraId="26E9C13C" w14:textId="77777777" w:rsidR="008A3BAC" w:rsidRDefault="005C75B9">
      <w:r>
        <w:pict w14:anchorId="26E9E846">
          <v:rect id="_x0000_i1025" style="width:415.3pt;height:1.5pt" o:hralign="center" o:hrstd="t" o:hr="t" fillcolor="#a0a0a0" stroked="f"/>
        </w:pict>
      </w:r>
    </w:p>
    <w:p w14:paraId="26E9C13D" w14:textId="77777777" w:rsidR="008A3BAC" w:rsidRDefault="008A3BAC"/>
    <w:p w14:paraId="26E9C13E" w14:textId="77777777" w:rsidR="008A3BAC" w:rsidRDefault="005C75B9">
      <w:hyperlink r:id="rId7" w:anchor="i46aba51c6a804f42b3595948c57d2023_7" w:history="1">
        <w:r>
          <w:rPr>
            <w:rStyle w:val="a5"/>
            <w:rFonts w:ascii="sans-serif" w:eastAsia="sans-serif" w:hAnsi="sans-serif" w:cs="sans-serif"/>
            <w:sz w:val="17"/>
            <w:szCs w:val="17"/>
          </w:rPr>
          <w:t>Table of Contents</w:t>
        </w:r>
      </w:hyperlink>
    </w:p>
    <w:p w14:paraId="26E9C13F" w14:textId="77777777" w:rsidR="008A3BAC" w:rsidRDefault="008A3BAC"/>
    <w:p w14:paraId="26E9C140" w14:textId="77777777" w:rsidR="008A3BAC" w:rsidRDefault="005C75B9">
      <w:r>
        <w:rPr>
          <w:rFonts w:ascii="sans-serif" w:eastAsia="sans-serif" w:hAnsi="sans-serif" w:cs="sans-serif"/>
          <w:color w:val="000000"/>
          <w:sz w:val="44"/>
          <w:szCs w:val="44"/>
        </w:rPr>
        <w:t>NIKE, INC.</w:t>
      </w:r>
    </w:p>
    <w:p w14:paraId="26E9C141" w14:textId="77777777" w:rsidR="008A3BAC" w:rsidRDefault="005C75B9">
      <w:r>
        <w:rPr>
          <w:rFonts w:ascii="sans-serif" w:eastAsia="sans-serif" w:hAnsi="sans-serif" w:cs="sans-serif"/>
          <w:color w:val="000000"/>
          <w:sz w:val="44"/>
          <w:szCs w:val="44"/>
        </w:rPr>
        <w:t>FORM 10-Q</w:t>
      </w:r>
    </w:p>
    <w:p w14:paraId="26E9C142" w14:textId="77777777" w:rsidR="008A3BAC" w:rsidRDefault="005C75B9">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8A3BAC" w14:paraId="26E9C14C" w14:textId="77777777">
        <w:tc>
          <w:tcPr>
            <w:tcW w:w="50" w:type="pct"/>
            <w:shd w:val="clear" w:color="auto" w:fill="auto"/>
            <w:vAlign w:val="bottom"/>
          </w:tcPr>
          <w:p w14:paraId="26E9C143" w14:textId="77777777" w:rsidR="008A3BAC" w:rsidRDefault="008A3BAC">
            <w:pPr>
              <w:rPr>
                <w:rFonts w:ascii="宋体"/>
              </w:rPr>
            </w:pPr>
          </w:p>
        </w:tc>
        <w:tc>
          <w:tcPr>
            <w:tcW w:w="368" w:type="pct"/>
            <w:shd w:val="clear" w:color="auto" w:fill="auto"/>
            <w:vAlign w:val="bottom"/>
          </w:tcPr>
          <w:p w14:paraId="26E9C144" w14:textId="77777777" w:rsidR="008A3BAC" w:rsidRDefault="008A3BAC">
            <w:pPr>
              <w:rPr>
                <w:rFonts w:ascii="宋体"/>
              </w:rPr>
            </w:pPr>
          </w:p>
        </w:tc>
        <w:tc>
          <w:tcPr>
            <w:tcW w:w="5" w:type="pct"/>
            <w:shd w:val="clear" w:color="auto" w:fill="auto"/>
            <w:vAlign w:val="bottom"/>
          </w:tcPr>
          <w:p w14:paraId="26E9C145" w14:textId="77777777" w:rsidR="008A3BAC" w:rsidRDefault="008A3BAC">
            <w:pPr>
              <w:rPr>
                <w:rFonts w:ascii="宋体"/>
              </w:rPr>
            </w:pPr>
          </w:p>
        </w:tc>
        <w:tc>
          <w:tcPr>
            <w:tcW w:w="50" w:type="pct"/>
            <w:shd w:val="clear" w:color="auto" w:fill="auto"/>
            <w:vAlign w:val="bottom"/>
          </w:tcPr>
          <w:p w14:paraId="26E9C146" w14:textId="77777777" w:rsidR="008A3BAC" w:rsidRDefault="008A3BAC">
            <w:pPr>
              <w:rPr>
                <w:rFonts w:ascii="宋体"/>
              </w:rPr>
            </w:pPr>
          </w:p>
        </w:tc>
        <w:tc>
          <w:tcPr>
            <w:tcW w:w="4251" w:type="pct"/>
            <w:shd w:val="clear" w:color="auto" w:fill="auto"/>
            <w:vAlign w:val="bottom"/>
          </w:tcPr>
          <w:p w14:paraId="26E9C147" w14:textId="77777777" w:rsidR="008A3BAC" w:rsidRDefault="008A3BAC">
            <w:pPr>
              <w:rPr>
                <w:rFonts w:ascii="宋体"/>
              </w:rPr>
            </w:pPr>
          </w:p>
        </w:tc>
        <w:tc>
          <w:tcPr>
            <w:tcW w:w="5" w:type="pct"/>
            <w:shd w:val="clear" w:color="auto" w:fill="auto"/>
            <w:vAlign w:val="bottom"/>
          </w:tcPr>
          <w:p w14:paraId="26E9C148" w14:textId="77777777" w:rsidR="008A3BAC" w:rsidRDefault="008A3BAC">
            <w:pPr>
              <w:rPr>
                <w:rFonts w:ascii="宋体"/>
              </w:rPr>
            </w:pPr>
          </w:p>
        </w:tc>
        <w:tc>
          <w:tcPr>
            <w:tcW w:w="50" w:type="pct"/>
            <w:shd w:val="clear" w:color="auto" w:fill="auto"/>
            <w:vAlign w:val="bottom"/>
          </w:tcPr>
          <w:p w14:paraId="26E9C149" w14:textId="77777777" w:rsidR="008A3BAC" w:rsidRDefault="008A3BAC">
            <w:pPr>
              <w:rPr>
                <w:rFonts w:ascii="宋体"/>
              </w:rPr>
            </w:pPr>
          </w:p>
        </w:tc>
        <w:tc>
          <w:tcPr>
            <w:tcW w:w="214" w:type="pct"/>
            <w:shd w:val="clear" w:color="auto" w:fill="auto"/>
            <w:vAlign w:val="bottom"/>
          </w:tcPr>
          <w:p w14:paraId="26E9C14A" w14:textId="77777777" w:rsidR="008A3BAC" w:rsidRDefault="008A3BAC">
            <w:pPr>
              <w:rPr>
                <w:rFonts w:ascii="宋体"/>
              </w:rPr>
            </w:pPr>
          </w:p>
        </w:tc>
        <w:tc>
          <w:tcPr>
            <w:tcW w:w="5" w:type="pct"/>
            <w:shd w:val="clear" w:color="auto" w:fill="auto"/>
            <w:vAlign w:val="bottom"/>
          </w:tcPr>
          <w:p w14:paraId="26E9C14B" w14:textId="77777777" w:rsidR="008A3BAC" w:rsidRDefault="008A3BAC">
            <w:pPr>
              <w:rPr>
                <w:rFonts w:ascii="宋体"/>
              </w:rPr>
            </w:pPr>
          </w:p>
        </w:tc>
      </w:tr>
      <w:tr w:rsidR="008A3BAC" w14:paraId="26E9C150" w14:textId="77777777">
        <w:tc>
          <w:tcPr>
            <w:tcW w:w="0" w:type="auto"/>
            <w:gridSpan w:val="3"/>
            <w:shd w:val="clear" w:color="auto" w:fill="auto"/>
            <w:tcMar>
              <w:top w:w="0" w:type="dxa"/>
              <w:left w:w="20" w:type="dxa"/>
              <w:bottom w:w="0" w:type="dxa"/>
              <w:right w:w="20" w:type="dxa"/>
            </w:tcMar>
            <w:vAlign w:val="bottom"/>
          </w:tcPr>
          <w:p w14:paraId="26E9C14D" w14:textId="77777777" w:rsidR="008A3BAC" w:rsidRDefault="008A3BAC">
            <w:pPr>
              <w:rPr>
                <w:rFonts w:ascii="宋体"/>
              </w:rPr>
            </w:pPr>
          </w:p>
        </w:tc>
        <w:tc>
          <w:tcPr>
            <w:tcW w:w="0" w:type="auto"/>
            <w:gridSpan w:val="3"/>
            <w:shd w:val="clear" w:color="auto" w:fill="auto"/>
            <w:tcMar>
              <w:top w:w="0" w:type="dxa"/>
              <w:left w:w="20" w:type="dxa"/>
              <w:bottom w:w="0" w:type="dxa"/>
              <w:right w:w="20" w:type="dxa"/>
            </w:tcMar>
            <w:vAlign w:val="bottom"/>
          </w:tcPr>
          <w:p w14:paraId="26E9C14E"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tcPr>
          <w:p w14:paraId="26E9C14F" w14:textId="77777777" w:rsidR="008A3BAC" w:rsidRDefault="005C75B9">
            <w:pPr>
              <w:textAlignment w:val="top"/>
            </w:pPr>
            <w:r>
              <w:rPr>
                <w:rFonts w:ascii="sans-serif" w:eastAsia="sans-serif" w:hAnsi="sans-serif" w:cs="sans-serif"/>
                <w:b/>
                <w:bCs/>
                <w:color w:val="000000"/>
                <w:sz w:val="18"/>
                <w:szCs w:val="18"/>
              </w:rPr>
              <w:t>PAGE</w:t>
            </w:r>
          </w:p>
        </w:tc>
      </w:tr>
      <w:tr w:rsidR="008A3BAC" w14:paraId="26E9C153" w14:textId="77777777">
        <w:tc>
          <w:tcPr>
            <w:tcW w:w="0" w:type="auto"/>
            <w:gridSpan w:val="6"/>
            <w:shd w:val="clear" w:color="auto" w:fill="auto"/>
            <w:tcMar>
              <w:top w:w="40" w:type="dxa"/>
              <w:left w:w="20" w:type="dxa"/>
              <w:bottom w:w="40" w:type="dxa"/>
              <w:right w:w="20" w:type="dxa"/>
            </w:tcMar>
            <w:vAlign w:val="bottom"/>
          </w:tcPr>
          <w:p w14:paraId="26E9C151" w14:textId="77777777" w:rsidR="008A3BAC" w:rsidRDefault="005C75B9">
            <w:pPr>
              <w:spacing w:before="120" w:after="120"/>
              <w:textAlignment w:val="bottom"/>
            </w:pPr>
            <w:hyperlink r:id="rId8" w:anchor="i46aba51c6a804f42b3595948c57d2023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26E9C152" w14:textId="77777777" w:rsidR="008A3BAC" w:rsidRDefault="005C75B9">
            <w:pPr>
              <w:spacing w:before="120" w:after="120"/>
              <w:textAlignment w:val="bottom"/>
            </w:pPr>
            <w:hyperlink r:id="rId9" w:anchor="i46aba51c6a804f42b3595948c57d2023_10" w:history="1">
              <w:r>
                <w:rPr>
                  <w:rStyle w:val="a5"/>
                  <w:rFonts w:ascii="sans-serif" w:eastAsia="sans-serif" w:hAnsi="sans-serif" w:cs="sans-serif"/>
                  <w:color w:val="E87722"/>
                  <w:u w:val="none"/>
                </w:rPr>
                <w:t>1</w:t>
              </w:r>
            </w:hyperlink>
          </w:p>
        </w:tc>
      </w:tr>
      <w:tr w:rsidR="008A3BAC" w14:paraId="26E9C1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54" w14:textId="77777777" w:rsidR="008A3BAC" w:rsidRDefault="005C75B9">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55" w14:textId="77777777" w:rsidR="008A3BAC" w:rsidRDefault="005C75B9">
            <w:pPr>
              <w:textAlignment w:val="bottom"/>
            </w:pPr>
            <w:hyperlink r:id="rId10" w:anchor="i46aba51c6a804f42b3595948c57d2023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56" w14:textId="77777777" w:rsidR="008A3BAC" w:rsidRDefault="005C75B9">
            <w:pPr>
              <w:textAlignment w:val="bottom"/>
            </w:pPr>
            <w:hyperlink r:id="rId11" w:anchor="i46aba51c6a804f42b3595948c57d2023_13" w:history="1">
              <w:r>
                <w:rPr>
                  <w:rStyle w:val="a5"/>
                  <w:rFonts w:ascii="sans-serif" w:eastAsia="sans-serif" w:hAnsi="sans-serif" w:cs="sans-serif"/>
                  <w:color w:val="000000"/>
                  <w:sz w:val="16"/>
                  <w:szCs w:val="16"/>
                  <w:u w:val="none"/>
                </w:rPr>
                <w:t>1</w:t>
              </w:r>
            </w:hyperlink>
          </w:p>
        </w:tc>
      </w:tr>
      <w:tr w:rsidR="008A3BAC" w14:paraId="26E9C15B" w14:textId="77777777">
        <w:tc>
          <w:tcPr>
            <w:tcW w:w="0" w:type="auto"/>
            <w:gridSpan w:val="3"/>
            <w:shd w:val="clear" w:color="auto" w:fill="auto"/>
            <w:tcMar>
              <w:top w:w="0" w:type="dxa"/>
              <w:left w:w="20" w:type="dxa"/>
              <w:bottom w:w="0" w:type="dxa"/>
              <w:right w:w="20" w:type="dxa"/>
            </w:tcMar>
            <w:vAlign w:val="bottom"/>
          </w:tcPr>
          <w:p w14:paraId="26E9C158"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59" w14:textId="77777777" w:rsidR="008A3BAC" w:rsidRDefault="005C75B9">
            <w:pPr>
              <w:textAlignment w:val="bottom"/>
            </w:pPr>
            <w:hyperlink r:id="rId12" w:anchor="i46aba51c6a804f42b3595948c57d2023_16" w:history="1">
              <w:r>
                <w:rPr>
                  <w:rStyle w:val="a5"/>
                  <w:rFonts w:ascii="sans-serif" w:eastAsia="sans-serif" w:hAnsi="sans-serif" w:cs="sans-serif"/>
                  <w:color w:val="000000"/>
                  <w:sz w:val="16"/>
                  <w:szCs w:val="16"/>
                  <w:u w:val="none"/>
                </w:rPr>
                <w:t>Unaudited Condensed Consolidated Statements of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5A" w14:textId="77777777" w:rsidR="008A3BAC" w:rsidRDefault="005C75B9">
            <w:pPr>
              <w:textAlignment w:val="bottom"/>
            </w:pPr>
            <w:hyperlink r:id="rId13" w:anchor="i46aba51c6a804f42b3595948c57d2023_16" w:history="1">
              <w:r>
                <w:rPr>
                  <w:rStyle w:val="a5"/>
                  <w:rFonts w:ascii="sans-serif" w:eastAsia="sans-serif" w:hAnsi="sans-serif" w:cs="sans-serif"/>
                  <w:color w:val="000000"/>
                  <w:sz w:val="16"/>
                  <w:szCs w:val="16"/>
                  <w:u w:val="none"/>
                </w:rPr>
                <w:t>1</w:t>
              </w:r>
            </w:hyperlink>
          </w:p>
        </w:tc>
      </w:tr>
      <w:tr w:rsidR="008A3BAC" w14:paraId="26E9C15F" w14:textId="77777777">
        <w:tc>
          <w:tcPr>
            <w:tcW w:w="0" w:type="auto"/>
            <w:gridSpan w:val="3"/>
            <w:shd w:val="clear" w:color="auto" w:fill="auto"/>
            <w:tcMar>
              <w:top w:w="0" w:type="dxa"/>
              <w:left w:w="20" w:type="dxa"/>
              <w:bottom w:w="0" w:type="dxa"/>
              <w:right w:w="20" w:type="dxa"/>
            </w:tcMar>
            <w:vAlign w:val="bottom"/>
          </w:tcPr>
          <w:p w14:paraId="26E9C15C"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5D" w14:textId="77777777" w:rsidR="008A3BAC" w:rsidRDefault="005C75B9">
            <w:pPr>
              <w:textAlignment w:val="bottom"/>
            </w:pPr>
            <w:hyperlink r:id="rId14" w:anchor="i46aba51c6a804f42b3595948c57d2023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5E" w14:textId="77777777" w:rsidR="008A3BAC" w:rsidRDefault="005C75B9">
            <w:pPr>
              <w:textAlignment w:val="bottom"/>
            </w:pPr>
            <w:hyperlink r:id="rId15" w:anchor="i46aba51c6a804f42b3595948c57d2023_19" w:history="1">
              <w:r>
                <w:rPr>
                  <w:rStyle w:val="a5"/>
                  <w:rFonts w:ascii="sans-serif" w:eastAsia="sans-serif" w:hAnsi="sans-serif" w:cs="sans-serif"/>
                  <w:color w:val="000000"/>
                  <w:sz w:val="16"/>
                  <w:szCs w:val="16"/>
                  <w:u w:val="none"/>
                </w:rPr>
                <w:t>2</w:t>
              </w:r>
            </w:hyperlink>
          </w:p>
        </w:tc>
      </w:tr>
      <w:tr w:rsidR="008A3BAC" w14:paraId="26E9C163" w14:textId="77777777">
        <w:tc>
          <w:tcPr>
            <w:tcW w:w="0" w:type="auto"/>
            <w:gridSpan w:val="3"/>
            <w:shd w:val="clear" w:color="auto" w:fill="auto"/>
            <w:tcMar>
              <w:top w:w="0" w:type="dxa"/>
              <w:left w:w="20" w:type="dxa"/>
              <w:bottom w:w="0" w:type="dxa"/>
              <w:right w:w="20" w:type="dxa"/>
            </w:tcMar>
            <w:vAlign w:val="bottom"/>
          </w:tcPr>
          <w:p w14:paraId="26E9C160"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1" w14:textId="77777777" w:rsidR="008A3BAC" w:rsidRDefault="005C75B9">
            <w:pPr>
              <w:textAlignment w:val="bottom"/>
            </w:pPr>
            <w:hyperlink r:id="rId16" w:anchor="i46aba51c6a804f42b3595948c57d2023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2" w14:textId="77777777" w:rsidR="008A3BAC" w:rsidRDefault="005C75B9">
            <w:pPr>
              <w:textAlignment w:val="bottom"/>
            </w:pPr>
            <w:hyperlink r:id="rId17" w:anchor="i46aba51c6a804f42b3595948c57d2023_22" w:history="1">
              <w:r>
                <w:rPr>
                  <w:rStyle w:val="a5"/>
                  <w:rFonts w:ascii="sans-serif" w:eastAsia="sans-serif" w:hAnsi="sans-serif" w:cs="sans-serif"/>
                  <w:color w:val="000000"/>
                  <w:sz w:val="16"/>
                  <w:szCs w:val="16"/>
                  <w:u w:val="none"/>
                </w:rPr>
                <w:t>3</w:t>
              </w:r>
            </w:hyperlink>
          </w:p>
        </w:tc>
      </w:tr>
      <w:tr w:rsidR="008A3BAC" w14:paraId="26E9C167" w14:textId="77777777">
        <w:tc>
          <w:tcPr>
            <w:tcW w:w="0" w:type="auto"/>
            <w:gridSpan w:val="3"/>
            <w:shd w:val="clear" w:color="auto" w:fill="auto"/>
            <w:tcMar>
              <w:top w:w="0" w:type="dxa"/>
              <w:left w:w="20" w:type="dxa"/>
              <w:bottom w:w="0" w:type="dxa"/>
              <w:right w:w="20" w:type="dxa"/>
            </w:tcMar>
            <w:vAlign w:val="bottom"/>
          </w:tcPr>
          <w:p w14:paraId="26E9C164"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5" w14:textId="77777777" w:rsidR="008A3BAC" w:rsidRDefault="005C75B9">
            <w:pPr>
              <w:textAlignment w:val="bottom"/>
            </w:pPr>
            <w:hyperlink r:id="rId18" w:anchor="i46aba51c6a804f42b3595948c57d2023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6" w14:textId="77777777" w:rsidR="008A3BAC" w:rsidRDefault="005C75B9">
            <w:pPr>
              <w:textAlignment w:val="bottom"/>
            </w:pPr>
            <w:hyperlink r:id="rId19" w:anchor="i46aba51c6a804f42b3595948c57d2023_25" w:history="1">
              <w:r>
                <w:rPr>
                  <w:rStyle w:val="a5"/>
                  <w:rFonts w:ascii="sans-serif" w:eastAsia="sans-serif" w:hAnsi="sans-serif" w:cs="sans-serif"/>
                  <w:color w:val="000000"/>
                  <w:sz w:val="16"/>
                  <w:szCs w:val="16"/>
                  <w:u w:val="none"/>
                </w:rPr>
                <w:t>4</w:t>
              </w:r>
            </w:hyperlink>
          </w:p>
        </w:tc>
      </w:tr>
      <w:tr w:rsidR="008A3BAC" w14:paraId="26E9C16B" w14:textId="77777777">
        <w:tc>
          <w:tcPr>
            <w:tcW w:w="0" w:type="auto"/>
            <w:gridSpan w:val="3"/>
            <w:shd w:val="clear" w:color="auto" w:fill="auto"/>
            <w:tcMar>
              <w:top w:w="0" w:type="dxa"/>
              <w:left w:w="20" w:type="dxa"/>
              <w:bottom w:w="0" w:type="dxa"/>
              <w:right w:w="20" w:type="dxa"/>
            </w:tcMar>
            <w:vAlign w:val="bottom"/>
          </w:tcPr>
          <w:p w14:paraId="26E9C168"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9" w14:textId="77777777" w:rsidR="008A3BAC" w:rsidRDefault="005C75B9">
            <w:pPr>
              <w:textAlignment w:val="bottom"/>
            </w:pPr>
            <w:hyperlink r:id="rId20" w:anchor="i46aba51c6a804f42b3595948c57d2023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A" w14:textId="77777777" w:rsidR="008A3BAC" w:rsidRDefault="005C75B9">
            <w:pPr>
              <w:textAlignment w:val="bottom"/>
            </w:pPr>
            <w:hyperlink r:id="rId21" w:anchor="i46aba51c6a804f42b3595948c57d2023_28" w:history="1">
              <w:r>
                <w:rPr>
                  <w:rStyle w:val="a5"/>
                  <w:rFonts w:ascii="sans-serif" w:eastAsia="sans-serif" w:hAnsi="sans-serif" w:cs="sans-serif"/>
                  <w:color w:val="000000"/>
                  <w:sz w:val="16"/>
                  <w:szCs w:val="16"/>
                  <w:u w:val="none"/>
                </w:rPr>
                <w:t>5</w:t>
              </w:r>
            </w:hyperlink>
          </w:p>
        </w:tc>
      </w:tr>
      <w:tr w:rsidR="008A3BAC" w14:paraId="26E9C16F" w14:textId="77777777">
        <w:tc>
          <w:tcPr>
            <w:tcW w:w="0" w:type="auto"/>
            <w:gridSpan w:val="3"/>
            <w:shd w:val="clear" w:color="auto" w:fill="auto"/>
            <w:tcMar>
              <w:top w:w="0" w:type="dxa"/>
              <w:left w:w="20" w:type="dxa"/>
              <w:bottom w:w="0" w:type="dxa"/>
              <w:right w:w="20" w:type="dxa"/>
            </w:tcMar>
            <w:vAlign w:val="bottom"/>
          </w:tcPr>
          <w:p w14:paraId="26E9C16C"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D" w14:textId="77777777" w:rsidR="008A3BAC" w:rsidRDefault="005C75B9">
            <w:pPr>
              <w:textAlignment w:val="bottom"/>
            </w:pPr>
            <w:hyperlink r:id="rId22" w:anchor="i46aba51c6a804f42b3595948c57d2023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6E" w14:textId="77777777" w:rsidR="008A3BAC" w:rsidRDefault="005C75B9">
            <w:pPr>
              <w:textAlignment w:val="bottom"/>
            </w:pPr>
            <w:hyperlink r:id="rId23" w:anchor="i46aba51c6a804f42b3595948c57d2023_31" w:history="1">
              <w:r>
                <w:rPr>
                  <w:rStyle w:val="a5"/>
                  <w:rFonts w:ascii="sans-serif" w:eastAsia="sans-serif" w:hAnsi="sans-serif" w:cs="sans-serif"/>
                  <w:color w:val="000000"/>
                  <w:sz w:val="16"/>
                  <w:szCs w:val="16"/>
                  <w:u w:val="none"/>
                </w:rPr>
                <w:t>7</w:t>
              </w:r>
            </w:hyperlink>
          </w:p>
        </w:tc>
      </w:tr>
      <w:tr w:rsidR="008A3BAC" w14:paraId="26E9C17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0" w14:textId="77777777" w:rsidR="008A3BAC" w:rsidRDefault="005C75B9">
            <w:pPr>
              <w:textAlignment w:val="bottom"/>
            </w:pPr>
            <w:hyperlink r:id="rId24" w:anchor="i46aba51c6a804f42b3595948c57d2023_136"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1" w14:textId="77777777" w:rsidR="008A3BAC" w:rsidRDefault="005C75B9">
            <w:pPr>
              <w:textAlignment w:val="bottom"/>
            </w:pPr>
            <w:hyperlink r:id="rId25" w:anchor="i46aba51c6a804f42b3595948c57d2023_76"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2" w14:textId="77777777" w:rsidR="008A3BAC" w:rsidRDefault="005C75B9">
            <w:pPr>
              <w:textAlignment w:val="bottom"/>
            </w:pPr>
            <w:hyperlink r:id="rId26" w:anchor="i46aba51c6a804f42b3595948c57d2023_76" w:history="1">
              <w:r>
                <w:rPr>
                  <w:rStyle w:val="a5"/>
                  <w:rFonts w:ascii="sans-serif" w:eastAsia="sans-serif" w:hAnsi="sans-serif" w:cs="sans-serif"/>
                  <w:color w:val="000000"/>
                  <w:sz w:val="16"/>
                  <w:szCs w:val="16"/>
                  <w:u w:val="none"/>
                </w:rPr>
                <w:t>25</w:t>
              </w:r>
            </w:hyperlink>
          </w:p>
        </w:tc>
      </w:tr>
      <w:tr w:rsidR="008A3BAC" w14:paraId="26E9C1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4" w14:textId="77777777" w:rsidR="008A3BAC" w:rsidRDefault="005C75B9">
            <w:pPr>
              <w:textAlignment w:val="bottom"/>
            </w:pPr>
            <w:r>
              <w:rPr>
                <w:rFonts w:ascii="sans-serif" w:eastAsia="sans-serif" w:hAnsi="sans-serif" w:cs="sans-serif"/>
                <w:b/>
                <w:bCs/>
                <w:color w:val="000000"/>
                <w:sz w:val="18"/>
                <w:szCs w:val="18"/>
              </w:rPr>
              <w:t>ITEM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5" w14:textId="77777777" w:rsidR="008A3BAC" w:rsidRDefault="005C75B9">
            <w:pPr>
              <w:textAlignment w:val="bottom"/>
            </w:pPr>
            <w:hyperlink r:id="rId27" w:anchor="i46aba51c6a804f42b3595948c57d2023_121"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6" w14:textId="77777777" w:rsidR="008A3BAC" w:rsidRDefault="005C75B9">
            <w:pPr>
              <w:textAlignment w:val="bottom"/>
            </w:pPr>
            <w:hyperlink r:id="rId28" w:anchor="i46aba51c6a804f42b3595948c57d2023_121" w:history="1">
              <w:r>
                <w:rPr>
                  <w:rStyle w:val="a5"/>
                  <w:rFonts w:ascii="sans-serif" w:eastAsia="sans-serif" w:hAnsi="sans-serif" w:cs="sans-serif"/>
                  <w:color w:val="000000"/>
                  <w:sz w:val="16"/>
                  <w:szCs w:val="16"/>
                  <w:u w:val="none"/>
                </w:rPr>
                <w:t>46</w:t>
              </w:r>
            </w:hyperlink>
          </w:p>
        </w:tc>
      </w:tr>
      <w:tr w:rsidR="008A3BAC" w14:paraId="26E9C17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8" w14:textId="77777777" w:rsidR="008A3BAC" w:rsidRDefault="005C75B9">
            <w:pPr>
              <w:textAlignment w:val="bottom"/>
            </w:pPr>
            <w:r>
              <w:rPr>
                <w:rFonts w:ascii="sans-serif" w:eastAsia="sans-serif" w:hAnsi="sans-serif" w:cs="sans-serif"/>
                <w:b/>
                <w:bCs/>
                <w:color w:val="000000"/>
                <w:sz w:val="18"/>
                <w:szCs w:val="18"/>
              </w:rPr>
              <w:t>ITEM 4.</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6E9C179" w14:textId="77777777" w:rsidR="008A3BAC" w:rsidRDefault="005C75B9">
            <w:pPr>
              <w:textAlignment w:val="bottom"/>
            </w:pPr>
            <w:hyperlink r:id="rId29" w:anchor="i46aba51c6a804f42b3595948c57d2023_124"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A" w14:textId="77777777" w:rsidR="008A3BAC" w:rsidRDefault="005C75B9">
            <w:pPr>
              <w:textAlignment w:val="bottom"/>
            </w:pPr>
            <w:hyperlink r:id="rId30" w:anchor="i46aba51c6a804f42b3595948c57d2023_124" w:history="1">
              <w:r>
                <w:rPr>
                  <w:rStyle w:val="a5"/>
                  <w:rFonts w:ascii="sans-serif" w:eastAsia="sans-serif" w:hAnsi="sans-serif" w:cs="sans-serif"/>
                  <w:color w:val="000000"/>
                  <w:sz w:val="16"/>
                  <w:szCs w:val="16"/>
                  <w:u w:val="none"/>
                </w:rPr>
                <w:t>46</w:t>
              </w:r>
            </w:hyperlink>
          </w:p>
        </w:tc>
      </w:tr>
      <w:tr w:rsidR="008A3BAC" w14:paraId="26E9C17E"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26E9C17C" w14:textId="77777777" w:rsidR="008A3BAC" w:rsidRDefault="005C75B9">
            <w:pPr>
              <w:spacing w:before="120" w:after="120"/>
              <w:textAlignment w:val="bottom"/>
            </w:pPr>
            <w:hyperlink r:id="rId31" w:anchor="i46aba51c6a804f42b3595948c57d2023_130"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7D" w14:textId="77777777" w:rsidR="008A3BAC" w:rsidRDefault="005C75B9">
            <w:pPr>
              <w:spacing w:before="120" w:after="120"/>
              <w:textAlignment w:val="bottom"/>
            </w:pPr>
            <w:hyperlink r:id="rId32" w:anchor="i46aba51c6a804f42b3595948c57d2023_130" w:history="1">
              <w:r>
                <w:rPr>
                  <w:rStyle w:val="a5"/>
                  <w:rFonts w:ascii="sans-serif" w:eastAsia="sans-serif" w:hAnsi="sans-serif" w:cs="sans-serif"/>
                  <w:color w:val="E87722"/>
                  <w:u w:val="none"/>
                </w:rPr>
                <w:t>48</w:t>
              </w:r>
            </w:hyperlink>
          </w:p>
        </w:tc>
      </w:tr>
      <w:tr w:rsidR="008A3BAC" w14:paraId="26E9C18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7F" w14:textId="77777777" w:rsidR="008A3BAC" w:rsidRDefault="005C75B9">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80" w14:textId="77777777" w:rsidR="008A3BAC" w:rsidRDefault="005C75B9">
            <w:pPr>
              <w:textAlignment w:val="bottom"/>
            </w:pPr>
            <w:hyperlink r:id="rId33" w:anchor="i46aba51c6a804f42b3595948c57d2023_133"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81" w14:textId="77777777" w:rsidR="008A3BAC" w:rsidRDefault="005C75B9">
            <w:pPr>
              <w:textAlignment w:val="bottom"/>
            </w:pPr>
            <w:hyperlink r:id="rId34" w:anchor="i46aba51c6a804f42b3595948c57d2023_133" w:history="1">
              <w:r>
                <w:rPr>
                  <w:rStyle w:val="a5"/>
                  <w:rFonts w:ascii="sans-serif" w:eastAsia="sans-serif" w:hAnsi="sans-serif" w:cs="sans-serif"/>
                  <w:color w:val="000000"/>
                  <w:sz w:val="16"/>
                  <w:szCs w:val="16"/>
                  <w:u w:val="none"/>
                </w:rPr>
                <w:t>48</w:t>
              </w:r>
            </w:hyperlink>
          </w:p>
        </w:tc>
      </w:tr>
      <w:tr w:rsidR="008A3BAC" w14:paraId="26E9C18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3" w14:textId="77777777" w:rsidR="008A3BAC" w:rsidRDefault="005C75B9">
            <w:pPr>
              <w:textAlignment w:val="bottom"/>
            </w:pPr>
            <w:r>
              <w:rPr>
                <w:rFonts w:ascii="sans-serif" w:eastAsia="sans-serif" w:hAnsi="sans-serif" w:cs="sans-serif"/>
                <w:b/>
                <w:bCs/>
                <w:color w:val="000000"/>
                <w:sz w:val="18"/>
                <w:szCs w:val="18"/>
              </w:rPr>
              <w:t>ITEM 1A.</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4" w14:textId="77777777" w:rsidR="008A3BAC" w:rsidRDefault="005C75B9">
            <w:pPr>
              <w:textAlignment w:val="bottom"/>
            </w:pPr>
            <w:hyperlink r:id="rId35" w:anchor="i46aba51c6a804f42b3595948c57d2023_136"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5" w14:textId="77777777" w:rsidR="008A3BAC" w:rsidRDefault="005C75B9">
            <w:pPr>
              <w:textAlignment w:val="bottom"/>
            </w:pPr>
            <w:hyperlink r:id="rId36" w:anchor="i46aba51c6a804f42b3595948c57d2023_136" w:history="1">
              <w:r>
                <w:rPr>
                  <w:rStyle w:val="a5"/>
                  <w:rFonts w:ascii="sans-serif" w:eastAsia="sans-serif" w:hAnsi="sans-serif" w:cs="sans-serif"/>
                  <w:color w:val="000000"/>
                  <w:sz w:val="16"/>
                  <w:szCs w:val="16"/>
                  <w:u w:val="none"/>
                </w:rPr>
                <w:t>48</w:t>
              </w:r>
            </w:hyperlink>
          </w:p>
        </w:tc>
      </w:tr>
      <w:tr w:rsidR="008A3BAC" w14:paraId="26E9C18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7" w14:textId="77777777" w:rsidR="008A3BAC" w:rsidRDefault="005C75B9">
            <w:pPr>
              <w:textAlignment w:val="bottom"/>
            </w:pPr>
            <w:r>
              <w:rPr>
                <w:rFonts w:ascii="sans-serif" w:eastAsia="sans-serif" w:hAnsi="sans-serif" w:cs="sans-serif"/>
                <w:b/>
                <w:bCs/>
                <w:color w:val="000000"/>
                <w:sz w:val="18"/>
                <w:szCs w:val="18"/>
              </w:rPr>
              <w:t>ITEM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8" w14:textId="77777777" w:rsidR="008A3BAC" w:rsidRDefault="005C75B9">
            <w:pPr>
              <w:textAlignment w:val="bottom"/>
            </w:pPr>
            <w:hyperlink r:id="rId37" w:anchor="i46aba51c6a804f42b3595948c57d2023_139"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9" w14:textId="77777777" w:rsidR="008A3BAC" w:rsidRDefault="005C75B9">
            <w:pPr>
              <w:textAlignment w:val="bottom"/>
            </w:pPr>
            <w:hyperlink r:id="rId38" w:anchor="i46aba51c6a804f42b3595948c57d2023_139" w:history="1">
              <w:r>
                <w:rPr>
                  <w:rStyle w:val="a5"/>
                  <w:rFonts w:ascii="sans-serif" w:eastAsia="sans-serif" w:hAnsi="sans-serif" w:cs="sans-serif"/>
                  <w:color w:val="000000"/>
                  <w:sz w:val="16"/>
                  <w:szCs w:val="16"/>
                  <w:u w:val="none"/>
                </w:rPr>
                <w:t>49</w:t>
              </w:r>
            </w:hyperlink>
          </w:p>
        </w:tc>
      </w:tr>
      <w:tr w:rsidR="008A3BAC" w14:paraId="26E9C18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B" w14:textId="77777777" w:rsidR="008A3BAC" w:rsidRDefault="005C75B9">
            <w:pPr>
              <w:textAlignment w:val="bottom"/>
            </w:pPr>
            <w:r>
              <w:rPr>
                <w:rFonts w:ascii="sans-serif" w:eastAsia="sans-serif" w:hAnsi="sans-serif" w:cs="sans-serif"/>
                <w:b/>
                <w:bCs/>
                <w:color w:val="000000"/>
                <w:sz w:val="18"/>
                <w:szCs w:val="18"/>
              </w:rPr>
              <w:t>ITEM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C" w14:textId="77777777" w:rsidR="008A3BAC" w:rsidRDefault="005C75B9">
            <w:pPr>
              <w:textAlignment w:val="bottom"/>
            </w:pPr>
            <w:hyperlink r:id="rId39" w:anchor="i46aba51c6a804f42b3595948c57d2023_142" w:history="1">
              <w:r>
                <w:rPr>
                  <w:rStyle w:val="a5"/>
                  <w:rFonts w:ascii="sans-serif" w:eastAsia="sans-serif" w:hAnsi="sans-serif" w:cs="sans-serif"/>
                  <w:color w:val="000000"/>
                  <w:sz w:val="16"/>
                  <w:szCs w:val="16"/>
                  <w:u w:val="none"/>
                </w:rPr>
                <w:t>Exhibits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8D" w14:textId="77777777" w:rsidR="008A3BAC" w:rsidRDefault="005C75B9">
            <w:pPr>
              <w:textAlignment w:val="bottom"/>
            </w:pPr>
            <w:hyperlink r:id="rId40" w:anchor="i46aba51c6a804f42b3595948c57d2023_142" w:history="1">
              <w:r>
                <w:rPr>
                  <w:rStyle w:val="a5"/>
                  <w:rFonts w:ascii="sans-serif" w:eastAsia="sans-serif" w:hAnsi="sans-serif" w:cs="sans-serif"/>
                  <w:color w:val="000000"/>
                  <w:sz w:val="16"/>
                  <w:szCs w:val="16"/>
                  <w:u w:val="none"/>
                </w:rPr>
                <w:t>50</w:t>
              </w:r>
            </w:hyperlink>
          </w:p>
        </w:tc>
      </w:tr>
      <w:tr w:rsidR="008A3BAC" w14:paraId="26E9C192"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6E9C18F" w14:textId="77777777" w:rsidR="008A3BAC" w:rsidRDefault="008A3BAC">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6E9C190" w14:textId="77777777" w:rsidR="008A3BAC" w:rsidRDefault="005C75B9">
            <w:pPr>
              <w:textAlignment w:val="bottom"/>
            </w:pPr>
            <w:hyperlink r:id="rId41" w:anchor="i46aba51c6a804f42b3595948c57d2023_145"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6E9C191" w14:textId="77777777" w:rsidR="008A3BAC" w:rsidRDefault="005C75B9">
            <w:pPr>
              <w:textAlignment w:val="bottom"/>
            </w:pPr>
            <w:hyperlink r:id="rId42" w:anchor="i46aba51c6a804f42b3595948c57d2023_145" w:history="1">
              <w:r>
                <w:rPr>
                  <w:rStyle w:val="a5"/>
                  <w:rFonts w:ascii="sans-serif" w:eastAsia="sans-serif" w:hAnsi="sans-serif" w:cs="sans-serif"/>
                  <w:color w:val="000000"/>
                  <w:sz w:val="16"/>
                  <w:szCs w:val="16"/>
                  <w:u w:val="none"/>
                </w:rPr>
                <w:t>51</w:t>
              </w:r>
            </w:hyperlink>
          </w:p>
        </w:tc>
      </w:tr>
    </w:tbl>
    <w:p w14:paraId="26E9C193" w14:textId="77777777" w:rsidR="008A3BAC" w:rsidRDefault="008A3BAC">
      <w:pPr>
        <w:spacing w:before="120" w:after="120"/>
      </w:pPr>
    </w:p>
    <w:p w14:paraId="26E9C194" w14:textId="77777777" w:rsidR="008A3BAC" w:rsidRDefault="005C75B9">
      <w:r>
        <w:pict w14:anchorId="26E9E847">
          <v:rect id="_x0000_i1026" style="width:415.3pt;height:1.5pt" o:hralign="center" o:hrstd="t" o:hr="t" fillcolor="#a0a0a0" stroked="f"/>
        </w:pict>
      </w:r>
    </w:p>
    <w:p w14:paraId="26E9C195" w14:textId="77777777" w:rsidR="008A3BAC" w:rsidRDefault="008A3BAC"/>
    <w:p w14:paraId="26E9C196" w14:textId="77777777" w:rsidR="008A3BAC" w:rsidRDefault="005C75B9">
      <w:hyperlink r:id="rId43" w:anchor="i46aba51c6a804f42b3595948c57d2023_7" w:history="1">
        <w:r>
          <w:rPr>
            <w:rStyle w:val="a5"/>
            <w:rFonts w:ascii="sans-serif" w:eastAsia="sans-serif" w:hAnsi="sans-serif" w:cs="sans-serif"/>
            <w:sz w:val="17"/>
            <w:szCs w:val="17"/>
          </w:rPr>
          <w:t>Table of Contents</w:t>
        </w:r>
      </w:hyperlink>
    </w:p>
    <w:p w14:paraId="26E9C197" w14:textId="77777777" w:rsidR="008A3BAC" w:rsidRDefault="008A3BAC"/>
    <w:p w14:paraId="26E9C198" w14:textId="77777777" w:rsidR="008A3BAC" w:rsidRDefault="005C75B9">
      <w:r>
        <w:rPr>
          <w:rFonts w:ascii="sans-serif" w:eastAsia="sans-serif" w:hAnsi="sans-serif" w:cs="sans-serif"/>
          <w:color w:val="E87722"/>
          <w:sz w:val="68"/>
          <w:szCs w:val="68"/>
        </w:rPr>
        <w:lastRenderedPageBreak/>
        <w:t>PART I - FINANCIAL INFORMATION</w:t>
      </w:r>
    </w:p>
    <w:p w14:paraId="26E9C199" w14:textId="77777777" w:rsidR="008A3BAC" w:rsidRDefault="005C75B9">
      <w:pPr>
        <w:spacing w:before="120" w:after="300"/>
      </w:pPr>
      <w:r>
        <w:rPr>
          <w:rFonts w:ascii="sans-serif" w:eastAsia="sans-serif" w:hAnsi="sans-serif" w:cs="sans-serif"/>
          <w:color w:val="000000"/>
          <w:sz w:val="44"/>
          <w:szCs w:val="44"/>
        </w:rPr>
        <w:t>ITEM 1. FINANCIAL STATEMENTS</w:t>
      </w:r>
    </w:p>
    <w:p w14:paraId="26E9C19A" w14:textId="77777777" w:rsidR="008A3BAC" w:rsidRDefault="005C75B9">
      <w:pPr>
        <w:spacing w:before="300"/>
      </w:pPr>
      <w:r>
        <w:rPr>
          <w:rFonts w:ascii="sans-serif" w:eastAsia="sans-serif" w:hAnsi="sans-serif" w:cs="sans-serif"/>
          <w:b/>
          <w:bCs/>
          <w:color w:val="E87722"/>
          <w:sz w:val="36"/>
          <w:szCs w:val="36"/>
        </w:rPr>
        <w:t>NIKE, INC.</w:t>
      </w:r>
    </w:p>
    <w:p w14:paraId="26E9C19B" w14:textId="77777777" w:rsidR="008A3BAC" w:rsidRDefault="005C75B9">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488"/>
        <w:gridCol w:w="38"/>
        <w:gridCol w:w="115"/>
        <w:gridCol w:w="987"/>
        <w:gridCol w:w="36"/>
        <w:gridCol w:w="115"/>
        <w:gridCol w:w="988"/>
        <w:gridCol w:w="36"/>
        <w:gridCol w:w="36"/>
        <w:gridCol w:w="36"/>
        <w:gridCol w:w="36"/>
        <w:gridCol w:w="115"/>
        <w:gridCol w:w="952"/>
        <w:gridCol w:w="36"/>
        <w:gridCol w:w="115"/>
        <w:gridCol w:w="988"/>
        <w:gridCol w:w="36"/>
        <w:gridCol w:w="36"/>
        <w:gridCol w:w="36"/>
        <w:gridCol w:w="36"/>
        <w:gridCol w:w="36"/>
      </w:tblGrid>
      <w:tr w:rsidR="008A3BAC" w14:paraId="26E9C1B0" w14:textId="77777777">
        <w:tc>
          <w:tcPr>
            <w:tcW w:w="50" w:type="pct"/>
            <w:shd w:val="clear" w:color="auto" w:fill="auto"/>
            <w:vAlign w:val="bottom"/>
          </w:tcPr>
          <w:p w14:paraId="26E9C19C" w14:textId="77777777" w:rsidR="008A3BAC" w:rsidRDefault="008A3BAC">
            <w:pPr>
              <w:rPr>
                <w:rFonts w:ascii="宋体"/>
              </w:rPr>
            </w:pPr>
          </w:p>
        </w:tc>
        <w:tc>
          <w:tcPr>
            <w:tcW w:w="2159" w:type="pct"/>
            <w:shd w:val="clear" w:color="auto" w:fill="auto"/>
            <w:vAlign w:val="bottom"/>
          </w:tcPr>
          <w:p w14:paraId="26E9C19D" w14:textId="77777777" w:rsidR="008A3BAC" w:rsidRDefault="008A3BAC">
            <w:pPr>
              <w:rPr>
                <w:rFonts w:ascii="宋体"/>
              </w:rPr>
            </w:pPr>
          </w:p>
        </w:tc>
        <w:tc>
          <w:tcPr>
            <w:tcW w:w="5" w:type="pct"/>
            <w:shd w:val="clear" w:color="auto" w:fill="auto"/>
            <w:vAlign w:val="bottom"/>
          </w:tcPr>
          <w:p w14:paraId="26E9C19E" w14:textId="77777777" w:rsidR="008A3BAC" w:rsidRDefault="008A3BAC">
            <w:pPr>
              <w:rPr>
                <w:rFonts w:ascii="宋体"/>
              </w:rPr>
            </w:pPr>
          </w:p>
        </w:tc>
        <w:tc>
          <w:tcPr>
            <w:tcW w:w="50" w:type="pct"/>
            <w:shd w:val="clear" w:color="auto" w:fill="auto"/>
            <w:vAlign w:val="bottom"/>
          </w:tcPr>
          <w:p w14:paraId="26E9C19F" w14:textId="77777777" w:rsidR="008A3BAC" w:rsidRDefault="008A3BAC">
            <w:pPr>
              <w:rPr>
                <w:rFonts w:ascii="宋体"/>
              </w:rPr>
            </w:pPr>
          </w:p>
        </w:tc>
        <w:tc>
          <w:tcPr>
            <w:tcW w:w="631" w:type="pct"/>
            <w:shd w:val="clear" w:color="auto" w:fill="auto"/>
            <w:vAlign w:val="bottom"/>
          </w:tcPr>
          <w:p w14:paraId="26E9C1A0" w14:textId="77777777" w:rsidR="008A3BAC" w:rsidRDefault="008A3BAC">
            <w:pPr>
              <w:rPr>
                <w:rFonts w:ascii="宋体"/>
              </w:rPr>
            </w:pPr>
          </w:p>
        </w:tc>
        <w:tc>
          <w:tcPr>
            <w:tcW w:w="5" w:type="pct"/>
            <w:shd w:val="clear" w:color="auto" w:fill="auto"/>
            <w:vAlign w:val="bottom"/>
          </w:tcPr>
          <w:p w14:paraId="26E9C1A1" w14:textId="77777777" w:rsidR="008A3BAC" w:rsidRDefault="008A3BAC">
            <w:pPr>
              <w:rPr>
                <w:rFonts w:ascii="宋体"/>
              </w:rPr>
            </w:pPr>
          </w:p>
        </w:tc>
        <w:tc>
          <w:tcPr>
            <w:tcW w:w="50" w:type="pct"/>
            <w:shd w:val="clear" w:color="auto" w:fill="auto"/>
            <w:vAlign w:val="bottom"/>
          </w:tcPr>
          <w:p w14:paraId="26E9C1A2" w14:textId="77777777" w:rsidR="008A3BAC" w:rsidRDefault="008A3BAC">
            <w:pPr>
              <w:rPr>
                <w:rFonts w:ascii="宋体"/>
              </w:rPr>
            </w:pPr>
          </w:p>
        </w:tc>
        <w:tc>
          <w:tcPr>
            <w:tcW w:w="631" w:type="pct"/>
            <w:shd w:val="clear" w:color="auto" w:fill="auto"/>
            <w:vAlign w:val="bottom"/>
          </w:tcPr>
          <w:p w14:paraId="26E9C1A3" w14:textId="77777777" w:rsidR="008A3BAC" w:rsidRDefault="008A3BAC">
            <w:pPr>
              <w:rPr>
                <w:rFonts w:ascii="宋体"/>
              </w:rPr>
            </w:pPr>
          </w:p>
        </w:tc>
        <w:tc>
          <w:tcPr>
            <w:tcW w:w="5" w:type="pct"/>
            <w:shd w:val="clear" w:color="auto" w:fill="auto"/>
            <w:vAlign w:val="bottom"/>
          </w:tcPr>
          <w:p w14:paraId="26E9C1A4" w14:textId="77777777" w:rsidR="008A3BAC" w:rsidRDefault="008A3BAC">
            <w:pPr>
              <w:rPr>
                <w:rFonts w:ascii="宋体"/>
              </w:rPr>
            </w:pPr>
          </w:p>
        </w:tc>
        <w:tc>
          <w:tcPr>
            <w:tcW w:w="5" w:type="pct"/>
            <w:shd w:val="clear" w:color="auto" w:fill="auto"/>
            <w:vAlign w:val="bottom"/>
          </w:tcPr>
          <w:p w14:paraId="26E9C1A5" w14:textId="77777777" w:rsidR="008A3BAC" w:rsidRDefault="008A3BAC">
            <w:pPr>
              <w:rPr>
                <w:rFonts w:ascii="宋体"/>
              </w:rPr>
            </w:pPr>
          </w:p>
        </w:tc>
        <w:tc>
          <w:tcPr>
            <w:tcW w:w="28" w:type="pct"/>
            <w:shd w:val="clear" w:color="auto" w:fill="auto"/>
            <w:vAlign w:val="bottom"/>
          </w:tcPr>
          <w:p w14:paraId="26E9C1A6" w14:textId="77777777" w:rsidR="008A3BAC" w:rsidRDefault="008A3BAC">
            <w:pPr>
              <w:rPr>
                <w:rFonts w:ascii="宋体"/>
              </w:rPr>
            </w:pPr>
          </w:p>
        </w:tc>
        <w:tc>
          <w:tcPr>
            <w:tcW w:w="5" w:type="pct"/>
            <w:shd w:val="clear" w:color="auto" w:fill="auto"/>
            <w:vAlign w:val="bottom"/>
          </w:tcPr>
          <w:p w14:paraId="26E9C1A7" w14:textId="77777777" w:rsidR="008A3BAC" w:rsidRDefault="008A3BAC">
            <w:pPr>
              <w:rPr>
                <w:rFonts w:ascii="宋体"/>
              </w:rPr>
            </w:pPr>
          </w:p>
        </w:tc>
        <w:tc>
          <w:tcPr>
            <w:tcW w:w="50" w:type="pct"/>
            <w:shd w:val="clear" w:color="auto" w:fill="auto"/>
            <w:vAlign w:val="bottom"/>
          </w:tcPr>
          <w:p w14:paraId="26E9C1A8" w14:textId="77777777" w:rsidR="008A3BAC" w:rsidRDefault="008A3BAC">
            <w:pPr>
              <w:rPr>
                <w:rFonts w:ascii="宋体"/>
              </w:rPr>
            </w:pPr>
          </w:p>
        </w:tc>
        <w:tc>
          <w:tcPr>
            <w:tcW w:w="631" w:type="pct"/>
            <w:shd w:val="clear" w:color="auto" w:fill="auto"/>
            <w:vAlign w:val="bottom"/>
          </w:tcPr>
          <w:p w14:paraId="26E9C1A9" w14:textId="77777777" w:rsidR="008A3BAC" w:rsidRDefault="008A3BAC">
            <w:pPr>
              <w:rPr>
                <w:rFonts w:ascii="宋体"/>
              </w:rPr>
            </w:pPr>
          </w:p>
        </w:tc>
        <w:tc>
          <w:tcPr>
            <w:tcW w:w="5" w:type="pct"/>
            <w:shd w:val="clear" w:color="auto" w:fill="auto"/>
            <w:vAlign w:val="bottom"/>
          </w:tcPr>
          <w:p w14:paraId="26E9C1AA" w14:textId="77777777" w:rsidR="008A3BAC" w:rsidRDefault="008A3BAC">
            <w:pPr>
              <w:rPr>
                <w:rFonts w:ascii="宋体"/>
              </w:rPr>
            </w:pPr>
          </w:p>
        </w:tc>
        <w:tc>
          <w:tcPr>
            <w:tcW w:w="50" w:type="pct"/>
            <w:shd w:val="clear" w:color="auto" w:fill="auto"/>
            <w:vAlign w:val="bottom"/>
          </w:tcPr>
          <w:p w14:paraId="26E9C1AB" w14:textId="77777777" w:rsidR="008A3BAC" w:rsidRDefault="008A3BAC">
            <w:pPr>
              <w:rPr>
                <w:rFonts w:ascii="宋体"/>
              </w:rPr>
            </w:pPr>
          </w:p>
        </w:tc>
        <w:tc>
          <w:tcPr>
            <w:tcW w:w="631" w:type="pct"/>
            <w:shd w:val="clear" w:color="auto" w:fill="auto"/>
            <w:vAlign w:val="bottom"/>
          </w:tcPr>
          <w:p w14:paraId="26E9C1AC" w14:textId="77777777" w:rsidR="008A3BAC" w:rsidRDefault="008A3BAC">
            <w:pPr>
              <w:rPr>
                <w:rFonts w:ascii="宋体"/>
              </w:rPr>
            </w:pPr>
          </w:p>
        </w:tc>
        <w:tc>
          <w:tcPr>
            <w:tcW w:w="5" w:type="pct"/>
            <w:shd w:val="clear" w:color="auto" w:fill="auto"/>
            <w:vAlign w:val="bottom"/>
          </w:tcPr>
          <w:p w14:paraId="26E9C1AD" w14:textId="77777777" w:rsidR="008A3BAC" w:rsidRDefault="008A3BAC">
            <w:pPr>
              <w:rPr>
                <w:rFonts w:ascii="宋体"/>
              </w:rPr>
            </w:pPr>
          </w:p>
        </w:tc>
        <w:tc>
          <w:tcPr>
            <w:tcW w:w="0" w:type="auto"/>
            <w:shd w:val="clear" w:color="auto" w:fill="auto"/>
            <w:vAlign w:val="bottom"/>
          </w:tcPr>
          <w:p w14:paraId="26E9C1AE" w14:textId="77777777" w:rsidR="008A3BAC" w:rsidRDefault="008A3BAC">
            <w:pPr>
              <w:rPr>
                <w:rFonts w:ascii="宋体"/>
                <w:vanish/>
              </w:rPr>
            </w:pPr>
          </w:p>
        </w:tc>
        <w:tc>
          <w:tcPr>
            <w:tcW w:w="0" w:type="auto"/>
            <w:gridSpan w:val="3"/>
            <w:shd w:val="clear" w:color="auto" w:fill="auto"/>
            <w:vAlign w:val="bottom"/>
          </w:tcPr>
          <w:p w14:paraId="26E9C1AF" w14:textId="77777777" w:rsidR="008A3BAC" w:rsidRDefault="008A3BAC">
            <w:pPr>
              <w:rPr>
                <w:rFonts w:ascii="宋体"/>
                <w:vanish/>
              </w:rPr>
            </w:pPr>
          </w:p>
        </w:tc>
      </w:tr>
      <w:tr w:rsidR="008A3BAC" w14:paraId="26E9C1B9" w14:textId="77777777">
        <w:tc>
          <w:tcPr>
            <w:tcW w:w="0" w:type="auto"/>
            <w:gridSpan w:val="3"/>
            <w:shd w:val="clear" w:color="auto" w:fill="auto"/>
            <w:tcMar>
              <w:top w:w="0" w:type="dxa"/>
              <w:left w:w="20" w:type="dxa"/>
              <w:bottom w:w="0" w:type="dxa"/>
              <w:right w:w="20" w:type="dxa"/>
            </w:tcMar>
            <w:vAlign w:val="bottom"/>
          </w:tcPr>
          <w:p w14:paraId="26E9C1B1"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1B2" w14:textId="77777777" w:rsidR="008A3BAC" w:rsidRDefault="005C75B9">
            <w:pPr>
              <w:jc w:val="center"/>
              <w:textAlignment w:val="bottom"/>
            </w:pPr>
            <w:r>
              <w:rPr>
                <w:rFonts w:ascii="sans-serif" w:eastAsia="sans-serif" w:hAnsi="sans-serif" w:cs="sans-serif"/>
                <w:b/>
                <w:bCs/>
                <w:color w:val="000000"/>
                <w:sz w:val="17"/>
                <w:szCs w:val="17"/>
              </w:rPr>
              <w:t>TH</w:t>
            </w:r>
            <w:r>
              <w:rPr>
                <w:rFonts w:ascii="sans-serif" w:eastAsia="sans-serif" w:hAnsi="sans-serif" w:cs="sans-serif"/>
                <w:b/>
                <w:bCs/>
                <w:color w:val="000000"/>
                <w:sz w:val="17"/>
                <w:szCs w:val="17"/>
              </w:rPr>
              <w:t>REE MONTHS ENDED FEBRUARY 28,</w:t>
            </w:r>
          </w:p>
        </w:tc>
        <w:tc>
          <w:tcPr>
            <w:tcW w:w="0" w:type="auto"/>
            <w:gridSpan w:val="3"/>
            <w:shd w:val="clear" w:color="auto" w:fill="auto"/>
            <w:tcMar>
              <w:top w:w="0" w:type="dxa"/>
              <w:left w:w="20" w:type="dxa"/>
              <w:bottom w:w="0" w:type="dxa"/>
              <w:right w:w="20" w:type="dxa"/>
            </w:tcMar>
            <w:vAlign w:val="bottom"/>
          </w:tcPr>
          <w:p w14:paraId="26E9C1B3"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1B4"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C1B5" w14:textId="77777777" w:rsidR="008A3BAC" w:rsidRDefault="008A3BAC">
            <w:pPr>
              <w:rPr>
                <w:rFonts w:ascii="宋体"/>
                <w:vanish/>
              </w:rPr>
            </w:pPr>
          </w:p>
        </w:tc>
        <w:tc>
          <w:tcPr>
            <w:tcW w:w="0" w:type="auto"/>
            <w:shd w:val="clear" w:color="auto" w:fill="auto"/>
            <w:vAlign w:val="bottom"/>
          </w:tcPr>
          <w:p w14:paraId="26E9C1B6" w14:textId="77777777" w:rsidR="008A3BAC" w:rsidRDefault="008A3BAC">
            <w:pPr>
              <w:rPr>
                <w:rFonts w:ascii="宋体"/>
              </w:rPr>
            </w:pPr>
          </w:p>
        </w:tc>
        <w:tc>
          <w:tcPr>
            <w:tcW w:w="0" w:type="auto"/>
            <w:shd w:val="clear" w:color="auto" w:fill="auto"/>
            <w:vAlign w:val="bottom"/>
          </w:tcPr>
          <w:p w14:paraId="26E9C1B7" w14:textId="77777777" w:rsidR="008A3BAC" w:rsidRDefault="008A3BAC">
            <w:pPr>
              <w:rPr>
                <w:rFonts w:ascii="宋体"/>
              </w:rPr>
            </w:pPr>
          </w:p>
        </w:tc>
        <w:tc>
          <w:tcPr>
            <w:tcW w:w="0" w:type="auto"/>
            <w:shd w:val="clear" w:color="auto" w:fill="auto"/>
            <w:vAlign w:val="bottom"/>
          </w:tcPr>
          <w:p w14:paraId="26E9C1B8" w14:textId="77777777" w:rsidR="008A3BAC" w:rsidRDefault="008A3BAC">
            <w:pPr>
              <w:rPr>
                <w:rFonts w:ascii="宋体"/>
              </w:rPr>
            </w:pPr>
          </w:p>
        </w:tc>
      </w:tr>
      <w:tr w:rsidR="008A3BAC" w14:paraId="26E9C1C2" w14:textId="77777777">
        <w:tc>
          <w:tcPr>
            <w:tcW w:w="0" w:type="auto"/>
            <w:gridSpan w:val="3"/>
            <w:shd w:val="clear" w:color="auto" w:fill="auto"/>
            <w:tcMar>
              <w:top w:w="40" w:type="dxa"/>
              <w:left w:w="20" w:type="dxa"/>
              <w:bottom w:w="40" w:type="dxa"/>
              <w:right w:w="20" w:type="dxa"/>
            </w:tcMar>
            <w:vAlign w:val="bottom"/>
          </w:tcPr>
          <w:p w14:paraId="26E9C1BA"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B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B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1BD"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BE"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BF"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shd w:val="clear" w:color="auto" w:fill="auto"/>
            <w:vAlign w:val="bottom"/>
          </w:tcPr>
          <w:p w14:paraId="26E9C1C0" w14:textId="77777777" w:rsidR="008A3BAC" w:rsidRDefault="008A3BAC">
            <w:pPr>
              <w:rPr>
                <w:rFonts w:ascii="宋体"/>
                <w:vanish/>
              </w:rPr>
            </w:pPr>
          </w:p>
        </w:tc>
        <w:tc>
          <w:tcPr>
            <w:tcW w:w="0" w:type="auto"/>
            <w:gridSpan w:val="3"/>
            <w:shd w:val="clear" w:color="auto" w:fill="auto"/>
            <w:vAlign w:val="bottom"/>
          </w:tcPr>
          <w:p w14:paraId="26E9C1C1" w14:textId="77777777" w:rsidR="008A3BAC" w:rsidRDefault="008A3BAC">
            <w:pPr>
              <w:rPr>
                <w:rFonts w:ascii="宋体"/>
                <w:vanish/>
              </w:rPr>
            </w:pPr>
          </w:p>
        </w:tc>
      </w:tr>
      <w:tr w:rsidR="008A3BAC" w14:paraId="26E9C1D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1C3"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1C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1C5" w14:textId="77777777" w:rsidR="008A3BAC" w:rsidRDefault="005C75B9">
            <w:pPr>
              <w:jc w:val="right"/>
              <w:textAlignment w:val="bottom"/>
            </w:pPr>
            <w:r>
              <w:rPr>
                <w:rFonts w:ascii="Arial" w:eastAsia="宋体" w:hAnsi="Arial" w:cs="Arial"/>
                <w:color w:val="000000"/>
                <w:sz w:val="17"/>
                <w:szCs w:val="17"/>
              </w:rPr>
              <w:t>10,871 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1C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1C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1C8" w14:textId="77777777" w:rsidR="008A3BAC" w:rsidRDefault="005C75B9">
            <w:pPr>
              <w:jc w:val="right"/>
              <w:textAlignment w:val="bottom"/>
            </w:pPr>
            <w:r>
              <w:rPr>
                <w:rFonts w:ascii="Arial" w:eastAsia="宋体" w:hAnsi="Arial" w:cs="Arial"/>
                <w:color w:val="000000"/>
                <w:sz w:val="17"/>
                <w:szCs w:val="17"/>
              </w:rPr>
              <w:t>10,357 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1C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1CA"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1CB"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1CC" w14:textId="77777777" w:rsidR="008A3BAC" w:rsidRDefault="005C75B9">
            <w:pPr>
              <w:jc w:val="right"/>
              <w:textAlignment w:val="bottom"/>
            </w:pPr>
            <w:r>
              <w:rPr>
                <w:rFonts w:ascii="Arial" w:eastAsia="宋体" w:hAnsi="Arial" w:cs="Arial"/>
                <w:color w:val="000000"/>
                <w:sz w:val="17"/>
                <w:szCs w:val="17"/>
              </w:rPr>
              <w:t>34,476 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1C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1CE"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1CF" w14:textId="77777777" w:rsidR="008A3BAC" w:rsidRDefault="005C75B9">
            <w:pPr>
              <w:jc w:val="right"/>
              <w:textAlignment w:val="bottom"/>
            </w:pPr>
            <w:r>
              <w:rPr>
                <w:rFonts w:ascii="Arial" w:eastAsia="宋体" w:hAnsi="Arial" w:cs="Arial"/>
                <w:color w:val="000000"/>
                <w:sz w:val="17"/>
                <w:szCs w:val="17"/>
              </w:rPr>
              <w:t>32,194 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1D0" w14:textId="77777777" w:rsidR="008A3BAC" w:rsidRDefault="008A3BAC">
            <w:pPr>
              <w:jc w:val="right"/>
              <w:rPr>
                <w:rFonts w:ascii="宋体"/>
              </w:rPr>
            </w:pPr>
          </w:p>
        </w:tc>
        <w:tc>
          <w:tcPr>
            <w:tcW w:w="0" w:type="auto"/>
            <w:shd w:val="clear" w:color="auto" w:fill="auto"/>
            <w:vAlign w:val="bottom"/>
          </w:tcPr>
          <w:p w14:paraId="26E9C1D1" w14:textId="77777777" w:rsidR="008A3BAC" w:rsidRDefault="008A3BAC">
            <w:pPr>
              <w:rPr>
                <w:rFonts w:ascii="宋体"/>
                <w:vanish/>
              </w:rPr>
            </w:pPr>
          </w:p>
        </w:tc>
        <w:tc>
          <w:tcPr>
            <w:tcW w:w="0" w:type="auto"/>
            <w:gridSpan w:val="3"/>
            <w:shd w:val="clear" w:color="auto" w:fill="auto"/>
            <w:vAlign w:val="bottom"/>
          </w:tcPr>
          <w:p w14:paraId="26E9C1D2" w14:textId="77777777" w:rsidR="008A3BAC" w:rsidRDefault="008A3BAC">
            <w:pPr>
              <w:rPr>
                <w:rFonts w:ascii="宋体"/>
                <w:vanish/>
              </w:rPr>
            </w:pPr>
          </w:p>
        </w:tc>
      </w:tr>
      <w:tr w:rsidR="008A3BAC" w14:paraId="26E9C1E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D4" w14:textId="77777777" w:rsidR="008A3BAC" w:rsidRDefault="005C75B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1D5" w14:textId="77777777" w:rsidR="008A3BAC" w:rsidRDefault="005C75B9">
            <w:pPr>
              <w:jc w:val="right"/>
              <w:textAlignment w:val="bottom"/>
            </w:pPr>
            <w:r>
              <w:rPr>
                <w:rFonts w:ascii="Arial" w:eastAsia="宋体" w:hAnsi="Arial" w:cs="Arial"/>
                <w:color w:val="000000"/>
                <w:sz w:val="17"/>
                <w:szCs w:val="17"/>
              </w:rPr>
              <w:t>5,804 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1D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D7" w14:textId="77777777" w:rsidR="008A3BAC" w:rsidRDefault="005C75B9">
            <w:pPr>
              <w:jc w:val="right"/>
              <w:textAlignment w:val="bottom"/>
            </w:pPr>
            <w:r>
              <w:rPr>
                <w:rFonts w:ascii="Arial" w:eastAsia="宋体" w:hAnsi="Arial" w:cs="Arial"/>
                <w:color w:val="000000"/>
                <w:sz w:val="17"/>
                <w:szCs w:val="17"/>
              </w:rPr>
              <w:t>5,638 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D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1D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1DA" w14:textId="77777777" w:rsidR="008A3BAC" w:rsidRDefault="005C75B9">
            <w:pPr>
              <w:jc w:val="right"/>
              <w:textAlignment w:val="bottom"/>
            </w:pPr>
            <w:r>
              <w:rPr>
                <w:rFonts w:ascii="Arial" w:eastAsia="宋体" w:hAnsi="Arial" w:cs="Arial"/>
                <w:color w:val="000000"/>
                <w:sz w:val="17"/>
                <w:szCs w:val="17"/>
              </w:rPr>
              <w:t>18,500 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1D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DC" w14:textId="77777777" w:rsidR="008A3BAC" w:rsidRDefault="005C75B9">
            <w:pPr>
              <w:jc w:val="right"/>
              <w:textAlignment w:val="bottom"/>
            </w:pPr>
            <w:r>
              <w:rPr>
                <w:rFonts w:ascii="Arial" w:eastAsia="宋体" w:hAnsi="Arial" w:cs="Arial"/>
                <w:color w:val="000000"/>
                <w:sz w:val="17"/>
                <w:szCs w:val="17"/>
              </w:rPr>
              <w:t>17,887 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DD" w14:textId="77777777" w:rsidR="008A3BAC" w:rsidRDefault="008A3BAC">
            <w:pPr>
              <w:jc w:val="right"/>
              <w:rPr>
                <w:rFonts w:ascii="宋体"/>
              </w:rPr>
            </w:pPr>
          </w:p>
        </w:tc>
        <w:tc>
          <w:tcPr>
            <w:tcW w:w="0" w:type="auto"/>
            <w:shd w:val="clear" w:color="auto" w:fill="auto"/>
            <w:vAlign w:val="bottom"/>
          </w:tcPr>
          <w:p w14:paraId="26E9C1DE" w14:textId="77777777" w:rsidR="008A3BAC" w:rsidRDefault="008A3BAC">
            <w:pPr>
              <w:rPr>
                <w:rFonts w:ascii="宋体"/>
                <w:vanish/>
              </w:rPr>
            </w:pPr>
          </w:p>
        </w:tc>
        <w:tc>
          <w:tcPr>
            <w:tcW w:w="0" w:type="auto"/>
            <w:gridSpan w:val="3"/>
            <w:shd w:val="clear" w:color="auto" w:fill="auto"/>
            <w:vAlign w:val="bottom"/>
          </w:tcPr>
          <w:p w14:paraId="26E9C1DF" w14:textId="77777777" w:rsidR="008A3BAC" w:rsidRDefault="008A3BAC">
            <w:pPr>
              <w:rPr>
                <w:rFonts w:ascii="宋体"/>
                <w:vanish/>
              </w:rPr>
            </w:pPr>
          </w:p>
        </w:tc>
      </w:tr>
      <w:tr w:rsidR="008A3BAC" w14:paraId="26E9C1ED"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6E9C1E1" w14:textId="77777777" w:rsidR="008A3BAC" w:rsidRDefault="005C75B9">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1E2" w14:textId="77777777" w:rsidR="008A3BAC" w:rsidRDefault="005C75B9">
            <w:pPr>
              <w:jc w:val="right"/>
              <w:textAlignment w:val="bottom"/>
            </w:pPr>
            <w:r>
              <w:rPr>
                <w:rFonts w:ascii="Arial" w:eastAsia="宋体" w:hAnsi="Arial" w:cs="Arial"/>
                <w:color w:val="000000"/>
                <w:sz w:val="17"/>
                <w:szCs w:val="17"/>
              </w:rPr>
              <w:t>5,067 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1E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1E4" w14:textId="77777777" w:rsidR="008A3BAC" w:rsidRDefault="005C75B9">
            <w:pPr>
              <w:jc w:val="right"/>
              <w:textAlignment w:val="bottom"/>
            </w:pPr>
            <w:r>
              <w:rPr>
                <w:rFonts w:ascii="Arial" w:eastAsia="宋体" w:hAnsi="Arial" w:cs="Arial"/>
                <w:color w:val="000000"/>
                <w:sz w:val="17"/>
                <w:szCs w:val="17"/>
              </w:rPr>
              <w:t>4,719 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1E5"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1E6"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1E7" w14:textId="77777777" w:rsidR="008A3BAC" w:rsidRDefault="005C75B9">
            <w:pPr>
              <w:jc w:val="right"/>
              <w:textAlignment w:val="bottom"/>
            </w:pPr>
            <w:r>
              <w:rPr>
                <w:rFonts w:ascii="Arial" w:eastAsia="宋体" w:hAnsi="Arial" w:cs="Arial"/>
                <w:color w:val="000000"/>
                <w:sz w:val="17"/>
                <w:szCs w:val="17"/>
              </w:rPr>
              <w:t>15,976 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1E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1E9" w14:textId="77777777" w:rsidR="008A3BAC" w:rsidRDefault="005C75B9">
            <w:pPr>
              <w:jc w:val="right"/>
              <w:textAlignment w:val="bottom"/>
            </w:pPr>
            <w:r>
              <w:rPr>
                <w:rFonts w:ascii="Arial" w:eastAsia="宋体" w:hAnsi="Arial" w:cs="Arial"/>
                <w:color w:val="000000"/>
                <w:sz w:val="17"/>
                <w:szCs w:val="17"/>
              </w:rPr>
              <w:t>14,307 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1EA" w14:textId="77777777" w:rsidR="008A3BAC" w:rsidRDefault="008A3BAC">
            <w:pPr>
              <w:jc w:val="right"/>
              <w:rPr>
                <w:rFonts w:ascii="宋体"/>
              </w:rPr>
            </w:pPr>
          </w:p>
        </w:tc>
        <w:tc>
          <w:tcPr>
            <w:tcW w:w="0" w:type="auto"/>
            <w:shd w:val="clear" w:color="auto" w:fill="auto"/>
            <w:vAlign w:val="bottom"/>
          </w:tcPr>
          <w:p w14:paraId="26E9C1EB" w14:textId="77777777" w:rsidR="008A3BAC" w:rsidRDefault="008A3BAC">
            <w:pPr>
              <w:rPr>
                <w:rFonts w:ascii="宋体"/>
                <w:vanish/>
              </w:rPr>
            </w:pPr>
          </w:p>
        </w:tc>
        <w:tc>
          <w:tcPr>
            <w:tcW w:w="0" w:type="auto"/>
            <w:gridSpan w:val="3"/>
            <w:shd w:val="clear" w:color="auto" w:fill="auto"/>
            <w:vAlign w:val="bottom"/>
          </w:tcPr>
          <w:p w14:paraId="26E9C1EC" w14:textId="77777777" w:rsidR="008A3BAC" w:rsidRDefault="008A3BAC">
            <w:pPr>
              <w:rPr>
                <w:rFonts w:ascii="宋体"/>
                <w:vanish/>
              </w:rPr>
            </w:pPr>
          </w:p>
        </w:tc>
      </w:tr>
      <w:tr w:rsidR="008A3BAC" w14:paraId="26E9C1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EE" w14:textId="77777777" w:rsidR="008A3BAC" w:rsidRDefault="005C75B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1EF" w14:textId="77777777" w:rsidR="008A3BAC" w:rsidRDefault="005C75B9">
            <w:pPr>
              <w:jc w:val="right"/>
              <w:textAlignment w:val="bottom"/>
            </w:pPr>
            <w:r>
              <w:rPr>
                <w:rFonts w:ascii="Arial" w:eastAsia="宋体" w:hAnsi="Arial" w:cs="Arial"/>
                <w:color w:val="000000"/>
                <w:sz w:val="17"/>
                <w:szCs w:val="17"/>
              </w:rPr>
              <w:t>854 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1F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F1" w14:textId="77777777" w:rsidR="008A3BAC" w:rsidRDefault="005C75B9">
            <w:pPr>
              <w:jc w:val="right"/>
              <w:textAlignment w:val="bottom"/>
            </w:pPr>
            <w:r>
              <w:rPr>
                <w:rFonts w:ascii="Arial" w:eastAsia="宋体" w:hAnsi="Arial" w:cs="Arial"/>
                <w:color w:val="000000"/>
                <w:sz w:val="17"/>
                <w:szCs w:val="17"/>
              </w:rPr>
              <w:t>711 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F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1F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1F4" w14:textId="77777777" w:rsidR="008A3BAC" w:rsidRDefault="005C75B9">
            <w:pPr>
              <w:jc w:val="right"/>
              <w:textAlignment w:val="bottom"/>
            </w:pPr>
            <w:r>
              <w:rPr>
                <w:rFonts w:ascii="Arial" w:eastAsia="宋体" w:hAnsi="Arial" w:cs="Arial"/>
                <w:color w:val="000000"/>
                <w:sz w:val="17"/>
                <w:szCs w:val="17"/>
              </w:rPr>
              <w:t>2,789 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1F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F6" w14:textId="77777777" w:rsidR="008A3BAC" w:rsidRDefault="005C75B9">
            <w:pPr>
              <w:jc w:val="right"/>
              <w:textAlignment w:val="bottom"/>
            </w:pPr>
            <w:r>
              <w:rPr>
                <w:rFonts w:ascii="Arial" w:eastAsia="宋体" w:hAnsi="Arial" w:cs="Arial"/>
                <w:color w:val="000000"/>
                <w:sz w:val="17"/>
                <w:szCs w:val="17"/>
              </w:rPr>
              <w:t>2,117 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F7" w14:textId="77777777" w:rsidR="008A3BAC" w:rsidRDefault="008A3BAC">
            <w:pPr>
              <w:jc w:val="right"/>
              <w:rPr>
                <w:rFonts w:ascii="宋体"/>
              </w:rPr>
            </w:pPr>
          </w:p>
        </w:tc>
        <w:tc>
          <w:tcPr>
            <w:tcW w:w="0" w:type="auto"/>
            <w:shd w:val="clear" w:color="auto" w:fill="auto"/>
            <w:vAlign w:val="bottom"/>
          </w:tcPr>
          <w:p w14:paraId="26E9C1F8" w14:textId="77777777" w:rsidR="008A3BAC" w:rsidRDefault="008A3BAC">
            <w:pPr>
              <w:rPr>
                <w:rFonts w:ascii="宋体"/>
                <w:vanish/>
              </w:rPr>
            </w:pPr>
          </w:p>
        </w:tc>
        <w:tc>
          <w:tcPr>
            <w:tcW w:w="0" w:type="auto"/>
            <w:gridSpan w:val="3"/>
            <w:shd w:val="clear" w:color="auto" w:fill="auto"/>
            <w:vAlign w:val="bottom"/>
          </w:tcPr>
          <w:p w14:paraId="26E9C1F9" w14:textId="77777777" w:rsidR="008A3BAC" w:rsidRDefault="008A3BAC">
            <w:pPr>
              <w:rPr>
                <w:rFonts w:ascii="宋体"/>
                <w:vanish/>
              </w:rPr>
            </w:pPr>
          </w:p>
        </w:tc>
      </w:tr>
      <w:tr w:rsidR="008A3BAC" w14:paraId="26E9C20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1FB" w14:textId="77777777" w:rsidR="008A3BAC" w:rsidRDefault="005C75B9">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1FC" w14:textId="77777777" w:rsidR="008A3BAC" w:rsidRDefault="005C75B9">
            <w:pPr>
              <w:jc w:val="right"/>
              <w:textAlignment w:val="bottom"/>
            </w:pPr>
            <w:r>
              <w:rPr>
                <w:rFonts w:ascii="Arial" w:eastAsia="宋体" w:hAnsi="Arial" w:cs="Arial"/>
                <w:color w:val="000000"/>
                <w:sz w:val="17"/>
                <w:szCs w:val="17"/>
              </w:rPr>
              <w:t>2,584 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1F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1FE" w14:textId="77777777" w:rsidR="008A3BAC" w:rsidRDefault="005C75B9">
            <w:pPr>
              <w:jc w:val="right"/>
              <w:textAlignment w:val="bottom"/>
            </w:pPr>
            <w:r>
              <w:rPr>
                <w:rFonts w:ascii="Arial" w:eastAsia="宋体" w:hAnsi="Arial" w:cs="Arial"/>
                <w:color w:val="000000"/>
                <w:sz w:val="17"/>
                <w:szCs w:val="17"/>
              </w:rPr>
              <w:t>2,330 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1F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0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01" w14:textId="77777777" w:rsidR="008A3BAC" w:rsidRDefault="005C75B9">
            <w:pPr>
              <w:jc w:val="right"/>
              <w:textAlignment w:val="bottom"/>
            </w:pPr>
            <w:r>
              <w:rPr>
                <w:rFonts w:ascii="Arial" w:eastAsia="宋体" w:hAnsi="Arial" w:cs="Arial"/>
                <w:color w:val="000000"/>
                <w:sz w:val="17"/>
                <w:szCs w:val="17"/>
              </w:rPr>
              <w:t>7,980 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0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03" w14:textId="77777777" w:rsidR="008A3BAC" w:rsidRDefault="005C75B9">
            <w:pPr>
              <w:jc w:val="right"/>
              <w:textAlignment w:val="bottom"/>
            </w:pPr>
            <w:r>
              <w:rPr>
                <w:rFonts w:ascii="Arial" w:eastAsia="宋体" w:hAnsi="Arial" w:cs="Arial"/>
                <w:color w:val="000000"/>
                <w:sz w:val="17"/>
                <w:szCs w:val="17"/>
              </w:rPr>
              <w:t>7,166 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04" w14:textId="77777777" w:rsidR="008A3BAC" w:rsidRDefault="008A3BAC">
            <w:pPr>
              <w:jc w:val="right"/>
              <w:rPr>
                <w:rFonts w:ascii="宋体"/>
              </w:rPr>
            </w:pPr>
          </w:p>
        </w:tc>
        <w:tc>
          <w:tcPr>
            <w:tcW w:w="0" w:type="auto"/>
            <w:shd w:val="clear" w:color="auto" w:fill="auto"/>
            <w:vAlign w:val="bottom"/>
          </w:tcPr>
          <w:p w14:paraId="26E9C205" w14:textId="77777777" w:rsidR="008A3BAC" w:rsidRDefault="008A3BAC">
            <w:pPr>
              <w:rPr>
                <w:rFonts w:ascii="宋体"/>
                <w:vanish/>
              </w:rPr>
            </w:pPr>
          </w:p>
        </w:tc>
        <w:tc>
          <w:tcPr>
            <w:tcW w:w="0" w:type="auto"/>
            <w:gridSpan w:val="3"/>
            <w:shd w:val="clear" w:color="auto" w:fill="auto"/>
            <w:vAlign w:val="bottom"/>
          </w:tcPr>
          <w:p w14:paraId="26E9C206" w14:textId="77777777" w:rsidR="008A3BAC" w:rsidRDefault="008A3BAC">
            <w:pPr>
              <w:rPr>
                <w:rFonts w:ascii="宋体"/>
                <w:vanish/>
              </w:rPr>
            </w:pPr>
          </w:p>
        </w:tc>
      </w:tr>
      <w:tr w:rsidR="008A3BAC" w14:paraId="26E9C214"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6E9C208" w14:textId="77777777" w:rsidR="008A3BAC" w:rsidRDefault="005C75B9">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209" w14:textId="77777777" w:rsidR="008A3BAC" w:rsidRDefault="005C75B9">
            <w:pPr>
              <w:jc w:val="right"/>
              <w:textAlignment w:val="bottom"/>
            </w:pPr>
            <w:r>
              <w:rPr>
                <w:rFonts w:ascii="Arial" w:eastAsia="宋体" w:hAnsi="Arial" w:cs="Arial"/>
                <w:color w:val="000000"/>
                <w:sz w:val="17"/>
                <w:szCs w:val="17"/>
              </w:rPr>
              <w:t>3,438 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0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20B" w14:textId="77777777" w:rsidR="008A3BAC" w:rsidRDefault="005C75B9">
            <w:pPr>
              <w:jc w:val="right"/>
              <w:textAlignment w:val="bottom"/>
            </w:pPr>
            <w:r>
              <w:rPr>
                <w:rFonts w:ascii="Arial" w:eastAsia="宋体" w:hAnsi="Arial" w:cs="Arial"/>
                <w:color w:val="000000"/>
                <w:sz w:val="17"/>
                <w:szCs w:val="17"/>
              </w:rPr>
              <w:t>3,041 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0C"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0D"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20E" w14:textId="77777777" w:rsidR="008A3BAC" w:rsidRDefault="005C75B9">
            <w:pPr>
              <w:jc w:val="right"/>
              <w:textAlignment w:val="bottom"/>
            </w:pPr>
            <w:r>
              <w:rPr>
                <w:rFonts w:ascii="Arial" w:eastAsia="宋体" w:hAnsi="Arial" w:cs="Arial"/>
                <w:color w:val="000000"/>
                <w:sz w:val="17"/>
                <w:szCs w:val="17"/>
              </w:rPr>
              <w:t>10,769 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0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210" w14:textId="77777777" w:rsidR="008A3BAC" w:rsidRDefault="005C75B9">
            <w:pPr>
              <w:jc w:val="right"/>
              <w:textAlignment w:val="bottom"/>
            </w:pPr>
            <w:r>
              <w:rPr>
                <w:rFonts w:ascii="Arial" w:eastAsia="宋体" w:hAnsi="Arial" w:cs="Arial"/>
                <w:color w:val="000000"/>
                <w:sz w:val="17"/>
                <w:szCs w:val="17"/>
              </w:rPr>
              <w:t>9,283 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11" w14:textId="77777777" w:rsidR="008A3BAC" w:rsidRDefault="008A3BAC">
            <w:pPr>
              <w:jc w:val="right"/>
              <w:rPr>
                <w:rFonts w:ascii="宋体"/>
              </w:rPr>
            </w:pPr>
          </w:p>
        </w:tc>
        <w:tc>
          <w:tcPr>
            <w:tcW w:w="0" w:type="auto"/>
            <w:shd w:val="clear" w:color="auto" w:fill="auto"/>
            <w:vAlign w:val="bottom"/>
          </w:tcPr>
          <w:p w14:paraId="26E9C212" w14:textId="77777777" w:rsidR="008A3BAC" w:rsidRDefault="008A3BAC">
            <w:pPr>
              <w:rPr>
                <w:rFonts w:ascii="宋体"/>
                <w:vanish/>
              </w:rPr>
            </w:pPr>
          </w:p>
        </w:tc>
        <w:tc>
          <w:tcPr>
            <w:tcW w:w="0" w:type="auto"/>
            <w:gridSpan w:val="3"/>
            <w:shd w:val="clear" w:color="auto" w:fill="auto"/>
            <w:vAlign w:val="bottom"/>
          </w:tcPr>
          <w:p w14:paraId="26E9C213" w14:textId="77777777" w:rsidR="008A3BAC" w:rsidRDefault="008A3BAC">
            <w:pPr>
              <w:rPr>
                <w:rFonts w:ascii="宋体"/>
                <w:vanish/>
              </w:rPr>
            </w:pPr>
          </w:p>
        </w:tc>
      </w:tr>
      <w:tr w:rsidR="008A3BAC" w14:paraId="26E9C22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215" w14:textId="77777777" w:rsidR="008A3BAC" w:rsidRDefault="005C75B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16"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1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18" w14:textId="77777777" w:rsidR="008A3BAC" w:rsidRDefault="005C75B9">
            <w:pPr>
              <w:jc w:val="right"/>
              <w:textAlignment w:val="bottom"/>
            </w:pPr>
            <w:r>
              <w:rPr>
                <w:rFonts w:ascii="Arial" w:eastAsia="宋体" w:hAnsi="Arial" w:cs="Arial"/>
                <w:color w:val="000000"/>
                <w:sz w:val="17"/>
                <w:szCs w:val="17"/>
              </w:rPr>
              <w:t>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1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1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1B" w14:textId="77777777" w:rsidR="008A3BAC" w:rsidRDefault="005C75B9">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1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1D" w14:textId="77777777" w:rsidR="008A3BAC" w:rsidRDefault="005C75B9">
            <w:pPr>
              <w:jc w:val="right"/>
              <w:textAlignment w:val="bottom"/>
            </w:pPr>
            <w:r>
              <w:rPr>
                <w:rFonts w:ascii="Arial" w:eastAsia="宋体" w:hAnsi="Arial" w:cs="Arial"/>
                <w:color w:val="000000"/>
                <w:sz w:val="17"/>
                <w:szCs w:val="17"/>
              </w:rPr>
              <w:t>199 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1E" w14:textId="77777777" w:rsidR="008A3BAC" w:rsidRDefault="008A3BAC">
            <w:pPr>
              <w:jc w:val="right"/>
              <w:rPr>
                <w:rFonts w:ascii="宋体"/>
              </w:rPr>
            </w:pPr>
          </w:p>
        </w:tc>
        <w:tc>
          <w:tcPr>
            <w:tcW w:w="0" w:type="auto"/>
            <w:shd w:val="clear" w:color="auto" w:fill="auto"/>
            <w:vAlign w:val="bottom"/>
          </w:tcPr>
          <w:p w14:paraId="26E9C21F" w14:textId="77777777" w:rsidR="008A3BAC" w:rsidRDefault="008A3BAC">
            <w:pPr>
              <w:rPr>
                <w:rFonts w:ascii="宋体"/>
                <w:vanish/>
              </w:rPr>
            </w:pPr>
          </w:p>
        </w:tc>
        <w:tc>
          <w:tcPr>
            <w:tcW w:w="0" w:type="auto"/>
            <w:gridSpan w:val="3"/>
            <w:shd w:val="clear" w:color="auto" w:fill="auto"/>
            <w:vAlign w:val="bottom"/>
          </w:tcPr>
          <w:p w14:paraId="26E9C220" w14:textId="77777777" w:rsidR="008A3BAC" w:rsidRDefault="008A3BAC">
            <w:pPr>
              <w:rPr>
                <w:rFonts w:ascii="宋体"/>
                <w:vanish/>
              </w:rPr>
            </w:pPr>
          </w:p>
        </w:tc>
      </w:tr>
      <w:tr w:rsidR="008A3BAC" w14:paraId="26E9C22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222" w14:textId="77777777" w:rsidR="008A3BAC" w:rsidRDefault="005C75B9">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23" w14:textId="77777777" w:rsidR="008A3BAC" w:rsidRDefault="005C75B9">
            <w:pPr>
              <w:jc w:val="right"/>
              <w:textAlignment w:val="bottom"/>
            </w:pPr>
            <w:r>
              <w:rPr>
                <w:rFonts w:ascii="Arial" w:eastAsia="宋体" w:hAnsi="Arial" w:cs="Arial"/>
                <w:color w:val="000000"/>
                <w:sz w:val="17"/>
                <w:szCs w:val="17"/>
              </w:rPr>
              <w:t>(94)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2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25"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2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27"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28" w14:textId="77777777" w:rsidR="008A3BAC" w:rsidRDefault="005C75B9">
            <w:pPr>
              <w:jc w:val="right"/>
              <w:textAlignment w:val="bottom"/>
            </w:pPr>
            <w:r>
              <w:rPr>
                <w:rFonts w:ascii="Arial" w:eastAsia="宋体" w:hAnsi="Arial" w:cs="Arial"/>
                <w:color w:val="000000"/>
                <w:sz w:val="17"/>
                <w:szCs w:val="17"/>
              </w:rPr>
              <w:t>(235)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2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2A"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2B" w14:textId="77777777" w:rsidR="008A3BAC" w:rsidRDefault="008A3BAC">
            <w:pPr>
              <w:jc w:val="right"/>
              <w:rPr>
                <w:rFonts w:ascii="宋体"/>
              </w:rPr>
            </w:pPr>
          </w:p>
        </w:tc>
        <w:tc>
          <w:tcPr>
            <w:tcW w:w="0" w:type="auto"/>
            <w:shd w:val="clear" w:color="auto" w:fill="auto"/>
            <w:vAlign w:val="bottom"/>
          </w:tcPr>
          <w:p w14:paraId="26E9C22C" w14:textId="77777777" w:rsidR="008A3BAC" w:rsidRDefault="008A3BAC">
            <w:pPr>
              <w:rPr>
                <w:rFonts w:ascii="宋体"/>
                <w:vanish/>
              </w:rPr>
            </w:pPr>
          </w:p>
        </w:tc>
        <w:tc>
          <w:tcPr>
            <w:tcW w:w="0" w:type="auto"/>
            <w:gridSpan w:val="3"/>
            <w:shd w:val="clear" w:color="auto" w:fill="auto"/>
            <w:vAlign w:val="bottom"/>
          </w:tcPr>
          <w:p w14:paraId="26E9C22D" w14:textId="77777777" w:rsidR="008A3BAC" w:rsidRDefault="008A3BAC">
            <w:pPr>
              <w:rPr>
                <w:rFonts w:ascii="宋体"/>
                <w:vanish/>
              </w:rPr>
            </w:pPr>
          </w:p>
        </w:tc>
      </w:tr>
      <w:tr w:rsidR="008A3BAC" w14:paraId="26E9C2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2F" w14:textId="77777777" w:rsidR="008A3BAC" w:rsidRDefault="005C75B9">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230" w14:textId="77777777" w:rsidR="008A3BAC" w:rsidRDefault="005C75B9">
            <w:pPr>
              <w:jc w:val="right"/>
              <w:textAlignment w:val="bottom"/>
            </w:pPr>
            <w:r>
              <w:rPr>
                <w:rFonts w:ascii="Arial" w:eastAsia="宋体" w:hAnsi="Arial" w:cs="Arial"/>
                <w:color w:val="000000"/>
                <w:sz w:val="17"/>
                <w:szCs w:val="17"/>
              </w:rPr>
              <w:t>1,670 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3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232" w14:textId="77777777" w:rsidR="008A3BAC" w:rsidRDefault="005C75B9">
            <w:pPr>
              <w:jc w:val="right"/>
              <w:textAlignment w:val="bottom"/>
            </w:pPr>
            <w:r>
              <w:rPr>
                <w:rFonts w:ascii="Arial" w:eastAsia="宋体" w:hAnsi="Arial" w:cs="Arial"/>
                <w:color w:val="000000"/>
                <w:sz w:val="17"/>
                <w:szCs w:val="17"/>
              </w:rPr>
              <w:t>1,636 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33"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34"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235" w14:textId="77777777" w:rsidR="008A3BAC" w:rsidRDefault="005C75B9">
            <w:pPr>
              <w:jc w:val="right"/>
              <w:textAlignment w:val="bottom"/>
            </w:pPr>
            <w:r>
              <w:rPr>
                <w:rFonts w:ascii="Arial" w:eastAsia="宋体" w:hAnsi="Arial" w:cs="Arial"/>
                <w:color w:val="000000"/>
                <w:sz w:val="17"/>
                <w:szCs w:val="17"/>
              </w:rPr>
              <w:t>5,277 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3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237" w14:textId="77777777" w:rsidR="008A3BAC" w:rsidRDefault="005C75B9">
            <w:pPr>
              <w:jc w:val="right"/>
              <w:textAlignment w:val="bottom"/>
            </w:pPr>
            <w:r>
              <w:rPr>
                <w:rFonts w:ascii="Arial" w:eastAsia="宋体" w:hAnsi="Arial" w:cs="Arial"/>
                <w:color w:val="000000"/>
                <w:sz w:val="17"/>
                <w:szCs w:val="17"/>
              </w:rPr>
              <w:t>4,807 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38" w14:textId="77777777" w:rsidR="008A3BAC" w:rsidRDefault="008A3BAC">
            <w:pPr>
              <w:jc w:val="right"/>
              <w:rPr>
                <w:rFonts w:ascii="宋体"/>
              </w:rPr>
            </w:pPr>
          </w:p>
        </w:tc>
        <w:tc>
          <w:tcPr>
            <w:tcW w:w="0" w:type="auto"/>
            <w:shd w:val="clear" w:color="auto" w:fill="auto"/>
            <w:vAlign w:val="bottom"/>
          </w:tcPr>
          <w:p w14:paraId="26E9C239" w14:textId="77777777" w:rsidR="008A3BAC" w:rsidRDefault="008A3BAC">
            <w:pPr>
              <w:rPr>
                <w:rFonts w:ascii="宋体"/>
                <w:vanish/>
              </w:rPr>
            </w:pPr>
          </w:p>
        </w:tc>
        <w:tc>
          <w:tcPr>
            <w:tcW w:w="0" w:type="auto"/>
            <w:gridSpan w:val="3"/>
            <w:shd w:val="clear" w:color="auto" w:fill="auto"/>
            <w:vAlign w:val="bottom"/>
          </w:tcPr>
          <w:p w14:paraId="26E9C23A" w14:textId="77777777" w:rsidR="008A3BAC" w:rsidRDefault="008A3BAC">
            <w:pPr>
              <w:rPr>
                <w:rFonts w:ascii="宋体"/>
                <w:vanish/>
              </w:rPr>
            </w:pPr>
          </w:p>
        </w:tc>
      </w:tr>
      <w:tr w:rsidR="008A3BAC" w14:paraId="26E9C24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23C" w14:textId="77777777" w:rsidR="008A3BAC" w:rsidRDefault="005C75B9">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3D" w14:textId="77777777" w:rsidR="008A3BAC" w:rsidRDefault="005C75B9">
            <w:pPr>
              <w:jc w:val="right"/>
              <w:textAlignment w:val="bottom"/>
            </w:pPr>
            <w:r>
              <w:rPr>
                <w:rFonts w:ascii="Arial" w:eastAsia="宋体" w:hAnsi="Arial" w:cs="Arial"/>
                <w:color w:val="000000"/>
                <w:sz w:val="17"/>
                <w:szCs w:val="17"/>
              </w:rPr>
              <w:t>274 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3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3F" w14:textId="77777777" w:rsidR="008A3BAC" w:rsidRDefault="005C75B9">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4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4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42" w14:textId="77777777" w:rsidR="008A3BAC" w:rsidRDefault="005C75B9">
            <w:pPr>
              <w:jc w:val="right"/>
              <w:textAlignment w:val="bottom"/>
            </w:pPr>
            <w:r>
              <w:rPr>
                <w:rFonts w:ascii="Arial" w:eastAsia="宋体" w:hAnsi="Arial" w:cs="Arial"/>
                <w:color w:val="000000"/>
                <w:sz w:val="17"/>
                <w:szCs w:val="17"/>
              </w:rPr>
              <w:t>670 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4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44" w14:textId="77777777" w:rsidR="008A3BAC" w:rsidRDefault="005C75B9">
            <w:pPr>
              <w:jc w:val="right"/>
              <w:textAlignment w:val="bottom"/>
            </w:pPr>
            <w:r>
              <w:rPr>
                <w:rFonts w:ascii="Arial" w:eastAsia="宋体" w:hAnsi="Arial" w:cs="Arial"/>
                <w:color w:val="000000"/>
                <w:sz w:val="17"/>
                <w:szCs w:val="17"/>
              </w:rPr>
              <w:t>589 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45" w14:textId="77777777" w:rsidR="008A3BAC" w:rsidRDefault="008A3BAC">
            <w:pPr>
              <w:jc w:val="right"/>
              <w:rPr>
                <w:rFonts w:ascii="宋体"/>
              </w:rPr>
            </w:pPr>
          </w:p>
        </w:tc>
        <w:tc>
          <w:tcPr>
            <w:tcW w:w="0" w:type="auto"/>
            <w:shd w:val="clear" w:color="auto" w:fill="auto"/>
            <w:vAlign w:val="bottom"/>
          </w:tcPr>
          <w:p w14:paraId="26E9C246" w14:textId="77777777" w:rsidR="008A3BAC" w:rsidRDefault="008A3BAC">
            <w:pPr>
              <w:rPr>
                <w:rFonts w:ascii="宋体"/>
                <w:vanish/>
              </w:rPr>
            </w:pPr>
          </w:p>
        </w:tc>
        <w:tc>
          <w:tcPr>
            <w:tcW w:w="0" w:type="auto"/>
            <w:gridSpan w:val="3"/>
            <w:shd w:val="clear" w:color="auto" w:fill="auto"/>
            <w:vAlign w:val="bottom"/>
          </w:tcPr>
          <w:p w14:paraId="26E9C247" w14:textId="77777777" w:rsidR="008A3BAC" w:rsidRDefault="008A3BAC">
            <w:pPr>
              <w:rPr>
                <w:rFonts w:ascii="宋体"/>
                <w:vanish/>
              </w:rPr>
            </w:pPr>
          </w:p>
        </w:tc>
      </w:tr>
      <w:tr w:rsidR="008A3BAC" w14:paraId="26E9C25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49" w14:textId="77777777" w:rsidR="008A3BAC" w:rsidRDefault="005C75B9">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24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24B" w14:textId="77777777" w:rsidR="008A3BAC" w:rsidRDefault="005C75B9">
            <w:pPr>
              <w:jc w:val="right"/>
              <w:textAlignment w:val="bottom"/>
            </w:pPr>
            <w:r>
              <w:rPr>
                <w:rFonts w:ascii="Arial" w:eastAsia="宋体" w:hAnsi="Arial" w:cs="Arial"/>
                <w:b/>
                <w:bCs/>
                <w:color w:val="000000"/>
                <w:sz w:val="17"/>
                <w:szCs w:val="17"/>
              </w:rPr>
              <w:t>1,396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4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24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24E" w14:textId="77777777" w:rsidR="008A3BAC" w:rsidRDefault="005C75B9">
            <w:pPr>
              <w:jc w:val="right"/>
              <w:textAlignment w:val="bottom"/>
            </w:pPr>
            <w:r>
              <w:rPr>
                <w:rFonts w:ascii="Arial" w:eastAsia="宋体" w:hAnsi="Arial" w:cs="Arial"/>
                <w:b/>
                <w:bCs/>
                <w:color w:val="000000"/>
                <w:sz w:val="17"/>
                <w:szCs w:val="17"/>
              </w:rPr>
              <w:t>1,449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4F"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50"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25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252" w14:textId="77777777" w:rsidR="008A3BAC" w:rsidRDefault="005C75B9">
            <w:pPr>
              <w:jc w:val="right"/>
              <w:textAlignment w:val="bottom"/>
            </w:pPr>
            <w:r>
              <w:rPr>
                <w:rFonts w:ascii="Arial" w:eastAsia="宋体" w:hAnsi="Arial" w:cs="Arial"/>
                <w:b/>
                <w:bCs/>
                <w:color w:val="000000"/>
                <w:sz w:val="17"/>
                <w:szCs w:val="17"/>
              </w:rPr>
              <w:t>4,607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5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25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255" w14:textId="77777777" w:rsidR="008A3BAC" w:rsidRDefault="005C75B9">
            <w:pPr>
              <w:jc w:val="right"/>
              <w:textAlignment w:val="bottom"/>
            </w:pPr>
            <w:r>
              <w:rPr>
                <w:rFonts w:ascii="Arial" w:eastAsia="宋体" w:hAnsi="Arial" w:cs="Arial"/>
                <w:b/>
                <w:bCs/>
                <w:color w:val="000000"/>
                <w:sz w:val="17"/>
                <w:szCs w:val="17"/>
              </w:rPr>
              <w:t>4,218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56" w14:textId="77777777" w:rsidR="008A3BAC" w:rsidRDefault="008A3BAC">
            <w:pPr>
              <w:jc w:val="right"/>
              <w:rPr>
                <w:rFonts w:ascii="宋体"/>
              </w:rPr>
            </w:pPr>
          </w:p>
        </w:tc>
        <w:tc>
          <w:tcPr>
            <w:tcW w:w="0" w:type="auto"/>
            <w:shd w:val="clear" w:color="auto" w:fill="auto"/>
            <w:vAlign w:val="bottom"/>
          </w:tcPr>
          <w:p w14:paraId="26E9C257" w14:textId="77777777" w:rsidR="008A3BAC" w:rsidRDefault="008A3BAC">
            <w:pPr>
              <w:rPr>
                <w:rFonts w:ascii="宋体"/>
                <w:vanish/>
              </w:rPr>
            </w:pPr>
          </w:p>
        </w:tc>
        <w:tc>
          <w:tcPr>
            <w:tcW w:w="0" w:type="auto"/>
            <w:gridSpan w:val="3"/>
            <w:shd w:val="clear" w:color="auto" w:fill="auto"/>
            <w:vAlign w:val="bottom"/>
          </w:tcPr>
          <w:p w14:paraId="26E9C258" w14:textId="77777777" w:rsidR="008A3BAC" w:rsidRDefault="008A3BAC">
            <w:pPr>
              <w:rPr>
                <w:rFonts w:ascii="宋体"/>
                <w:vanish/>
              </w:rPr>
            </w:pPr>
          </w:p>
        </w:tc>
      </w:tr>
      <w:tr w:rsidR="008A3BAC" w14:paraId="26E9C26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5A" w14:textId="77777777" w:rsidR="008A3BAC" w:rsidRDefault="005C75B9">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25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5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5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25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5F" w14:textId="77777777" w:rsidR="008A3BAC" w:rsidRDefault="008A3BAC">
            <w:pPr>
              <w:rPr>
                <w:rFonts w:ascii="宋体"/>
              </w:rPr>
            </w:pPr>
          </w:p>
        </w:tc>
        <w:tc>
          <w:tcPr>
            <w:tcW w:w="0" w:type="auto"/>
            <w:shd w:val="clear" w:color="auto" w:fill="auto"/>
            <w:vAlign w:val="bottom"/>
          </w:tcPr>
          <w:p w14:paraId="26E9C260" w14:textId="77777777" w:rsidR="008A3BAC" w:rsidRDefault="008A3BAC">
            <w:pPr>
              <w:rPr>
                <w:rFonts w:ascii="宋体"/>
                <w:vanish/>
              </w:rPr>
            </w:pPr>
          </w:p>
        </w:tc>
        <w:tc>
          <w:tcPr>
            <w:tcW w:w="0" w:type="auto"/>
            <w:gridSpan w:val="3"/>
            <w:shd w:val="clear" w:color="auto" w:fill="auto"/>
            <w:vAlign w:val="bottom"/>
          </w:tcPr>
          <w:p w14:paraId="26E9C261" w14:textId="77777777" w:rsidR="008A3BAC" w:rsidRDefault="008A3BAC">
            <w:pPr>
              <w:rPr>
                <w:rFonts w:ascii="宋体"/>
                <w:vanish/>
              </w:rPr>
            </w:pPr>
          </w:p>
        </w:tc>
      </w:tr>
      <w:tr w:rsidR="008A3BAC" w14:paraId="26E9C27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63" w14:textId="77777777" w:rsidR="008A3BAC" w:rsidRDefault="005C75B9">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26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265" w14:textId="77777777" w:rsidR="008A3BAC" w:rsidRDefault="005C75B9">
            <w:pPr>
              <w:jc w:val="right"/>
              <w:textAlignment w:val="bottom"/>
            </w:pPr>
            <w:r>
              <w:rPr>
                <w:rFonts w:ascii="Arial" w:eastAsia="宋体" w:hAnsi="Arial" w:cs="Arial"/>
                <w:color w:val="000000"/>
                <w:sz w:val="17"/>
                <w:szCs w:val="17"/>
              </w:rPr>
              <w:t>0.88 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66"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26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268" w14:textId="77777777" w:rsidR="008A3BAC" w:rsidRDefault="005C75B9">
            <w:pPr>
              <w:jc w:val="right"/>
              <w:textAlignment w:val="bottom"/>
            </w:pPr>
            <w:r>
              <w:rPr>
                <w:rFonts w:ascii="Arial" w:eastAsia="宋体" w:hAnsi="Arial" w:cs="Arial"/>
                <w:color w:val="000000"/>
                <w:sz w:val="17"/>
                <w:szCs w:val="17"/>
              </w:rPr>
              <w:t>0.92 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6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6A"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26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26C" w14:textId="77777777" w:rsidR="008A3BAC" w:rsidRDefault="005C75B9">
            <w:pPr>
              <w:jc w:val="right"/>
              <w:textAlignment w:val="bottom"/>
            </w:pPr>
            <w:r>
              <w:rPr>
                <w:rFonts w:ascii="Arial" w:eastAsia="宋体" w:hAnsi="Arial" w:cs="Arial"/>
                <w:color w:val="000000"/>
                <w:sz w:val="17"/>
                <w:szCs w:val="17"/>
              </w:rPr>
              <w:t>2.91 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6D"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26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26F" w14:textId="77777777" w:rsidR="008A3BAC" w:rsidRDefault="005C75B9">
            <w:pPr>
              <w:jc w:val="right"/>
              <w:textAlignment w:val="bottom"/>
            </w:pPr>
            <w:r>
              <w:rPr>
                <w:rFonts w:ascii="Arial" w:eastAsia="宋体" w:hAnsi="Arial" w:cs="Arial"/>
                <w:color w:val="000000"/>
                <w:sz w:val="17"/>
                <w:szCs w:val="17"/>
              </w:rPr>
              <w:t>2.68 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70" w14:textId="77777777" w:rsidR="008A3BAC" w:rsidRDefault="008A3BAC">
            <w:pPr>
              <w:jc w:val="right"/>
              <w:rPr>
                <w:rFonts w:ascii="宋体"/>
              </w:rPr>
            </w:pPr>
          </w:p>
        </w:tc>
        <w:tc>
          <w:tcPr>
            <w:tcW w:w="0" w:type="auto"/>
            <w:shd w:val="clear" w:color="auto" w:fill="auto"/>
            <w:vAlign w:val="bottom"/>
          </w:tcPr>
          <w:p w14:paraId="26E9C271" w14:textId="77777777" w:rsidR="008A3BAC" w:rsidRDefault="008A3BAC">
            <w:pPr>
              <w:rPr>
                <w:rFonts w:ascii="宋体"/>
                <w:vanish/>
              </w:rPr>
            </w:pPr>
          </w:p>
        </w:tc>
        <w:tc>
          <w:tcPr>
            <w:tcW w:w="0" w:type="auto"/>
            <w:gridSpan w:val="3"/>
            <w:shd w:val="clear" w:color="auto" w:fill="auto"/>
            <w:vAlign w:val="bottom"/>
          </w:tcPr>
          <w:p w14:paraId="26E9C272" w14:textId="77777777" w:rsidR="008A3BAC" w:rsidRDefault="008A3BAC">
            <w:pPr>
              <w:rPr>
                <w:rFonts w:ascii="宋体"/>
                <w:vanish/>
              </w:rPr>
            </w:pPr>
          </w:p>
        </w:tc>
      </w:tr>
      <w:tr w:rsidR="008A3BAC" w14:paraId="26E9C28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74" w14:textId="77777777" w:rsidR="008A3BAC" w:rsidRDefault="005C75B9">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27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276" w14:textId="77777777" w:rsidR="008A3BAC" w:rsidRDefault="005C75B9">
            <w:pPr>
              <w:jc w:val="right"/>
              <w:textAlignment w:val="bottom"/>
            </w:pPr>
            <w:r>
              <w:rPr>
                <w:rFonts w:ascii="Arial" w:eastAsia="宋体" w:hAnsi="Arial" w:cs="Arial"/>
                <w:color w:val="000000"/>
                <w:sz w:val="17"/>
                <w:szCs w:val="17"/>
              </w:rPr>
              <w:t>0.87 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7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27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279" w14:textId="77777777" w:rsidR="008A3BAC" w:rsidRDefault="005C75B9">
            <w:pPr>
              <w:jc w:val="right"/>
              <w:textAlignment w:val="bottom"/>
            </w:pPr>
            <w:r>
              <w:rPr>
                <w:rFonts w:ascii="Arial" w:eastAsia="宋体" w:hAnsi="Arial" w:cs="Arial"/>
                <w:color w:val="000000"/>
                <w:sz w:val="17"/>
                <w:szCs w:val="17"/>
              </w:rPr>
              <w:t>0.90 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7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7B"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27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27D" w14:textId="77777777" w:rsidR="008A3BAC" w:rsidRDefault="005C75B9">
            <w:pPr>
              <w:jc w:val="right"/>
              <w:textAlignment w:val="bottom"/>
            </w:pPr>
            <w:r>
              <w:rPr>
                <w:rFonts w:ascii="Arial" w:eastAsia="宋体" w:hAnsi="Arial" w:cs="Arial"/>
                <w:color w:val="000000"/>
                <w:sz w:val="17"/>
                <w:szCs w:val="17"/>
              </w:rPr>
              <w:t>2.85 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7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27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280" w14:textId="77777777" w:rsidR="008A3BAC" w:rsidRDefault="005C75B9">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81" w14:textId="77777777" w:rsidR="008A3BAC" w:rsidRDefault="008A3BAC">
            <w:pPr>
              <w:jc w:val="right"/>
              <w:rPr>
                <w:rFonts w:ascii="宋体"/>
              </w:rPr>
            </w:pPr>
          </w:p>
        </w:tc>
        <w:tc>
          <w:tcPr>
            <w:tcW w:w="0" w:type="auto"/>
            <w:shd w:val="clear" w:color="auto" w:fill="auto"/>
            <w:vAlign w:val="bottom"/>
          </w:tcPr>
          <w:p w14:paraId="26E9C282" w14:textId="77777777" w:rsidR="008A3BAC" w:rsidRDefault="008A3BAC">
            <w:pPr>
              <w:rPr>
                <w:rFonts w:ascii="宋体"/>
                <w:vanish/>
              </w:rPr>
            </w:pPr>
          </w:p>
        </w:tc>
        <w:tc>
          <w:tcPr>
            <w:tcW w:w="0" w:type="auto"/>
            <w:gridSpan w:val="3"/>
            <w:shd w:val="clear" w:color="auto" w:fill="auto"/>
            <w:vAlign w:val="bottom"/>
          </w:tcPr>
          <w:p w14:paraId="26E9C283" w14:textId="77777777" w:rsidR="008A3BAC" w:rsidRDefault="008A3BAC">
            <w:pPr>
              <w:rPr>
                <w:rFonts w:ascii="宋体"/>
                <w:vanish/>
              </w:rPr>
            </w:pPr>
          </w:p>
        </w:tc>
      </w:tr>
      <w:tr w:rsidR="008A3BAC" w14:paraId="26E9C2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285" w14:textId="77777777" w:rsidR="008A3BAC" w:rsidRDefault="005C75B9">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286"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87"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88"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28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8A" w14:textId="77777777" w:rsidR="008A3BAC" w:rsidRDefault="008A3BAC">
            <w:pPr>
              <w:rPr>
                <w:rFonts w:ascii="宋体"/>
              </w:rPr>
            </w:pPr>
          </w:p>
        </w:tc>
        <w:tc>
          <w:tcPr>
            <w:tcW w:w="0" w:type="auto"/>
            <w:shd w:val="clear" w:color="auto" w:fill="auto"/>
            <w:vAlign w:val="bottom"/>
          </w:tcPr>
          <w:p w14:paraId="26E9C28B" w14:textId="77777777" w:rsidR="008A3BAC" w:rsidRDefault="008A3BAC">
            <w:pPr>
              <w:rPr>
                <w:rFonts w:ascii="宋体"/>
                <w:vanish/>
              </w:rPr>
            </w:pPr>
          </w:p>
        </w:tc>
        <w:tc>
          <w:tcPr>
            <w:tcW w:w="0" w:type="auto"/>
            <w:gridSpan w:val="3"/>
            <w:shd w:val="clear" w:color="auto" w:fill="auto"/>
            <w:vAlign w:val="bottom"/>
          </w:tcPr>
          <w:p w14:paraId="26E9C28C" w14:textId="77777777" w:rsidR="008A3BAC" w:rsidRDefault="008A3BAC">
            <w:pPr>
              <w:rPr>
                <w:rFonts w:ascii="宋体"/>
                <w:vanish/>
              </w:rPr>
            </w:pPr>
          </w:p>
        </w:tc>
      </w:tr>
      <w:tr w:rsidR="008A3BAC" w14:paraId="26E9C29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8E" w14:textId="77777777" w:rsidR="008A3BAC" w:rsidRDefault="005C75B9">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8F" w14:textId="77777777" w:rsidR="008A3BAC" w:rsidRDefault="005C75B9">
            <w:pPr>
              <w:jc w:val="right"/>
              <w:textAlignment w:val="bottom"/>
            </w:pPr>
            <w:r>
              <w:rPr>
                <w:rFonts w:ascii="Arial" w:eastAsia="宋体" w:hAnsi="Arial" w:cs="Arial"/>
                <w:color w:val="000000"/>
                <w:sz w:val="17"/>
                <w:szCs w:val="17"/>
              </w:rPr>
              <w:t>1,579.0 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9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91" w14:textId="77777777" w:rsidR="008A3BAC" w:rsidRDefault="005C75B9">
            <w:pPr>
              <w:jc w:val="right"/>
              <w:textAlignment w:val="bottom"/>
            </w:pPr>
            <w:r>
              <w:rPr>
                <w:rFonts w:ascii="Arial" w:eastAsia="宋体" w:hAnsi="Arial" w:cs="Arial"/>
                <w:color w:val="000000"/>
                <w:sz w:val="17"/>
                <w:szCs w:val="17"/>
              </w:rPr>
              <w:t>1,578.0 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9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9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94" w14:textId="77777777" w:rsidR="008A3BAC" w:rsidRDefault="005C75B9">
            <w:pPr>
              <w:jc w:val="right"/>
              <w:textAlignment w:val="bottom"/>
            </w:pPr>
            <w:r>
              <w:rPr>
                <w:rFonts w:ascii="Arial" w:eastAsia="宋体" w:hAnsi="Arial" w:cs="Arial"/>
                <w:color w:val="000000"/>
                <w:sz w:val="17"/>
                <w:szCs w:val="17"/>
              </w:rPr>
              <w:t>1,581.1 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9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96" w14:textId="77777777" w:rsidR="008A3BAC" w:rsidRDefault="005C75B9">
            <w:pPr>
              <w:jc w:val="right"/>
              <w:textAlignment w:val="bottom"/>
            </w:pPr>
            <w:r>
              <w:rPr>
                <w:rFonts w:ascii="Arial" w:eastAsia="宋体" w:hAnsi="Arial" w:cs="Arial"/>
                <w:color w:val="000000"/>
                <w:sz w:val="17"/>
                <w:szCs w:val="17"/>
              </w:rPr>
              <w:t>1,570.9 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97" w14:textId="77777777" w:rsidR="008A3BAC" w:rsidRDefault="008A3BAC">
            <w:pPr>
              <w:jc w:val="right"/>
              <w:rPr>
                <w:rFonts w:ascii="宋体"/>
              </w:rPr>
            </w:pPr>
          </w:p>
        </w:tc>
        <w:tc>
          <w:tcPr>
            <w:tcW w:w="0" w:type="auto"/>
            <w:shd w:val="clear" w:color="auto" w:fill="auto"/>
            <w:vAlign w:val="bottom"/>
          </w:tcPr>
          <w:p w14:paraId="26E9C298" w14:textId="77777777" w:rsidR="008A3BAC" w:rsidRDefault="008A3BAC">
            <w:pPr>
              <w:rPr>
                <w:rFonts w:ascii="宋体"/>
                <w:vanish/>
              </w:rPr>
            </w:pPr>
          </w:p>
        </w:tc>
        <w:tc>
          <w:tcPr>
            <w:tcW w:w="0" w:type="auto"/>
            <w:gridSpan w:val="3"/>
            <w:shd w:val="clear" w:color="auto" w:fill="auto"/>
            <w:vAlign w:val="bottom"/>
          </w:tcPr>
          <w:p w14:paraId="26E9C299" w14:textId="77777777" w:rsidR="008A3BAC" w:rsidRDefault="008A3BAC">
            <w:pPr>
              <w:rPr>
                <w:rFonts w:ascii="宋体"/>
                <w:vanish/>
              </w:rPr>
            </w:pPr>
          </w:p>
        </w:tc>
      </w:tr>
      <w:tr w:rsidR="008A3BAC" w14:paraId="26E9C2A7"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6E9C29B" w14:textId="77777777" w:rsidR="008A3BAC" w:rsidRDefault="005C75B9">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29C" w14:textId="77777777" w:rsidR="008A3BAC" w:rsidRDefault="005C75B9">
            <w:pPr>
              <w:jc w:val="right"/>
              <w:textAlignment w:val="bottom"/>
            </w:pPr>
            <w:r>
              <w:rPr>
                <w:rFonts w:ascii="Arial" w:eastAsia="宋体" w:hAnsi="Arial" w:cs="Arial"/>
                <w:color w:val="000000"/>
                <w:sz w:val="17"/>
                <w:szCs w:val="17"/>
              </w:rPr>
              <w:t>1,610.7 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29D"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29E" w14:textId="77777777" w:rsidR="008A3BAC" w:rsidRDefault="005C75B9">
            <w:pPr>
              <w:jc w:val="right"/>
              <w:textAlignment w:val="bottom"/>
            </w:pPr>
            <w:r>
              <w:rPr>
                <w:rFonts w:ascii="Arial" w:eastAsia="宋体" w:hAnsi="Arial" w:cs="Arial"/>
                <w:color w:val="000000"/>
                <w:sz w:val="17"/>
                <w:szCs w:val="17"/>
              </w:rPr>
              <w:t>1,616.9 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29F"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2A0"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2A1" w14:textId="77777777" w:rsidR="008A3BAC" w:rsidRDefault="005C75B9">
            <w:pPr>
              <w:jc w:val="right"/>
              <w:textAlignment w:val="bottom"/>
            </w:pPr>
            <w:r>
              <w:rPr>
                <w:rFonts w:ascii="Arial" w:eastAsia="宋体" w:hAnsi="Arial" w:cs="Arial"/>
                <w:color w:val="000000"/>
                <w:sz w:val="17"/>
                <w:szCs w:val="17"/>
              </w:rPr>
              <w:t>1,615.8 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2A2"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2A3" w14:textId="77777777" w:rsidR="008A3BAC" w:rsidRDefault="005C75B9">
            <w:pPr>
              <w:jc w:val="right"/>
              <w:textAlignment w:val="bottom"/>
            </w:pPr>
            <w:r>
              <w:rPr>
                <w:rFonts w:ascii="Arial" w:eastAsia="宋体" w:hAnsi="Arial" w:cs="Arial"/>
                <w:color w:val="000000"/>
                <w:sz w:val="17"/>
                <w:szCs w:val="17"/>
              </w:rPr>
              <w:t>1,607.3 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2A4" w14:textId="77777777" w:rsidR="008A3BAC" w:rsidRDefault="008A3BAC">
            <w:pPr>
              <w:jc w:val="right"/>
              <w:rPr>
                <w:rFonts w:ascii="宋体"/>
              </w:rPr>
            </w:pPr>
          </w:p>
        </w:tc>
        <w:tc>
          <w:tcPr>
            <w:tcW w:w="0" w:type="auto"/>
            <w:shd w:val="clear" w:color="auto" w:fill="auto"/>
            <w:vAlign w:val="bottom"/>
          </w:tcPr>
          <w:p w14:paraId="26E9C2A5" w14:textId="77777777" w:rsidR="008A3BAC" w:rsidRDefault="008A3BAC">
            <w:pPr>
              <w:rPr>
                <w:rFonts w:ascii="宋体"/>
                <w:vanish/>
              </w:rPr>
            </w:pPr>
          </w:p>
        </w:tc>
        <w:tc>
          <w:tcPr>
            <w:tcW w:w="0" w:type="auto"/>
            <w:gridSpan w:val="3"/>
            <w:shd w:val="clear" w:color="auto" w:fill="auto"/>
            <w:vAlign w:val="bottom"/>
          </w:tcPr>
          <w:p w14:paraId="26E9C2A6" w14:textId="77777777" w:rsidR="008A3BAC" w:rsidRDefault="008A3BAC">
            <w:pPr>
              <w:rPr>
                <w:rFonts w:ascii="宋体"/>
                <w:vanish/>
              </w:rPr>
            </w:pPr>
          </w:p>
        </w:tc>
      </w:tr>
    </w:tbl>
    <w:p w14:paraId="26E9C2A8" w14:textId="77777777" w:rsidR="008A3BAC" w:rsidRDefault="005C75B9">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6E9C2A9" w14:textId="77777777" w:rsidR="008A3BAC" w:rsidRDefault="005C75B9">
      <w:pPr>
        <w:spacing w:before="120" w:after="120"/>
        <w:jc w:val="right"/>
      </w:pPr>
      <w:r>
        <w:rPr>
          <w:rFonts w:ascii="Arial" w:eastAsia="宋体" w:hAnsi="Arial" w:cs="Arial"/>
          <w:color w:val="E87722"/>
          <w:sz w:val="17"/>
          <w:szCs w:val="17"/>
        </w:rPr>
        <w:t>1</w:t>
      </w:r>
    </w:p>
    <w:p w14:paraId="26E9C2AA" w14:textId="77777777" w:rsidR="008A3BAC" w:rsidRDefault="005C75B9">
      <w:r>
        <w:pict w14:anchorId="26E9E848">
          <v:rect id="_x0000_i1027" style="width:415.3pt;height:1.5pt" o:hralign="center" o:hrstd="t" o:hr="t" fillcolor="#a0a0a0" stroked="f"/>
        </w:pict>
      </w:r>
    </w:p>
    <w:p w14:paraId="26E9C2AB" w14:textId="77777777" w:rsidR="008A3BAC" w:rsidRDefault="008A3BAC"/>
    <w:p w14:paraId="26E9C2AC" w14:textId="77777777" w:rsidR="008A3BAC" w:rsidRDefault="005C75B9">
      <w:hyperlink r:id="rId44" w:anchor="i46aba51c6a804f42b3595948c57d2023_7" w:history="1">
        <w:r>
          <w:rPr>
            <w:rStyle w:val="a5"/>
            <w:rFonts w:ascii="sans-serif" w:eastAsia="sans-serif" w:hAnsi="sans-serif" w:cs="sans-serif"/>
            <w:sz w:val="17"/>
            <w:szCs w:val="17"/>
          </w:rPr>
          <w:t>Table of Contents</w:t>
        </w:r>
      </w:hyperlink>
    </w:p>
    <w:p w14:paraId="26E9C2AD" w14:textId="77777777" w:rsidR="008A3BAC" w:rsidRDefault="008A3BAC"/>
    <w:p w14:paraId="26E9C2AE" w14:textId="77777777" w:rsidR="008A3BAC" w:rsidRDefault="005C75B9">
      <w:pPr>
        <w:spacing w:before="300"/>
      </w:pPr>
      <w:r>
        <w:rPr>
          <w:rFonts w:ascii="sans-serif" w:eastAsia="sans-serif" w:hAnsi="sans-serif" w:cs="sans-serif"/>
          <w:b/>
          <w:bCs/>
          <w:color w:val="E87722"/>
          <w:sz w:val="36"/>
          <w:szCs w:val="36"/>
        </w:rPr>
        <w:t>NIKE, INC.</w:t>
      </w:r>
    </w:p>
    <w:p w14:paraId="26E9C2AF" w14:textId="77777777" w:rsidR="008A3BAC" w:rsidRDefault="005C75B9">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553"/>
        <w:gridCol w:w="38"/>
        <w:gridCol w:w="115"/>
        <w:gridCol w:w="1007"/>
        <w:gridCol w:w="36"/>
        <w:gridCol w:w="115"/>
        <w:gridCol w:w="1007"/>
        <w:gridCol w:w="36"/>
        <w:gridCol w:w="36"/>
        <w:gridCol w:w="36"/>
        <w:gridCol w:w="36"/>
        <w:gridCol w:w="115"/>
        <w:gridCol w:w="972"/>
        <w:gridCol w:w="36"/>
        <w:gridCol w:w="115"/>
        <w:gridCol w:w="1008"/>
        <w:gridCol w:w="36"/>
      </w:tblGrid>
      <w:tr w:rsidR="008A3BAC" w14:paraId="26E9C2C2" w14:textId="77777777">
        <w:tc>
          <w:tcPr>
            <w:tcW w:w="50" w:type="pct"/>
            <w:shd w:val="clear" w:color="auto" w:fill="auto"/>
            <w:vAlign w:val="bottom"/>
          </w:tcPr>
          <w:p w14:paraId="26E9C2B0" w14:textId="77777777" w:rsidR="008A3BAC" w:rsidRDefault="008A3BAC">
            <w:pPr>
              <w:rPr>
                <w:rFonts w:ascii="宋体"/>
              </w:rPr>
            </w:pPr>
          </w:p>
        </w:tc>
        <w:tc>
          <w:tcPr>
            <w:tcW w:w="2159" w:type="pct"/>
            <w:shd w:val="clear" w:color="auto" w:fill="auto"/>
            <w:vAlign w:val="bottom"/>
          </w:tcPr>
          <w:p w14:paraId="26E9C2B1" w14:textId="77777777" w:rsidR="008A3BAC" w:rsidRDefault="008A3BAC">
            <w:pPr>
              <w:rPr>
                <w:rFonts w:ascii="宋体"/>
              </w:rPr>
            </w:pPr>
          </w:p>
        </w:tc>
        <w:tc>
          <w:tcPr>
            <w:tcW w:w="5" w:type="pct"/>
            <w:shd w:val="clear" w:color="auto" w:fill="auto"/>
            <w:vAlign w:val="bottom"/>
          </w:tcPr>
          <w:p w14:paraId="26E9C2B2" w14:textId="77777777" w:rsidR="008A3BAC" w:rsidRDefault="008A3BAC">
            <w:pPr>
              <w:rPr>
                <w:rFonts w:ascii="宋体"/>
              </w:rPr>
            </w:pPr>
          </w:p>
        </w:tc>
        <w:tc>
          <w:tcPr>
            <w:tcW w:w="50" w:type="pct"/>
            <w:shd w:val="clear" w:color="auto" w:fill="auto"/>
            <w:vAlign w:val="bottom"/>
          </w:tcPr>
          <w:p w14:paraId="26E9C2B3" w14:textId="77777777" w:rsidR="008A3BAC" w:rsidRDefault="008A3BAC">
            <w:pPr>
              <w:rPr>
                <w:rFonts w:ascii="宋体"/>
              </w:rPr>
            </w:pPr>
          </w:p>
        </w:tc>
        <w:tc>
          <w:tcPr>
            <w:tcW w:w="631" w:type="pct"/>
            <w:shd w:val="clear" w:color="auto" w:fill="auto"/>
            <w:vAlign w:val="bottom"/>
          </w:tcPr>
          <w:p w14:paraId="26E9C2B4" w14:textId="77777777" w:rsidR="008A3BAC" w:rsidRDefault="008A3BAC">
            <w:pPr>
              <w:rPr>
                <w:rFonts w:ascii="宋体"/>
              </w:rPr>
            </w:pPr>
          </w:p>
        </w:tc>
        <w:tc>
          <w:tcPr>
            <w:tcW w:w="5" w:type="pct"/>
            <w:shd w:val="clear" w:color="auto" w:fill="auto"/>
            <w:vAlign w:val="bottom"/>
          </w:tcPr>
          <w:p w14:paraId="26E9C2B5" w14:textId="77777777" w:rsidR="008A3BAC" w:rsidRDefault="008A3BAC">
            <w:pPr>
              <w:rPr>
                <w:rFonts w:ascii="宋体"/>
              </w:rPr>
            </w:pPr>
          </w:p>
        </w:tc>
        <w:tc>
          <w:tcPr>
            <w:tcW w:w="50" w:type="pct"/>
            <w:shd w:val="clear" w:color="auto" w:fill="auto"/>
            <w:vAlign w:val="bottom"/>
          </w:tcPr>
          <w:p w14:paraId="26E9C2B6" w14:textId="77777777" w:rsidR="008A3BAC" w:rsidRDefault="008A3BAC">
            <w:pPr>
              <w:rPr>
                <w:rFonts w:ascii="宋体"/>
              </w:rPr>
            </w:pPr>
          </w:p>
        </w:tc>
        <w:tc>
          <w:tcPr>
            <w:tcW w:w="631" w:type="pct"/>
            <w:shd w:val="clear" w:color="auto" w:fill="auto"/>
            <w:vAlign w:val="bottom"/>
          </w:tcPr>
          <w:p w14:paraId="26E9C2B7" w14:textId="77777777" w:rsidR="008A3BAC" w:rsidRDefault="008A3BAC">
            <w:pPr>
              <w:rPr>
                <w:rFonts w:ascii="宋体"/>
              </w:rPr>
            </w:pPr>
          </w:p>
        </w:tc>
        <w:tc>
          <w:tcPr>
            <w:tcW w:w="5" w:type="pct"/>
            <w:shd w:val="clear" w:color="auto" w:fill="auto"/>
            <w:vAlign w:val="bottom"/>
          </w:tcPr>
          <w:p w14:paraId="26E9C2B8" w14:textId="77777777" w:rsidR="008A3BAC" w:rsidRDefault="008A3BAC">
            <w:pPr>
              <w:rPr>
                <w:rFonts w:ascii="宋体"/>
              </w:rPr>
            </w:pPr>
          </w:p>
        </w:tc>
        <w:tc>
          <w:tcPr>
            <w:tcW w:w="5" w:type="pct"/>
            <w:shd w:val="clear" w:color="auto" w:fill="auto"/>
            <w:vAlign w:val="bottom"/>
          </w:tcPr>
          <w:p w14:paraId="26E9C2B9" w14:textId="77777777" w:rsidR="008A3BAC" w:rsidRDefault="008A3BAC">
            <w:pPr>
              <w:rPr>
                <w:rFonts w:ascii="宋体"/>
              </w:rPr>
            </w:pPr>
          </w:p>
        </w:tc>
        <w:tc>
          <w:tcPr>
            <w:tcW w:w="28" w:type="pct"/>
            <w:shd w:val="clear" w:color="auto" w:fill="auto"/>
            <w:vAlign w:val="bottom"/>
          </w:tcPr>
          <w:p w14:paraId="26E9C2BA" w14:textId="77777777" w:rsidR="008A3BAC" w:rsidRDefault="008A3BAC">
            <w:pPr>
              <w:rPr>
                <w:rFonts w:ascii="宋体"/>
              </w:rPr>
            </w:pPr>
          </w:p>
        </w:tc>
        <w:tc>
          <w:tcPr>
            <w:tcW w:w="5" w:type="pct"/>
            <w:shd w:val="clear" w:color="auto" w:fill="auto"/>
            <w:vAlign w:val="bottom"/>
          </w:tcPr>
          <w:p w14:paraId="26E9C2BB" w14:textId="77777777" w:rsidR="008A3BAC" w:rsidRDefault="008A3BAC">
            <w:pPr>
              <w:rPr>
                <w:rFonts w:ascii="宋体"/>
              </w:rPr>
            </w:pPr>
          </w:p>
        </w:tc>
        <w:tc>
          <w:tcPr>
            <w:tcW w:w="50" w:type="pct"/>
            <w:shd w:val="clear" w:color="auto" w:fill="auto"/>
            <w:vAlign w:val="bottom"/>
          </w:tcPr>
          <w:p w14:paraId="26E9C2BC" w14:textId="77777777" w:rsidR="008A3BAC" w:rsidRDefault="008A3BAC">
            <w:pPr>
              <w:rPr>
                <w:rFonts w:ascii="宋体"/>
              </w:rPr>
            </w:pPr>
          </w:p>
        </w:tc>
        <w:tc>
          <w:tcPr>
            <w:tcW w:w="631" w:type="pct"/>
            <w:shd w:val="clear" w:color="auto" w:fill="auto"/>
            <w:vAlign w:val="bottom"/>
          </w:tcPr>
          <w:p w14:paraId="26E9C2BD" w14:textId="77777777" w:rsidR="008A3BAC" w:rsidRDefault="008A3BAC">
            <w:pPr>
              <w:rPr>
                <w:rFonts w:ascii="宋体"/>
              </w:rPr>
            </w:pPr>
          </w:p>
        </w:tc>
        <w:tc>
          <w:tcPr>
            <w:tcW w:w="5" w:type="pct"/>
            <w:shd w:val="clear" w:color="auto" w:fill="auto"/>
            <w:vAlign w:val="bottom"/>
          </w:tcPr>
          <w:p w14:paraId="26E9C2BE" w14:textId="77777777" w:rsidR="008A3BAC" w:rsidRDefault="008A3BAC">
            <w:pPr>
              <w:rPr>
                <w:rFonts w:ascii="宋体"/>
              </w:rPr>
            </w:pPr>
          </w:p>
        </w:tc>
        <w:tc>
          <w:tcPr>
            <w:tcW w:w="50" w:type="pct"/>
            <w:shd w:val="clear" w:color="auto" w:fill="auto"/>
            <w:vAlign w:val="bottom"/>
          </w:tcPr>
          <w:p w14:paraId="26E9C2BF" w14:textId="77777777" w:rsidR="008A3BAC" w:rsidRDefault="008A3BAC">
            <w:pPr>
              <w:rPr>
                <w:rFonts w:ascii="宋体"/>
              </w:rPr>
            </w:pPr>
          </w:p>
        </w:tc>
        <w:tc>
          <w:tcPr>
            <w:tcW w:w="631" w:type="pct"/>
            <w:shd w:val="clear" w:color="auto" w:fill="auto"/>
            <w:vAlign w:val="bottom"/>
          </w:tcPr>
          <w:p w14:paraId="26E9C2C0" w14:textId="77777777" w:rsidR="008A3BAC" w:rsidRDefault="008A3BAC">
            <w:pPr>
              <w:rPr>
                <w:rFonts w:ascii="宋体"/>
              </w:rPr>
            </w:pPr>
          </w:p>
        </w:tc>
        <w:tc>
          <w:tcPr>
            <w:tcW w:w="5" w:type="pct"/>
            <w:shd w:val="clear" w:color="auto" w:fill="auto"/>
            <w:vAlign w:val="bottom"/>
          </w:tcPr>
          <w:p w14:paraId="26E9C2C1" w14:textId="77777777" w:rsidR="008A3BAC" w:rsidRDefault="008A3BAC">
            <w:pPr>
              <w:rPr>
                <w:rFonts w:ascii="宋体"/>
              </w:rPr>
            </w:pPr>
          </w:p>
        </w:tc>
      </w:tr>
      <w:tr w:rsidR="008A3BAC" w14:paraId="26E9C2C7" w14:textId="77777777">
        <w:tc>
          <w:tcPr>
            <w:tcW w:w="0" w:type="auto"/>
            <w:gridSpan w:val="3"/>
            <w:shd w:val="clear" w:color="auto" w:fill="auto"/>
            <w:tcMar>
              <w:top w:w="0" w:type="dxa"/>
              <w:left w:w="20" w:type="dxa"/>
              <w:bottom w:w="0" w:type="dxa"/>
              <w:right w:w="20" w:type="dxa"/>
            </w:tcMar>
            <w:vAlign w:val="bottom"/>
          </w:tcPr>
          <w:p w14:paraId="26E9C2C3"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2C4"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C2C5"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2C6"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2CE" w14:textId="77777777">
        <w:tc>
          <w:tcPr>
            <w:tcW w:w="0" w:type="auto"/>
            <w:gridSpan w:val="3"/>
            <w:shd w:val="clear" w:color="auto" w:fill="auto"/>
            <w:tcMar>
              <w:top w:w="40" w:type="dxa"/>
              <w:left w:w="20" w:type="dxa"/>
              <w:bottom w:w="40" w:type="dxa"/>
              <w:right w:w="20" w:type="dxa"/>
            </w:tcMar>
            <w:vAlign w:val="bottom"/>
          </w:tcPr>
          <w:p w14:paraId="26E9C2C8"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C9"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CA"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2CB"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CC"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CD"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2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2CF" w14:textId="77777777" w:rsidR="008A3BAC" w:rsidRDefault="005C75B9">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2D0"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2D1" w14:textId="77777777" w:rsidR="008A3BAC" w:rsidRDefault="005C75B9">
            <w:pPr>
              <w:jc w:val="right"/>
              <w:textAlignment w:val="bottom"/>
            </w:pPr>
            <w:r>
              <w:rPr>
                <w:rFonts w:ascii="Arial" w:eastAsia="宋体" w:hAnsi="Arial" w:cs="Arial"/>
                <w:color w:val="000000"/>
                <w:sz w:val="17"/>
                <w:szCs w:val="17"/>
              </w:rPr>
              <w:t>1,396 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D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2D3"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2D4" w14:textId="77777777" w:rsidR="008A3BAC" w:rsidRDefault="005C75B9">
            <w:pPr>
              <w:jc w:val="right"/>
              <w:textAlignment w:val="bottom"/>
            </w:pPr>
            <w:r>
              <w:rPr>
                <w:rFonts w:ascii="Arial" w:eastAsia="宋体" w:hAnsi="Arial" w:cs="Arial"/>
                <w:color w:val="000000"/>
                <w:sz w:val="17"/>
                <w:szCs w:val="17"/>
              </w:rPr>
              <w:t>1,449 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D5"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2D6"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2D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2D8" w14:textId="77777777" w:rsidR="008A3BAC" w:rsidRDefault="005C75B9">
            <w:pPr>
              <w:jc w:val="right"/>
              <w:textAlignment w:val="bottom"/>
            </w:pPr>
            <w:r>
              <w:rPr>
                <w:rFonts w:ascii="Arial" w:eastAsia="宋体" w:hAnsi="Arial" w:cs="Arial"/>
                <w:color w:val="000000"/>
                <w:sz w:val="17"/>
                <w:szCs w:val="17"/>
              </w:rPr>
              <w:t>4,607 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2D9"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2DA"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2DB" w14:textId="77777777" w:rsidR="008A3BAC" w:rsidRDefault="005C75B9">
            <w:pPr>
              <w:jc w:val="right"/>
              <w:textAlignment w:val="bottom"/>
            </w:pPr>
            <w:r>
              <w:rPr>
                <w:rFonts w:ascii="Arial" w:eastAsia="宋体" w:hAnsi="Arial" w:cs="Arial"/>
                <w:color w:val="000000"/>
                <w:sz w:val="17"/>
                <w:szCs w:val="17"/>
              </w:rPr>
              <w:t>4,218 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2DC" w14:textId="77777777" w:rsidR="008A3BAC" w:rsidRDefault="008A3BAC">
            <w:pPr>
              <w:jc w:val="right"/>
              <w:rPr>
                <w:rFonts w:ascii="宋体"/>
              </w:rPr>
            </w:pPr>
          </w:p>
        </w:tc>
      </w:tr>
      <w:tr w:rsidR="008A3BAC" w14:paraId="26E9C2E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2DE" w14:textId="77777777" w:rsidR="008A3BAC" w:rsidRDefault="005C75B9">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2D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E0"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E1"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2E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E3" w14:textId="77777777" w:rsidR="008A3BAC" w:rsidRDefault="008A3BAC">
            <w:pPr>
              <w:rPr>
                <w:rFonts w:ascii="宋体"/>
              </w:rPr>
            </w:pPr>
          </w:p>
        </w:tc>
      </w:tr>
      <w:tr w:rsidR="008A3BAC" w14:paraId="26E9C2E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E5" w14:textId="77777777" w:rsidR="008A3BAC" w:rsidRDefault="005C75B9">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E6"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E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E8" w14:textId="77777777" w:rsidR="008A3BAC" w:rsidRDefault="005C75B9">
            <w:pPr>
              <w:jc w:val="right"/>
              <w:textAlignment w:val="bottom"/>
            </w:pPr>
            <w:r>
              <w:rPr>
                <w:rFonts w:ascii="Arial" w:eastAsia="宋体" w:hAnsi="Arial" w:cs="Arial"/>
                <w:color w:val="000000"/>
                <w:sz w:val="17"/>
                <w:szCs w:val="17"/>
              </w:rPr>
              <w:t>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E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E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EB" w14:textId="77777777" w:rsidR="008A3BAC" w:rsidRDefault="005C75B9">
            <w:pPr>
              <w:jc w:val="right"/>
              <w:textAlignment w:val="bottom"/>
            </w:pPr>
            <w:r>
              <w:rPr>
                <w:rFonts w:ascii="Arial" w:eastAsia="宋体" w:hAnsi="Arial" w:cs="Arial"/>
                <w:color w:val="000000"/>
                <w:sz w:val="17"/>
                <w:szCs w:val="17"/>
              </w:rPr>
              <w:t>(289)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E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ED" w14:textId="77777777" w:rsidR="008A3BAC" w:rsidRDefault="005C75B9">
            <w:pPr>
              <w:jc w:val="right"/>
              <w:textAlignment w:val="bottom"/>
            </w:pPr>
            <w:r>
              <w:rPr>
                <w:rFonts w:ascii="Arial" w:eastAsia="宋体" w:hAnsi="Arial" w:cs="Arial"/>
                <w:color w:val="000000"/>
                <w:sz w:val="17"/>
                <w:szCs w:val="17"/>
              </w:rPr>
              <w:t>494 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EE" w14:textId="77777777" w:rsidR="008A3BAC" w:rsidRDefault="008A3BAC">
            <w:pPr>
              <w:jc w:val="right"/>
              <w:rPr>
                <w:rFonts w:ascii="宋体"/>
              </w:rPr>
            </w:pPr>
          </w:p>
        </w:tc>
      </w:tr>
      <w:tr w:rsidR="008A3BAC" w14:paraId="26E9C2F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F0" w14:textId="77777777" w:rsidR="008A3BAC" w:rsidRDefault="005C75B9">
            <w:pPr>
              <w:textAlignment w:val="bottom"/>
            </w:pPr>
            <w:r>
              <w:rPr>
                <w:rFonts w:ascii="Arial" w:eastAsia="宋体" w:hAnsi="Arial" w:cs="Arial"/>
                <w:color w:val="000000"/>
                <w:sz w:val="17"/>
                <w:szCs w:val="17"/>
              </w:rPr>
              <w:t>C</w:t>
            </w:r>
            <w:r>
              <w:rPr>
                <w:rFonts w:ascii="Arial" w:eastAsia="宋体" w:hAnsi="Arial" w:cs="Arial"/>
                <w:color w:val="000000"/>
                <w:sz w:val="17"/>
                <w:szCs w:val="17"/>
              </w:rPr>
              <w:t>hange in net gains (losses)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F1" w14:textId="77777777" w:rsidR="008A3BAC" w:rsidRDefault="005C75B9">
            <w:pPr>
              <w:jc w:val="right"/>
              <w:textAlignment w:val="bottom"/>
            </w:pPr>
            <w:r>
              <w:rPr>
                <w:rFonts w:ascii="Arial" w:eastAsia="宋体" w:hAnsi="Arial" w:cs="Arial"/>
                <w:color w:val="000000"/>
                <w:sz w:val="17"/>
                <w:szCs w:val="17"/>
              </w:rPr>
              <w:t>(29)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F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F3" w14:textId="77777777" w:rsidR="008A3BAC" w:rsidRDefault="005C75B9">
            <w:pPr>
              <w:jc w:val="right"/>
              <w:textAlignment w:val="bottom"/>
            </w:pPr>
            <w:r>
              <w:rPr>
                <w:rFonts w:ascii="Arial" w:eastAsia="宋体" w:hAnsi="Arial" w:cs="Arial"/>
                <w:color w:val="000000"/>
                <w:sz w:val="17"/>
                <w:szCs w:val="17"/>
              </w:rPr>
              <w:t>(117)</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F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2F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F6" w14:textId="77777777" w:rsidR="008A3BAC" w:rsidRDefault="005C75B9">
            <w:pPr>
              <w:jc w:val="right"/>
              <w:textAlignment w:val="bottom"/>
            </w:pPr>
            <w:r>
              <w:rPr>
                <w:rFonts w:ascii="Arial" w:eastAsia="宋体" w:hAnsi="Arial" w:cs="Arial"/>
                <w:color w:val="000000"/>
                <w:sz w:val="17"/>
                <w:szCs w:val="17"/>
              </w:rPr>
              <w:t>775 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F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F8" w14:textId="77777777" w:rsidR="008A3BAC" w:rsidRDefault="005C75B9">
            <w:pPr>
              <w:jc w:val="right"/>
              <w:textAlignment w:val="bottom"/>
            </w:pPr>
            <w:r>
              <w:rPr>
                <w:rFonts w:ascii="Arial" w:eastAsia="宋体" w:hAnsi="Arial" w:cs="Arial"/>
                <w:color w:val="000000"/>
                <w:sz w:val="17"/>
                <w:szCs w:val="17"/>
              </w:rPr>
              <w:t>(878)</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F9" w14:textId="77777777" w:rsidR="008A3BAC" w:rsidRDefault="008A3BAC">
            <w:pPr>
              <w:jc w:val="right"/>
              <w:rPr>
                <w:rFonts w:ascii="宋体"/>
              </w:rPr>
            </w:pPr>
          </w:p>
        </w:tc>
      </w:tr>
      <w:tr w:rsidR="008A3BAC" w14:paraId="26E9C30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2FB" w14:textId="77777777" w:rsidR="008A3BAC" w:rsidRDefault="005C75B9">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2FC" w14:textId="77777777" w:rsidR="008A3BAC" w:rsidRDefault="005C75B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2F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2FE"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2F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30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301" w14:textId="77777777" w:rsidR="008A3BAC" w:rsidRDefault="005C75B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30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303"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304" w14:textId="77777777" w:rsidR="008A3BAC" w:rsidRDefault="008A3BAC">
            <w:pPr>
              <w:jc w:val="right"/>
              <w:rPr>
                <w:rFonts w:ascii="宋体"/>
              </w:rPr>
            </w:pPr>
          </w:p>
        </w:tc>
      </w:tr>
      <w:tr w:rsidR="008A3BAC" w14:paraId="26E9C3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06" w14:textId="77777777" w:rsidR="008A3BAC" w:rsidRDefault="005C75B9">
            <w:pPr>
              <w:textAlignment w:val="bottom"/>
            </w:pPr>
            <w:r>
              <w:rPr>
                <w:rFonts w:ascii="Arial" w:eastAsia="宋体" w:hAnsi="Arial" w:cs="Arial"/>
                <w:color w:val="000000"/>
                <w:sz w:val="17"/>
                <w:szCs w:val="17"/>
              </w:rPr>
              <w:t>T</w:t>
            </w:r>
            <w:r>
              <w:rPr>
                <w:rFonts w:ascii="Arial" w:eastAsia="宋体" w:hAnsi="Arial" w:cs="Arial"/>
                <w:color w:val="000000"/>
                <w:sz w:val="17"/>
                <w:szCs w:val="17"/>
              </w:rPr>
              <w: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307" w14:textId="77777777" w:rsidR="008A3BAC" w:rsidRDefault="005C75B9">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30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309" w14:textId="77777777" w:rsidR="008A3BAC" w:rsidRDefault="005C75B9">
            <w:pPr>
              <w:jc w:val="right"/>
              <w:textAlignment w:val="bottom"/>
            </w:pPr>
            <w:r>
              <w:rPr>
                <w:rFonts w:ascii="Arial" w:eastAsia="宋体" w:hAnsi="Arial" w:cs="Arial"/>
                <w:color w:val="000000"/>
                <w:sz w:val="17"/>
                <w:szCs w:val="17"/>
              </w:rPr>
              <w:t>(17)</w:t>
            </w:r>
          </w:p>
        </w:tc>
        <w:tc>
          <w:tcPr>
            <w:tcW w:w="0" w:type="auto"/>
            <w:tcBorders>
              <w:top w:val="single" w:sz="8" w:space="0" w:color="E87722"/>
            </w:tcBorders>
            <w:shd w:val="clear" w:color="auto" w:fill="auto"/>
            <w:tcMar>
              <w:top w:w="40" w:type="dxa"/>
              <w:left w:w="0" w:type="dxa"/>
              <w:bottom w:w="40" w:type="dxa"/>
              <w:right w:w="20" w:type="dxa"/>
            </w:tcMar>
            <w:vAlign w:val="bottom"/>
          </w:tcPr>
          <w:p w14:paraId="26E9C30A"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0B"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30C" w14:textId="77777777" w:rsidR="008A3BAC" w:rsidRDefault="005C75B9">
            <w:pPr>
              <w:jc w:val="right"/>
              <w:textAlignment w:val="bottom"/>
            </w:pPr>
            <w:r>
              <w:rPr>
                <w:rFonts w:ascii="Arial" w:eastAsia="宋体" w:hAnsi="Arial" w:cs="Arial"/>
                <w:color w:val="000000"/>
                <w:sz w:val="17"/>
                <w:szCs w:val="17"/>
              </w:rPr>
              <w:t>479 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30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30E" w14:textId="77777777" w:rsidR="008A3BAC" w:rsidRDefault="005C75B9">
            <w:pPr>
              <w:jc w:val="right"/>
              <w:textAlignment w:val="bottom"/>
            </w:pPr>
            <w:r>
              <w:rPr>
                <w:rFonts w:ascii="Arial" w:eastAsia="宋体" w:hAnsi="Arial" w:cs="Arial"/>
                <w:color w:val="000000"/>
                <w:sz w:val="17"/>
                <w:szCs w:val="17"/>
              </w:rPr>
              <w:t>(390)</w:t>
            </w:r>
          </w:p>
        </w:tc>
        <w:tc>
          <w:tcPr>
            <w:tcW w:w="0" w:type="auto"/>
            <w:tcBorders>
              <w:top w:val="single" w:sz="8" w:space="0" w:color="E87722"/>
            </w:tcBorders>
            <w:shd w:val="clear" w:color="auto" w:fill="auto"/>
            <w:tcMar>
              <w:top w:w="40" w:type="dxa"/>
              <w:left w:w="0" w:type="dxa"/>
              <w:bottom w:w="40" w:type="dxa"/>
              <w:right w:w="20" w:type="dxa"/>
            </w:tcMar>
            <w:vAlign w:val="bottom"/>
          </w:tcPr>
          <w:p w14:paraId="26E9C30F" w14:textId="77777777" w:rsidR="008A3BAC" w:rsidRDefault="008A3BAC">
            <w:pPr>
              <w:jc w:val="right"/>
              <w:rPr>
                <w:rFonts w:ascii="宋体"/>
              </w:rPr>
            </w:pPr>
          </w:p>
        </w:tc>
      </w:tr>
      <w:tr w:rsidR="008A3BAC" w14:paraId="26E9C31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311" w14:textId="77777777" w:rsidR="008A3BAC" w:rsidRDefault="005C75B9">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31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313" w14:textId="77777777" w:rsidR="008A3BAC" w:rsidRDefault="005C75B9">
            <w:pPr>
              <w:jc w:val="right"/>
              <w:textAlignment w:val="bottom"/>
            </w:pPr>
            <w:r>
              <w:rPr>
                <w:rFonts w:ascii="Arial" w:eastAsia="宋体" w:hAnsi="Arial" w:cs="Arial"/>
                <w:b/>
                <w:bCs/>
                <w:color w:val="000000"/>
                <w:sz w:val="17"/>
                <w:szCs w:val="17"/>
              </w:rPr>
              <w:t>1,350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31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31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316" w14:textId="77777777" w:rsidR="008A3BAC" w:rsidRDefault="005C75B9">
            <w:pPr>
              <w:jc w:val="right"/>
              <w:textAlignment w:val="bottom"/>
            </w:pPr>
            <w:r>
              <w:rPr>
                <w:rFonts w:ascii="Arial" w:eastAsia="宋体" w:hAnsi="Arial" w:cs="Arial"/>
                <w:b/>
                <w:bCs/>
                <w:color w:val="000000"/>
                <w:sz w:val="17"/>
                <w:szCs w:val="17"/>
              </w:rPr>
              <w:t>1,432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317"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318"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31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31A" w14:textId="77777777" w:rsidR="008A3BAC" w:rsidRDefault="005C75B9">
            <w:pPr>
              <w:jc w:val="right"/>
              <w:textAlignment w:val="bottom"/>
            </w:pPr>
            <w:r>
              <w:rPr>
                <w:rFonts w:ascii="Arial" w:eastAsia="宋体" w:hAnsi="Arial" w:cs="Arial"/>
                <w:b/>
                <w:bCs/>
                <w:color w:val="000000"/>
                <w:sz w:val="17"/>
                <w:szCs w:val="17"/>
              </w:rPr>
              <w:t>5,086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31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31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31D" w14:textId="77777777" w:rsidR="008A3BAC" w:rsidRDefault="005C75B9">
            <w:pPr>
              <w:jc w:val="right"/>
              <w:textAlignment w:val="bottom"/>
            </w:pPr>
            <w:r>
              <w:rPr>
                <w:rFonts w:ascii="Arial" w:eastAsia="宋体" w:hAnsi="Arial" w:cs="Arial"/>
                <w:b/>
                <w:bCs/>
                <w:color w:val="000000"/>
                <w:sz w:val="17"/>
                <w:szCs w:val="17"/>
              </w:rPr>
              <w:t>3,828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31E" w14:textId="77777777" w:rsidR="008A3BAC" w:rsidRDefault="008A3BAC">
            <w:pPr>
              <w:jc w:val="right"/>
              <w:rPr>
                <w:rFonts w:ascii="宋体"/>
              </w:rPr>
            </w:pPr>
          </w:p>
        </w:tc>
      </w:tr>
    </w:tbl>
    <w:p w14:paraId="26E9C320" w14:textId="77777777" w:rsidR="008A3BAC" w:rsidRDefault="005C75B9">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6E9C321" w14:textId="77777777" w:rsidR="008A3BAC" w:rsidRDefault="005C75B9">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26E9C322" w14:textId="77777777" w:rsidR="008A3BAC" w:rsidRDefault="005C75B9">
      <w:r>
        <w:pict w14:anchorId="26E9E849">
          <v:rect id="_x0000_i1028" style="width:415.3pt;height:1.5pt" o:hralign="center" o:hrstd="t" o:hr="t" fillcolor="#a0a0a0" stroked="f"/>
        </w:pict>
      </w:r>
    </w:p>
    <w:p w14:paraId="26E9C323" w14:textId="77777777" w:rsidR="008A3BAC" w:rsidRDefault="008A3BAC"/>
    <w:p w14:paraId="26E9C324" w14:textId="77777777" w:rsidR="008A3BAC" w:rsidRDefault="005C75B9">
      <w:hyperlink r:id="rId45" w:anchor="i46aba51c6a804f42b3595948c57d2023_7" w:history="1">
        <w:r>
          <w:rPr>
            <w:rStyle w:val="a5"/>
            <w:rFonts w:ascii="sans-serif" w:eastAsia="sans-serif" w:hAnsi="sans-serif" w:cs="sans-serif"/>
            <w:sz w:val="17"/>
            <w:szCs w:val="17"/>
          </w:rPr>
          <w:t>Table of Contents</w:t>
        </w:r>
      </w:hyperlink>
    </w:p>
    <w:p w14:paraId="26E9C325" w14:textId="77777777" w:rsidR="008A3BAC" w:rsidRDefault="008A3BAC"/>
    <w:p w14:paraId="26E9C326" w14:textId="77777777" w:rsidR="008A3BAC" w:rsidRDefault="005C75B9">
      <w:pPr>
        <w:spacing w:before="300"/>
      </w:pPr>
      <w:r>
        <w:rPr>
          <w:rFonts w:ascii="sans-serif" w:eastAsia="sans-serif" w:hAnsi="sans-serif" w:cs="sans-serif"/>
          <w:b/>
          <w:bCs/>
          <w:color w:val="E87722"/>
          <w:sz w:val="36"/>
          <w:szCs w:val="36"/>
        </w:rPr>
        <w:t>NIKE, INC.</w:t>
      </w:r>
    </w:p>
    <w:p w14:paraId="26E9C327" w14:textId="77777777" w:rsidR="008A3BAC" w:rsidRDefault="005C75B9">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6"/>
        <w:gridCol w:w="1063"/>
        <w:gridCol w:w="36"/>
        <w:gridCol w:w="36"/>
        <w:gridCol w:w="36"/>
        <w:gridCol w:w="36"/>
        <w:gridCol w:w="115"/>
        <w:gridCol w:w="1033"/>
        <w:gridCol w:w="36"/>
      </w:tblGrid>
      <w:tr w:rsidR="008A3BAC" w14:paraId="26E9C334" w14:textId="77777777">
        <w:tc>
          <w:tcPr>
            <w:tcW w:w="50" w:type="pct"/>
            <w:shd w:val="clear" w:color="auto" w:fill="auto"/>
            <w:vAlign w:val="bottom"/>
          </w:tcPr>
          <w:p w14:paraId="26E9C328" w14:textId="77777777" w:rsidR="008A3BAC" w:rsidRDefault="008A3BAC">
            <w:pPr>
              <w:rPr>
                <w:rFonts w:ascii="宋体"/>
              </w:rPr>
            </w:pPr>
          </w:p>
        </w:tc>
        <w:tc>
          <w:tcPr>
            <w:tcW w:w="3468" w:type="pct"/>
            <w:shd w:val="clear" w:color="auto" w:fill="auto"/>
            <w:vAlign w:val="bottom"/>
          </w:tcPr>
          <w:p w14:paraId="26E9C329" w14:textId="77777777" w:rsidR="008A3BAC" w:rsidRDefault="008A3BAC">
            <w:pPr>
              <w:rPr>
                <w:rFonts w:ascii="宋体"/>
              </w:rPr>
            </w:pPr>
          </w:p>
        </w:tc>
        <w:tc>
          <w:tcPr>
            <w:tcW w:w="5" w:type="pct"/>
            <w:shd w:val="clear" w:color="auto" w:fill="auto"/>
            <w:vAlign w:val="bottom"/>
          </w:tcPr>
          <w:p w14:paraId="26E9C32A" w14:textId="77777777" w:rsidR="008A3BAC" w:rsidRDefault="008A3BAC">
            <w:pPr>
              <w:rPr>
                <w:rFonts w:ascii="宋体"/>
              </w:rPr>
            </w:pPr>
          </w:p>
        </w:tc>
        <w:tc>
          <w:tcPr>
            <w:tcW w:w="50" w:type="pct"/>
            <w:shd w:val="clear" w:color="auto" w:fill="auto"/>
            <w:vAlign w:val="bottom"/>
          </w:tcPr>
          <w:p w14:paraId="26E9C32B" w14:textId="77777777" w:rsidR="008A3BAC" w:rsidRDefault="008A3BAC">
            <w:pPr>
              <w:rPr>
                <w:rFonts w:ascii="宋体"/>
              </w:rPr>
            </w:pPr>
          </w:p>
        </w:tc>
        <w:tc>
          <w:tcPr>
            <w:tcW w:w="663" w:type="pct"/>
            <w:shd w:val="clear" w:color="auto" w:fill="auto"/>
            <w:vAlign w:val="bottom"/>
          </w:tcPr>
          <w:p w14:paraId="26E9C32C" w14:textId="77777777" w:rsidR="008A3BAC" w:rsidRDefault="008A3BAC">
            <w:pPr>
              <w:rPr>
                <w:rFonts w:ascii="宋体"/>
              </w:rPr>
            </w:pPr>
          </w:p>
        </w:tc>
        <w:tc>
          <w:tcPr>
            <w:tcW w:w="5" w:type="pct"/>
            <w:shd w:val="clear" w:color="auto" w:fill="auto"/>
            <w:vAlign w:val="bottom"/>
          </w:tcPr>
          <w:p w14:paraId="26E9C32D" w14:textId="77777777" w:rsidR="008A3BAC" w:rsidRDefault="008A3BAC">
            <w:pPr>
              <w:rPr>
                <w:rFonts w:ascii="宋体"/>
              </w:rPr>
            </w:pPr>
          </w:p>
        </w:tc>
        <w:tc>
          <w:tcPr>
            <w:tcW w:w="5" w:type="pct"/>
            <w:shd w:val="clear" w:color="auto" w:fill="auto"/>
            <w:vAlign w:val="bottom"/>
          </w:tcPr>
          <w:p w14:paraId="26E9C32E" w14:textId="77777777" w:rsidR="008A3BAC" w:rsidRDefault="008A3BAC">
            <w:pPr>
              <w:rPr>
                <w:rFonts w:ascii="宋体"/>
              </w:rPr>
            </w:pPr>
          </w:p>
        </w:tc>
        <w:tc>
          <w:tcPr>
            <w:tcW w:w="28" w:type="pct"/>
            <w:shd w:val="clear" w:color="auto" w:fill="auto"/>
            <w:vAlign w:val="bottom"/>
          </w:tcPr>
          <w:p w14:paraId="26E9C32F" w14:textId="77777777" w:rsidR="008A3BAC" w:rsidRDefault="008A3BAC">
            <w:pPr>
              <w:rPr>
                <w:rFonts w:ascii="宋体"/>
              </w:rPr>
            </w:pPr>
          </w:p>
        </w:tc>
        <w:tc>
          <w:tcPr>
            <w:tcW w:w="5" w:type="pct"/>
            <w:shd w:val="clear" w:color="auto" w:fill="auto"/>
            <w:vAlign w:val="bottom"/>
          </w:tcPr>
          <w:p w14:paraId="26E9C330" w14:textId="77777777" w:rsidR="008A3BAC" w:rsidRDefault="008A3BAC">
            <w:pPr>
              <w:rPr>
                <w:rFonts w:ascii="宋体"/>
              </w:rPr>
            </w:pPr>
          </w:p>
        </w:tc>
        <w:tc>
          <w:tcPr>
            <w:tcW w:w="50" w:type="pct"/>
            <w:shd w:val="clear" w:color="auto" w:fill="auto"/>
            <w:vAlign w:val="bottom"/>
          </w:tcPr>
          <w:p w14:paraId="26E9C331" w14:textId="77777777" w:rsidR="008A3BAC" w:rsidRDefault="008A3BAC">
            <w:pPr>
              <w:rPr>
                <w:rFonts w:ascii="宋体"/>
              </w:rPr>
            </w:pPr>
          </w:p>
        </w:tc>
        <w:tc>
          <w:tcPr>
            <w:tcW w:w="663" w:type="pct"/>
            <w:shd w:val="clear" w:color="auto" w:fill="auto"/>
            <w:vAlign w:val="bottom"/>
          </w:tcPr>
          <w:p w14:paraId="26E9C332" w14:textId="77777777" w:rsidR="008A3BAC" w:rsidRDefault="008A3BAC">
            <w:pPr>
              <w:rPr>
                <w:rFonts w:ascii="宋体"/>
              </w:rPr>
            </w:pPr>
          </w:p>
        </w:tc>
        <w:tc>
          <w:tcPr>
            <w:tcW w:w="5" w:type="pct"/>
            <w:shd w:val="clear" w:color="auto" w:fill="auto"/>
            <w:vAlign w:val="bottom"/>
          </w:tcPr>
          <w:p w14:paraId="26E9C333" w14:textId="77777777" w:rsidR="008A3BAC" w:rsidRDefault="008A3BAC">
            <w:pPr>
              <w:rPr>
                <w:rFonts w:ascii="宋体"/>
              </w:rPr>
            </w:pPr>
          </w:p>
        </w:tc>
      </w:tr>
      <w:tr w:rsidR="008A3BAC" w14:paraId="26E9C339" w14:textId="77777777">
        <w:tc>
          <w:tcPr>
            <w:tcW w:w="0" w:type="auto"/>
            <w:gridSpan w:val="3"/>
            <w:shd w:val="clear" w:color="auto" w:fill="auto"/>
            <w:tcMar>
              <w:top w:w="0" w:type="dxa"/>
              <w:left w:w="20" w:type="dxa"/>
              <w:bottom w:w="0" w:type="dxa"/>
              <w:right w:w="20" w:type="dxa"/>
            </w:tcMar>
            <w:vAlign w:val="bottom"/>
          </w:tcPr>
          <w:p w14:paraId="26E9C335"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C336"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vAlign w:val="bottom"/>
          </w:tcPr>
          <w:p w14:paraId="26E9C337"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C338"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C33E" w14:textId="77777777">
        <w:tc>
          <w:tcPr>
            <w:tcW w:w="0" w:type="auto"/>
            <w:gridSpan w:val="3"/>
            <w:shd w:val="clear" w:color="auto" w:fill="auto"/>
            <w:tcMar>
              <w:top w:w="40" w:type="dxa"/>
              <w:left w:w="20" w:type="dxa"/>
              <w:bottom w:w="40" w:type="dxa"/>
              <w:right w:w="20" w:type="dxa"/>
            </w:tcMar>
            <w:vAlign w:val="bottom"/>
          </w:tcPr>
          <w:p w14:paraId="26E9C33A" w14:textId="77777777" w:rsidR="008A3BAC" w:rsidRDefault="005C75B9">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3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C33C"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3D"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3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3F" w14:textId="77777777" w:rsidR="008A3BAC" w:rsidRDefault="005C75B9">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34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4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42" w14:textId="77777777" w:rsidR="008A3BAC" w:rsidRDefault="008A3BAC">
            <w:pPr>
              <w:rPr>
                <w:rFonts w:ascii="宋体"/>
              </w:rPr>
            </w:pPr>
          </w:p>
        </w:tc>
      </w:tr>
      <w:tr w:rsidR="008A3BAC" w14:paraId="26E9C348"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6E9C344" w14:textId="77777777" w:rsidR="008A3BAC" w:rsidRDefault="005C75B9">
            <w:pPr>
              <w:textAlignment w:val="bottom"/>
            </w:pPr>
            <w:r>
              <w:rPr>
                <w:rFonts w:ascii="Arial" w:eastAsia="宋体" w:hAnsi="Arial" w:cs="Arial"/>
                <w:color w:val="000000"/>
                <w:sz w:val="17"/>
                <w:szCs w:val="17"/>
              </w:rPr>
              <w:t>Current assets: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6E9C345"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46"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47" w14:textId="77777777" w:rsidR="008A3BAC" w:rsidRDefault="008A3BAC">
            <w:pPr>
              <w:rPr>
                <w:rFonts w:ascii="宋体"/>
              </w:rPr>
            </w:pPr>
          </w:p>
        </w:tc>
      </w:tr>
      <w:tr w:rsidR="008A3BAC" w14:paraId="26E9C35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49" w14:textId="77777777" w:rsidR="008A3BAC" w:rsidRDefault="005C75B9">
            <w:pPr>
              <w:textAlignment w:val="bottom"/>
            </w:pPr>
            <w:r>
              <w:rPr>
                <w:rFonts w:ascii="Arial" w:eastAsia="宋体" w:hAnsi="Arial" w:cs="Arial"/>
                <w:color w:val="000000"/>
                <w:sz w:val="17"/>
                <w:szCs w:val="17"/>
              </w:rPr>
              <w:t>Cash and equivalents</w:t>
            </w:r>
          </w:p>
        </w:tc>
        <w:tc>
          <w:tcPr>
            <w:tcW w:w="0" w:type="auto"/>
            <w:tcBorders>
              <w:top w:val="single" w:sz="4" w:space="0" w:color="B6B6B6"/>
            </w:tcBorders>
            <w:shd w:val="clear" w:color="auto" w:fill="FFF1E7"/>
            <w:tcMar>
              <w:top w:w="40" w:type="dxa"/>
              <w:left w:w="20" w:type="dxa"/>
              <w:bottom w:w="40" w:type="dxa"/>
              <w:right w:w="0" w:type="dxa"/>
            </w:tcMar>
            <w:vAlign w:val="bottom"/>
          </w:tcPr>
          <w:p w14:paraId="26E9C34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6E9C34B" w14:textId="77777777" w:rsidR="008A3BAC" w:rsidRDefault="005C75B9">
            <w:pPr>
              <w:jc w:val="right"/>
              <w:textAlignment w:val="bottom"/>
            </w:pPr>
            <w:r>
              <w:rPr>
                <w:rFonts w:ascii="Arial" w:eastAsia="宋体" w:hAnsi="Arial" w:cs="Arial"/>
                <w:color w:val="000000"/>
                <w:sz w:val="17"/>
                <w:szCs w:val="17"/>
              </w:rPr>
              <w:t>8,704 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4C"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4D" w14:textId="77777777" w:rsidR="008A3BAC" w:rsidRDefault="008A3BAC">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6E9C34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6E9C34F" w14:textId="77777777" w:rsidR="008A3BAC" w:rsidRDefault="005C75B9">
            <w:pPr>
              <w:jc w:val="right"/>
              <w:textAlignment w:val="bottom"/>
            </w:pPr>
            <w:r>
              <w:rPr>
                <w:rFonts w:ascii="Arial" w:eastAsia="宋体" w:hAnsi="Arial" w:cs="Arial"/>
                <w:color w:val="000000"/>
                <w:sz w:val="17"/>
                <w:szCs w:val="17"/>
              </w:rPr>
              <w:t>9,889 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50" w14:textId="77777777" w:rsidR="008A3BAC" w:rsidRDefault="008A3BAC">
            <w:pPr>
              <w:jc w:val="right"/>
              <w:rPr>
                <w:rFonts w:ascii="宋体"/>
              </w:rPr>
            </w:pPr>
          </w:p>
        </w:tc>
      </w:tr>
      <w:tr w:rsidR="008A3BAC" w14:paraId="26E9C35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52" w14:textId="77777777" w:rsidR="008A3BAC" w:rsidRDefault="005C75B9">
            <w:pPr>
              <w:textAlignment w:val="bottom"/>
            </w:pPr>
            <w:r>
              <w:rPr>
                <w:rFonts w:ascii="Arial" w:eastAsia="宋体" w:hAnsi="Arial" w:cs="Arial"/>
                <w:color w:val="000000"/>
                <w:sz w:val="17"/>
                <w:szCs w:val="17"/>
              </w:rPr>
              <w:t>Short-term investments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53" w14:textId="77777777" w:rsidR="008A3BAC" w:rsidRDefault="005C75B9">
            <w:pPr>
              <w:jc w:val="right"/>
              <w:textAlignment w:val="bottom"/>
            </w:pPr>
            <w:r>
              <w:rPr>
                <w:rFonts w:ascii="Arial" w:eastAsia="宋体" w:hAnsi="Arial" w:cs="Arial"/>
                <w:color w:val="000000"/>
                <w:sz w:val="17"/>
                <w:szCs w:val="17"/>
              </w:rPr>
              <w:t>4,763 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54"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55"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56" w14:textId="77777777" w:rsidR="008A3BAC" w:rsidRDefault="005C75B9">
            <w:pPr>
              <w:jc w:val="right"/>
              <w:textAlignment w:val="bottom"/>
            </w:pPr>
            <w:r>
              <w:rPr>
                <w:rFonts w:ascii="Arial" w:eastAsia="宋体" w:hAnsi="Arial" w:cs="Arial"/>
                <w:color w:val="000000"/>
                <w:sz w:val="17"/>
                <w:szCs w:val="17"/>
              </w:rPr>
              <w:t>3,587 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57" w14:textId="77777777" w:rsidR="008A3BAC" w:rsidRDefault="008A3BAC">
            <w:pPr>
              <w:jc w:val="right"/>
              <w:rPr>
                <w:rFonts w:ascii="宋体"/>
              </w:rPr>
            </w:pPr>
          </w:p>
        </w:tc>
      </w:tr>
      <w:tr w:rsidR="008A3BAC" w14:paraId="26E9C35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59" w14:textId="77777777" w:rsidR="008A3BAC" w:rsidRDefault="005C75B9">
            <w:pPr>
              <w:textAlignment w:val="bottom"/>
            </w:pPr>
            <w:r>
              <w:rPr>
                <w:rFonts w:ascii="Arial" w:eastAsia="宋体" w:hAnsi="Arial" w:cs="Arial"/>
                <w:color w:val="000000"/>
                <w:sz w:val="17"/>
                <w:szCs w:val="17"/>
              </w:rPr>
              <w:t>Accounts receivable,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5A" w14:textId="77777777" w:rsidR="008A3BAC" w:rsidRDefault="005C75B9">
            <w:pPr>
              <w:jc w:val="right"/>
              <w:textAlignment w:val="bottom"/>
            </w:pPr>
            <w:r>
              <w:rPr>
                <w:rFonts w:ascii="Arial" w:eastAsia="宋体" w:hAnsi="Arial" w:cs="Arial"/>
                <w:color w:val="000000"/>
                <w:sz w:val="17"/>
                <w:szCs w:val="17"/>
              </w:rPr>
              <w:t>3,827 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5B"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5C"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5D" w14:textId="77777777" w:rsidR="008A3BAC" w:rsidRDefault="005C75B9">
            <w:pPr>
              <w:jc w:val="right"/>
              <w:textAlignment w:val="bottom"/>
            </w:pPr>
            <w:r>
              <w:rPr>
                <w:rFonts w:ascii="Arial" w:eastAsia="宋体" w:hAnsi="Arial" w:cs="Arial"/>
                <w:color w:val="000000"/>
                <w:sz w:val="17"/>
                <w:szCs w:val="17"/>
              </w:rPr>
              <w:t>4,463 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5E" w14:textId="77777777" w:rsidR="008A3BAC" w:rsidRDefault="008A3BAC">
            <w:pPr>
              <w:jc w:val="right"/>
              <w:rPr>
                <w:rFonts w:ascii="宋体"/>
              </w:rPr>
            </w:pPr>
          </w:p>
        </w:tc>
      </w:tr>
      <w:tr w:rsidR="008A3BAC" w14:paraId="26E9C36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60" w14:textId="77777777" w:rsidR="008A3BAC" w:rsidRDefault="005C75B9">
            <w:pPr>
              <w:textAlignment w:val="bottom"/>
            </w:pPr>
            <w:r>
              <w:rPr>
                <w:rFonts w:ascii="Arial" w:eastAsia="宋体" w:hAnsi="Arial" w:cs="Arial"/>
                <w:color w:val="000000"/>
                <w:sz w:val="17"/>
                <w:szCs w:val="17"/>
              </w:rPr>
              <w:t>Inventories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61" w14:textId="77777777" w:rsidR="008A3BAC" w:rsidRDefault="005C75B9">
            <w:pPr>
              <w:jc w:val="right"/>
              <w:textAlignment w:val="bottom"/>
            </w:pPr>
            <w:r>
              <w:rPr>
                <w:rFonts w:ascii="Arial" w:eastAsia="宋体" w:hAnsi="Arial" w:cs="Arial"/>
                <w:color w:val="000000"/>
                <w:sz w:val="17"/>
                <w:szCs w:val="17"/>
              </w:rPr>
              <w:t>7,700 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62"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63"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64" w14:textId="77777777" w:rsidR="008A3BAC" w:rsidRDefault="005C75B9">
            <w:pPr>
              <w:jc w:val="right"/>
              <w:textAlignment w:val="bottom"/>
            </w:pPr>
            <w:r>
              <w:rPr>
                <w:rFonts w:ascii="Arial" w:eastAsia="宋体" w:hAnsi="Arial" w:cs="Arial"/>
                <w:color w:val="000000"/>
                <w:sz w:val="17"/>
                <w:szCs w:val="17"/>
              </w:rPr>
              <w:t>6,854 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65" w14:textId="77777777" w:rsidR="008A3BAC" w:rsidRDefault="008A3BAC">
            <w:pPr>
              <w:jc w:val="right"/>
              <w:rPr>
                <w:rFonts w:ascii="宋体"/>
              </w:rPr>
            </w:pPr>
          </w:p>
        </w:tc>
      </w:tr>
      <w:tr w:rsidR="008A3BAC" w14:paraId="26E9C36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67" w14:textId="77777777" w:rsidR="008A3BAC" w:rsidRDefault="005C75B9">
            <w:pPr>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68" w14:textId="77777777" w:rsidR="008A3BAC" w:rsidRDefault="005C75B9">
            <w:pPr>
              <w:jc w:val="right"/>
              <w:textAlignment w:val="bottom"/>
            </w:pPr>
            <w:r>
              <w:rPr>
                <w:rFonts w:ascii="Arial" w:eastAsia="宋体" w:hAnsi="Arial" w:cs="Arial"/>
                <w:color w:val="000000"/>
                <w:sz w:val="17"/>
                <w:szCs w:val="17"/>
              </w:rPr>
              <w:t>1,968 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69"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6A"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6B" w14:textId="77777777" w:rsidR="008A3BAC" w:rsidRDefault="005C75B9">
            <w:pPr>
              <w:jc w:val="right"/>
              <w:textAlignment w:val="bottom"/>
            </w:pPr>
            <w:r>
              <w:rPr>
                <w:rFonts w:ascii="Arial" w:eastAsia="宋体" w:hAnsi="Arial" w:cs="Arial"/>
                <w:color w:val="000000"/>
                <w:sz w:val="17"/>
                <w:szCs w:val="17"/>
              </w:rPr>
              <w:t>1,498 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6C" w14:textId="77777777" w:rsidR="008A3BAC" w:rsidRDefault="008A3BAC">
            <w:pPr>
              <w:jc w:val="right"/>
              <w:rPr>
                <w:rFonts w:ascii="宋体"/>
              </w:rPr>
            </w:pPr>
          </w:p>
        </w:tc>
      </w:tr>
      <w:tr w:rsidR="008A3BAC" w14:paraId="26E9C3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6E" w14:textId="77777777" w:rsidR="008A3BAC" w:rsidRDefault="005C75B9">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36F" w14:textId="77777777" w:rsidR="008A3BAC" w:rsidRDefault="005C75B9">
            <w:pPr>
              <w:jc w:val="right"/>
              <w:textAlignment w:val="bottom"/>
            </w:pPr>
            <w:r>
              <w:rPr>
                <w:rFonts w:ascii="Arial" w:eastAsia="宋体" w:hAnsi="Arial" w:cs="Arial"/>
                <w:color w:val="000000"/>
                <w:sz w:val="17"/>
                <w:szCs w:val="17"/>
              </w:rPr>
              <w:t>26,962 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370"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71"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372" w14:textId="77777777" w:rsidR="008A3BAC" w:rsidRDefault="005C75B9">
            <w:pPr>
              <w:jc w:val="right"/>
              <w:textAlignment w:val="bottom"/>
            </w:pPr>
            <w:r>
              <w:rPr>
                <w:rFonts w:ascii="Arial" w:eastAsia="宋体" w:hAnsi="Arial" w:cs="Arial"/>
                <w:color w:val="000000"/>
                <w:sz w:val="17"/>
                <w:szCs w:val="17"/>
              </w:rPr>
              <w:t>26,291 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373" w14:textId="77777777" w:rsidR="008A3BAC" w:rsidRDefault="008A3BAC">
            <w:pPr>
              <w:jc w:val="right"/>
              <w:rPr>
                <w:rFonts w:ascii="宋体"/>
              </w:rPr>
            </w:pPr>
          </w:p>
        </w:tc>
      </w:tr>
      <w:tr w:rsidR="008A3BAC" w14:paraId="26E9C37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75" w14:textId="77777777" w:rsidR="008A3BAC" w:rsidRDefault="005C75B9">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76" w14:textId="77777777" w:rsidR="008A3BAC" w:rsidRDefault="005C75B9">
            <w:pPr>
              <w:jc w:val="right"/>
              <w:textAlignment w:val="bottom"/>
            </w:pPr>
            <w:r>
              <w:rPr>
                <w:rFonts w:ascii="Arial" w:eastAsia="宋体" w:hAnsi="Arial" w:cs="Arial"/>
                <w:color w:val="000000"/>
                <w:sz w:val="17"/>
                <w:szCs w:val="17"/>
              </w:rPr>
              <w:t>4,806 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77"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78"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79" w14:textId="77777777" w:rsidR="008A3BAC" w:rsidRDefault="005C75B9">
            <w:pPr>
              <w:jc w:val="right"/>
              <w:textAlignment w:val="bottom"/>
            </w:pPr>
            <w:r>
              <w:rPr>
                <w:rFonts w:ascii="Arial" w:eastAsia="宋体" w:hAnsi="Arial" w:cs="Arial"/>
                <w:color w:val="000000"/>
                <w:sz w:val="17"/>
                <w:szCs w:val="17"/>
              </w:rPr>
              <w:t>4,904 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7A" w14:textId="77777777" w:rsidR="008A3BAC" w:rsidRDefault="008A3BAC">
            <w:pPr>
              <w:jc w:val="right"/>
              <w:rPr>
                <w:rFonts w:ascii="宋体"/>
              </w:rPr>
            </w:pPr>
          </w:p>
        </w:tc>
      </w:tr>
      <w:tr w:rsidR="008A3BAC" w14:paraId="26E9C38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7C" w14:textId="77777777" w:rsidR="008A3BAC" w:rsidRDefault="005C75B9">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7D" w14:textId="77777777" w:rsidR="008A3BAC" w:rsidRDefault="005C75B9">
            <w:pPr>
              <w:jc w:val="right"/>
              <w:textAlignment w:val="bottom"/>
            </w:pPr>
            <w:r>
              <w:rPr>
                <w:rFonts w:ascii="Arial" w:eastAsia="宋体" w:hAnsi="Arial" w:cs="Arial"/>
                <w:color w:val="000000"/>
                <w:sz w:val="17"/>
                <w:szCs w:val="17"/>
              </w:rPr>
              <w:t>2,959 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7E"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7F"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80" w14:textId="77777777" w:rsidR="008A3BAC" w:rsidRDefault="005C75B9">
            <w:pPr>
              <w:jc w:val="right"/>
              <w:textAlignment w:val="bottom"/>
            </w:pPr>
            <w:r>
              <w:rPr>
                <w:rFonts w:ascii="Arial" w:eastAsia="宋体" w:hAnsi="Arial" w:cs="Arial"/>
                <w:color w:val="000000"/>
                <w:sz w:val="17"/>
                <w:szCs w:val="17"/>
              </w:rPr>
              <w:t>3,113 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81" w14:textId="77777777" w:rsidR="008A3BAC" w:rsidRDefault="008A3BAC">
            <w:pPr>
              <w:jc w:val="right"/>
              <w:rPr>
                <w:rFonts w:ascii="宋体"/>
              </w:rPr>
            </w:pPr>
          </w:p>
        </w:tc>
      </w:tr>
      <w:tr w:rsidR="008A3BAC" w14:paraId="26E9C38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83" w14:textId="77777777" w:rsidR="008A3BAC" w:rsidRDefault="005C75B9">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84" w14:textId="77777777" w:rsidR="008A3BAC" w:rsidRDefault="005C75B9">
            <w:pPr>
              <w:jc w:val="right"/>
              <w:textAlignment w:val="bottom"/>
            </w:pPr>
            <w:r>
              <w:rPr>
                <w:rFonts w:ascii="Arial" w:eastAsia="宋体" w:hAnsi="Arial" w:cs="Arial"/>
                <w:color w:val="000000"/>
                <w:sz w:val="17"/>
                <w:szCs w:val="17"/>
              </w:rPr>
              <w:t>291 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85"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86"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87" w14:textId="77777777" w:rsidR="008A3BAC" w:rsidRDefault="005C75B9">
            <w:pPr>
              <w:jc w:val="right"/>
              <w:textAlignment w:val="bottom"/>
            </w:pPr>
            <w:r>
              <w:rPr>
                <w:rFonts w:ascii="Arial" w:eastAsia="宋体" w:hAnsi="Arial" w:cs="Arial"/>
                <w:color w:val="000000"/>
                <w:sz w:val="17"/>
                <w:szCs w:val="17"/>
              </w:rPr>
              <w:t>269 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88" w14:textId="77777777" w:rsidR="008A3BAC" w:rsidRDefault="008A3BAC">
            <w:pPr>
              <w:jc w:val="right"/>
              <w:rPr>
                <w:rFonts w:ascii="宋体"/>
              </w:rPr>
            </w:pPr>
          </w:p>
        </w:tc>
      </w:tr>
      <w:tr w:rsidR="008A3BAC" w14:paraId="26E9C39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8A" w14:textId="77777777" w:rsidR="008A3BAC" w:rsidRDefault="005C75B9">
            <w:pPr>
              <w:textAlignment w:val="bottom"/>
            </w:pPr>
            <w:r>
              <w:rPr>
                <w:rFonts w:ascii="Arial" w:eastAsia="宋体" w:hAnsi="Arial" w:cs="Arial"/>
                <w:color w:val="000000"/>
                <w:sz w:val="17"/>
                <w:szCs w:val="17"/>
              </w:rPr>
              <w:t>Goodwill</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8B" w14:textId="77777777" w:rsidR="008A3BAC" w:rsidRDefault="005C75B9">
            <w:pPr>
              <w:jc w:val="right"/>
              <w:textAlignment w:val="bottom"/>
            </w:pPr>
            <w:r>
              <w:rPr>
                <w:rFonts w:ascii="Arial" w:eastAsia="宋体" w:hAnsi="Arial" w:cs="Arial"/>
                <w:color w:val="000000"/>
                <w:sz w:val="17"/>
                <w:szCs w:val="17"/>
              </w:rPr>
              <w:t>284 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8C"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8D"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8E" w14:textId="77777777" w:rsidR="008A3BAC" w:rsidRDefault="005C75B9">
            <w:pPr>
              <w:jc w:val="right"/>
              <w:textAlignment w:val="bottom"/>
            </w:pPr>
            <w:r>
              <w:rPr>
                <w:rFonts w:ascii="Arial" w:eastAsia="宋体" w:hAnsi="Arial" w:cs="Arial"/>
                <w:color w:val="000000"/>
                <w:sz w:val="17"/>
                <w:szCs w:val="17"/>
              </w:rPr>
              <w:t>242 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8F" w14:textId="77777777" w:rsidR="008A3BAC" w:rsidRDefault="008A3BAC">
            <w:pPr>
              <w:jc w:val="right"/>
              <w:rPr>
                <w:rFonts w:ascii="宋体"/>
              </w:rPr>
            </w:pPr>
          </w:p>
        </w:tc>
      </w:tr>
      <w:tr w:rsidR="008A3BAC" w14:paraId="26E9C39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91" w14:textId="77777777" w:rsidR="008A3BAC" w:rsidRDefault="005C75B9">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92" w14:textId="77777777" w:rsidR="008A3BAC" w:rsidRDefault="005C75B9">
            <w:pPr>
              <w:jc w:val="right"/>
              <w:textAlignment w:val="bottom"/>
            </w:pPr>
            <w:r>
              <w:rPr>
                <w:rFonts w:ascii="Arial" w:eastAsia="宋体" w:hAnsi="Arial" w:cs="Arial"/>
                <w:color w:val="000000"/>
                <w:sz w:val="17"/>
                <w:szCs w:val="17"/>
              </w:rPr>
              <w:t>3,275 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93"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94"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95" w14:textId="77777777" w:rsidR="008A3BAC" w:rsidRDefault="005C75B9">
            <w:pPr>
              <w:jc w:val="right"/>
              <w:textAlignment w:val="bottom"/>
            </w:pPr>
            <w:r>
              <w:rPr>
                <w:rFonts w:ascii="Arial" w:eastAsia="宋体" w:hAnsi="Arial" w:cs="Arial"/>
                <w:color w:val="000000"/>
                <w:sz w:val="17"/>
                <w:szCs w:val="17"/>
              </w:rPr>
              <w:t>2,921 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96" w14:textId="77777777" w:rsidR="008A3BAC" w:rsidRDefault="008A3BAC">
            <w:pPr>
              <w:jc w:val="right"/>
              <w:rPr>
                <w:rFonts w:ascii="宋体"/>
              </w:rPr>
            </w:pPr>
          </w:p>
        </w:tc>
      </w:tr>
      <w:tr w:rsidR="008A3BAC" w14:paraId="26E9C3A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98" w14:textId="77777777" w:rsidR="008A3BAC" w:rsidRDefault="005C75B9">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39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39A" w14:textId="77777777" w:rsidR="008A3BAC" w:rsidRDefault="005C75B9">
            <w:pPr>
              <w:jc w:val="right"/>
              <w:textAlignment w:val="bottom"/>
            </w:pPr>
            <w:r>
              <w:rPr>
                <w:rFonts w:ascii="Arial" w:eastAsia="宋体" w:hAnsi="Arial" w:cs="Arial"/>
                <w:b/>
                <w:bCs/>
                <w:color w:val="000000"/>
                <w:sz w:val="17"/>
                <w:szCs w:val="17"/>
              </w:rPr>
              <w:t>38,577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39B"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9C"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39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39E" w14:textId="77777777" w:rsidR="008A3BAC" w:rsidRDefault="005C75B9">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39F" w14:textId="77777777" w:rsidR="008A3BAC" w:rsidRDefault="008A3BAC">
            <w:pPr>
              <w:jc w:val="right"/>
              <w:rPr>
                <w:rFonts w:ascii="宋体"/>
              </w:rPr>
            </w:pPr>
          </w:p>
        </w:tc>
      </w:tr>
      <w:tr w:rsidR="008A3BAC" w14:paraId="26E9C3A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A1" w14:textId="77777777" w:rsidR="008A3BAC" w:rsidRDefault="005C75B9">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3A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A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A4" w14:textId="77777777" w:rsidR="008A3BAC" w:rsidRDefault="008A3BAC">
            <w:pPr>
              <w:rPr>
                <w:rFonts w:ascii="宋体"/>
              </w:rPr>
            </w:pPr>
          </w:p>
        </w:tc>
      </w:tr>
      <w:tr w:rsidR="008A3BAC" w14:paraId="26E9C3AA"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6E9C3A6" w14:textId="77777777" w:rsidR="008A3BAC" w:rsidRDefault="005C75B9">
            <w:pPr>
              <w:textAlignment w:val="bottom"/>
            </w:pPr>
            <w:r>
              <w:rPr>
                <w:rFonts w:ascii="Arial" w:eastAsia="宋体" w:hAnsi="Arial" w:cs="Arial"/>
                <w:color w:val="000000"/>
                <w:sz w:val="17"/>
                <w:szCs w:val="17"/>
              </w:rPr>
              <w:t>Current liabilities: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6E9C3A7"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A8"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A9" w14:textId="77777777" w:rsidR="008A3BAC" w:rsidRDefault="008A3BAC">
            <w:pPr>
              <w:rPr>
                <w:rFonts w:ascii="宋体"/>
              </w:rPr>
            </w:pPr>
          </w:p>
        </w:tc>
      </w:tr>
      <w:tr w:rsidR="008A3BAC" w14:paraId="26E9C3B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AB" w14:textId="77777777" w:rsidR="008A3BAC" w:rsidRDefault="005C75B9">
            <w:pPr>
              <w:textAlignment w:val="bottom"/>
            </w:pPr>
            <w:r>
              <w:rPr>
                <w:rFonts w:ascii="Arial" w:eastAsia="宋体" w:hAnsi="Arial" w:cs="Arial"/>
                <w:color w:val="000000"/>
                <w:sz w:val="17"/>
                <w:szCs w:val="17"/>
              </w:rPr>
              <w:t>Current portion of long-term debt</w:t>
            </w:r>
          </w:p>
        </w:tc>
        <w:tc>
          <w:tcPr>
            <w:tcW w:w="0" w:type="auto"/>
            <w:tcBorders>
              <w:top w:val="single" w:sz="4" w:space="0" w:color="B6B6B6"/>
            </w:tcBorders>
            <w:shd w:val="clear" w:color="auto" w:fill="FFF1E7"/>
            <w:tcMar>
              <w:top w:w="40" w:type="dxa"/>
              <w:left w:w="20" w:type="dxa"/>
              <w:bottom w:w="40" w:type="dxa"/>
              <w:right w:w="0" w:type="dxa"/>
            </w:tcMar>
            <w:vAlign w:val="bottom"/>
          </w:tcPr>
          <w:p w14:paraId="26E9C3A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6E9C3A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AE"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AF" w14:textId="77777777" w:rsidR="008A3BAC" w:rsidRDefault="008A3BAC">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6E9C3B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6E9C3B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B2" w14:textId="77777777" w:rsidR="008A3BAC" w:rsidRDefault="008A3BAC">
            <w:pPr>
              <w:jc w:val="right"/>
              <w:rPr>
                <w:rFonts w:ascii="宋体"/>
              </w:rPr>
            </w:pPr>
          </w:p>
        </w:tc>
      </w:tr>
      <w:tr w:rsidR="008A3BAC" w14:paraId="26E9C3B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B4" w14:textId="77777777" w:rsidR="008A3BAC" w:rsidRDefault="005C75B9">
            <w:pPr>
              <w:textAlignment w:val="bottom"/>
            </w:pPr>
            <w:r>
              <w:rPr>
                <w:rFonts w:ascii="Arial" w:eastAsia="宋体" w:hAnsi="Arial" w:cs="Arial"/>
                <w:color w:val="000000"/>
                <w:sz w:val="17"/>
                <w:szCs w:val="17"/>
              </w:rPr>
              <w:t>Notes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B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B6"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B7"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B8"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B9" w14:textId="77777777" w:rsidR="008A3BAC" w:rsidRDefault="008A3BAC">
            <w:pPr>
              <w:jc w:val="right"/>
              <w:rPr>
                <w:rFonts w:ascii="宋体"/>
              </w:rPr>
            </w:pPr>
          </w:p>
        </w:tc>
      </w:tr>
      <w:tr w:rsidR="008A3BAC" w14:paraId="26E9C3C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BB" w14:textId="77777777" w:rsidR="008A3BAC" w:rsidRDefault="005C75B9">
            <w:pPr>
              <w:textAlignment w:val="bottom"/>
            </w:pPr>
            <w:r>
              <w:rPr>
                <w:rFonts w:ascii="Arial" w:eastAsia="宋体" w:hAnsi="Arial" w:cs="Arial"/>
                <w:color w:val="000000"/>
                <w:sz w:val="17"/>
                <w:szCs w:val="17"/>
              </w:rPr>
              <w:t>Accounts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BC" w14:textId="77777777" w:rsidR="008A3BAC" w:rsidRDefault="005C75B9">
            <w:pPr>
              <w:jc w:val="right"/>
              <w:textAlignment w:val="bottom"/>
            </w:pPr>
            <w:r>
              <w:rPr>
                <w:rFonts w:ascii="Arial" w:eastAsia="宋体" w:hAnsi="Arial" w:cs="Arial"/>
                <w:color w:val="000000"/>
                <w:sz w:val="17"/>
                <w:szCs w:val="17"/>
              </w:rPr>
              <w:t>2,770 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BD"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BE"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BF" w14:textId="77777777" w:rsidR="008A3BAC" w:rsidRDefault="005C75B9">
            <w:pPr>
              <w:jc w:val="right"/>
              <w:textAlignment w:val="bottom"/>
            </w:pPr>
            <w:r>
              <w:rPr>
                <w:rFonts w:ascii="Arial" w:eastAsia="宋体" w:hAnsi="Arial" w:cs="Arial"/>
                <w:color w:val="000000"/>
                <w:sz w:val="17"/>
                <w:szCs w:val="17"/>
              </w:rPr>
              <w:t>2,836 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C0" w14:textId="77777777" w:rsidR="008A3BAC" w:rsidRDefault="008A3BAC">
            <w:pPr>
              <w:jc w:val="right"/>
              <w:rPr>
                <w:rFonts w:ascii="宋体"/>
              </w:rPr>
            </w:pPr>
          </w:p>
        </w:tc>
      </w:tr>
      <w:tr w:rsidR="008A3BAC" w14:paraId="26E9C3C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C2" w14:textId="77777777" w:rsidR="008A3BAC" w:rsidRDefault="005C75B9">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C3" w14:textId="77777777" w:rsidR="008A3BAC" w:rsidRDefault="005C75B9">
            <w:pPr>
              <w:jc w:val="right"/>
              <w:textAlignment w:val="bottom"/>
            </w:pPr>
            <w:r>
              <w:rPr>
                <w:rFonts w:ascii="Arial" w:eastAsia="宋体" w:hAnsi="Arial" w:cs="Arial"/>
                <w:color w:val="000000"/>
                <w:sz w:val="17"/>
                <w:szCs w:val="17"/>
              </w:rPr>
              <w:t>455 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C4"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C5"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C6"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C7" w14:textId="77777777" w:rsidR="008A3BAC" w:rsidRDefault="008A3BAC">
            <w:pPr>
              <w:jc w:val="right"/>
              <w:rPr>
                <w:rFonts w:ascii="宋体"/>
              </w:rPr>
            </w:pPr>
          </w:p>
        </w:tc>
      </w:tr>
      <w:tr w:rsidR="008A3BAC" w14:paraId="26E9C3C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C9" w14:textId="77777777" w:rsidR="008A3BAC" w:rsidRDefault="005C75B9">
            <w:pPr>
              <w:textAlignment w:val="bottom"/>
            </w:pPr>
            <w:r>
              <w:rPr>
                <w:rFonts w:ascii="Arial" w:eastAsia="宋体" w:hAnsi="Arial" w:cs="Arial"/>
                <w:color w:val="000000"/>
                <w:sz w:val="17"/>
                <w:szCs w:val="17"/>
              </w:rPr>
              <w:t>Accrued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CA" w14:textId="77777777" w:rsidR="008A3BAC" w:rsidRDefault="005C75B9">
            <w:pPr>
              <w:jc w:val="right"/>
              <w:textAlignment w:val="bottom"/>
            </w:pPr>
            <w:r>
              <w:rPr>
                <w:rFonts w:ascii="Arial" w:eastAsia="宋体" w:hAnsi="Arial" w:cs="Arial"/>
                <w:color w:val="000000"/>
                <w:sz w:val="17"/>
                <w:szCs w:val="17"/>
              </w:rPr>
              <w:t>5,391 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CB"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CC"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CD" w14:textId="77777777" w:rsidR="008A3BAC" w:rsidRDefault="005C75B9">
            <w:pPr>
              <w:jc w:val="right"/>
              <w:textAlignment w:val="bottom"/>
            </w:pPr>
            <w:r>
              <w:rPr>
                <w:rFonts w:ascii="Arial" w:eastAsia="宋体" w:hAnsi="Arial" w:cs="Arial"/>
                <w:color w:val="000000"/>
                <w:sz w:val="17"/>
                <w:szCs w:val="17"/>
              </w:rPr>
              <w:t>6,063 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CE" w14:textId="77777777" w:rsidR="008A3BAC" w:rsidRDefault="008A3BAC">
            <w:pPr>
              <w:jc w:val="right"/>
              <w:rPr>
                <w:rFonts w:ascii="宋体"/>
              </w:rPr>
            </w:pPr>
          </w:p>
        </w:tc>
      </w:tr>
      <w:tr w:rsidR="008A3BAC" w14:paraId="26E9C3D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D0" w14:textId="77777777" w:rsidR="008A3BAC" w:rsidRDefault="005C75B9">
            <w:pPr>
              <w:textAlignment w:val="bottom"/>
            </w:pPr>
            <w:r>
              <w:rPr>
                <w:rFonts w:ascii="Arial" w:eastAsia="宋体" w:hAnsi="Arial" w:cs="Arial"/>
                <w:color w:val="000000"/>
                <w:sz w:val="17"/>
                <w:szCs w:val="17"/>
              </w:rPr>
              <w:t>Income taxes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D1" w14:textId="77777777" w:rsidR="008A3BAC" w:rsidRDefault="005C75B9">
            <w:pPr>
              <w:jc w:val="right"/>
              <w:textAlignment w:val="bottom"/>
            </w:pPr>
            <w:r>
              <w:rPr>
                <w:rFonts w:ascii="Arial" w:eastAsia="宋体" w:hAnsi="Arial" w:cs="Arial"/>
                <w:color w:val="000000"/>
                <w:sz w:val="17"/>
                <w:szCs w:val="17"/>
              </w:rPr>
              <w:t>202 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D2"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D3"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D4" w14:textId="77777777" w:rsidR="008A3BAC" w:rsidRDefault="005C75B9">
            <w:pPr>
              <w:jc w:val="right"/>
              <w:textAlignment w:val="bottom"/>
            </w:pPr>
            <w:r>
              <w:rPr>
                <w:rFonts w:ascii="Arial" w:eastAsia="宋体" w:hAnsi="Arial" w:cs="Arial"/>
                <w:color w:val="000000"/>
                <w:sz w:val="17"/>
                <w:szCs w:val="17"/>
              </w:rPr>
              <w:t>306 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D5" w14:textId="77777777" w:rsidR="008A3BAC" w:rsidRDefault="008A3BAC">
            <w:pPr>
              <w:jc w:val="right"/>
              <w:rPr>
                <w:rFonts w:ascii="宋体"/>
              </w:rPr>
            </w:pPr>
          </w:p>
        </w:tc>
      </w:tr>
      <w:tr w:rsidR="008A3BAC" w14:paraId="26E9C3D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3D7" w14:textId="77777777" w:rsidR="008A3BAC" w:rsidRDefault="005C75B9">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3D8" w14:textId="77777777" w:rsidR="008A3BAC" w:rsidRDefault="005C75B9">
            <w:pPr>
              <w:jc w:val="right"/>
              <w:textAlignment w:val="bottom"/>
            </w:pPr>
            <w:r>
              <w:rPr>
                <w:rFonts w:ascii="Arial" w:eastAsia="宋体" w:hAnsi="Arial" w:cs="Arial"/>
                <w:color w:val="000000"/>
                <w:sz w:val="17"/>
                <w:szCs w:val="17"/>
              </w:rPr>
              <w:t>8,818 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3D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3DA"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3DB" w14:textId="77777777" w:rsidR="008A3BAC" w:rsidRDefault="005C75B9">
            <w:pPr>
              <w:jc w:val="right"/>
              <w:textAlignment w:val="bottom"/>
            </w:pPr>
            <w:r>
              <w:rPr>
                <w:rFonts w:ascii="Arial" w:eastAsia="宋体" w:hAnsi="Arial" w:cs="Arial"/>
                <w:color w:val="000000"/>
                <w:sz w:val="17"/>
                <w:szCs w:val="17"/>
              </w:rPr>
              <w:t>9,674 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3DC" w14:textId="77777777" w:rsidR="008A3BAC" w:rsidRDefault="008A3BAC">
            <w:pPr>
              <w:jc w:val="right"/>
              <w:rPr>
                <w:rFonts w:ascii="宋体"/>
              </w:rPr>
            </w:pPr>
          </w:p>
        </w:tc>
      </w:tr>
      <w:tr w:rsidR="008A3BAC" w14:paraId="26E9C3E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DE" w14:textId="77777777" w:rsidR="008A3BAC" w:rsidRDefault="005C75B9">
            <w:pPr>
              <w:textAlignment w:val="bottom"/>
            </w:pPr>
            <w:r>
              <w:rPr>
                <w:rFonts w:ascii="Arial" w:eastAsia="宋体" w:hAnsi="Arial" w:cs="Arial"/>
                <w:color w:val="000000"/>
                <w:sz w:val="17"/>
                <w:szCs w:val="17"/>
              </w:rPr>
              <w:t>Long-term debt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DF" w14:textId="77777777" w:rsidR="008A3BAC" w:rsidRDefault="005C75B9">
            <w:pPr>
              <w:jc w:val="right"/>
              <w:textAlignment w:val="bottom"/>
            </w:pPr>
            <w:r>
              <w:rPr>
                <w:rFonts w:ascii="Arial" w:eastAsia="宋体" w:hAnsi="Arial" w:cs="Arial"/>
                <w:color w:val="000000"/>
                <w:sz w:val="17"/>
                <w:szCs w:val="17"/>
              </w:rPr>
              <w:t>9,418 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E0"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E1"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E2" w14:textId="77777777" w:rsidR="008A3BAC" w:rsidRDefault="005C75B9">
            <w:pPr>
              <w:jc w:val="right"/>
              <w:textAlignment w:val="bottom"/>
            </w:pPr>
            <w:r>
              <w:rPr>
                <w:rFonts w:ascii="Arial" w:eastAsia="宋体" w:hAnsi="Arial" w:cs="Arial"/>
                <w:color w:val="000000"/>
                <w:sz w:val="17"/>
                <w:szCs w:val="17"/>
              </w:rPr>
              <w:t>9,413 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E3" w14:textId="77777777" w:rsidR="008A3BAC" w:rsidRDefault="008A3BAC">
            <w:pPr>
              <w:jc w:val="right"/>
              <w:rPr>
                <w:rFonts w:ascii="宋体"/>
              </w:rPr>
            </w:pPr>
          </w:p>
        </w:tc>
      </w:tr>
      <w:tr w:rsidR="008A3BAC" w14:paraId="26E9C3E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E5" w14:textId="77777777" w:rsidR="008A3BAC" w:rsidRDefault="005C75B9">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E6" w14:textId="77777777" w:rsidR="008A3BAC" w:rsidRDefault="005C75B9">
            <w:pPr>
              <w:jc w:val="right"/>
              <w:textAlignment w:val="bottom"/>
            </w:pPr>
            <w:r>
              <w:rPr>
                <w:rFonts w:ascii="Arial" w:eastAsia="宋体" w:hAnsi="Arial" w:cs="Arial"/>
                <w:color w:val="000000"/>
                <w:sz w:val="17"/>
                <w:szCs w:val="17"/>
              </w:rPr>
              <w:t>2,784 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E7"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E8"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E9" w14:textId="77777777" w:rsidR="008A3BAC" w:rsidRDefault="005C75B9">
            <w:pPr>
              <w:jc w:val="right"/>
              <w:textAlignment w:val="bottom"/>
            </w:pPr>
            <w:r>
              <w:rPr>
                <w:rFonts w:ascii="Arial" w:eastAsia="宋体" w:hAnsi="Arial" w:cs="Arial"/>
                <w:color w:val="000000"/>
                <w:sz w:val="17"/>
                <w:szCs w:val="17"/>
              </w:rPr>
              <w:t>2,931 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EA" w14:textId="77777777" w:rsidR="008A3BAC" w:rsidRDefault="008A3BAC">
            <w:pPr>
              <w:jc w:val="right"/>
              <w:rPr>
                <w:rFonts w:ascii="宋体"/>
              </w:rPr>
            </w:pPr>
          </w:p>
        </w:tc>
      </w:tr>
      <w:tr w:rsidR="008A3BAC" w14:paraId="26E9C3F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EC" w14:textId="77777777" w:rsidR="008A3BAC" w:rsidRDefault="005C75B9">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ED" w14:textId="77777777" w:rsidR="008A3BAC" w:rsidRDefault="005C75B9">
            <w:pPr>
              <w:jc w:val="right"/>
              <w:textAlignment w:val="bottom"/>
            </w:pPr>
            <w:r>
              <w:rPr>
                <w:rFonts w:ascii="Arial" w:eastAsia="宋体" w:hAnsi="Arial" w:cs="Arial"/>
                <w:color w:val="000000"/>
                <w:sz w:val="17"/>
                <w:szCs w:val="17"/>
              </w:rPr>
              <w:t>2,748 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EE"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EF"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F0" w14:textId="77777777" w:rsidR="008A3BAC" w:rsidRDefault="005C75B9">
            <w:pPr>
              <w:jc w:val="right"/>
              <w:textAlignment w:val="bottom"/>
            </w:pPr>
            <w:r>
              <w:rPr>
                <w:rFonts w:ascii="Arial" w:eastAsia="宋体" w:hAnsi="Arial" w:cs="Arial"/>
                <w:color w:val="000000"/>
                <w:sz w:val="17"/>
                <w:szCs w:val="17"/>
              </w:rPr>
              <w:t>2,955 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F1" w14:textId="77777777" w:rsidR="008A3BAC" w:rsidRDefault="008A3BAC">
            <w:pPr>
              <w:jc w:val="right"/>
              <w:rPr>
                <w:rFonts w:ascii="宋体"/>
              </w:rPr>
            </w:pPr>
          </w:p>
        </w:tc>
      </w:tr>
      <w:tr w:rsidR="008A3BAC" w14:paraId="26E9C3F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F3" w14:textId="77777777" w:rsidR="008A3BAC" w:rsidRDefault="005C75B9">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3F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3F5"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F6"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3F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3F8" w14:textId="77777777" w:rsidR="008A3BAC" w:rsidRDefault="008A3BAC">
            <w:pPr>
              <w:jc w:val="right"/>
              <w:rPr>
                <w:rFonts w:ascii="宋体"/>
              </w:rPr>
            </w:pPr>
          </w:p>
        </w:tc>
      </w:tr>
      <w:tr w:rsidR="008A3BAC" w14:paraId="26E9C3F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FA" w14:textId="77777777" w:rsidR="008A3BAC" w:rsidRDefault="005C75B9">
            <w:pPr>
              <w:textAlignment w:val="bottom"/>
            </w:pPr>
            <w:r>
              <w:rPr>
                <w:rFonts w:ascii="Arial" w:eastAsia="宋体" w:hAnsi="Arial" w:cs="Arial"/>
                <w:color w:val="000000"/>
                <w:sz w:val="17"/>
                <w:szCs w:val="17"/>
              </w:rPr>
              <w:t>Shareholders' equity:</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6E9C3FB"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FC"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3FD" w14:textId="77777777" w:rsidR="008A3BAC" w:rsidRDefault="008A3BAC">
            <w:pPr>
              <w:rPr>
                <w:rFonts w:ascii="宋体"/>
              </w:rPr>
            </w:pPr>
          </w:p>
        </w:tc>
      </w:tr>
      <w:tr w:rsidR="008A3BAC" w14:paraId="26E9C403"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3FF" w14:textId="77777777" w:rsidR="008A3BAC" w:rsidRDefault="005C75B9">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6E9C400"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01" w14:textId="77777777" w:rsidR="008A3BAC" w:rsidRDefault="008A3BAC">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02" w14:textId="77777777" w:rsidR="008A3BAC" w:rsidRDefault="008A3BAC">
            <w:pPr>
              <w:rPr>
                <w:rFonts w:ascii="宋体"/>
              </w:rPr>
            </w:pPr>
          </w:p>
        </w:tc>
      </w:tr>
      <w:tr w:rsidR="008A3BAC" w14:paraId="26E9C40A"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6E9C404" w14:textId="77777777" w:rsidR="008A3BAC" w:rsidRDefault="005C75B9">
            <w:pPr>
              <w:textAlignment w:val="bottom"/>
            </w:pPr>
            <w:r>
              <w:rPr>
                <w:rFonts w:ascii="Arial" w:eastAsia="宋体" w:hAnsi="Arial" w:cs="Arial"/>
                <w:color w:val="000000"/>
                <w:sz w:val="17"/>
                <w:szCs w:val="17"/>
              </w:rPr>
              <w:t xml:space="preserve">Class A convertible — 305 and 305 shares </w:t>
            </w:r>
            <w:r>
              <w:rPr>
                <w:rFonts w:ascii="Arial" w:eastAsia="宋体" w:hAnsi="Arial" w:cs="Arial"/>
                <w:color w:val="000000"/>
                <w:sz w:val="17"/>
                <w:szCs w:val="17"/>
              </w:rPr>
              <w:t>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40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406"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07"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40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409" w14:textId="77777777" w:rsidR="008A3BAC" w:rsidRDefault="008A3BAC">
            <w:pPr>
              <w:jc w:val="right"/>
              <w:rPr>
                <w:rFonts w:ascii="宋体"/>
              </w:rPr>
            </w:pPr>
          </w:p>
        </w:tc>
      </w:tr>
      <w:tr w:rsidR="008A3BAC" w14:paraId="26E9C411"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6E9C40B" w14:textId="77777777" w:rsidR="008A3BAC" w:rsidRDefault="005C75B9">
            <w:pPr>
              <w:textAlignment w:val="bottom"/>
            </w:pPr>
            <w:r>
              <w:rPr>
                <w:rFonts w:ascii="Arial" w:eastAsia="宋体" w:hAnsi="Arial" w:cs="Arial"/>
                <w:color w:val="000000"/>
                <w:sz w:val="17"/>
                <w:szCs w:val="17"/>
              </w:rPr>
              <w:t>Class B — 1,271 and 1,273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40C"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40D"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0E"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40F"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410" w14:textId="77777777" w:rsidR="008A3BAC" w:rsidRDefault="008A3BAC">
            <w:pPr>
              <w:jc w:val="right"/>
              <w:rPr>
                <w:rFonts w:ascii="宋体"/>
              </w:rPr>
            </w:pPr>
          </w:p>
        </w:tc>
      </w:tr>
      <w:tr w:rsidR="008A3BAC" w14:paraId="26E9C41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412" w14:textId="77777777" w:rsidR="008A3BAC" w:rsidRDefault="005C75B9">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413" w14:textId="77777777" w:rsidR="008A3BAC" w:rsidRDefault="005C75B9">
            <w:pPr>
              <w:jc w:val="right"/>
              <w:textAlignment w:val="bottom"/>
            </w:pPr>
            <w:r>
              <w:rPr>
                <w:rFonts w:ascii="Arial" w:eastAsia="宋体" w:hAnsi="Arial" w:cs="Arial"/>
                <w:color w:val="000000"/>
                <w:sz w:val="17"/>
                <w:szCs w:val="17"/>
              </w:rPr>
              <w:t>11,186 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414"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15"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416" w14:textId="77777777" w:rsidR="008A3BAC" w:rsidRDefault="005C75B9">
            <w:pPr>
              <w:jc w:val="right"/>
              <w:textAlignment w:val="bottom"/>
            </w:pPr>
            <w:r>
              <w:rPr>
                <w:rFonts w:ascii="Arial" w:eastAsia="宋体" w:hAnsi="Arial" w:cs="Arial"/>
                <w:color w:val="000000"/>
                <w:sz w:val="17"/>
                <w:szCs w:val="17"/>
              </w:rPr>
              <w:t>9,965 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417" w14:textId="77777777" w:rsidR="008A3BAC" w:rsidRDefault="008A3BAC">
            <w:pPr>
              <w:jc w:val="right"/>
              <w:rPr>
                <w:rFonts w:ascii="宋体"/>
              </w:rPr>
            </w:pPr>
          </w:p>
        </w:tc>
      </w:tr>
      <w:tr w:rsidR="008A3BAC" w14:paraId="26E9C41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419" w14:textId="77777777" w:rsidR="008A3BAC" w:rsidRDefault="005C75B9">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41A" w14:textId="77777777" w:rsidR="008A3BAC" w:rsidRDefault="005C75B9">
            <w:pPr>
              <w:jc w:val="right"/>
              <w:textAlignment w:val="bottom"/>
            </w:pPr>
            <w:r>
              <w:rPr>
                <w:rFonts w:ascii="Arial" w:eastAsia="宋体" w:hAnsi="Arial" w:cs="Arial"/>
                <w:color w:val="000000"/>
                <w:sz w:val="17"/>
                <w:szCs w:val="17"/>
              </w:rPr>
              <w:t>99 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41B"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1C"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41D" w14:textId="77777777" w:rsidR="008A3BAC" w:rsidRDefault="005C75B9">
            <w:pPr>
              <w:jc w:val="right"/>
              <w:textAlignment w:val="bottom"/>
            </w:pPr>
            <w:r>
              <w:rPr>
                <w:rFonts w:ascii="Arial" w:eastAsia="宋体" w:hAnsi="Arial" w:cs="Arial"/>
                <w:color w:val="000000"/>
                <w:sz w:val="17"/>
                <w:szCs w:val="17"/>
              </w:rPr>
              <w:t>(380)</w:t>
            </w:r>
          </w:p>
        </w:tc>
        <w:tc>
          <w:tcPr>
            <w:tcW w:w="0" w:type="auto"/>
            <w:tcBorders>
              <w:top w:val="single" w:sz="4" w:space="0" w:color="B6B6B6"/>
            </w:tcBorders>
            <w:shd w:val="clear" w:color="auto" w:fill="auto"/>
            <w:tcMar>
              <w:top w:w="40" w:type="dxa"/>
              <w:left w:w="0" w:type="dxa"/>
              <w:bottom w:w="40" w:type="dxa"/>
              <w:right w:w="20" w:type="dxa"/>
            </w:tcMar>
            <w:vAlign w:val="bottom"/>
          </w:tcPr>
          <w:p w14:paraId="26E9C41E" w14:textId="77777777" w:rsidR="008A3BAC" w:rsidRDefault="008A3BAC">
            <w:pPr>
              <w:jc w:val="right"/>
              <w:rPr>
                <w:rFonts w:ascii="宋体"/>
              </w:rPr>
            </w:pPr>
          </w:p>
        </w:tc>
      </w:tr>
      <w:tr w:rsidR="008A3BAC" w14:paraId="26E9C42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6E9C420" w14:textId="77777777" w:rsidR="008A3BAC" w:rsidRDefault="005C75B9">
            <w:pPr>
              <w:textAlignment w:val="bottom"/>
            </w:pPr>
            <w:r>
              <w:rPr>
                <w:rFonts w:ascii="Arial" w:eastAsia="宋体" w:hAnsi="Arial" w:cs="Arial"/>
                <w:color w:val="000000"/>
                <w:sz w:val="17"/>
                <w:szCs w:val="17"/>
              </w:rPr>
              <w:t>Retained earnings (deficit)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C421" w14:textId="77777777" w:rsidR="008A3BAC" w:rsidRDefault="005C75B9">
            <w:pPr>
              <w:jc w:val="right"/>
              <w:textAlignment w:val="bottom"/>
            </w:pPr>
            <w:r>
              <w:rPr>
                <w:rFonts w:ascii="Arial" w:eastAsia="宋体" w:hAnsi="Arial" w:cs="Arial"/>
                <w:color w:val="000000"/>
                <w:sz w:val="17"/>
                <w:szCs w:val="17"/>
              </w:rPr>
              <w:t>3,521 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C422"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C423" w14:textId="77777777" w:rsidR="008A3BAC" w:rsidRDefault="008A3BAC">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C424" w14:textId="77777777" w:rsidR="008A3BAC" w:rsidRDefault="005C75B9">
            <w:pPr>
              <w:jc w:val="right"/>
              <w:textAlignment w:val="bottom"/>
            </w:pPr>
            <w:r>
              <w:rPr>
                <w:rFonts w:ascii="Arial" w:eastAsia="宋体" w:hAnsi="Arial" w:cs="Arial"/>
                <w:color w:val="000000"/>
                <w:sz w:val="17"/>
                <w:szCs w:val="17"/>
              </w:rPr>
              <w:t>3,179 </w:t>
            </w:r>
          </w:p>
        </w:tc>
        <w:tc>
          <w:tcPr>
            <w:tcW w:w="0" w:type="auto"/>
            <w:tcBorders>
              <w:top w:val="single" w:sz="4" w:space="0" w:color="B6B6B6"/>
            </w:tcBorders>
            <w:shd w:val="clear" w:color="auto" w:fill="auto"/>
            <w:tcMar>
              <w:top w:w="40" w:type="dxa"/>
              <w:left w:w="0" w:type="dxa"/>
              <w:bottom w:w="40" w:type="dxa"/>
              <w:right w:w="20" w:type="dxa"/>
            </w:tcMar>
            <w:vAlign w:val="bottom"/>
          </w:tcPr>
          <w:p w14:paraId="26E9C425" w14:textId="77777777" w:rsidR="008A3BAC" w:rsidRDefault="008A3BAC">
            <w:pPr>
              <w:jc w:val="right"/>
              <w:rPr>
                <w:rFonts w:ascii="宋体"/>
              </w:rPr>
            </w:pPr>
          </w:p>
        </w:tc>
      </w:tr>
      <w:tr w:rsidR="008A3BAC" w14:paraId="26E9C4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27" w14:textId="77777777" w:rsidR="008A3BAC" w:rsidRDefault="005C75B9">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428" w14:textId="77777777" w:rsidR="008A3BAC" w:rsidRDefault="005C75B9">
            <w:pPr>
              <w:jc w:val="right"/>
              <w:textAlignment w:val="bottom"/>
            </w:pPr>
            <w:r>
              <w:rPr>
                <w:rFonts w:ascii="Arial" w:eastAsia="宋体" w:hAnsi="Arial" w:cs="Arial"/>
                <w:color w:val="000000"/>
                <w:sz w:val="17"/>
                <w:szCs w:val="17"/>
              </w:rPr>
              <w:t>14,809 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42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42A"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42B" w14:textId="77777777" w:rsidR="008A3BAC" w:rsidRDefault="005C75B9">
            <w:pPr>
              <w:jc w:val="right"/>
              <w:textAlignment w:val="bottom"/>
            </w:pPr>
            <w:r>
              <w:rPr>
                <w:rFonts w:ascii="Arial" w:eastAsia="宋体" w:hAnsi="Arial" w:cs="Arial"/>
                <w:color w:val="000000"/>
                <w:sz w:val="17"/>
                <w:szCs w:val="17"/>
              </w:rPr>
              <w:t>12,767 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42C" w14:textId="77777777" w:rsidR="008A3BAC" w:rsidRDefault="008A3BAC">
            <w:pPr>
              <w:jc w:val="right"/>
              <w:rPr>
                <w:rFonts w:ascii="宋体"/>
              </w:rPr>
            </w:pPr>
          </w:p>
        </w:tc>
      </w:tr>
      <w:tr w:rsidR="008A3BAC" w14:paraId="26E9C43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42E" w14:textId="77777777" w:rsidR="008A3BAC" w:rsidRDefault="005C75B9">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42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430" w14:textId="77777777" w:rsidR="008A3BAC" w:rsidRDefault="005C75B9">
            <w:pPr>
              <w:jc w:val="right"/>
              <w:textAlignment w:val="bottom"/>
            </w:pPr>
            <w:r>
              <w:rPr>
                <w:rFonts w:ascii="Arial" w:eastAsia="宋体" w:hAnsi="Arial" w:cs="Arial"/>
                <w:b/>
                <w:bCs/>
                <w:color w:val="000000"/>
                <w:sz w:val="17"/>
                <w:szCs w:val="17"/>
              </w:rPr>
              <w:t>38,577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431"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432"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43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434" w14:textId="77777777" w:rsidR="008A3BAC" w:rsidRDefault="005C75B9">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435" w14:textId="77777777" w:rsidR="008A3BAC" w:rsidRDefault="008A3BAC">
            <w:pPr>
              <w:jc w:val="right"/>
              <w:rPr>
                <w:rFonts w:ascii="宋体"/>
              </w:rPr>
            </w:pPr>
          </w:p>
        </w:tc>
      </w:tr>
    </w:tbl>
    <w:p w14:paraId="26E9C437" w14:textId="77777777" w:rsidR="008A3BAC" w:rsidRDefault="005C75B9">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6E9C438" w14:textId="77777777" w:rsidR="008A3BAC" w:rsidRDefault="005C75B9">
      <w:pPr>
        <w:spacing w:before="120" w:after="120"/>
        <w:jc w:val="right"/>
      </w:pPr>
      <w:r>
        <w:rPr>
          <w:rFonts w:ascii="Arial" w:eastAsia="宋体" w:hAnsi="Arial" w:cs="Arial"/>
          <w:color w:val="E87722"/>
          <w:sz w:val="17"/>
          <w:szCs w:val="17"/>
        </w:rPr>
        <w:t>3</w:t>
      </w:r>
    </w:p>
    <w:p w14:paraId="26E9C439" w14:textId="77777777" w:rsidR="008A3BAC" w:rsidRDefault="005C75B9">
      <w:r>
        <w:pict w14:anchorId="26E9E84A">
          <v:rect id="_x0000_i1029" style="width:415.3pt;height:1.5pt" o:hralign="center" o:hrstd="t" o:hr="t" fillcolor="#a0a0a0" stroked="f"/>
        </w:pict>
      </w:r>
    </w:p>
    <w:p w14:paraId="26E9C43A" w14:textId="77777777" w:rsidR="008A3BAC" w:rsidRDefault="008A3BAC"/>
    <w:p w14:paraId="26E9C43B" w14:textId="77777777" w:rsidR="008A3BAC" w:rsidRDefault="005C75B9">
      <w:hyperlink r:id="rId46" w:anchor="i46aba51c6a804f42b3595948c57d2023_7" w:history="1">
        <w:r>
          <w:rPr>
            <w:rStyle w:val="a5"/>
            <w:rFonts w:ascii="sans-serif" w:eastAsia="sans-serif" w:hAnsi="sans-serif" w:cs="sans-serif"/>
            <w:sz w:val="17"/>
            <w:szCs w:val="17"/>
          </w:rPr>
          <w:t>Table of Contents</w:t>
        </w:r>
      </w:hyperlink>
    </w:p>
    <w:p w14:paraId="26E9C43C" w14:textId="77777777" w:rsidR="008A3BAC" w:rsidRDefault="008A3BAC"/>
    <w:p w14:paraId="26E9C43D" w14:textId="77777777" w:rsidR="008A3BAC" w:rsidRDefault="005C75B9">
      <w:pPr>
        <w:spacing w:before="300"/>
      </w:pPr>
      <w:r>
        <w:rPr>
          <w:rFonts w:ascii="sans-serif" w:eastAsia="sans-serif" w:hAnsi="sans-serif" w:cs="sans-serif"/>
          <w:b/>
          <w:bCs/>
          <w:color w:val="E87722"/>
          <w:sz w:val="36"/>
          <w:szCs w:val="36"/>
        </w:rPr>
        <w:t>NIKE, INC.</w:t>
      </w:r>
    </w:p>
    <w:p w14:paraId="26E9C43E" w14:textId="77777777" w:rsidR="008A3BAC" w:rsidRDefault="005C75B9">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8A3BAC" w14:paraId="26E9C448" w14:textId="77777777">
        <w:tc>
          <w:tcPr>
            <w:tcW w:w="50" w:type="pct"/>
            <w:shd w:val="clear" w:color="auto" w:fill="auto"/>
            <w:vAlign w:val="bottom"/>
          </w:tcPr>
          <w:p w14:paraId="26E9C43F" w14:textId="77777777" w:rsidR="008A3BAC" w:rsidRDefault="008A3BAC">
            <w:pPr>
              <w:rPr>
                <w:rFonts w:ascii="宋体"/>
              </w:rPr>
            </w:pPr>
          </w:p>
        </w:tc>
        <w:tc>
          <w:tcPr>
            <w:tcW w:w="3507" w:type="pct"/>
            <w:shd w:val="clear" w:color="auto" w:fill="auto"/>
            <w:vAlign w:val="bottom"/>
          </w:tcPr>
          <w:p w14:paraId="26E9C440" w14:textId="77777777" w:rsidR="008A3BAC" w:rsidRDefault="008A3BAC">
            <w:pPr>
              <w:rPr>
                <w:rFonts w:ascii="宋体"/>
              </w:rPr>
            </w:pPr>
          </w:p>
        </w:tc>
        <w:tc>
          <w:tcPr>
            <w:tcW w:w="5" w:type="pct"/>
            <w:shd w:val="clear" w:color="auto" w:fill="auto"/>
            <w:vAlign w:val="bottom"/>
          </w:tcPr>
          <w:p w14:paraId="26E9C441" w14:textId="77777777" w:rsidR="008A3BAC" w:rsidRDefault="008A3BAC">
            <w:pPr>
              <w:rPr>
                <w:rFonts w:ascii="宋体"/>
              </w:rPr>
            </w:pPr>
          </w:p>
        </w:tc>
        <w:tc>
          <w:tcPr>
            <w:tcW w:w="50" w:type="pct"/>
            <w:shd w:val="clear" w:color="auto" w:fill="auto"/>
            <w:vAlign w:val="bottom"/>
          </w:tcPr>
          <w:p w14:paraId="26E9C442" w14:textId="77777777" w:rsidR="008A3BAC" w:rsidRDefault="008A3BAC">
            <w:pPr>
              <w:rPr>
                <w:rFonts w:ascii="宋体"/>
              </w:rPr>
            </w:pPr>
          </w:p>
        </w:tc>
        <w:tc>
          <w:tcPr>
            <w:tcW w:w="663" w:type="pct"/>
            <w:shd w:val="clear" w:color="auto" w:fill="auto"/>
            <w:vAlign w:val="bottom"/>
          </w:tcPr>
          <w:p w14:paraId="26E9C443" w14:textId="77777777" w:rsidR="008A3BAC" w:rsidRDefault="008A3BAC">
            <w:pPr>
              <w:rPr>
                <w:rFonts w:ascii="宋体"/>
              </w:rPr>
            </w:pPr>
          </w:p>
        </w:tc>
        <w:tc>
          <w:tcPr>
            <w:tcW w:w="5" w:type="pct"/>
            <w:shd w:val="clear" w:color="auto" w:fill="auto"/>
            <w:vAlign w:val="bottom"/>
          </w:tcPr>
          <w:p w14:paraId="26E9C444" w14:textId="77777777" w:rsidR="008A3BAC" w:rsidRDefault="008A3BAC">
            <w:pPr>
              <w:rPr>
                <w:rFonts w:ascii="宋体"/>
              </w:rPr>
            </w:pPr>
          </w:p>
        </w:tc>
        <w:tc>
          <w:tcPr>
            <w:tcW w:w="50" w:type="pct"/>
            <w:shd w:val="clear" w:color="auto" w:fill="auto"/>
            <w:vAlign w:val="bottom"/>
          </w:tcPr>
          <w:p w14:paraId="26E9C445" w14:textId="77777777" w:rsidR="008A3BAC" w:rsidRDefault="008A3BAC">
            <w:pPr>
              <w:rPr>
                <w:rFonts w:ascii="宋体"/>
              </w:rPr>
            </w:pPr>
          </w:p>
        </w:tc>
        <w:tc>
          <w:tcPr>
            <w:tcW w:w="663" w:type="pct"/>
            <w:shd w:val="clear" w:color="auto" w:fill="auto"/>
            <w:vAlign w:val="bottom"/>
          </w:tcPr>
          <w:p w14:paraId="26E9C446" w14:textId="77777777" w:rsidR="008A3BAC" w:rsidRDefault="008A3BAC">
            <w:pPr>
              <w:rPr>
                <w:rFonts w:ascii="宋体"/>
              </w:rPr>
            </w:pPr>
          </w:p>
        </w:tc>
        <w:tc>
          <w:tcPr>
            <w:tcW w:w="5" w:type="pct"/>
            <w:shd w:val="clear" w:color="auto" w:fill="auto"/>
            <w:vAlign w:val="bottom"/>
          </w:tcPr>
          <w:p w14:paraId="26E9C447" w14:textId="77777777" w:rsidR="008A3BAC" w:rsidRDefault="008A3BAC">
            <w:pPr>
              <w:rPr>
                <w:rFonts w:ascii="宋体"/>
              </w:rPr>
            </w:pPr>
          </w:p>
        </w:tc>
      </w:tr>
      <w:tr w:rsidR="008A3BAC" w14:paraId="26E9C44B" w14:textId="77777777">
        <w:tc>
          <w:tcPr>
            <w:tcW w:w="0" w:type="auto"/>
            <w:gridSpan w:val="3"/>
            <w:shd w:val="clear" w:color="auto" w:fill="auto"/>
            <w:tcMar>
              <w:top w:w="0" w:type="dxa"/>
              <w:left w:w="20" w:type="dxa"/>
              <w:bottom w:w="0" w:type="dxa"/>
              <w:right w:w="20" w:type="dxa"/>
            </w:tcMar>
            <w:vAlign w:val="bottom"/>
          </w:tcPr>
          <w:p w14:paraId="26E9C449"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44A"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44F" w14:textId="77777777">
        <w:tc>
          <w:tcPr>
            <w:tcW w:w="0" w:type="auto"/>
            <w:gridSpan w:val="3"/>
            <w:shd w:val="clear" w:color="auto" w:fill="auto"/>
            <w:tcMar>
              <w:top w:w="40" w:type="dxa"/>
              <w:left w:w="20" w:type="dxa"/>
              <w:bottom w:w="40" w:type="dxa"/>
              <w:right w:w="20" w:type="dxa"/>
            </w:tcMar>
            <w:vAlign w:val="bottom"/>
          </w:tcPr>
          <w:p w14:paraId="26E9C44C"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4D"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4E"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45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50" w14:textId="77777777" w:rsidR="008A3BAC" w:rsidRDefault="005C75B9">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45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452" w14:textId="77777777" w:rsidR="008A3BAC" w:rsidRDefault="008A3BAC">
            <w:pPr>
              <w:rPr>
                <w:rFonts w:ascii="宋体"/>
              </w:rPr>
            </w:pPr>
          </w:p>
        </w:tc>
      </w:tr>
      <w:tr w:rsidR="008A3BAC" w14:paraId="26E9C45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54" w14:textId="77777777" w:rsidR="008A3BAC" w:rsidRDefault="005C75B9">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45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456" w14:textId="77777777" w:rsidR="008A3BAC" w:rsidRDefault="005C75B9">
            <w:pPr>
              <w:jc w:val="right"/>
              <w:textAlignment w:val="bottom"/>
            </w:pPr>
            <w:r>
              <w:rPr>
                <w:rFonts w:ascii="Arial" w:eastAsia="宋体" w:hAnsi="Arial" w:cs="Arial"/>
                <w:color w:val="000000"/>
                <w:sz w:val="17"/>
                <w:szCs w:val="17"/>
              </w:rPr>
              <w:t>4,607 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5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45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459" w14:textId="77777777" w:rsidR="008A3BAC" w:rsidRDefault="005C75B9">
            <w:pPr>
              <w:jc w:val="right"/>
              <w:textAlignment w:val="bottom"/>
            </w:pPr>
            <w:r>
              <w:rPr>
                <w:rFonts w:ascii="Arial" w:eastAsia="宋体" w:hAnsi="Arial" w:cs="Arial"/>
                <w:color w:val="000000"/>
                <w:sz w:val="17"/>
                <w:szCs w:val="17"/>
              </w:rPr>
              <w:t>4,218 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5A" w14:textId="77777777" w:rsidR="008A3BAC" w:rsidRDefault="008A3BAC">
            <w:pPr>
              <w:jc w:val="right"/>
              <w:rPr>
                <w:rFonts w:ascii="宋体"/>
              </w:rPr>
            </w:pPr>
          </w:p>
        </w:tc>
      </w:tr>
      <w:tr w:rsidR="008A3BAC" w14:paraId="26E9C45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5C" w14:textId="77777777" w:rsidR="008A3BAC" w:rsidRDefault="005C75B9">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45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45E" w14:textId="77777777" w:rsidR="008A3BAC" w:rsidRDefault="008A3BAC">
            <w:pPr>
              <w:rPr>
                <w:rFonts w:ascii="宋体"/>
              </w:rPr>
            </w:pPr>
          </w:p>
        </w:tc>
      </w:tr>
      <w:tr w:rsidR="008A3BAC" w14:paraId="26E9C46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60" w14:textId="77777777" w:rsidR="008A3BAC" w:rsidRDefault="005C75B9">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61" w14:textId="77777777" w:rsidR="008A3BAC" w:rsidRDefault="005C75B9">
            <w:pPr>
              <w:jc w:val="right"/>
              <w:textAlignment w:val="bottom"/>
            </w:pPr>
            <w:r>
              <w:rPr>
                <w:rFonts w:ascii="Arial" w:eastAsia="宋体" w:hAnsi="Arial" w:cs="Arial"/>
                <w:color w:val="000000"/>
                <w:sz w:val="17"/>
                <w:szCs w:val="17"/>
              </w:rPr>
              <w:t>538 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6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63" w14:textId="77777777" w:rsidR="008A3BAC" w:rsidRDefault="005C75B9">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64" w14:textId="77777777" w:rsidR="008A3BAC" w:rsidRDefault="008A3BAC">
            <w:pPr>
              <w:jc w:val="right"/>
              <w:rPr>
                <w:rFonts w:ascii="宋体"/>
              </w:rPr>
            </w:pPr>
          </w:p>
        </w:tc>
      </w:tr>
      <w:tr w:rsidR="008A3BAC" w14:paraId="26E9C4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66" w14:textId="77777777" w:rsidR="008A3BAC" w:rsidRDefault="005C75B9">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67" w14:textId="77777777" w:rsidR="008A3BAC" w:rsidRDefault="005C75B9">
            <w:pPr>
              <w:jc w:val="right"/>
              <w:textAlignment w:val="bottom"/>
            </w:pPr>
            <w:r>
              <w:rPr>
                <w:rFonts w:ascii="Arial" w:eastAsia="宋体" w:hAnsi="Arial" w:cs="Arial"/>
                <w:color w:val="000000"/>
                <w:sz w:val="17"/>
                <w:szCs w:val="17"/>
              </w:rPr>
              <w:t>(234)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6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69" w14:textId="77777777" w:rsidR="008A3BAC" w:rsidRDefault="005C75B9">
            <w:pPr>
              <w:jc w:val="right"/>
              <w:textAlignment w:val="bottom"/>
            </w:pPr>
            <w:r>
              <w:rPr>
                <w:rFonts w:ascii="Arial" w:eastAsia="宋体" w:hAnsi="Arial" w:cs="Arial"/>
                <w:color w:val="000000"/>
                <w:sz w:val="17"/>
                <w:szCs w:val="17"/>
              </w:rPr>
              <w:t>(291)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6A" w14:textId="77777777" w:rsidR="008A3BAC" w:rsidRDefault="008A3BAC">
            <w:pPr>
              <w:jc w:val="right"/>
              <w:rPr>
                <w:rFonts w:ascii="宋体"/>
              </w:rPr>
            </w:pPr>
          </w:p>
        </w:tc>
      </w:tr>
      <w:tr w:rsidR="008A3BAC" w14:paraId="26E9C4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6C" w14:textId="77777777" w:rsidR="008A3BAC" w:rsidRDefault="005C75B9">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6D"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6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6F"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70" w14:textId="77777777" w:rsidR="008A3BAC" w:rsidRDefault="008A3BAC">
            <w:pPr>
              <w:jc w:val="right"/>
              <w:rPr>
                <w:rFonts w:ascii="宋体"/>
              </w:rPr>
            </w:pPr>
          </w:p>
        </w:tc>
      </w:tr>
      <w:tr w:rsidR="008A3BAC" w14:paraId="26E9C47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72" w14:textId="77777777" w:rsidR="008A3BAC" w:rsidRDefault="005C75B9">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73"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7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75" w14:textId="77777777" w:rsidR="008A3BAC" w:rsidRDefault="005C75B9">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76" w14:textId="77777777" w:rsidR="008A3BAC" w:rsidRDefault="008A3BAC">
            <w:pPr>
              <w:jc w:val="right"/>
              <w:rPr>
                <w:rFonts w:ascii="宋体"/>
              </w:rPr>
            </w:pPr>
          </w:p>
        </w:tc>
      </w:tr>
      <w:tr w:rsidR="008A3BAC" w14:paraId="26E9C47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78" w14:textId="77777777" w:rsidR="008A3BAC" w:rsidRDefault="005C75B9">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79"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7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7B" w14:textId="77777777" w:rsidR="008A3BAC" w:rsidRDefault="005C75B9">
            <w:pPr>
              <w:jc w:val="right"/>
              <w:textAlignment w:val="bottom"/>
            </w:pPr>
            <w:r>
              <w:rPr>
                <w:rFonts w:ascii="Arial" w:eastAsia="宋体" w:hAnsi="Arial" w:cs="Arial"/>
                <w:color w:val="000000"/>
                <w:sz w:val="17"/>
                <w:szCs w:val="17"/>
              </w:rPr>
              <w:t>(130)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7C" w14:textId="77777777" w:rsidR="008A3BAC" w:rsidRDefault="008A3BAC">
            <w:pPr>
              <w:jc w:val="right"/>
              <w:rPr>
                <w:rFonts w:ascii="宋体"/>
              </w:rPr>
            </w:pPr>
          </w:p>
        </w:tc>
      </w:tr>
      <w:tr w:rsidR="008A3BAC" w14:paraId="26E9C4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7E" w14:textId="77777777" w:rsidR="008A3BAC" w:rsidRDefault="005C75B9">
            <w:pPr>
              <w:textAlignment w:val="bottom"/>
            </w:pPr>
            <w:r>
              <w:rPr>
                <w:rFonts w:ascii="Arial" w:eastAsia="宋体" w:hAnsi="Arial" w:cs="Arial"/>
                <w:color w:val="000000"/>
                <w:sz w:val="17"/>
                <w:szCs w:val="17"/>
              </w:rPr>
              <w:t>Changes in certain working capital components and other assets and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47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480" w14:textId="77777777" w:rsidR="008A3BAC" w:rsidRDefault="008A3BAC">
            <w:pPr>
              <w:rPr>
                <w:rFonts w:ascii="宋体"/>
              </w:rPr>
            </w:pPr>
          </w:p>
        </w:tc>
      </w:tr>
      <w:tr w:rsidR="008A3BAC" w14:paraId="26E9C48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82" w14:textId="77777777" w:rsidR="008A3BAC" w:rsidRDefault="005C75B9">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83" w14:textId="77777777" w:rsidR="008A3BAC" w:rsidRDefault="005C75B9">
            <w:pPr>
              <w:jc w:val="right"/>
              <w:textAlignment w:val="bottom"/>
            </w:pPr>
            <w:r>
              <w:rPr>
                <w:rFonts w:ascii="Arial" w:eastAsia="宋体" w:hAnsi="Arial" w:cs="Arial"/>
                <w:color w:val="000000"/>
                <w:sz w:val="17"/>
                <w:szCs w:val="17"/>
              </w:rPr>
              <w:t>466 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8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85" w14:textId="77777777" w:rsidR="008A3BAC" w:rsidRDefault="005C75B9">
            <w:pPr>
              <w:jc w:val="right"/>
              <w:textAlignment w:val="bottom"/>
            </w:pPr>
            <w:r>
              <w:rPr>
                <w:rFonts w:ascii="Arial" w:eastAsia="宋体" w:hAnsi="Arial" w:cs="Arial"/>
                <w:color w:val="000000"/>
                <w:sz w:val="17"/>
                <w:szCs w:val="17"/>
              </w:rPr>
              <w:t>(837)</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86" w14:textId="77777777" w:rsidR="008A3BAC" w:rsidRDefault="008A3BAC">
            <w:pPr>
              <w:jc w:val="right"/>
              <w:rPr>
                <w:rFonts w:ascii="宋体"/>
              </w:rPr>
            </w:pPr>
          </w:p>
        </w:tc>
      </w:tr>
      <w:tr w:rsidR="008A3BAC" w14:paraId="26E9C48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88" w14:textId="77777777" w:rsidR="008A3BAC" w:rsidRDefault="005C75B9">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89" w14:textId="77777777" w:rsidR="008A3BAC" w:rsidRDefault="005C75B9">
            <w:pPr>
              <w:jc w:val="right"/>
              <w:textAlignment w:val="bottom"/>
            </w:pPr>
            <w:r>
              <w:rPr>
                <w:rFonts w:ascii="Arial" w:eastAsia="宋体" w:hAnsi="Arial" w:cs="Arial"/>
                <w:color w:val="000000"/>
                <w:sz w:val="17"/>
                <w:szCs w:val="17"/>
              </w:rPr>
              <w:t>(872)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8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8B" w14:textId="77777777" w:rsidR="008A3BAC" w:rsidRDefault="005C75B9">
            <w:pPr>
              <w:jc w:val="right"/>
              <w:textAlignment w:val="bottom"/>
            </w:pPr>
            <w:r>
              <w:rPr>
                <w:rFonts w:ascii="Arial" w:eastAsia="宋体" w:hAnsi="Arial" w:cs="Arial"/>
                <w:color w:val="000000"/>
                <w:sz w:val="17"/>
                <w:szCs w:val="17"/>
              </w:rPr>
              <w:t>674 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8C" w14:textId="77777777" w:rsidR="008A3BAC" w:rsidRDefault="008A3BAC">
            <w:pPr>
              <w:jc w:val="right"/>
              <w:rPr>
                <w:rFonts w:ascii="宋体"/>
              </w:rPr>
            </w:pPr>
          </w:p>
        </w:tc>
      </w:tr>
      <w:tr w:rsidR="008A3BAC" w14:paraId="26E9C49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8E" w14:textId="77777777" w:rsidR="008A3BAC" w:rsidRDefault="005C75B9">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8F" w14:textId="77777777" w:rsidR="008A3BAC" w:rsidRDefault="005C75B9">
            <w:pPr>
              <w:jc w:val="right"/>
              <w:textAlignment w:val="bottom"/>
            </w:pPr>
            <w:r>
              <w:rPr>
                <w:rFonts w:ascii="Arial" w:eastAsia="宋体" w:hAnsi="Arial" w:cs="Arial"/>
                <w:color w:val="000000"/>
                <w:sz w:val="17"/>
                <w:szCs w:val="17"/>
              </w:rPr>
              <w:t>(639)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9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91" w14:textId="77777777" w:rsidR="008A3BAC" w:rsidRDefault="005C75B9">
            <w:pPr>
              <w:jc w:val="right"/>
              <w:textAlignment w:val="bottom"/>
            </w:pPr>
            <w:r>
              <w:rPr>
                <w:rFonts w:ascii="Arial" w:eastAsia="宋体" w:hAnsi="Arial" w:cs="Arial"/>
                <w:color w:val="000000"/>
                <w:sz w:val="17"/>
                <w:szCs w:val="17"/>
              </w:rPr>
              <w:t>(406)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92" w14:textId="77777777" w:rsidR="008A3BAC" w:rsidRDefault="008A3BAC">
            <w:pPr>
              <w:jc w:val="right"/>
              <w:rPr>
                <w:rFonts w:ascii="宋体"/>
              </w:rPr>
            </w:pPr>
          </w:p>
        </w:tc>
      </w:tr>
      <w:tr w:rsidR="008A3BAC" w14:paraId="26E9C4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94" w14:textId="77777777" w:rsidR="008A3BAC" w:rsidRDefault="005C75B9">
            <w:pPr>
              <w:textAlignment w:val="bottom"/>
            </w:pPr>
            <w:r>
              <w:rPr>
                <w:rFonts w:ascii="Arial" w:eastAsia="宋体" w:hAnsi="Arial" w:cs="Arial"/>
                <w:color w:val="000000"/>
                <w:sz w:val="17"/>
                <w:szCs w:val="17"/>
              </w:rPr>
              <w:t xml:space="preserve">Increase </w:t>
            </w:r>
            <w:r>
              <w:rPr>
                <w:rFonts w:ascii="Arial" w:eastAsia="宋体" w:hAnsi="Arial" w:cs="Arial"/>
                <w:color w:val="000000"/>
                <w:sz w:val="17"/>
                <w:szCs w:val="17"/>
              </w:rPr>
              <w:t>(decrease)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95" w14:textId="77777777" w:rsidR="008A3BAC" w:rsidRDefault="005C75B9">
            <w:pPr>
              <w:jc w:val="right"/>
              <w:textAlignment w:val="bottom"/>
            </w:pPr>
            <w:r>
              <w:rPr>
                <w:rFonts w:ascii="Arial" w:eastAsia="宋体" w:hAnsi="Arial" w:cs="Arial"/>
                <w:color w:val="000000"/>
                <w:sz w:val="17"/>
                <w:szCs w:val="17"/>
              </w:rPr>
              <w:t>(305)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9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97" w14:textId="77777777" w:rsidR="008A3BAC" w:rsidRDefault="005C75B9">
            <w:pPr>
              <w:jc w:val="right"/>
              <w:textAlignment w:val="bottom"/>
            </w:pPr>
            <w:r>
              <w:rPr>
                <w:rFonts w:ascii="Arial" w:eastAsia="宋体" w:hAnsi="Arial" w:cs="Arial"/>
                <w:color w:val="000000"/>
                <w:sz w:val="17"/>
                <w:szCs w:val="17"/>
              </w:rPr>
              <w:t>374 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98" w14:textId="77777777" w:rsidR="008A3BAC" w:rsidRDefault="008A3BAC">
            <w:pPr>
              <w:jc w:val="right"/>
              <w:rPr>
                <w:rFonts w:ascii="宋体"/>
              </w:rPr>
            </w:pPr>
          </w:p>
        </w:tc>
      </w:tr>
      <w:tr w:rsidR="008A3BAC" w14:paraId="26E9C49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9A" w14:textId="77777777" w:rsidR="008A3BAC" w:rsidRDefault="005C75B9">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49B" w14:textId="77777777" w:rsidR="008A3BAC" w:rsidRDefault="005C75B9">
            <w:pPr>
              <w:jc w:val="right"/>
              <w:textAlignment w:val="bottom"/>
            </w:pPr>
            <w:r>
              <w:rPr>
                <w:rFonts w:ascii="Arial" w:eastAsia="宋体" w:hAnsi="Arial" w:cs="Arial"/>
                <w:color w:val="000000"/>
                <w:sz w:val="17"/>
                <w:szCs w:val="17"/>
              </w:rPr>
              <w:t>4,037 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49C"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49D" w14:textId="77777777" w:rsidR="008A3BAC" w:rsidRDefault="005C75B9">
            <w:pPr>
              <w:jc w:val="right"/>
              <w:textAlignment w:val="bottom"/>
            </w:pPr>
            <w:r>
              <w:rPr>
                <w:rFonts w:ascii="Arial" w:eastAsia="宋体" w:hAnsi="Arial" w:cs="Arial"/>
                <w:color w:val="000000"/>
                <w:sz w:val="17"/>
                <w:szCs w:val="17"/>
              </w:rPr>
              <w:t>4,645 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49E" w14:textId="77777777" w:rsidR="008A3BAC" w:rsidRDefault="008A3BAC">
            <w:pPr>
              <w:jc w:val="right"/>
              <w:rPr>
                <w:rFonts w:ascii="宋体"/>
              </w:rPr>
            </w:pPr>
          </w:p>
        </w:tc>
      </w:tr>
      <w:tr w:rsidR="008A3BAC" w14:paraId="26E9C4A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A0" w14:textId="77777777" w:rsidR="008A3BAC" w:rsidRDefault="005C75B9">
            <w:pPr>
              <w:textAlignment w:val="bottom"/>
            </w:pPr>
            <w:r>
              <w:rPr>
                <w:rFonts w:ascii="Arial" w:eastAsia="宋体" w:hAnsi="Arial" w:cs="Arial"/>
                <w:b/>
                <w:bCs/>
                <w:color w:val="000000"/>
                <w:sz w:val="17"/>
                <w:szCs w:val="17"/>
              </w:rPr>
              <w:t>Cash provided (used) by investing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4A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4A2" w14:textId="77777777" w:rsidR="008A3BAC" w:rsidRDefault="008A3BAC">
            <w:pPr>
              <w:rPr>
                <w:rFonts w:ascii="宋体"/>
              </w:rPr>
            </w:pPr>
          </w:p>
        </w:tc>
      </w:tr>
      <w:tr w:rsidR="008A3BAC" w14:paraId="26E9C4A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A4" w14:textId="77777777" w:rsidR="008A3BAC" w:rsidRDefault="005C75B9">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A5" w14:textId="77777777" w:rsidR="008A3BAC" w:rsidRDefault="005C75B9">
            <w:pPr>
              <w:jc w:val="right"/>
              <w:textAlignment w:val="bottom"/>
            </w:pPr>
            <w:r>
              <w:rPr>
                <w:rFonts w:ascii="Arial" w:eastAsia="宋体" w:hAnsi="Arial" w:cs="Arial"/>
                <w:color w:val="000000"/>
                <w:sz w:val="17"/>
                <w:szCs w:val="17"/>
              </w:rPr>
              <w:t>(9,229)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A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A7" w14:textId="77777777" w:rsidR="008A3BAC" w:rsidRDefault="005C75B9">
            <w:pPr>
              <w:jc w:val="right"/>
              <w:textAlignment w:val="bottom"/>
            </w:pPr>
            <w:r>
              <w:rPr>
                <w:rFonts w:ascii="Arial" w:eastAsia="宋体" w:hAnsi="Arial" w:cs="Arial"/>
                <w:color w:val="000000"/>
                <w:sz w:val="17"/>
                <w:szCs w:val="17"/>
              </w:rPr>
              <w:t>(7,441)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A8" w14:textId="77777777" w:rsidR="008A3BAC" w:rsidRDefault="008A3BAC">
            <w:pPr>
              <w:jc w:val="right"/>
              <w:rPr>
                <w:rFonts w:ascii="宋体"/>
              </w:rPr>
            </w:pPr>
          </w:p>
        </w:tc>
      </w:tr>
      <w:tr w:rsidR="008A3BAC" w14:paraId="26E9C4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AA" w14:textId="77777777" w:rsidR="008A3BAC" w:rsidRDefault="005C75B9">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AB" w14:textId="77777777" w:rsidR="008A3BAC" w:rsidRDefault="005C75B9">
            <w:pPr>
              <w:jc w:val="right"/>
              <w:textAlignment w:val="bottom"/>
            </w:pPr>
            <w:r>
              <w:rPr>
                <w:rFonts w:ascii="Arial" w:eastAsia="宋体" w:hAnsi="Arial" w:cs="Arial"/>
                <w:color w:val="000000"/>
                <w:sz w:val="17"/>
                <w:szCs w:val="17"/>
              </w:rPr>
              <w:t>5,152 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A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AD" w14:textId="77777777" w:rsidR="008A3BAC" w:rsidRDefault="005C75B9">
            <w:pPr>
              <w:jc w:val="right"/>
              <w:textAlignment w:val="bottom"/>
            </w:pPr>
            <w:r>
              <w:rPr>
                <w:rFonts w:ascii="Arial" w:eastAsia="宋体" w:hAnsi="Arial" w:cs="Arial"/>
                <w:color w:val="000000"/>
                <w:sz w:val="17"/>
                <w:szCs w:val="17"/>
              </w:rPr>
              <w:t>2,203 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AE" w14:textId="77777777" w:rsidR="008A3BAC" w:rsidRDefault="008A3BAC">
            <w:pPr>
              <w:jc w:val="right"/>
              <w:rPr>
                <w:rFonts w:ascii="宋体"/>
              </w:rPr>
            </w:pPr>
          </w:p>
        </w:tc>
      </w:tr>
      <w:tr w:rsidR="008A3BAC" w14:paraId="26E9C4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B0" w14:textId="77777777" w:rsidR="008A3BAC" w:rsidRDefault="005C75B9">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B1" w14:textId="77777777" w:rsidR="008A3BAC" w:rsidRDefault="005C75B9">
            <w:pPr>
              <w:jc w:val="right"/>
              <w:textAlignment w:val="bottom"/>
            </w:pPr>
            <w:r>
              <w:rPr>
                <w:rFonts w:ascii="Arial" w:eastAsia="宋体" w:hAnsi="Arial" w:cs="Arial"/>
                <w:color w:val="000000"/>
                <w:sz w:val="17"/>
                <w:szCs w:val="17"/>
              </w:rPr>
              <w:t>2,921 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B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B3" w14:textId="77777777" w:rsidR="008A3BAC" w:rsidRDefault="005C75B9">
            <w:pPr>
              <w:jc w:val="right"/>
              <w:textAlignment w:val="bottom"/>
            </w:pPr>
            <w:r>
              <w:rPr>
                <w:rFonts w:ascii="Arial" w:eastAsia="宋体" w:hAnsi="Arial" w:cs="Arial"/>
                <w:color w:val="000000"/>
                <w:sz w:val="17"/>
                <w:szCs w:val="17"/>
              </w:rPr>
              <w:t>1,588 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B4" w14:textId="77777777" w:rsidR="008A3BAC" w:rsidRDefault="008A3BAC">
            <w:pPr>
              <w:jc w:val="right"/>
              <w:rPr>
                <w:rFonts w:ascii="宋体"/>
              </w:rPr>
            </w:pPr>
          </w:p>
        </w:tc>
      </w:tr>
      <w:tr w:rsidR="008A3BAC" w14:paraId="26E9C4B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B6" w14:textId="77777777" w:rsidR="008A3BAC" w:rsidRDefault="005C75B9">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B7" w14:textId="77777777" w:rsidR="008A3BAC" w:rsidRDefault="005C75B9">
            <w:pPr>
              <w:jc w:val="right"/>
              <w:textAlignment w:val="bottom"/>
            </w:pPr>
            <w:r>
              <w:rPr>
                <w:rFonts w:ascii="Arial" w:eastAsia="宋体" w:hAnsi="Arial" w:cs="Arial"/>
                <w:color w:val="000000"/>
                <w:sz w:val="17"/>
                <w:szCs w:val="17"/>
              </w:rPr>
              <w:t>(516)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B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B9" w14:textId="77777777" w:rsidR="008A3BAC" w:rsidRDefault="005C75B9">
            <w:pPr>
              <w:jc w:val="right"/>
              <w:textAlignment w:val="bottom"/>
            </w:pPr>
            <w:r>
              <w:rPr>
                <w:rFonts w:ascii="Arial" w:eastAsia="宋体" w:hAnsi="Arial" w:cs="Arial"/>
                <w:color w:val="000000"/>
                <w:sz w:val="17"/>
                <w:szCs w:val="17"/>
              </w:rPr>
              <w:t>(521)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BA" w14:textId="77777777" w:rsidR="008A3BAC" w:rsidRDefault="008A3BAC">
            <w:pPr>
              <w:jc w:val="right"/>
              <w:rPr>
                <w:rFonts w:ascii="宋体"/>
              </w:rPr>
            </w:pPr>
          </w:p>
        </w:tc>
      </w:tr>
      <w:tr w:rsidR="008A3BAC" w14:paraId="26E9C4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BC" w14:textId="77777777" w:rsidR="008A3BAC" w:rsidRDefault="005C75B9">
            <w:pPr>
              <w:textAlignment w:val="bottom"/>
            </w:pPr>
            <w:r>
              <w:rPr>
                <w:rFonts w:ascii="Arial" w:eastAsia="宋体" w:hAnsi="Arial" w:cs="Arial"/>
                <w:color w:val="000000"/>
                <w:sz w:val="17"/>
                <w:szCs w:val="17"/>
              </w:rPr>
              <w:t>Other investing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BD" w14:textId="77777777" w:rsidR="008A3BAC" w:rsidRDefault="005C75B9">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B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BF" w14:textId="77777777" w:rsidR="008A3BAC" w:rsidRDefault="005C75B9">
            <w:pPr>
              <w:jc w:val="right"/>
              <w:textAlignment w:val="bottom"/>
            </w:pPr>
            <w:r>
              <w:rPr>
                <w:rFonts w:ascii="Arial" w:eastAsia="宋体" w:hAnsi="Arial" w:cs="Arial"/>
                <w:color w:val="000000"/>
                <w:sz w:val="17"/>
                <w:szCs w:val="17"/>
              </w:rPr>
              <w:t>184 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C0" w14:textId="77777777" w:rsidR="008A3BAC" w:rsidRDefault="008A3BAC">
            <w:pPr>
              <w:jc w:val="right"/>
              <w:rPr>
                <w:rFonts w:ascii="宋体"/>
              </w:rPr>
            </w:pPr>
          </w:p>
        </w:tc>
      </w:tr>
      <w:tr w:rsidR="008A3BAC" w14:paraId="26E9C4C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C2" w14:textId="77777777" w:rsidR="008A3BAC" w:rsidRDefault="005C75B9">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4C3" w14:textId="77777777" w:rsidR="008A3BAC" w:rsidRDefault="005C75B9">
            <w:pPr>
              <w:jc w:val="right"/>
              <w:textAlignment w:val="bottom"/>
            </w:pPr>
            <w:r>
              <w:rPr>
                <w:rFonts w:ascii="Arial" w:eastAsia="宋体" w:hAnsi="Arial" w:cs="Arial"/>
                <w:color w:val="000000"/>
                <w:sz w:val="17"/>
                <w:szCs w:val="17"/>
              </w:rPr>
              <w:t>(1,711)</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4C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4C5" w14:textId="77777777" w:rsidR="008A3BAC" w:rsidRDefault="005C75B9">
            <w:pPr>
              <w:jc w:val="right"/>
              <w:textAlignment w:val="bottom"/>
            </w:pPr>
            <w:r>
              <w:rPr>
                <w:rFonts w:ascii="Arial" w:eastAsia="宋体" w:hAnsi="Arial" w:cs="Arial"/>
                <w:color w:val="000000"/>
                <w:sz w:val="17"/>
                <w:szCs w:val="17"/>
              </w:rPr>
              <w:t>(3,987)</w:t>
            </w:r>
          </w:p>
        </w:tc>
        <w:tc>
          <w:tcPr>
            <w:tcW w:w="0" w:type="auto"/>
            <w:tcBorders>
              <w:top w:val="single" w:sz="8" w:space="0" w:color="E87722"/>
            </w:tcBorders>
            <w:shd w:val="clear" w:color="auto" w:fill="auto"/>
            <w:tcMar>
              <w:top w:w="40" w:type="dxa"/>
              <w:left w:w="0" w:type="dxa"/>
              <w:bottom w:w="40" w:type="dxa"/>
              <w:right w:w="20" w:type="dxa"/>
            </w:tcMar>
            <w:vAlign w:val="bottom"/>
          </w:tcPr>
          <w:p w14:paraId="26E9C4C6" w14:textId="77777777" w:rsidR="008A3BAC" w:rsidRDefault="008A3BAC">
            <w:pPr>
              <w:jc w:val="right"/>
              <w:rPr>
                <w:rFonts w:ascii="宋体"/>
              </w:rPr>
            </w:pPr>
          </w:p>
        </w:tc>
      </w:tr>
      <w:tr w:rsidR="008A3BAC" w14:paraId="26E9C4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C8" w14:textId="77777777" w:rsidR="008A3BAC" w:rsidRDefault="005C75B9">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4C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4CA" w14:textId="77777777" w:rsidR="008A3BAC" w:rsidRDefault="008A3BAC">
            <w:pPr>
              <w:rPr>
                <w:rFonts w:ascii="宋体"/>
              </w:rPr>
            </w:pPr>
          </w:p>
        </w:tc>
      </w:tr>
      <w:tr w:rsidR="008A3BAC" w14:paraId="26E9C4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CC" w14:textId="77777777" w:rsidR="008A3BAC" w:rsidRDefault="005C75B9">
            <w:pPr>
              <w:textAlignment w:val="bottom"/>
            </w:pPr>
            <w:r>
              <w:rPr>
                <w:rFonts w:ascii="Arial" w:eastAsia="宋体" w:hAnsi="Arial" w:cs="Arial"/>
                <w:color w:val="000000"/>
                <w:sz w:val="17"/>
                <w:szCs w:val="17"/>
              </w:rPr>
              <w:t>Increase (decrease) in 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CD"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C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CF" w14:textId="77777777" w:rsidR="008A3BAC" w:rsidRDefault="005C75B9">
            <w:pPr>
              <w:jc w:val="right"/>
              <w:textAlignment w:val="bottom"/>
            </w:pPr>
            <w:r>
              <w:rPr>
                <w:rFonts w:ascii="Arial" w:eastAsia="宋体" w:hAnsi="Arial" w:cs="Arial"/>
                <w:color w:val="000000"/>
                <w:sz w:val="17"/>
                <w:szCs w:val="17"/>
              </w:rPr>
              <w:t>(51)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D0" w14:textId="77777777" w:rsidR="008A3BAC" w:rsidRDefault="008A3BAC">
            <w:pPr>
              <w:jc w:val="right"/>
              <w:rPr>
                <w:rFonts w:ascii="宋体"/>
              </w:rPr>
            </w:pPr>
          </w:p>
        </w:tc>
      </w:tr>
      <w:tr w:rsidR="008A3BAC" w14:paraId="26E9C4D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D2" w14:textId="77777777" w:rsidR="008A3BAC" w:rsidRDefault="005C75B9">
            <w:pPr>
              <w:textAlignment w:val="bottom"/>
            </w:pPr>
            <w:r>
              <w:rPr>
                <w:rFonts w:ascii="Arial" w:eastAsia="宋体" w:hAnsi="Arial" w:cs="Arial"/>
                <w:color w:val="000000"/>
                <w:sz w:val="17"/>
                <w:szCs w:val="17"/>
              </w:rPr>
              <w:t>Repayment of borrowings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D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D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D5" w14:textId="77777777" w:rsidR="008A3BAC" w:rsidRDefault="005C75B9">
            <w:pPr>
              <w:jc w:val="right"/>
              <w:textAlignment w:val="bottom"/>
            </w:pPr>
            <w:r>
              <w:rPr>
                <w:rFonts w:ascii="Arial" w:eastAsia="宋体" w:hAnsi="Arial" w:cs="Arial"/>
                <w:color w:val="000000"/>
                <w:sz w:val="17"/>
                <w:szCs w:val="17"/>
              </w:rPr>
              <w:t>(196)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D6" w14:textId="77777777" w:rsidR="008A3BAC" w:rsidRDefault="008A3BAC">
            <w:pPr>
              <w:jc w:val="right"/>
              <w:rPr>
                <w:rFonts w:ascii="宋体"/>
              </w:rPr>
            </w:pPr>
          </w:p>
        </w:tc>
      </w:tr>
      <w:tr w:rsidR="008A3BAC" w14:paraId="26E9C4D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D8" w14:textId="77777777" w:rsidR="008A3BAC" w:rsidRDefault="005C75B9">
            <w:pPr>
              <w:textAlignment w:val="bottom"/>
            </w:pPr>
            <w:r>
              <w:rPr>
                <w:rFonts w:ascii="Arial" w:eastAsia="宋体" w:hAnsi="Arial" w:cs="Arial"/>
                <w:color w:val="000000"/>
                <w:sz w:val="17"/>
                <w:szCs w:val="17"/>
              </w:rPr>
              <w:t xml:space="preserve">Proceeds from exercise of stock options and </w:t>
            </w:r>
            <w:r>
              <w:rPr>
                <w:rFonts w:ascii="Arial" w:eastAsia="宋体" w:hAnsi="Arial" w:cs="Arial"/>
                <w:color w:val="000000"/>
                <w:sz w:val="17"/>
                <w:szCs w:val="17"/>
              </w:rPr>
              <w:t>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D9" w14:textId="77777777" w:rsidR="008A3BAC" w:rsidRDefault="005C75B9">
            <w:pPr>
              <w:jc w:val="right"/>
              <w:textAlignment w:val="bottom"/>
            </w:pPr>
            <w:r>
              <w:rPr>
                <w:rFonts w:ascii="Arial" w:eastAsia="宋体" w:hAnsi="Arial" w:cs="Arial"/>
                <w:color w:val="000000"/>
                <w:sz w:val="17"/>
                <w:szCs w:val="17"/>
              </w:rPr>
              <w:t>959 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D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DB" w14:textId="77777777" w:rsidR="008A3BAC" w:rsidRDefault="005C75B9">
            <w:pPr>
              <w:jc w:val="right"/>
              <w:textAlignment w:val="bottom"/>
            </w:pPr>
            <w:r>
              <w:rPr>
                <w:rFonts w:ascii="Arial" w:eastAsia="宋体" w:hAnsi="Arial" w:cs="Arial"/>
                <w:color w:val="000000"/>
                <w:sz w:val="17"/>
                <w:szCs w:val="17"/>
              </w:rPr>
              <w:t>969 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DC" w14:textId="77777777" w:rsidR="008A3BAC" w:rsidRDefault="008A3BAC">
            <w:pPr>
              <w:jc w:val="right"/>
              <w:rPr>
                <w:rFonts w:ascii="宋体"/>
              </w:rPr>
            </w:pPr>
          </w:p>
        </w:tc>
      </w:tr>
      <w:tr w:rsidR="008A3BAC" w14:paraId="26E9C4E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DE" w14:textId="77777777" w:rsidR="008A3BAC" w:rsidRDefault="005C75B9">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DF" w14:textId="77777777" w:rsidR="008A3BAC" w:rsidRDefault="005C75B9">
            <w:pPr>
              <w:jc w:val="right"/>
              <w:textAlignment w:val="bottom"/>
            </w:pPr>
            <w:r>
              <w:rPr>
                <w:rFonts w:ascii="Arial" w:eastAsia="宋体" w:hAnsi="Arial" w:cs="Arial"/>
                <w:color w:val="000000"/>
                <w:sz w:val="17"/>
                <w:szCs w:val="17"/>
              </w:rPr>
              <w:t>(2,923)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E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E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E2" w14:textId="77777777" w:rsidR="008A3BAC" w:rsidRDefault="008A3BAC">
            <w:pPr>
              <w:jc w:val="right"/>
              <w:rPr>
                <w:rFonts w:ascii="宋体"/>
              </w:rPr>
            </w:pPr>
          </w:p>
        </w:tc>
      </w:tr>
      <w:tr w:rsidR="008A3BAC" w14:paraId="26E9C4E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E4" w14:textId="77777777" w:rsidR="008A3BAC" w:rsidRDefault="005C75B9">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E5" w14:textId="77777777" w:rsidR="008A3BAC" w:rsidRDefault="005C75B9">
            <w:pPr>
              <w:jc w:val="right"/>
              <w:textAlignment w:val="bottom"/>
            </w:pPr>
            <w:r>
              <w:rPr>
                <w:rFonts w:ascii="Arial" w:eastAsia="宋体" w:hAnsi="Arial" w:cs="Arial"/>
                <w:color w:val="000000"/>
                <w:sz w:val="17"/>
                <w:szCs w:val="17"/>
              </w:rPr>
              <w:t>(1,356)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E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E7" w14:textId="77777777" w:rsidR="008A3BAC" w:rsidRDefault="005C75B9">
            <w:pPr>
              <w:jc w:val="right"/>
              <w:textAlignment w:val="bottom"/>
            </w:pPr>
            <w:r>
              <w:rPr>
                <w:rFonts w:ascii="Arial" w:eastAsia="宋体" w:hAnsi="Arial" w:cs="Arial"/>
                <w:color w:val="000000"/>
                <w:sz w:val="17"/>
                <w:szCs w:val="17"/>
              </w:rPr>
              <w:t>(1,203)</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E8" w14:textId="77777777" w:rsidR="008A3BAC" w:rsidRDefault="008A3BAC">
            <w:pPr>
              <w:jc w:val="right"/>
              <w:rPr>
                <w:rFonts w:ascii="宋体"/>
              </w:rPr>
            </w:pPr>
          </w:p>
        </w:tc>
      </w:tr>
      <w:tr w:rsidR="008A3BAC" w14:paraId="26E9C4E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4EA" w14:textId="77777777" w:rsidR="008A3BAC" w:rsidRDefault="005C75B9">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EB" w14:textId="77777777" w:rsidR="008A3BAC" w:rsidRDefault="005C75B9">
            <w:pPr>
              <w:jc w:val="right"/>
              <w:textAlignment w:val="bottom"/>
            </w:pPr>
            <w:r>
              <w:rPr>
                <w:rFonts w:ascii="Arial" w:eastAsia="宋体" w:hAnsi="Arial" w:cs="Arial"/>
                <w:color w:val="000000"/>
                <w:sz w:val="17"/>
                <w:szCs w:val="17"/>
              </w:rPr>
              <w:t>(140)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E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ED" w14:textId="77777777" w:rsidR="008A3BAC" w:rsidRDefault="005C75B9">
            <w:pPr>
              <w:jc w:val="right"/>
              <w:textAlignment w:val="bottom"/>
            </w:pPr>
            <w:r>
              <w:rPr>
                <w:rFonts w:ascii="Arial" w:eastAsia="宋体" w:hAnsi="Arial" w:cs="Arial"/>
                <w:color w:val="000000"/>
                <w:sz w:val="17"/>
                <w:szCs w:val="17"/>
              </w:rPr>
              <w:t>(131)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EE" w14:textId="77777777" w:rsidR="008A3BAC" w:rsidRDefault="008A3BAC">
            <w:pPr>
              <w:jc w:val="right"/>
              <w:rPr>
                <w:rFonts w:ascii="宋体"/>
              </w:rPr>
            </w:pPr>
          </w:p>
        </w:tc>
      </w:tr>
      <w:tr w:rsidR="008A3BAC" w14:paraId="26E9C4F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F0" w14:textId="77777777" w:rsidR="008A3BAC" w:rsidRDefault="005C75B9">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4F1" w14:textId="77777777" w:rsidR="008A3BAC" w:rsidRDefault="005C75B9">
            <w:pPr>
              <w:jc w:val="right"/>
              <w:textAlignment w:val="bottom"/>
            </w:pPr>
            <w:r>
              <w:rPr>
                <w:rFonts w:ascii="Arial" w:eastAsia="宋体" w:hAnsi="Arial" w:cs="Arial"/>
                <w:color w:val="000000"/>
                <w:sz w:val="17"/>
                <w:szCs w:val="17"/>
              </w:rPr>
              <w:t>(3,456)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4F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4F3" w14:textId="77777777" w:rsidR="008A3BAC" w:rsidRDefault="005C75B9">
            <w:pPr>
              <w:jc w:val="right"/>
              <w:textAlignment w:val="bottom"/>
            </w:pPr>
            <w:r>
              <w:rPr>
                <w:rFonts w:ascii="Arial" w:eastAsia="宋体" w:hAnsi="Arial" w:cs="Arial"/>
                <w:color w:val="000000"/>
                <w:sz w:val="17"/>
                <w:szCs w:val="17"/>
              </w:rPr>
              <w:t>(612)</w:t>
            </w:r>
          </w:p>
        </w:tc>
        <w:tc>
          <w:tcPr>
            <w:tcW w:w="0" w:type="auto"/>
            <w:tcBorders>
              <w:top w:val="single" w:sz="8" w:space="0" w:color="E87722"/>
            </w:tcBorders>
            <w:shd w:val="clear" w:color="auto" w:fill="auto"/>
            <w:tcMar>
              <w:top w:w="40" w:type="dxa"/>
              <w:left w:w="0" w:type="dxa"/>
              <w:bottom w:w="40" w:type="dxa"/>
              <w:right w:w="20" w:type="dxa"/>
            </w:tcMar>
            <w:vAlign w:val="bottom"/>
          </w:tcPr>
          <w:p w14:paraId="26E9C4F4" w14:textId="77777777" w:rsidR="008A3BAC" w:rsidRDefault="008A3BAC">
            <w:pPr>
              <w:jc w:val="right"/>
              <w:rPr>
                <w:rFonts w:ascii="宋体"/>
              </w:rPr>
            </w:pPr>
          </w:p>
        </w:tc>
      </w:tr>
      <w:tr w:rsidR="008A3BAC" w14:paraId="26E9C4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4F6" w14:textId="77777777" w:rsidR="008A3BAC" w:rsidRDefault="005C75B9">
            <w:pPr>
              <w:textAlignment w:val="bottom"/>
            </w:pPr>
            <w:r>
              <w:rPr>
                <w:rFonts w:ascii="Arial" w:eastAsia="宋体" w:hAnsi="Arial" w:cs="Arial"/>
                <w:color w:val="000000"/>
                <w:sz w:val="17"/>
                <w:szCs w:val="17"/>
              </w:rPr>
              <w:t xml:space="preserve">Effect of </w:t>
            </w:r>
            <w:r>
              <w:rPr>
                <w:rFonts w:ascii="Arial" w:eastAsia="宋体" w:hAnsi="Arial" w:cs="Arial"/>
                <w:color w:val="000000"/>
                <w:sz w:val="17"/>
                <w:szCs w:val="17"/>
              </w:rPr>
              <w:t>exchange rate changes on cash and 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4F7" w14:textId="77777777" w:rsidR="008A3BAC" w:rsidRDefault="005C75B9">
            <w:pPr>
              <w:jc w:val="right"/>
              <w:textAlignment w:val="bottom"/>
            </w:pPr>
            <w:r>
              <w:rPr>
                <w:rFonts w:ascii="Arial" w:eastAsia="宋体" w:hAnsi="Arial" w:cs="Arial"/>
                <w:color w:val="000000"/>
                <w:sz w:val="17"/>
                <w:szCs w:val="17"/>
              </w:rPr>
              <w:t>(55)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4F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4F9" w14:textId="77777777" w:rsidR="008A3BAC" w:rsidRDefault="005C75B9">
            <w:pPr>
              <w:jc w:val="right"/>
              <w:textAlignment w:val="bottom"/>
            </w:pPr>
            <w:r>
              <w:rPr>
                <w:rFonts w:ascii="Arial" w:eastAsia="宋体" w:hAnsi="Arial" w:cs="Arial"/>
                <w:color w:val="000000"/>
                <w:sz w:val="17"/>
                <w:szCs w:val="17"/>
              </w:rPr>
              <w:t>122 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4FA" w14:textId="77777777" w:rsidR="008A3BAC" w:rsidRDefault="008A3BAC">
            <w:pPr>
              <w:jc w:val="right"/>
              <w:rPr>
                <w:rFonts w:ascii="宋体"/>
              </w:rPr>
            </w:pPr>
          </w:p>
        </w:tc>
      </w:tr>
      <w:tr w:rsidR="008A3BAC" w14:paraId="26E9C50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4FC" w14:textId="77777777" w:rsidR="008A3BAC" w:rsidRDefault="005C75B9">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4FD" w14:textId="77777777" w:rsidR="008A3BAC" w:rsidRDefault="005C75B9">
            <w:pPr>
              <w:jc w:val="right"/>
              <w:textAlignment w:val="bottom"/>
            </w:pPr>
            <w:r>
              <w:rPr>
                <w:rFonts w:ascii="Arial" w:eastAsia="宋体" w:hAnsi="Arial" w:cs="Arial"/>
                <w:color w:val="000000"/>
                <w:sz w:val="17"/>
                <w:szCs w:val="17"/>
              </w:rPr>
              <w:t>(1,185)</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4F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4FF" w14:textId="77777777" w:rsidR="008A3BAC" w:rsidRDefault="005C75B9">
            <w:pPr>
              <w:jc w:val="right"/>
              <w:textAlignment w:val="bottom"/>
            </w:pPr>
            <w:r>
              <w:rPr>
                <w:rFonts w:ascii="Arial" w:eastAsia="宋体" w:hAnsi="Arial" w:cs="Arial"/>
                <w:color w:val="000000"/>
                <w:sz w:val="17"/>
                <w:szCs w:val="17"/>
              </w:rPr>
              <w:t>168 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00" w14:textId="77777777" w:rsidR="008A3BAC" w:rsidRDefault="008A3BAC">
            <w:pPr>
              <w:jc w:val="right"/>
              <w:rPr>
                <w:rFonts w:ascii="宋体"/>
              </w:rPr>
            </w:pPr>
          </w:p>
        </w:tc>
      </w:tr>
      <w:tr w:rsidR="008A3BAC" w14:paraId="26E9C50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02" w14:textId="77777777" w:rsidR="008A3BAC" w:rsidRDefault="005C75B9">
            <w:pPr>
              <w:textAlignment w:val="bottom"/>
            </w:pPr>
            <w:r>
              <w:rPr>
                <w:rFonts w:ascii="Arial" w:eastAsia="宋体" w:hAnsi="Arial" w:cs="Arial"/>
                <w:color w:val="000000"/>
                <w:sz w:val="17"/>
                <w:szCs w:val="17"/>
              </w:rPr>
              <w:t>Cash and equivalents, beginning of period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03" w14:textId="77777777" w:rsidR="008A3BAC" w:rsidRDefault="005C75B9">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0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505" w14:textId="77777777" w:rsidR="008A3BAC" w:rsidRDefault="005C75B9">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506" w14:textId="77777777" w:rsidR="008A3BAC" w:rsidRDefault="008A3BAC">
            <w:pPr>
              <w:jc w:val="right"/>
              <w:rPr>
                <w:rFonts w:ascii="宋体"/>
              </w:rPr>
            </w:pPr>
          </w:p>
        </w:tc>
      </w:tr>
      <w:tr w:rsidR="008A3BAC" w14:paraId="26E9C50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08" w14:textId="77777777" w:rsidR="008A3BAC" w:rsidRDefault="005C75B9">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50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50A" w14:textId="77777777" w:rsidR="008A3BAC" w:rsidRDefault="005C75B9">
            <w:pPr>
              <w:jc w:val="right"/>
              <w:textAlignment w:val="bottom"/>
            </w:pPr>
            <w:r>
              <w:rPr>
                <w:rFonts w:ascii="Arial" w:eastAsia="宋体" w:hAnsi="Arial" w:cs="Arial"/>
                <w:b/>
                <w:bCs/>
                <w:color w:val="000000"/>
                <w:sz w:val="17"/>
                <w:szCs w:val="17"/>
              </w:rPr>
              <w:t>8,704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50B"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0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0D" w14:textId="77777777" w:rsidR="008A3BAC" w:rsidRDefault="005C75B9">
            <w:pPr>
              <w:jc w:val="right"/>
              <w:textAlignment w:val="bottom"/>
            </w:pPr>
            <w:r>
              <w:rPr>
                <w:rFonts w:ascii="Arial" w:eastAsia="宋体" w:hAnsi="Arial" w:cs="Arial"/>
                <w:b/>
                <w:bCs/>
                <w:color w:val="000000"/>
                <w:sz w:val="17"/>
                <w:szCs w:val="17"/>
              </w:rPr>
              <w:t>8,516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0E" w14:textId="77777777" w:rsidR="008A3BAC" w:rsidRDefault="008A3BAC">
            <w:pPr>
              <w:jc w:val="right"/>
              <w:rPr>
                <w:rFonts w:ascii="宋体"/>
              </w:rPr>
            </w:pPr>
          </w:p>
        </w:tc>
      </w:tr>
      <w:tr w:rsidR="008A3BAC" w14:paraId="26E9C51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10" w14:textId="77777777" w:rsidR="008A3BAC" w:rsidRDefault="005C75B9">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1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512" w14:textId="77777777" w:rsidR="008A3BAC" w:rsidRDefault="008A3BAC">
            <w:pPr>
              <w:rPr>
                <w:rFonts w:ascii="宋体"/>
              </w:rPr>
            </w:pPr>
          </w:p>
        </w:tc>
      </w:tr>
      <w:tr w:rsidR="008A3BAC" w14:paraId="26E9C5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14" w14:textId="77777777" w:rsidR="008A3BAC" w:rsidRDefault="005C75B9">
            <w:pPr>
              <w:textAlignment w:val="bottom"/>
            </w:pPr>
            <w:r>
              <w:rPr>
                <w:rFonts w:ascii="Arial" w:eastAsia="宋体" w:hAnsi="Arial" w:cs="Arial"/>
                <w:color w:val="000000"/>
                <w:sz w:val="17"/>
                <w:szCs w:val="17"/>
              </w:rPr>
              <w:t>Non-cash additions to property, plant and equipment</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51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516" w14:textId="77777777" w:rsidR="008A3BAC" w:rsidRDefault="005C75B9">
            <w:pPr>
              <w:jc w:val="right"/>
              <w:textAlignment w:val="bottom"/>
            </w:pPr>
            <w:r>
              <w:rPr>
                <w:rFonts w:ascii="Arial" w:eastAsia="宋体" w:hAnsi="Arial" w:cs="Arial"/>
                <w:color w:val="000000"/>
                <w:sz w:val="17"/>
                <w:szCs w:val="17"/>
              </w:rPr>
              <w:t>126 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1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51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519" w14:textId="77777777" w:rsidR="008A3BAC" w:rsidRDefault="005C75B9">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51A" w14:textId="77777777" w:rsidR="008A3BAC" w:rsidRDefault="008A3BAC">
            <w:pPr>
              <w:jc w:val="right"/>
              <w:rPr>
                <w:rFonts w:ascii="宋体"/>
              </w:rPr>
            </w:pPr>
          </w:p>
        </w:tc>
      </w:tr>
      <w:tr w:rsidR="008A3BAC" w14:paraId="26E9C521"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51C" w14:textId="77777777" w:rsidR="008A3BAC" w:rsidRDefault="005C75B9">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51D" w14:textId="77777777" w:rsidR="008A3BAC" w:rsidRDefault="005C75B9">
            <w:pPr>
              <w:jc w:val="right"/>
              <w:textAlignment w:val="bottom"/>
            </w:pPr>
            <w:r>
              <w:rPr>
                <w:rFonts w:ascii="Arial" w:eastAsia="宋体" w:hAnsi="Arial" w:cs="Arial"/>
                <w:color w:val="000000"/>
                <w:sz w:val="17"/>
                <w:szCs w:val="17"/>
              </w:rPr>
              <w:t>488 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51E"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51F" w14:textId="77777777" w:rsidR="008A3BAC" w:rsidRDefault="005C75B9">
            <w:pPr>
              <w:jc w:val="right"/>
              <w:textAlignment w:val="bottom"/>
            </w:pPr>
            <w:r>
              <w:rPr>
                <w:rFonts w:ascii="Arial" w:eastAsia="宋体" w:hAnsi="Arial" w:cs="Arial"/>
                <w:color w:val="000000"/>
                <w:sz w:val="17"/>
                <w:szCs w:val="17"/>
              </w:rPr>
              <w:t>437 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520" w14:textId="77777777" w:rsidR="008A3BAC" w:rsidRDefault="008A3BAC">
            <w:pPr>
              <w:jc w:val="right"/>
              <w:rPr>
                <w:rFonts w:ascii="宋体"/>
              </w:rPr>
            </w:pPr>
          </w:p>
        </w:tc>
      </w:tr>
    </w:tbl>
    <w:p w14:paraId="26E9C522" w14:textId="77777777" w:rsidR="008A3BAC" w:rsidRDefault="005C75B9">
      <w:pPr>
        <w:spacing w:before="120" w:after="120"/>
      </w:pPr>
      <w:r>
        <w:rPr>
          <w:rFonts w:ascii="Arial" w:eastAsia="宋体" w:hAnsi="Arial" w:cs="Arial"/>
          <w:i/>
          <w:iCs/>
          <w:color w:val="000000"/>
          <w:sz w:val="17"/>
          <w:szCs w:val="17"/>
        </w:rPr>
        <w:t xml:space="preserve">The accompanying Notes to the Unaudited Condensed Consolidated Financial </w:t>
      </w:r>
      <w:r>
        <w:rPr>
          <w:rFonts w:ascii="Arial" w:eastAsia="宋体" w:hAnsi="Arial" w:cs="Arial"/>
          <w:i/>
          <w:iCs/>
          <w:color w:val="000000"/>
          <w:sz w:val="17"/>
          <w:szCs w:val="17"/>
        </w:rPr>
        <w:t>Statements are an integral part of this statement.</w:t>
      </w:r>
    </w:p>
    <w:p w14:paraId="26E9C523" w14:textId="77777777" w:rsidR="008A3BAC" w:rsidRDefault="005C75B9">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26E9C524" w14:textId="77777777" w:rsidR="008A3BAC" w:rsidRDefault="005C75B9">
      <w:r>
        <w:pict w14:anchorId="26E9E84B">
          <v:rect id="_x0000_i1030" style="width:415.3pt;height:1.5pt" o:hralign="center" o:hrstd="t" o:hr="t" fillcolor="#a0a0a0" stroked="f"/>
        </w:pict>
      </w:r>
    </w:p>
    <w:p w14:paraId="26E9C525" w14:textId="77777777" w:rsidR="008A3BAC" w:rsidRDefault="008A3BAC"/>
    <w:p w14:paraId="26E9C526" w14:textId="77777777" w:rsidR="008A3BAC" w:rsidRDefault="005C75B9">
      <w:hyperlink r:id="rId47" w:anchor="i46aba51c6a804f42b3595948c57d2023_7" w:history="1">
        <w:r>
          <w:rPr>
            <w:rStyle w:val="a5"/>
            <w:rFonts w:ascii="sans-serif" w:eastAsia="sans-serif" w:hAnsi="sans-serif" w:cs="sans-serif"/>
            <w:sz w:val="17"/>
            <w:szCs w:val="17"/>
          </w:rPr>
          <w:t>Table of Contents</w:t>
        </w:r>
      </w:hyperlink>
    </w:p>
    <w:p w14:paraId="26E9C527" w14:textId="77777777" w:rsidR="008A3BAC" w:rsidRDefault="008A3BAC"/>
    <w:p w14:paraId="26E9C528" w14:textId="77777777" w:rsidR="008A3BAC" w:rsidRDefault="005C75B9">
      <w:pPr>
        <w:spacing w:before="300"/>
      </w:pPr>
      <w:r>
        <w:rPr>
          <w:rFonts w:ascii="sans-serif" w:eastAsia="sans-serif" w:hAnsi="sans-serif" w:cs="sans-serif"/>
          <w:b/>
          <w:bCs/>
          <w:color w:val="E87722"/>
          <w:sz w:val="36"/>
          <w:szCs w:val="36"/>
        </w:rPr>
        <w:t>NIKE, INC.</w:t>
      </w:r>
    </w:p>
    <w:p w14:paraId="26E9C529" w14:textId="77777777" w:rsidR="008A3BAC" w:rsidRDefault="005C75B9">
      <w:pPr>
        <w:spacing w:before="120" w:after="120"/>
      </w:pPr>
      <w:r>
        <w:rPr>
          <w:rFonts w:ascii="sans-serif" w:eastAsia="sans-serif" w:hAnsi="sans-serif" w:cs="sans-serif"/>
          <w:b/>
          <w:bCs/>
          <w:color w:val="000000"/>
          <w:sz w:val="28"/>
          <w:szCs w:val="28"/>
        </w:rPr>
        <w:t>UNAUDITED CONDENSED CONSOLIDATED STATEMENTS OF SHAREHOLDERS' EQUITY</w:t>
      </w:r>
    </w:p>
    <w:p w14:paraId="26E9C52A" w14:textId="77777777" w:rsidR="008A3BAC" w:rsidRDefault="008A3BAC">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1634"/>
        <w:gridCol w:w="40"/>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A3BAC" w14:paraId="26E9C549" w14:textId="77777777">
        <w:trPr>
          <w:jc w:val="center"/>
        </w:trPr>
        <w:tc>
          <w:tcPr>
            <w:tcW w:w="50" w:type="pct"/>
            <w:shd w:val="clear" w:color="auto" w:fill="auto"/>
            <w:vAlign w:val="bottom"/>
          </w:tcPr>
          <w:p w14:paraId="26E9C52B" w14:textId="77777777" w:rsidR="008A3BAC" w:rsidRDefault="008A3BAC">
            <w:pPr>
              <w:rPr>
                <w:rFonts w:ascii="宋体"/>
              </w:rPr>
            </w:pPr>
          </w:p>
        </w:tc>
        <w:tc>
          <w:tcPr>
            <w:tcW w:w="1560" w:type="pct"/>
            <w:shd w:val="clear" w:color="auto" w:fill="auto"/>
            <w:vAlign w:val="bottom"/>
          </w:tcPr>
          <w:p w14:paraId="26E9C52C" w14:textId="77777777" w:rsidR="008A3BAC" w:rsidRDefault="008A3BAC">
            <w:pPr>
              <w:rPr>
                <w:rFonts w:ascii="宋体"/>
              </w:rPr>
            </w:pPr>
          </w:p>
        </w:tc>
        <w:tc>
          <w:tcPr>
            <w:tcW w:w="5" w:type="pct"/>
            <w:shd w:val="clear" w:color="auto" w:fill="auto"/>
            <w:vAlign w:val="bottom"/>
          </w:tcPr>
          <w:p w14:paraId="26E9C52D" w14:textId="77777777" w:rsidR="008A3BAC" w:rsidRDefault="008A3BAC">
            <w:pPr>
              <w:rPr>
                <w:rFonts w:ascii="宋体"/>
              </w:rPr>
            </w:pPr>
          </w:p>
        </w:tc>
        <w:tc>
          <w:tcPr>
            <w:tcW w:w="50" w:type="pct"/>
            <w:shd w:val="clear" w:color="auto" w:fill="auto"/>
            <w:vAlign w:val="bottom"/>
          </w:tcPr>
          <w:p w14:paraId="26E9C52E" w14:textId="77777777" w:rsidR="008A3BAC" w:rsidRDefault="008A3BAC">
            <w:pPr>
              <w:rPr>
                <w:rFonts w:ascii="宋体"/>
              </w:rPr>
            </w:pPr>
          </w:p>
        </w:tc>
        <w:tc>
          <w:tcPr>
            <w:tcW w:w="285" w:type="pct"/>
            <w:shd w:val="clear" w:color="auto" w:fill="auto"/>
            <w:vAlign w:val="bottom"/>
          </w:tcPr>
          <w:p w14:paraId="26E9C52F" w14:textId="77777777" w:rsidR="008A3BAC" w:rsidRDefault="008A3BAC">
            <w:pPr>
              <w:rPr>
                <w:rFonts w:ascii="宋体"/>
              </w:rPr>
            </w:pPr>
          </w:p>
        </w:tc>
        <w:tc>
          <w:tcPr>
            <w:tcW w:w="5" w:type="pct"/>
            <w:shd w:val="clear" w:color="auto" w:fill="auto"/>
            <w:vAlign w:val="bottom"/>
          </w:tcPr>
          <w:p w14:paraId="26E9C530" w14:textId="77777777" w:rsidR="008A3BAC" w:rsidRDefault="008A3BAC">
            <w:pPr>
              <w:rPr>
                <w:rFonts w:ascii="宋体"/>
              </w:rPr>
            </w:pPr>
          </w:p>
        </w:tc>
        <w:tc>
          <w:tcPr>
            <w:tcW w:w="50" w:type="pct"/>
            <w:shd w:val="clear" w:color="auto" w:fill="auto"/>
            <w:vAlign w:val="bottom"/>
          </w:tcPr>
          <w:p w14:paraId="26E9C531" w14:textId="77777777" w:rsidR="008A3BAC" w:rsidRDefault="008A3BAC">
            <w:pPr>
              <w:rPr>
                <w:rFonts w:ascii="宋体"/>
              </w:rPr>
            </w:pPr>
          </w:p>
        </w:tc>
        <w:tc>
          <w:tcPr>
            <w:tcW w:w="346" w:type="pct"/>
            <w:shd w:val="clear" w:color="auto" w:fill="auto"/>
            <w:vAlign w:val="bottom"/>
          </w:tcPr>
          <w:p w14:paraId="26E9C532" w14:textId="77777777" w:rsidR="008A3BAC" w:rsidRDefault="008A3BAC">
            <w:pPr>
              <w:rPr>
                <w:rFonts w:ascii="宋体"/>
              </w:rPr>
            </w:pPr>
          </w:p>
        </w:tc>
        <w:tc>
          <w:tcPr>
            <w:tcW w:w="5" w:type="pct"/>
            <w:shd w:val="clear" w:color="auto" w:fill="auto"/>
            <w:vAlign w:val="bottom"/>
          </w:tcPr>
          <w:p w14:paraId="26E9C533" w14:textId="77777777" w:rsidR="008A3BAC" w:rsidRDefault="008A3BAC">
            <w:pPr>
              <w:rPr>
                <w:rFonts w:ascii="宋体"/>
              </w:rPr>
            </w:pPr>
          </w:p>
        </w:tc>
        <w:tc>
          <w:tcPr>
            <w:tcW w:w="5" w:type="pct"/>
            <w:shd w:val="clear" w:color="auto" w:fill="auto"/>
            <w:vAlign w:val="bottom"/>
          </w:tcPr>
          <w:p w14:paraId="26E9C534" w14:textId="77777777" w:rsidR="008A3BAC" w:rsidRDefault="008A3BAC">
            <w:pPr>
              <w:rPr>
                <w:rFonts w:ascii="宋体"/>
              </w:rPr>
            </w:pPr>
          </w:p>
        </w:tc>
        <w:tc>
          <w:tcPr>
            <w:tcW w:w="28" w:type="pct"/>
            <w:shd w:val="clear" w:color="auto" w:fill="auto"/>
            <w:vAlign w:val="bottom"/>
          </w:tcPr>
          <w:p w14:paraId="26E9C535" w14:textId="77777777" w:rsidR="008A3BAC" w:rsidRDefault="008A3BAC">
            <w:pPr>
              <w:rPr>
                <w:rFonts w:ascii="宋体"/>
              </w:rPr>
            </w:pPr>
          </w:p>
        </w:tc>
        <w:tc>
          <w:tcPr>
            <w:tcW w:w="5" w:type="pct"/>
            <w:shd w:val="clear" w:color="auto" w:fill="auto"/>
            <w:vAlign w:val="bottom"/>
          </w:tcPr>
          <w:p w14:paraId="26E9C536" w14:textId="77777777" w:rsidR="008A3BAC" w:rsidRDefault="008A3BAC">
            <w:pPr>
              <w:rPr>
                <w:rFonts w:ascii="宋体"/>
              </w:rPr>
            </w:pPr>
          </w:p>
        </w:tc>
        <w:tc>
          <w:tcPr>
            <w:tcW w:w="50" w:type="pct"/>
            <w:shd w:val="clear" w:color="auto" w:fill="auto"/>
            <w:vAlign w:val="bottom"/>
          </w:tcPr>
          <w:p w14:paraId="26E9C537" w14:textId="77777777" w:rsidR="008A3BAC" w:rsidRDefault="008A3BAC">
            <w:pPr>
              <w:rPr>
                <w:rFonts w:ascii="宋体"/>
              </w:rPr>
            </w:pPr>
          </w:p>
        </w:tc>
        <w:tc>
          <w:tcPr>
            <w:tcW w:w="285" w:type="pct"/>
            <w:shd w:val="clear" w:color="auto" w:fill="auto"/>
            <w:vAlign w:val="bottom"/>
          </w:tcPr>
          <w:p w14:paraId="26E9C538" w14:textId="77777777" w:rsidR="008A3BAC" w:rsidRDefault="008A3BAC">
            <w:pPr>
              <w:rPr>
                <w:rFonts w:ascii="宋体"/>
              </w:rPr>
            </w:pPr>
          </w:p>
        </w:tc>
        <w:tc>
          <w:tcPr>
            <w:tcW w:w="5" w:type="pct"/>
            <w:shd w:val="clear" w:color="auto" w:fill="auto"/>
            <w:vAlign w:val="bottom"/>
          </w:tcPr>
          <w:p w14:paraId="26E9C539" w14:textId="77777777" w:rsidR="008A3BAC" w:rsidRDefault="008A3BAC">
            <w:pPr>
              <w:rPr>
                <w:rFonts w:ascii="宋体"/>
              </w:rPr>
            </w:pPr>
          </w:p>
        </w:tc>
        <w:tc>
          <w:tcPr>
            <w:tcW w:w="50" w:type="pct"/>
            <w:shd w:val="clear" w:color="auto" w:fill="auto"/>
            <w:vAlign w:val="bottom"/>
          </w:tcPr>
          <w:p w14:paraId="26E9C53A" w14:textId="77777777" w:rsidR="008A3BAC" w:rsidRDefault="008A3BAC">
            <w:pPr>
              <w:rPr>
                <w:rFonts w:ascii="宋体"/>
              </w:rPr>
            </w:pPr>
          </w:p>
        </w:tc>
        <w:tc>
          <w:tcPr>
            <w:tcW w:w="323" w:type="pct"/>
            <w:shd w:val="clear" w:color="auto" w:fill="auto"/>
            <w:vAlign w:val="bottom"/>
          </w:tcPr>
          <w:p w14:paraId="26E9C53B" w14:textId="77777777" w:rsidR="008A3BAC" w:rsidRDefault="008A3BAC">
            <w:pPr>
              <w:rPr>
                <w:rFonts w:ascii="宋体"/>
              </w:rPr>
            </w:pPr>
          </w:p>
        </w:tc>
        <w:tc>
          <w:tcPr>
            <w:tcW w:w="5" w:type="pct"/>
            <w:shd w:val="clear" w:color="auto" w:fill="auto"/>
            <w:vAlign w:val="bottom"/>
          </w:tcPr>
          <w:p w14:paraId="26E9C53C" w14:textId="77777777" w:rsidR="008A3BAC" w:rsidRDefault="008A3BAC">
            <w:pPr>
              <w:rPr>
                <w:rFonts w:ascii="宋体"/>
              </w:rPr>
            </w:pPr>
          </w:p>
        </w:tc>
        <w:tc>
          <w:tcPr>
            <w:tcW w:w="50" w:type="pct"/>
            <w:shd w:val="clear" w:color="auto" w:fill="auto"/>
            <w:vAlign w:val="bottom"/>
          </w:tcPr>
          <w:p w14:paraId="26E9C53D" w14:textId="77777777" w:rsidR="008A3BAC" w:rsidRDefault="008A3BAC">
            <w:pPr>
              <w:rPr>
                <w:rFonts w:ascii="宋体"/>
              </w:rPr>
            </w:pPr>
          </w:p>
        </w:tc>
        <w:tc>
          <w:tcPr>
            <w:tcW w:w="385" w:type="pct"/>
            <w:shd w:val="clear" w:color="auto" w:fill="auto"/>
            <w:vAlign w:val="bottom"/>
          </w:tcPr>
          <w:p w14:paraId="26E9C53E" w14:textId="77777777" w:rsidR="008A3BAC" w:rsidRDefault="008A3BAC">
            <w:pPr>
              <w:rPr>
                <w:rFonts w:ascii="宋体"/>
              </w:rPr>
            </w:pPr>
          </w:p>
        </w:tc>
        <w:tc>
          <w:tcPr>
            <w:tcW w:w="5" w:type="pct"/>
            <w:shd w:val="clear" w:color="auto" w:fill="auto"/>
            <w:vAlign w:val="bottom"/>
          </w:tcPr>
          <w:p w14:paraId="26E9C53F" w14:textId="77777777" w:rsidR="008A3BAC" w:rsidRDefault="008A3BAC">
            <w:pPr>
              <w:rPr>
                <w:rFonts w:ascii="宋体"/>
              </w:rPr>
            </w:pPr>
          </w:p>
        </w:tc>
        <w:tc>
          <w:tcPr>
            <w:tcW w:w="50" w:type="pct"/>
            <w:shd w:val="clear" w:color="auto" w:fill="auto"/>
            <w:vAlign w:val="bottom"/>
          </w:tcPr>
          <w:p w14:paraId="26E9C540" w14:textId="77777777" w:rsidR="008A3BAC" w:rsidRDefault="008A3BAC">
            <w:pPr>
              <w:rPr>
                <w:rFonts w:ascii="宋体"/>
              </w:rPr>
            </w:pPr>
          </w:p>
        </w:tc>
        <w:tc>
          <w:tcPr>
            <w:tcW w:w="586" w:type="pct"/>
            <w:shd w:val="clear" w:color="auto" w:fill="auto"/>
            <w:vAlign w:val="bottom"/>
          </w:tcPr>
          <w:p w14:paraId="26E9C541" w14:textId="77777777" w:rsidR="008A3BAC" w:rsidRDefault="008A3BAC">
            <w:pPr>
              <w:rPr>
                <w:rFonts w:ascii="宋体"/>
              </w:rPr>
            </w:pPr>
          </w:p>
        </w:tc>
        <w:tc>
          <w:tcPr>
            <w:tcW w:w="5" w:type="pct"/>
            <w:shd w:val="clear" w:color="auto" w:fill="auto"/>
            <w:vAlign w:val="bottom"/>
          </w:tcPr>
          <w:p w14:paraId="26E9C542" w14:textId="77777777" w:rsidR="008A3BAC" w:rsidRDefault="008A3BAC">
            <w:pPr>
              <w:rPr>
                <w:rFonts w:ascii="宋体"/>
              </w:rPr>
            </w:pPr>
          </w:p>
        </w:tc>
        <w:tc>
          <w:tcPr>
            <w:tcW w:w="50" w:type="pct"/>
            <w:shd w:val="clear" w:color="auto" w:fill="auto"/>
            <w:vAlign w:val="bottom"/>
          </w:tcPr>
          <w:p w14:paraId="26E9C543" w14:textId="77777777" w:rsidR="008A3BAC" w:rsidRDefault="008A3BAC">
            <w:pPr>
              <w:rPr>
                <w:rFonts w:ascii="宋体"/>
              </w:rPr>
            </w:pPr>
          </w:p>
        </w:tc>
        <w:tc>
          <w:tcPr>
            <w:tcW w:w="370" w:type="pct"/>
            <w:shd w:val="clear" w:color="auto" w:fill="auto"/>
            <w:vAlign w:val="bottom"/>
          </w:tcPr>
          <w:p w14:paraId="26E9C544" w14:textId="77777777" w:rsidR="008A3BAC" w:rsidRDefault="008A3BAC">
            <w:pPr>
              <w:rPr>
                <w:rFonts w:ascii="宋体"/>
              </w:rPr>
            </w:pPr>
          </w:p>
        </w:tc>
        <w:tc>
          <w:tcPr>
            <w:tcW w:w="5" w:type="pct"/>
            <w:shd w:val="clear" w:color="auto" w:fill="auto"/>
            <w:vAlign w:val="bottom"/>
          </w:tcPr>
          <w:p w14:paraId="26E9C545" w14:textId="77777777" w:rsidR="008A3BAC" w:rsidRDefault="008A3BAC">
            <w:pPr>
              <w:rPr>
                <w:rFonts w:ascii="宋体"/>
              </w:rPr>
            </w:pPr>
          </w:p>
        </w:tc>
        <w:tc>
          <w:tcPr>
            <w:tcW w:w="50" w:type="pct"/>
            <w:shd w:val="clear" w:color="auto" w:fill="auto"/>
            <w:vAlign w:val="bottom"/>
          </w:tcPr>
          <w:p w14:paraId="26E9C546" w14:textId="77777777" w:rsidR="008A3BAC" w:rsidRDefault="008A3BAC">
            <w:pPr>
              <w:rPr>
                <w:rFonts w:ascii="宋体"/>
              </w:rPr>
            </w:pPr>
          </w:p>
        </w:tc>
        <w:tc>
          <w:tcPr>
            <w:tcW w:w="323" w:type="pct"/>
            <w:shd w:val="clear" w:color="auto" w:fill="auto"/>
            <w:vAlign w:val="bottom"/>
          </w:tcPr>
          <w:p w14:paraId="26E9C547" w14:textId="77777777" w:rsidR="008A3BAC" w:rsidRDefault="008A3BAC">
            <w:pPr>
              <w:rPr>
                <w:rFonts w:ascii="宋体"/>
              </w:rPr>
            </w:pPr>
          </w:p>
        </w:tc>
        <w:tc>
          <w:tcPr>
            <w:tcW w:w="5" w:type="pct"/>
            <w:shd w:val="clear" w:color="auto" w:fill="auto"/>
            <w:vAlign w:val="bottom"/>
          </w:tcPr>
          <w:p w14:paraId="26E9C548" w14:textId="77777777" w:rsidR="008A3BAC" w:rsidRDefault="008A3BAC">
            <w:pPr>
              <w:rPr>
                <w:rFonts w:ascii="宋体"/>
              </w:rPr>
            </w:pPr>
          </w:p>
        </w:tc>
      </w:tr>
      <w:tr w:rsidR="008A3BAC" w14:paraId="26E9C550"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54A"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54B" w14:textId="77777777" w:rsidR="008A3BAC" w:rsidRDefault="005C75B9">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6E9C54C" w14:textId="77777777" w:rsidR="008A3BAC" w:rsidRDefault="005C75B9">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6E9C54D" w14:textId="77777777" w:rsidR="008A3BAC" w:rsidRDefault="005C75B9">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6E9C54E" w14:textId="77777777" w:rsidR="008A3BAC" w:rsidRDefault="005C75B9">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26E9C54F"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559"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551"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552" w14:textId="77777777" w:rsidR="008A3BAC" w:rsidRDefault="005C75B9">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553"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554" w14:textId="77777777" w:rsidR="008A3BAC" w:rsidRDefault="005C75B9">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6E9C555"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56"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57"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58" w14:textId="77777777" w:rsidR="008A3BAC" w:rsidRDefault="008A3BAC">
            <w:pPr>
              <w:jc w:val="right"/>
              <w:rPr>
                <w:rFonts w:ascii="宋体"/>
              </w:rPr>
            </w:pPr>
          </w:p>
        </w:tc>
      </w:tr>
      <w:tr w:rsidR="008A3BAC" w14:paraId="26E9C564" w14:textId="77777777">
        <w:trPr>
          <w:trHeight w:val="240"/>
          <w:jc w:val="center"/>
        </w:trPr>
        <w:tc>
          <w:tcPr>
            <w:tcW w:w="0" w:type="auto"/>
            <w:gridSpan w:val="3"/>
            <w:shd w:val="clear" w:color="auto" w:fill="auto"/>
            <w:tcMar>
              <w:top w:w="40" w:type="dxa"/>
              <w:left w:w="20" w:type="dxa"/>
              <w:bottom w:w="40" w:type="dxa"/>
              <w:right w:w="20" w:type="dxa"/>
            </w:tcMar>
            <w:vAlign w:val="bottom"/>
          </w:tcPr>
          <w:p w14:paraId="26E9C55A"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5B" w14:textId="77777777" w:rsidR="008A3BAC" w:rsidRDefault="005C75B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5C" w14:textId="77777777" w:rsidR="008A3BAC" w:rsidRDefault="005C75B9">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6E9C55D"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5E" w14:textId="77777777" w:rsidR="008A3BAC" w:rsidRDefault="005C75B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5F" w14:textId="77777777" w:rsidR="008A3BAC" w:rsidRDefault="005C75B9">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6E9C560"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61"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62"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563" w14:textId="77777777" w:rsidR="008A3BAC" w:rsidRDefault="008A3BAC">
            <w:pPr>
              <w:jc w:val="right"/>
              <w:rPr>
                <w:rFonts w:ascii="宋体"/>
              </w:rPr>
            </w:pPr>
          </w:p>
        </w:tc>
      </w:tr>
      <w:tr w:rsidR="008A3BAC" w14:paraId="26E9C57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65" w14:textId="77777777" w:rsidR="008A3BAC" w:rsidRDefault="005C75B9">
            <w:pPr>
              <w:textAlignment w:val="bottom"/>
            </w:pPr>
            <w:r>
              <w:rPr>
                <w:rFonts w:ascii="Arial" w:eastAsia="宋体" w:hAnsi="Arial" w:cs="Arial"/>
                <w:b/>
                <w:bCs/>
                <w:color w:val="000000"/>
                <w:sz w:val="17"/>
                <w:szCs w:val="17"/>
              </w:rPr>
              <w:t>Balance at November 30,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566"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6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6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69"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6A"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56B"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56C" w14:textId="77777777" w:rsidR="008A3BAC" w:rsidRDefault="005C75B9">
            <w:pPr>
              <w:jc w:val="right"/>
              <w:textAlignment w:val="bottom"/>
            </w:pPr>
            <w:r>
              <w:rPr>
                <w:rFonts w:ascii="Arial" w:eastAsia="宋体" w:hAnsi="Arial" w:cs="Arial"/>
                <w:b/>
                <w:bCs/>
                <w:color w:val="000000"/>
                <w:sz w:val="17"/>
                <w:szCs w:val="17"/>
              </w:rPr>
              <w:t>1,278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6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6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6F"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7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7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72" w14:textId="77777777" w:rsidR="008A3BAC" w:rsidRDefault="005C75B9">
            <w:pPr>
              <w:jc w:val="right"/>
              <w:textAlignment w:val="bottom"/>
            </w:pPr>
            <w:r>
              <w:rPr>
                <w:rFonts w:ascii="Arial" w:eastAsia="宋体" w:hAnsi="Arial" w:cs="Arial"/>
                <w:b/>
                <w:bCs/>
                <w:color w:val="000000"/>
                <w:sz w:val="17"/>
                <w:szCs w:val="17"/>
              </w:rPr>
              <w:t>10,990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7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7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75" w14:textId="77777777" w:rsidR="008A3BAC" w:rsidRDefault="005C75B9">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7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7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78" w14:textId="77777777" w:rsidR="008A3BAC" w:rsidRDefault="005C75B9">
            <w:pPr>
              <w:jc w:val="right"/>
              <w:textAlignment w:val="bottom"/>
            </w:pPr>
            <w:r>
              <w:rPr>
                <w:rFonts w:ascii="Arial" w:eastAsia="宋体" w:hAnsi="Arial" w:cs="Arial"/>
                <w:b/>
                <w:bCs/>
                <w:color w:val="000000"/>
                <w:sz w:val="17"/>
                <w:szCs w:val="17"/>
              </w:rPr>
              <w:t>3,786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79"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57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57B" w14:textId="77777777" w:rsidR="008A3BAC" w:rsidRDefault="005C75B9">
            <w:pPr>
              <w:jc w:val="right"/>
              <w:textAlignment w:val="bottom"/>
            </w:pPr>
            <w:r>
              <w:rPr>
                <w:rFonts w:ascii="Arial" w:eastAsia="宋体" w:hAnsi="Arial" w:cs="Arial"/>
                <w:b/>
                <w:bCs/>
                <w:color w:val="000000"/>
                <w:sz w:val="17"/>
                <w:szCs w:val="17"/>
              </w:rPr>
              <w:t>14,924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57C" w14:textId="77777777" w:rsidR="008A3BAC" w:rsidRDefault="008A3BAC">
            <w:pPr>
              <w:jc w:val="right"/>
              <w:rPr>
                <w:rFonts w:ascii="宋体"/>
              </w:rPr>
            </w:pPr>
          </w:p>
        </w:tc>
      </w:tr>
      <w:tr w:rsidR="008A3BAC" w14:paraId="26E9C58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57E" w14:textId="77777777" w:rsidR="008A3BAC" w:rsidRDefault="005C75B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7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8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81"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582"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583" w14:textId="77777777" w:rsidR="008A3BAC" w:rsidRDefault="008A3BA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84"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585" w14:textId="77777777" w:rsidR="008A3BAC" w:rsidRDefault="005C75B9">
            <w:pPr>
              <w:jc w:val="right"/>
              <w:textAlignment w:val="bottom"/>
            </w:pPr>
            <w:r>
              <w:rPr>
                <w:rFonts w:ascii="Arial" w:eastAsia="宋体" w:hAnsi="Arial" w:cs="Arial"/>
                <w:color w:val="000000"/>
                <w:sz w:val="17"/>
                <w:szCs w:val="17"/>
              </w:rPr>
              <w:t>112 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586" w14:textId="77777777" w:rsidR="008A3BAC" w:rsidRDefault="008A3BA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87"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588"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589" w14:textId="77777777" w:rsidR="008A3BAC" w:rsidRDefault="005C75B9">
            <w:pPr>
              <w:jc w:val="right"/>
              <w:textAlignment w:val="bottom"/>
            </w:pPr>
            <w:r>
              <w:rPr>
                <w:rFonts w:ascii="Arial" w:eastAsia="宋体" w:hAnsi="Arial" w:cs="Arial"/>
                <w:color w:val="000000"/>
                <w:sz w:val="17"/>
                <w:szCs w:val="17"/>
              </w:rPr>
              <w:t>112 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58A" w14:textId="77777777" w:rsidR="008A3BAC" w:rsidRDefault="008A3BAC">
            <w:pPr>
              <w:jc w:val="right"/>
              <w:rPr>
                <w:rFonts w:ascii="宋体"/>
              </w:rPr>
            </w:pPr>
          </w:p>
        </w:tc>
      </w:tr>
      <w:tr w:rsidR="008A3BAC" w14:paraId="26E9C59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8C" w14:textId="77777777" w:rsidR="008A3BAC" w:rsidRDefault="005C75B9">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8D"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8E"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8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90" w14:textId="77777777" w:rsidR="008A3BAC" w:rsidRDefault="005C75B9">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91"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2"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93" w14:textId="77777777" w:rsidR="008A3BAC" w:rsidRDefault="005C75B9">
            <w:pPr>
              <w:jc w:val="right"/>
              <w:textAlignment w:val="bottom"/>
            </w:pPr>
            <w:r>
              <w:rPr>
                <w:rFonts w:ascii="Arial" w:eastAsia="宋体" w:hAnsi="Arial" w:cs="Arial"/>
                <w:color w:val="000000"/>
                <w:sz w:val="17"/>
                <w:szCs w:val="17"/>
              </w:rPr>
              <w:t>(57)</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94"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96" w14:textId="77777777" w:rsidR="008A3BAC" w:rsidRDefault="005C75B9">
            <w:pPr>
              <w:jc w:val="right"/>
              <w:textAlignment w:val="bottom"/>
            </w:pPr>
            <w:r>
              <w:rPr>
                <w:rFonts w:ascii="Arial" w:eastAsia="宋体" w:hAnsi="Arial" w:cs="Arial"/>
                <w:color w:val="000000"/>
                <w:sz w:val="17"/>
                <w:szCs w:val="17"/>
              </w:rPr>
              <w:t>(1,165)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9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98" w14:textId="77777777" w:rsidR="008A3BAC" w:rsidRDefault="005C75B9">
            <w:pPr>
              <w:jc w:val="right"/>
              <w:textAlignment w:val="bottom"/>
            </w:pPr>
            <w:r>
              <w:rPr>
                <w:rFonts w:ascii="Arial" w:eastAsia="宋体" w:hAnsi="Arial" w:cs="Arial"/>
                <w:color w:val="000000"/>
                <w:sz w:val="17"/>
                <w:szCs w:val="17"/>
              </w:rPr>
              <w:t>(1,222)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99" w14:textId="77777777" w:rsidR="008A3BAC" w:rsidRDefault="008A3BAC">
            <w:pPr>
              <w:jc w:val="right"/>
              <w:rPr>
                <w:rFonts w:ascii="宋体"/>
              </w:rPr>
            </w:pPr>
          </w:p>
        </w:tc>
      </w:tr>
      <w:tr w:rsidR="008A3BAC" w14:paraId="26E9C5A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9B" w14:textId="77777777" w:rsidR="008A3BAC" w:rsidRDefault="005C75B9">
            <w:pPr>
              <w:textAlignment w:val="bottom"/>
            </w:pPr>
            <w:r>
              <w:rPr>
                <w:rFonts w:ascii="Arial" w:eastAsia="宋体" w:hAnsi="Arial" w:cs="Arial"/>
                <w:color w:val="000000"/>
                <w:sz w:val="17"/>
                <w:szCs w:val="17"/>
              </w:rPr>
              <w:t>Dividends on common stock ($0.305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C"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D"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E"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9F"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0"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1"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2"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A3" w14:textId="77777777" w:rsidR="008A3BAC" w:rsidRDefault="005C75B9">
            <w:pPr>
              <w:jc w:val="right"/>
              <w:textAlignment w:val="bottom"/>
            </w:pPr>
            <w:r>
              <w:rPr>
                <w:rFonts w:ascii="Arial" w:eastAsia="宋体" w:hAnsi="Arial" w:cs="Arial"/>
                <w:color w:val="000000"/>
                <w:sz w:val="17"/>
                <w:szCs w:val="17"/>
              </w:rPr>
              <w:t>(488)</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A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A5" w14:textId="77777777" w:rsidR="008A3BAC" w:rsidRDefault="005C75B9">
            <w:pPr>
              <w:jc w:val="right"/>
              <w:textAlignment w:val="bottom"/>
            </w:pPr>
            <w:r>
              <w:rPr>
                <w:rFonts w:ascii="Arial" w:eastAsia="宋体" w:hAnsi="Arial" w:cs="Arial"/>
                <w:color w:val="000000"/>
                <w:sz w:val="17"/>
                <w:szCs w:val="17"/>
              </w:rPr>
              <w:t>(488)</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A6" w14:textId="77777777" w:rsidR="008A3BAC" w:rsidRDefault="008A3BAC">
            <w:pPr>
              <w:jc w:val="right"/>
              <w:rPr>
                <w:rFonts w:ascii="宋体"/>
              </w:rPr>
            </w:pPr>
          </w:p>
        </w:tc>
      </w:tr>
      <w:tr w:rsidR="008A3BAC" w14:paraId="26E9C5B5"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A8" w14:textId="77777777" w:rsidR="008A3BAC" w:rsidRDefault="005C75B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9"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A"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B"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C"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A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AE" w14:textId="77777777" w:rsidR="008A3BAC" w:rsidRDefault="005C75B9">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AF"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B1" w14:textId="77777777" w:rsidR="008A3BAC" w:rsidRDefault="005C75B9">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B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B3" w14:textId="77777777" w:rsidR="008A3BAC" w:rsidRDefault="005C75B9">
            <w:pPr>
              <w:jc w:val="right"/>
              <w:textAlignment w:val="bottom"/>
            </w:pPr>
            <w:r>
              <w:rPr>
                <w:rFonts w:ascii="Arial" w:eastAsia="宋体" w:hAnsi="Arial" w:cs="Arial"/>
                <w:color w:val="000000"/>
                <w:sz w:val="17"/>
                <w:szCs w:val="17"/>
              </w:rPr>
              <w:t>(28)</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B4" w14:textId="77777777" w:rsidR="008A3BAC" w:rsidRDefault="008A3BAC">
            <w:pPr>
              <w:jc w:val="right"/>
              <w:rPr>
                <w:rFonts w:ascii="宋体"/>
              </w:rPr>
            </w:pPr>
          </w:p>
        </w:tc>
      </w:tr>
      <w:tr w:rsidR="008A3BAC" w14:paraId="26E9C5C2"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B6" w14:textId="77777777" w:rsidR="008A3BAC" w:rsidRDefault="005C75B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8"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9"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A"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BC" w14:textId="77777777" w:rsidR="008A3BAC" w:rsidRDefault="005C75B9">
            <w:pPr>
              <w:jc w:val="right"/>
              <w:textAlignment w:val="bottom"/>
            </w:pPr>
            <w:r>
              <w:rPr>
                <w:rFonts w:ascii="Arial" w:eastAsia="宋体" w:hAnsi="Arial" w:cs="Arial"/>
                <w:color w:val="000000"/>
                <w:sz w:val="17"/>
                <w:szCs w:val="17"/>
              </w:rPr>
              <w:t>161 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BD"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E"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B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C0" w14:textId="77777777" w:rsidR="008A3BAC" w:rsidRDefault="005C75B9">
            <w:pPr>
              <w:jc w:val="right"/>
              <w:textAlignment w:val="bottom"/>
            </w:pPr>
            <w:r>
              <w:rPr>
                <w:rFonts w:ascii="Arial" w:eastAsia="宋体" w:hAnsi="Arial" w:cs="Arial"/>
                <w:color w:val="000000"/>
                <w:sz w:val="17"/>
                <w:szCs w:val="17"/>
              </w:rPr>
              <w:t>161 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C1" w14:textId="77777777" w:rsidR="008A3BAC" w:rsidRDefault="008A3BAC">
            <w:pPr>
              <w:jc w:val="right"/>
              <w:rPr>
                <w:rFonts w:ascii="宋体"/>
              </w:rPr>
            </w:pPr>
          </w:p>
        </w:tc>
      </w:tr>
      <w:tr w:rsidR="008A3BAC" w14:paraId="26E9C5CF"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C3" w14:textId="77777777" w:rsidR="008A3BAC" w:rsidRDefault="005C75B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4"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5"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6"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8"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9"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C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CB" w14:textId="77777777" w:rsidR="008A3BAC" w:rsidRDefault="005C75B9">
            <w:pPr>
              <w:jc w:val="right"/>
              <w:textAlignment w:val="bottom"/>
            </w:pPr>
            <w:r>
              <w:rPr>
                <w:rFonts w:ascii="Arial" w:eastAsia="宋体" w:hAnsi="Arial" w:cs="Arial"/>
                <w:color w:val="000000"/>
                <w:sz w:val="17"/>
                <w:szCs w:val="17"/>
              </w:rPr>
              <w:t>1,396 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C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CD" w14:textId="77777777" w:rsidR="008A3BAC" w:rsidRDefault="005C75B9">
            <w:pPr>
              <w:jc w:val="right"/>
              <w:textAlignment w:val="bottom"/>
            </w:pPr>
            <w:r>
              <w:rPr>
                <w:rFonts w:ascii="Arial" w:eastAsia="宋体" w:hAnsi="Arial" w:cs="Arial"/>
                <w:color w:val="000000"/>
                <w:sz w:val="17"/>
                <w:szCs w:val="17"/>
              </w:rPr>
              <w:t>1,396 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CE" w14:textId="77777777" w:rsidR="008A3BAC" w:rsidRDefault="008A3BAC">
            <w:pPr>
              <w:jc w:val="right"/>
              <w:rPr>
                <w:rFonts w:ascii="宋体"/>
              </w:rPr>
            </w:pPr>
          </w:p>
        </w:tc>
      </w:tr>
      <w:tr w:rsidR="008A3BAC" w14:paraId="26E9C5DC"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5D0" w14:textId="77777777" w:rsidR="008A3BAC" w:rsidRDefault="005C75B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1"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2"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3"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4"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5"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D7" w14:textId="77777777" w:rsidR="008A3BAC" w:rsidRDefault="005C75B9">
            <w:pPr>
              <w:jc w:val="right"/>
              <w:textAlignment w:val="bottom"/>
            </w:pPr>
            <w:r>
              <w:rPr>
                <w:rFonts w:ascii="Arial" w:eastAsia="宋体" w:hAnsi="Arial" w:cs="Arial"/>
                <w:color w:val="000000"/>
                <w:sz w:val="17"/>
                <w:szCs w:val="17"/>
              </w:rPr>
              <w:t>(46)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D8"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5D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5DA" w14:textId="77777777" w:rsidR="008A3BAC" w:rsidRDefault="005C75B9">
            <w:pPr>
              <w:jc w:val="right"/>
              <w:textAlignment w:val="bottom"/>
            </w:pPr>
            <w:r>
              <w:rPr>
                <w:rFonts w:ascii="Arial" w:eastAsia="宋体" w:hAnsi="Arial" w:cs="Arial"/>
                <w:color w:val="000000"/>
                <w:sz w:val="17"/>
                <w:szCs w:val="17"/>
              </w:rPr>
              <w:t>(46)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5DB" w14:textId="77777777" w:rsidR="008A3BAC" w:rsidRDefault="008A3BAC">
            <w:pPr>
              <w:jc w:val="right"/>
              <w:rPr>
                <w:rFonts w:ascii="宋体"/>
              </w:rPr>
            </w:pPr>
          </w:p>
        </w:tc>
      </w:tr>
      <w:tr w:rsidR="008A3BAC" w14:paraId="26E9C5F5"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5DD" w14:textId="77777777" w:rsidR="008A3BAC" w:rsidRDefault="005C75B9">
            <w:pPr>
              <w:textAlignment w:val="bottom"/>
            </w:pPr>
            <w:r>
              <w:rPr>
                <w:rFonts w:ascii="Arial" w:eastAsia="宋体" w:hAnsi="Arial" w:cs="Arial"/>
                <w:b/>
                <w:bCs/>
                <w:color w:val="000000"/>
                <w:sz w:val="17"/>
                <w:szCs w:val="17"/>
              </w:rPr>
              <w:t>Balance at February 28,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DE"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D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E1"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E2"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6E9C5E3"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4" w14:textId="77777777" w:rsidR="008A3BAC" w:rsidRDefault="005C75B9">
            <w:pPr>
              <w:jc w:val="right"/>
              <w:textAlignment w:val="bottom"/>
            </w:pPr>
            <w:r>
              <w:rPr>
                <w:rFonts w:ascii="Arial" w:eastAsia="宋体" w:hAnsi="Arial" w:cs="Arial"/>
                <w:b/>
                <w:bCs/>
                <w:color w:val="000000"/>
                <w:sz w:val="17"/>
                <w:szCs w:val="17"/>
              </w:rPr>
              <w:t>1,271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E5"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E7"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E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EA" w14:textId="77777777" w:rsidR="008A3BAC" w:rsidRDefault="005C75B9">
            <w:pPr>
              <w:jc w:val="right"/>
              <w:textAlignment w:val="bottom"/>
            </w:pPr>
            <w:r>
              <w:rPr>
                <w:rFonts w:ascii="Arial" w:eastAsia="宋体" w:hAnsi="Arial" w:cs="Arial"/>
                <w:b/>
                <w:bCs/>
                <w:color w:val="000000"/>
                <w:sz w:val="17"/>
                <w:szCs w:val="17"/>
              </w:rPr>
              <w:t>11,186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E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ED" w14:textId="77777777" w:rsidR="008A3BAC" w:rsidRDefault="005C75B9">
            <w:pPr>
              <w:jc w:val="right"/>
              <w:textAlignment w:val="bottom"/>
            </w:pPr>
            <w:r>
              <w:rPr>
                <w:rFonts w:ascii="Arial" w:eastAsia="宋体" w:hAnsi="Arial" w:cs="Arial"/>
                <w:b/>
                <w:bCs/>
                <w:color w:val="000000"/>
                <w:sz w:val="17"/>
                <w:szCs w:val="17"/>
              </w:rPr>
              <w:t>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E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E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F0" w14:textId="77777777" w:rsidR="008A3BAC" w:rsidRDefault="005C75B9">
            <w:pPr>
              <w:jc w:val="right"/>
              <w:textAlignment w:val="bottom"/>
            </w:pPr>
            <w:r>
              <w:rPr>
                <w:rFonts w:ascii="Arial" w:eastAsia="宋体" w:hAnsi="Arial" w:cs="Arial"/>
                <w:b/>
                <w:bCs/>
                <w:color w:val="000000"/>
                <w:sz w:val="17"/>
                <w:szCs w:val="17"/>
              </w:rPr>
              <w:t>3,521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F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5F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5F3" w14:textId="77777777" w:rsidR="008A3BAC" w:rsidRDefault="005C75B9">
            <w:pPr>
              <w:jc w:val="right"/>
              <w:textAlignment w:val="bottom"/>
            </w:pPr>
            <w:r>
              <w:rPr>
                <w:rFonts w:ascii="Arial" w:eastAsia="宋体" w:hAnsi="Arial" w:cs="Arial"/>
                <w:b/>
                <w:bCs/>
                <w:color w:val="000000"/>
                <w:sz w:val="17"/>
                <w:szCs w:val="17"/>
              </w:rPr>
              <w:t>14,809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5F4" w14:textId="77777777" w:rsidR="008A3BAC" w:rsidRDefault="008A3BAC">
            <w:pPr>
              <w:jc w:val="right"/>
              <w:rPr>
                <w:rFonts w:ascii="宋体"/>
              </w:rPr>
            </w:pPr>
          </w:p>
        </w:tc>
      </w:tr>
    </w:tbl>
    <w:p w14:paraId="26E9C5F6" w14:textId="77777777" w:rsidR="008A3BAC" w:rsidRDefault="008A3BAC">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1636"/>
        <w:gridCol w:w="39"/>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A3BAC" w14:paraId="26E9C615" w14:textId="77777777">
        <w:trPr>
          <w:jc w:val="center"/>
        </w:trPr>
        <w:tc>
          <w:tcPr>
            <w:tcW w:w="50" w:type="pct"/>
            <w:shd w:val="clear" w:color="auto" w:fill="auto"/>
            <w:vAlign w:val="bottom"/>
          </w:tcPr>
          <w:p w14:paraId="26E9C5F7" w14:textId="77777777" w:rsidR="008A3BAC" w:rsidRDefault="008A3BAC">
            <w:pPr>
              <w:rPr>
                <w:rFonts w:ascii="宋体"/>
              </w:rPr>
            </w:pPr>
          </w:p>
        </w:tc>
        <w:tc>
          <w:tcPr>
            <w:tcW w:w="1560" w:type="pct"/>
            <w:shd w:val="clear" w:color="auto" w:fill="auto"/>
            <w:vAlign w:val="bottom"/>
          </w:tcPr>
          <w:p w14:paraId="26E9C5F8" w14:textId="77777777" w:rsidR="008A3BAC" w:rsidRDefault="008A3BAC">
            <w:pPr>
              <w:rPr>
                <w:rFonts w:ascii="宋体"/>
              </w:rPr>
            </w:pPr>
          </w:p>
        </w:tc>
        <w:tc>
          <w:tcPr>
            <w:tcW w:w="5" w:type="pct"/>
            <w:shd w:val="clear" w:color="auto" w:fill="auto"/>
            <w:vAlign w:val="bottom"/>
          </w:tcPr>
          <w:p w14:paraId="26E9C5F9" w14:textId="77777777" w:rsidR="008A3BAC" w:rsidRDefault="008A3BAC">
            <w:pPr>
              <w:rPr>
                <w:rFonts w:ascii="宋体"/>
              </w:rPr>
            </w:pPr>
          </w:p>
        </w:tc>
        <w:tc>
          <w:tcPr>
            <w:tcW w:w="50" w:type="pct"/>
            <w:shd w:val="clear" w:color="auto" w:fill="auto"/>
            <w:vAlign w:val="bottom"/>
          </w:tcPr>
          <w:p w14:paraId="26E9C5FA" w14:textId="77777777" w:rsidR="008A3BAC" w:rsidRDefault="008A3BAC">
            <w:pPr>
              <w:rPr>
                <w:rFonts w:ascii="宋体"/>
              </w:rPr>
            </w:pPr>
          </w:p>
        </w:tc>
        <w:tc>
          <w:tcPr>
            <w:tcW w:w="285" w:type="pct"/>
            <w:shd w:val="clear" w:color="auto" w:fill="auto"/>
            <w:vAlign w:val="bottom"/>
          </w:tcPr>
          <w:p w14:paraId="26E9C5FB" w14:textId="77777777" w:rsidR="008A3BAC" w:rsidRDefault="008A3BAC">
            <w:pPr>
              <w:rPr>
                <w:rFonts w:ascii="宋体"/>
              </w:rPr>
            </w:pPr>
          </w:p>
        </w:tc>
        <w:tc>
          <w:tcPr>
            <w:tcW w:w="5" w:type="pct"/>
            <w:shd w:val="clear" w:color="auto" w:fill="auto"/>
            <w:vAlign w:val="bottom"/>
          </w:tcPr>
          <w:p w14:paraId="26E9C5FC" w14:textId="77777777" w:rsidR="008A3BAC" w:rsidRDefault="008A3BAC">
            <w:pPr>
              <w:rPr>
                <w:rFonts w:ascii="宋体"/>
              </w:rPr>
            </w:pPr>
          </w:p>
        </w:tc>
        <w:tc>
          <w:tcPr>
            <w:tcW w:w="50" w:type="pct"/>
            <w:shd w:val="clear" w:color="auto" w:fill="auto"/>
            <w:vAlign w:val="bottom"/>
          </w:tcPr>
          <w:p w14:paraId="26E9C5FD" w14:textId="77777777" w:rsidR="008A3BAC" w:rsidRDefault="008A3BAC">
            <w:pPr>
              <w:rPr>
                <w:rFonts w:ascii="宋体"/>
              </w:rPr>
            </w:pPr>
          </w:p>
        </w:tc>
        <w:tc>
          <w:tcPr>
            <w:tcW w:w="346" w:type="pct"/>
            <w:shd w:val="clear" w:color="auto" w:fill="auto"/>
            <w:vAlign w:val="bottom"/>
          </w:tcPr>
          <w:p w14:paraId="26E9C5FE" w14:textId="77777777" w:rsidR="008A3BAC" w:rsidRDefault="008A3BAC">
            <w:pPr>
              <w:rPr>
                <w:rFonts w:ascii="宋体"/>
              </w:rPr>
            </w:pPr>
          </w:p>
        </w:tc>
        <w:tc>
          <w:tcPr>
            <w:tcW w:w="5" w:type="pct"/>
            <w:shd w:val="clear" w:color="auto" w:fill="auto"/>
            <w:vAlign w:val="bottom"/>
          </w:tcPr>
          <w:p w14:paraId="26E9C5FF" w14:textId="77777777" w:rsidR="008A3BAC" w:rsidRDefault="008A3BAC">
            <w:pPr>
              <w:rPr>
                <w:rFonts w:ascii="宋体"/>
              </w:rPr>
            </w:pPr>
          </w:p>
        </w:tc>
        <w:tc>
          <w:tcPr>
            <w:tcW w:w="5" w:type="pct"/>
            <w:shd w:val="clear" w:color="auto" w:fill="auto"/>
            <w:vAlign w:val="bottom"/>
          </w:tcPr>
          <w:p w14:paraId="26E9C600" w14:textId="77777777" w:rsidR="008A3BAC" w:rsidRDefault="008A3BAC">
            <w:pPr>
              <w:rPr>
                <w:rFonts w:ascii="宋体"/>
              </w:rPr>
            </w:pPr>
          </w:p>
        </w:tc>
        <w:tc>
          <w:tcPr>
            <w:tcW w:w="28" w:type="pct"/>
            <w:shd w:val="clear" w:color="auto" w:fill="auto"/>
            <w:vAlign w:val="bottom"/>
          </w:tcPr>
          <w:p w14:paraId="26E9C601" w14:textId="77777777" w:rsidR="008A3BAC" w:rsidRDefault="008A3BAC">
            <w:pPr>
              <w:rPr>
                <w:rFonts w:ascii="宋体"/>
              </w:rPr>
            </w:pPr>
          </w:p>
        </w:tc>
        <w:tc>
          <w:tcPr>
            <w:tcW w:w="5" w:type="pct"/>
            <w:shd w:val="clear" w:color="auto" w:fill="auto"/>
            <w:vAlign w:val="bottom"/>
          </w:tcPr>
          <w:p w14:paraId="26E9C602" w14:textId="77777777" w:rsidR="008A3BAC" w:rsidRDefault="008A3BAC">
            <w:pPr>
              <w:rPr>
                <w:rFonts w:ascii="宋体"/>
              </w:rPr>
            </w:pPr>
          </w:p>
        </w:tc>
        <w:tc>
          <w:tcPr>
            <w:tcW w:w="50" w:type="pct"/>
            <w:shd w:val="clear" w:color="auto" w:fill="auto"/>
            <w:vAlign w:val="bottom"/>
          </w:tcPr>
          <w:p w14:paraId="26E9C603" w14:textId="77777777" w:rsidR="008A3BAC" w:rsidRDefault="008A3BAC">
            <w:pPr>
              <w:rPr>
                <w:rFonts w:ascii="宋体"/>
              </w:rPr>
            </w:pPr>
          </w:p>
        </w:tc>
        <w:tc>
          <w:tcPr>
            <w:tcW w:w="285" w:type="pct"/>
            <w:shd w:val="clear" w:color="auto" w:fill="auto"/>
            <w:vAlign w:val="bottom"/>
          </w:tcPr>
          <w:p w14:paraId="26E9C604" w14:textId="77777777" w:rsidR="008A3BAC" w:rsidRDefault="008A3BAC">
            <w:pPr>
              <w:rPr>
                <w:rFonts w:ascii="宋体"/>
              </w:rPr>
            </w:pPr>
          </w:p>
        </w:tc>
        <w:tc>
          <w:tcPr>
            <w:tcW w:w="5" w:type="pct"/>
            <w:shd w:val="clear" w:color="auto" w:fill="auto"/>
            <w:vAlign w:val="bottom"/>
          </w:tcPr>
          <w:p w14:paraId="26E9C605" w14:textId="77777777" w:rsidR="008A3BAC" w:rsidRDefault="008A3BAC">
            <w:pPr>
              <w:rPr>
                <w:rFonts w:ascii="宋体"/>
              </w:rPr>
            </w:pPr>
          </w:p>
        </w:tc>
        <w:tc>
          <w:tcPr>
            <w:tcW w:w="50" w:type="pct"/>
            <w:shd w:val="clear" w:color="auto" w:fill="auto"/>
            <w:vAlign w:val="bottom"/>
          </w:tcPr>
          <w:p w14:paraId="26E9C606" w14:textId="77777777" w:rsidR="008A3BAC" w:rsidRDefault="008A3BAC">
            <w:pPr>
              <w:rPr>
                <w:rFonts w:ascii="宋体"/>
              </w:rPr>
            </w:pPr>
          </w:p>
        </w:tc>
        <w:tc>
          <w:tcPr>
            <w:tcW w:w="323" w:type="pct"/>
            <w:shd w:val="clear" w:color="auto" w:fill="auto"/>
            <w:vAlign w:val="bottom"/>
          </w:tcPr>
          <w:p w14:paraId="26E9C607" w14:textId="77777777" w:rsidR="008A3BAC" w:rsidRDefault="008A3BAC">
            <w:pPr>
              <w:rPr>
                <w:rFonts w:ascii="宋体"/>
              </w:rPr>
            </w:pPr>
          </w:p>
        </w:tc>
        <w:tc>
          <w:tcPr>
            <w:tcW w:w="5" w:type="pct"/>
            <w:shd w:val="clear" w:color="auto" w:fill="auto"/>
            <w:vAlign w:val="bottom"/>
          </w:tcPr>
          <w:p w14:paraId="26E9C608" w14:textId="77777777" w:rsidR="008A3BAC" w:rsidRDefault="008A3BAC">
            <w:pPr>
              <w:rPr>
                <w:rFonts w:ascii="宋体"/>
              </w:rPr>
            </w:pPr>
          </w:p>
        </w:tc>
        <w:tc>
          <w:tcPr>
            <w:tcW w:w="50" w:type="pct"/>
            <w:shd w:val="clear" w:color="auto" w:fill="auto"/>
            <w:vAlign w:val="bottom"/>
          </w:tcPr>
          <w:p w14:paraId="26E9C609" w14:textId="77777777" w:rsidR="008A3BAC" w:rsidRDefault="008A3BAC">
            <w:pPr>
              <w:rPr>
                <w:rFonts w:ascii="宋体"/>
              </w:rPr>
            </w:pPr>
          </w:p>
        </w:tc>
        <w:tc>
          <w:tcPr>
            <w:tcW w:w="385" w:type="pct"/>
            <w:shd w:val="clear" w:color="auto" w:fill="auto"/>
            <w:vAlign w:val="bottom"/>
          </w:tcPr>
          <w:p w14:paraId="26E9C60A" w14:textId="77777777" w:rsidR="008A3BAC" w:rsidRDefault="008A3BAC">
            <w:pPr>
              <w:rPr>
                <w:rFonts w:ascii="宋体"/>
              </w:rPr>
            </w:pPr>
          </w:p>
        </w:tc>
        <w:tc>
          <w:tcPr>
            <w:tcW w:w="5" w:type="pct"/>
            <w:shd w:val="clear" w:color="auto" w:fill="auto"/>
            <w:vAlign w:val="bottom"/>
          </w:tcPr>
          <w:p w14:paraId="26E9C60B" w14:textId="77777777" w:rsidR="008A3BAC" w:rsidRDefault="008A3BAC">
            <w:pPr>
              <w:rPr>
                <w:rFonts w:ascii="宋体"/>
              </w:rPr>
            </w:pPr>
          </w:p>
        </w:tc>
        <w:tc>
          <w:tcPr>
            <w:tcW w:w="50" w:type="pct"/>
            <w:shd w:val="clear" w:color="auto" w:fill="auto"/>
            <w:vAlign w:val="bottom"/>
          </w:tcPr>
          <w:p w14:paraId="26E9C60C" w14:textId="77777777" w:rsidR="008A3BAC" w:rsidRDefault="008A3BAC">
            <w:pPr>
              <w:rPr>
                <w:rFonts w:ascii="宋体"/>
              </w:rPr>
            </w:pPr>
          </w:p>
        </w:tc>
        <w:tc>
          <w:tcPr>
            <w:tcW w:w="586" w:type="pct"/>
            <w:shd w:val="clear" w:color="auto" w:fill="auto"/>
            <w:vAlign w:val="bottom"/>
          </w:tcPr>
          <w:p w14:paraId="26E9C60D" w14:textId="77777777" w:rsidR="008A3BAC" w:rsidRDefault="008A3BAC">
            <w:pPr>
              <w:rPr>
                <w:rFonts w:ascii="宋体"/>
              </w:rPr>
            </w:pPr>
          </w:p>
        </w:tc>
        <w:tc>
          <w:tcPr>
            <w:tcW w:w="5" w:type="pct"/>
            <w:shd w:val="clear" w:color="auto" w:fill="auto"/>
            <w:vAlign w:val="bottom"/>
          </w:tcPr>
          <w:p w14:paraId="26E9C60E" w14:textId="77777777" w:rsidR="008A3BAC" w:rsidRDefault="008A3BAC">
            <w:pPr>
              <w:rPr>
                <w:rFonts w:ascii="宋体"/>
              </w:rPr>
            </w:pPr>
          </w:p>
        </w:tc>
        <w:tc>
          <w:tcPr>
            <w:tcW w:w="50" w:type="pct"/>
            <w:shd w:val="clear" w:color="auto" w:fill="auto"/>
            <w:vAlign w:val="bottom"/>
          </w:tcPr>
          <w:p w14:paraId="26E9C60F" w14:textId="77777777" w:rsidR="008A3BAC" w:rsidRDefault="008A3BAC">
            <w:pPr>
              <w:rPr>
                <w:rFonts w:ascii="宋体"/>
              </w:rPr>
            </w:pPr>
          </w:p>
        </w:tc>
        <w:tc>
          <w:tcPr>
            <w:tcW w:w="370" w:type="pct"/>
            <w:shd w:val="clear" w:color="auto" w:fill="auto"/>
            <w:vAlign w:val="bottom"/>
          </w:tcPr>
          <w:p w14:paraId="26E9C610" w14:textId="77777777" w:rsidR="008A3BAC" w:rsidRDefault="008A3BAC">
            <w:pPr>
              <w:rPr>
                <w:rFonts w:ascii="宋体"/>
              </w:rPr>
            </w:pPr>
          </w:p>
        </w:tc>
        <w:tc>
          <w:tcPr>
            <w:tcW w:w="5" w:type="pct"/>
            <w:shd w:val="clear" w:color="auto" w:fill="auto"/>
            <w:vAlign w:val="bottom"/>
          </w:tcPr>
          <w:p w14:paraId="26E9C611" w14:textId="77777777" w:rsidR="008A3BAC" w:rsidRDefault="008A3BAC">
            <w:pPr>
              <w:rPr>
                <w:rFonts w:ascii="宋体"/>
              </w:rPr>
            </w:pPr>
          </w:p>
        </w:tc>
        <w:tc>
          <w:tcPr>
            <w:tcW w:w="50" w:type="pct"/>
            <w:shd w:val="clear" w:color="auto" w:fill="auto"/>
            <w:vAlign w:val="bottom"/>
          </w:tcPr>
          <w:p w14:paraId="26E9C612" w14:textId="77777777" w:rsidR="008A3BAC" w:rsidRDefault="008A3BAC">
            <w:pPr>
              <w:rPr>
                <w:rFonts w:ascii="宋体"/>
              </w:rPr>
            </w:pPr>
          </w:p>
        </w:tc>
        <w:tc>
          <w:tcPr>
            <w:tcW w:w="323" w:type="pct"/>
            <w:shd w:val="clear" w:color="auto" w:fill="auto"/>
            <w:vAlign w:val="bottom"/>
          </w:tcPr>
          <w:p w14:paraId="26E9C613" w14:textId="77777777" w:rsidR="008A3BAC" w:rsidRDefault="008A3BAC">
            <w:pPr>
              <w:rPr>
                <w:rFonts w:ascii="宋体"/>
              </w:rPr>
            </w:pPr>
          </w:p>
        </w:tc>
        <w:tc>
          <w:tcPr>
            <w:tcW w:w="5" w:type="pct"/>
            <w:shd w:val="clear" w:color="auto" w:fill="auto"/>
            <w:vAlign w:val="bottom"/>
          </w:tcPr>
          <w:p w14:paraId="26E9C614" w14:textId="77777777" w:rsidR="008A3BAC" w:rsidRDefault="008A3BAC">
            <w:pPr>
              <w:rPr>
                <w:rFonts w:ascii="宋体"/>
              </w:rPr>
            </w:pPr>
          </w:p>
        </w:tc>
      </w:tr>
      <w:tr w:rsidR="008A3BAC" w14:paraId="26E9C61C"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616"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617" w14:textId="77777777" w:rsidR="008A3BAC" w:rsidRDefault="005C75B9">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6E9C618" w14:textId="77777777" w:rsidR="008A3BAC" w:rsidRDefault="005C75B9">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6E9C619" w14:textId="77777777" w:rsidR="008A3BAC" w:rsidRDefault="005C75B9">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6E9C61A" w14:textId="77777777" w:rsidR="008A3BAC" w:rsidRDefault="005C75B9">
            <w:pPr>
              <w:jc w:val="right"/>
              <w:textAlignment w:val="bottom"/>
            </w:pPr>
            <w:r>
              <w:rPr>
                <w:rFonts w:ascii="sans-serif" w:eastAsia="sans-serif" w:hAnsi="sans-serif" w:cs="sans-serif"/>
                <w:b/>
                <w:bCs/>
                <w:color w:val="000000"/>
                <w:sz w:val="17"/>
                <w:szCs w:val="17"/>
              </w:rPr>
              <w:t xml:space="preserve">RETAINED EARNINGS </w:t>
            </w:r>
            <w:r>
              <w:rPr>
                <w:rFonts w:ascii="sans-serif" w:eastAsia="sans-serif" w:hAnsi="sans-serif" w:cs="sans-serif"/>
                <w:b/>
                <w:bCs/>
                <w:color w:val="000000"/>
                <w:sz w:val="17"/>
                <w:szCs w:val="17"/>
              </w:rPr>
              <w:t>(DEFICIT)</w:t>
            </w:r>
          </w:p>
        </w:tc>
        <w:tc>
          <w:tcPr>
            <w:tcW w:w="0" w:type="auto"/>
            <w:gridSpan w:val="3"/>
            <w:vMerge w:val="restart"/>
            <w:shd w:val="clear" w:color="auto" w:fill="auto"/>
            <w:tcMar>
              <w:top w:w="40" w:type="dxa"/>
              <w:left w:w="20" w:type="dxa"/>
              <w:bottom w:w="40" w:type="dxa"/>
              <w:right w:w="20" w:type="dxa"/>
            </w:tcMar>
            <w:vAlign w:val="bottom"/>
          </w:tcPr>
          <w:p w14:paraId="26E9C61B"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625"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61D"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61E" w14:textId="77777777" w:rsidR="008A3BAC" w:rsidRDefault="005C75B9">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1F"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620" w14:textId="77777777" w:rsidR="008A3BAC" w:rsidRDefault="005C75B9">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6E9C621"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2"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3"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4" w14:textId="77777777" w:rsidR="008A3BAC" w:rsidRDefault="008A3BAC">
            <w:pPr>
              <w:jc w:val="right"/>
              <w:rPr>
                <w:rFonts w:ascii="宋体"/>
              </w:rPr>
            </w:pPr>
          </w:p>
        </w:tc>
      </w:tr>
      <w:tr w:rsidR="008A3BAC" w14:paraId="26E9C630" w14:textId="77777777">
        <w:trPr>
          <w:trHeight w:val="240"/>
          <w:jc w:val="center"/>
        </w:trPr>
        <w:tc>
          <w:tcPr>
            <w:tcW w:w="0" w:type="auto"/>
            <w:gridSpan w:val="3"/>
            <w:shd w:val="clear" w:color="auto" w:fill="auto"/>
            <w:tcMar>
              <w:top w:w="40" w:type="dxa"/>
              <w:left w:w="20" w:type="dxa"/>
              <w:bottom w:w="40" w:type="dxa"/>
              <w:right w:w="20" w:type="dxa"/>
            </w:tcMar>
            <w:vAlign w:val="bottom"/>
          </w:tcPr>
          <w:p w14:paraId="26E9C626"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27" w14:textId="77777777" w:rsidR="008A3BAC" w:rsidRDefault="005C75B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28" w14:textId="77777777" w:rsidR="008A3BAC" w:rsidRDefault="005C75B9">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6E9C629"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2A" w14:textId="77777777" w:rsidR="008A3BAC" w:rsidRDefault="005C75B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2B" w14:textId="77777777" w:rsidR="008A3BAC" w:rsidRDefault="005C75B9">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6E9C62C"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D"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E"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2F" w14:textId="77777777" w:rsidR="008A3BAC" w:rsidRDefault="008A3BAC">
            <w:pPr>
              <w:jc w:val="right"/>
              <w:rPr>
                <w:rFonts w:ascii="宋体"/>
              </w:rPr>
            </w:pPr>
          </w:p>
        </w:tc>
      </w:tr>
      <w:tr w:rsidR="008A3BAC" w14:paraId="26E9C64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31" w14:textId="77777777" w:rsidR="008A3BAC" w:rsidRDefault="005C75B9">
            <w:pPr>
              <w:textAlignment w:val="bottom"/>
            </w:pPr>
            <w:r>
              <w:rPr>
                <w:rFonts w:ascii="Arial" w:eastAsia="宋体" w:hAnsi="Arial" w:cs="Arial"/>
                <w:b/>
                <w:bCs/>
                <w:color w:val="000000"/>
                <w:sz w:val="17"/>
                <w:szCs w:val="17"/>
              </w:rPr>
              <w:t>Balance at November 30,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32"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3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3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35"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36"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37"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38" w14:textId="77777777" w:rsidR="008A3BAC" w:rsidRDefault="005C75B9">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39"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3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3B"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3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3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3E" w14:textId="77777777" w:rsidR="008A3BAC" w:rsidRDefault="005C75B9">
            <w:pPr>
              <w:jc w:val="right"/>
              <w:textAlignment w:val="bottom"/>
            </w:pPr>
            <w:r>
              <w:rPr>
                <w:rFonts w:ascii="Arial" w:eastAsia="宋体" w:hAnsi="Arial" w:cs="Arial"/>
                <w:b/>
                <w:bCs/>
                <w:color w:val="000000"/>
                <w:sz w:val="17"/>
                <w:szCs w:val="17"/>
              </w:rPr>
              <w:t>9,336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3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4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41" w14:textId="77777777" w:rsidR="008A3BAC" w:rsidRDefault="005C75B9">
            <w:pPr>
              <w:jc w:val="right"/>
              <w:textAlignment w:val="bottom"/>
            </w:pPr>
            <w:r>
              <w:rPr>
                <w:rFonts w:ascii="Arial" w:eastAsia="宋体" w:hAnsi="Arial" w:cs="Arial"/>
                <w:b/>
                <w:bCs/>
                <w:color w:val="000000"/>
                <w:sz w:val="17"/>
                <w:szCs w:val="17"/>
              </w:rPr>
              <w:t>(429)</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4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4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44" w14:textId="77777777" w:rsidR="008A3BAC" w:rsidRDefault="005C75B9">
            <w:pPr>
              <w:jc w:val="right"/>
              <w:textAlignment w:val="bottom"/>
            </w:pPr>
            <w:r>
              <w:rPr>
                <w:rFonts w:ascii="Arial" w:eastAsia="宋体" w:hAnsi="Arial" w:cs="Arial"/>
                <w:b/>
                <w:bCs/>
                <w:color w:val="000000"/>
                <w:sz w:val="17"/>
                <w:szCs w:val="17"/>
              </w:rPr>
              <w:t>1,730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45"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4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47" w14:textId="77777777" w:rsidR="008A3BAC" w:rsidRDefault="005C75B9">
            <w:pPr>
              <w:jc w:val="right"/>
              <w:textAlignment w:val="bottom"/>
            </w:pPr>
            <w:r>
              <w:rPr>
                <w:rFonts w:ascii="Arial" w:eastAsia="宋体" w:hAnsi="Arial" w:cs="Arial"/>
                <w:b/>
                <w:bCs/>
                <w:color w:val="000000"/>
                <w:sz w:val="17"/>
                <w:szCs w:val="17"/>
              </w:rPr>
              <w:t>10,640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48" w14:textId="77777777" w:rsidR="008A3BAC" w:rsidRDefault="008A3BAC">
            <w:pPr>
              <w:jc w:val="right"/>
              <w:rPr>
                <w:rFonts w:ascii="宋体"/>
              </w:rPr>
            </w:pPr>
          </w:p>
        </w:tc>
      </w:tr>
      <w:tr w:rsidR="008A3BAC" w14:paraId="26E9C65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4A" w14:textId="77777777" w:rsidR="008A3BAC" w:rsidRDefault="005C75B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4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4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4D"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4E"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4F"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50"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51" w14:textId="77777777" w:rsidR="008A3BAC" w:rsidRDefault="005C75B9">
            <w:pPr>
              <w:jc w:val="right"/>
              <w:textAlignment w:val="bottom"/>
            </w:pPr>
            <w:r>
              <w:rPr>
                <w:rFonts w:ascii="Arial" w:eastAsia="宋体" w:hAnsi="Arial" w:cs="Arial"/>
                <w:color w:val="000000"/>
                <w:sz w:val="17"/>
                <w:szCs w:val="17"/>
              </w:rPr>
              <w:t>187 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5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5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54"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55" w14:textId="77777777" w:rsidR="008A3BAC" w:rsidRDefault="005C75B9">
            <w:pPr>
              <w:jc w:val="right"/>
              <w:textAlignment w:val="bottom"/>
            </w:pPr>
            <w:r>
              <w:rPr>
                <w:rFonts w:ascii="Arial" w:eastAsia="宋体" w:hAnsi="Arial" w:cs="Arial"/>
                <w:color w:val="000000"/>
                <w:sz w:val="17"/>
                <w:szCs w:val="17"/>
              </w:rPr>
              <w:t>187 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56" w14:textId="77777777" w:rsidR="008A3BAC" w:rsidRDefault="008A3BAC">
            <w:pPr>
              <w:jc w:val="right"/>
              <w:rPr>
                <w:rFonts w:ascii="宋体"/>
              </w:rPr>
            </w:pPr>
          </w:p>
        </w:tc>
      </w:tr>
      <w:tr w:rsidR="008A3BAC" w14:paraId="26E9C66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658" w14:textId="77777777" w:rsidR="008A3BAC" w:rsidRDefault="005C75B9">
            <w:pPr>
              <w:textAlignment w:val="bottom"/>
            </w:pPr>
            <w:r>
              <w:rPr>
                <w:rFonts w:ascii="Arial" w:eastAsia="宋体" w:hAnsi="Arial" w:cs="Arial"/>
                <w:color w:val="000000"/>
                <w:sz w:val="17"/>
                <w:szCs w:val="17"/>
              </w:rPr>
              <w:t>Dividends on common stock ($0.275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A"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B"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C"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5F"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60" w14:textId="77777777" w:rsidR="008A3BAC" w:rsidRDefault="005C75B9">
            <w:pPr>
              <w:jc w:val="right"/>
              <w:textAlignment w:val="bottom"/>
            </w:pPr>
            <w:r>
              <w:rPr>
                <w:rFonts w:ascii="Arial" w:eastAsia="宋体" w:hAnsi="Arial" w:cs="Arial"/>
                <w:color w:val="000000"/>
                <w:sz w:val="17"/>
                <w:szCs w:val="17"/>
              </w:rPr>
              <w:t>(436)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6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62" w14:textId="77777777" w:rsidR="008A3BAC" w:rsidRDefault="005C75B9">
            <w:pPr>
              <w:jc w:val="right"/>
              <w:textAlignment w:val="bottom"/>
            </w:pPr>
            <w:r>
              <w:rPr>
                <w:rFonts w:ascii="Arial" w:eastAsia="宋体" w:hAnsi="Arial" w:cs="Arial"/>
                <w:color w:val="000000"/>
                <w:sz w:val="17"/>
                <w:szCs w:val="17"/>
              </w:rPr>
              <w:t>(436)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63" w14:textId="77777777" w:rsidR="008A3BAC" w:rsidRDefault="008A3BAC">
            <w:pPr>
              <w:jc w:val="right"/>
              <w:rPr>
                <w:rFonts w:ascii="宋体"/>
              </w:rPr>
            </w:pPr>
          </w:p>
        </w:tc>
      </w:tr>
      <w:tr w:rsidR="008A3BAC" w14:paraId="26E9C672"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665" w14:textId="77777777" w:rsidR="008A3BAC" w:rsidRDefault="005C75B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6"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7"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8"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6B" w14:textId="77777777" w:rsidR="008A3BAC" w:rsidRDefault="005C75B9">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6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6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6E" w14:textId="77777777" w:rsidR="008A3BAC" w:rsidRDefault="005C75B9">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6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70" w14:textId="77777777" w:rsidR="008A3BAC" w:rsidRDefault="005C75B9">
            <w:pPr>
              <w:jc w:val="right"/>
              <w:textAlignment w:val="bottom"/>
            </w:pPr>
            <w:r>
              <w:rPr>
                <w:rFonts w:ascii="Arial" w:eastAsia="宋体" w:hAnsi="Arial" w:cs="Arial"/>
                <w:color w:val="000000"/>
                <w:sz w:val="17"/>
                <w:szCs w:val="17"/>
              </w:rPr>
              <w:t>(34)</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71" w14:textId="77777777" w:rsidR="008A3BAC" w:rsidRDefault="008A3BAC">
            <w:pPr>
              <w:jc w:val="right"/>
              <w:rPr>
                <w:rFonts w:ascii="宋体"/>
              </w:rPr>
            </w:pPr>
          </w:p>
        </w:tc>
      </w:tr>
      <w:tr w:rsidR="008A3BAC" w14:paraId="26E9C67F"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673" w14:textId="77777777" w:rsidR="008A3BAC" w:rsidRDefault="005C75B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4"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5"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6"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7"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8"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79" w14:textId="77777777" w:rsidR="008A3BAC" w:rsidRDefault="005C75B9">
            <w:pPr>
              <w:jc w:val="right"/>
              <w:textAlignment w:val="bottom"/>
            </w:pPr>
            <w:r>
              <w:rPr>
                <w:rFonts w:ascii="Arial" w:eastAsia="宋体" w:hAnsi="Arial" w:cs="Arial"/>
                <w:color w:val="000000"/>
                <w:sz w:val="17"/>
                <w:szCs w:val="17"/>
              </w:rPr>
              <w:t>142 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7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B"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7C"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7D" w14:textId="77777777" w:rsidR="008A3BAC" w:rsidRDefault="005C75B9">
            <w:pPr>
              <w:jc w:val="right"/>
              <w:textAlignment w:val="bottom"/>
            </w:pPr>
            <w:r>
              <w:rPr>
                <w:rFonts w:ascii="Arial" w:eastAsia="宋体" w:hAnsi="Arial" w:cs="Arial"/>
                <w:color w:val="000000"/>
                <w:sz w:val="17"/>
                <w:szCs w:val="17"/>
              </w:rPr>
              <w:t>142 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7E" w14:textId="77777777" w:rsidR="008A3BAC" w:rsidRDefault="008A3BAC">
            <w:pPr>
              <w:jc w:val="right"/>
              <w:rPr>
                <w:rFonts w:ascii="宋体"/>
              </w:rPr>
            </w:pPr>
          </w:p>
        </w:tc>
      </w:tr>
      <w:tr w:rsidR="008A3BAC" w14:paraId="26E9C68C"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680" w14:textId="77777777" w:rsidR="008A3BAC" w:rsidRDefault="005C75B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4"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5"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6"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88" w14:textId="77777777" w:rsidR="008A3BAC" w:rsidRDefault="005C75B9">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8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8A" w14:textId="77777777" w:rsidR="008A3BAC" w:rsidRDefault="005C75B9">
            <w:pPr>
              <w:jc w:val="right"/>
              <w:textAlignment w:val="bottom"/>
            </w:pPr>
            <w:r>
              <w:rPr>
                <w:rFonts w:ascii="Arial" w:eastAsia="宋体" w:hAnsi="Arial" w:cs="Arial"/>
                <w:color w:val="000000"/>
                <w:sz w:val="17"/>
                <w:szCs w:val="17"/>
              </w:rPr>
              <w:t>1,449 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8B" w14:textId="77777777" w:rsidR="008A3BAC" w:rsidRDefault="008A3BAC">
            <w:pPr>
              <w:jc w:val="right"/>
              <w:rPr>
                <w:rFonts w:ascii="宋体"/>
              </w:rPr>
            </w:pPr>
          </w:p>
        </w:tc>
      </w:tr>
      <w:tr w:rsidR="008A3BAC" w14:paraId="26E9C69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68D" w14:textId="77777777" w:rsidR="008A3BAC" w:rsidRDefault="005C75B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8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90"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9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9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9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94" w14:textId="77777777" w:rsidR="008A3BAC" w:rsidRDefault="005C75B9">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9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69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697" w14:textId="77777777" w:rsidR="008A3BAC" w:rsidRDefault="005C75B9">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vAlign w:val="bottom"/>
          </w:tcPr>
          <w:p w14:paraId="26E9C698" w14:textId="77777777" w:rsidR="008A3BAC" w:rsidRDefault="008A3BAC">
            <w:pPr>
              <w:jc w:val="right"/>
              <w:rPr>
                <w:rFonts w:ascii="宋体"/>
              </w:rPr>
            </w:pPr>
          </w:p>
        </w:tc>
      </w:tr>
      <w:tr w:rsidR="008A3BAC" w14:paraId="26E9C6B2"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69A" w14:textId="77777777" w:rsidR="008A3BAC" w:rsidRDefault="005C75B9">
            <w:pPr>
              <w:textAlignment w:val="bottom"/>
            </w:pPr>
            <w:r>
              <w:rPr>
                <w:rFonts w:ascii="Arial" w:eastAsia="宋体" w:hAnsi="Arial" w:cs="Arial"/>
                <w:b/>
                <w:bCs/>
                <w:color w:val="000000"/>
                <w:sz w:val="17"/>
                <w:szCs w:val="17"/>
              </w:rPr>
              <w:t>Balance at February 28, 2021</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9B"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9C"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9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9E"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9F"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6A0"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1" w14:textId="77777777" w:rsidR="008A3BAC" w:rsidRDefault="005C75B9">
            <w:pPr>
              <w:jc w:val="right"/>
              <w:textAlignment w:val="bottom"/>
            </w:pPr>
            <w:r>
              <w:rPr>
                <w:rFonts w:ascii="Arial" w:eastAsia="宋体" w:hAnsi="Arial" w:cs="Arial"/>
                <w:b/>
                <w:bCs/>
                <w:color w:val="000000"/>
                <w:sz w:val="17"/>
                <w:szCs w:val="17"/>
              </w:rPr>
              <w:t>1,274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A2"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A4"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A5"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A7" w14:textId="77777777" w:rsidR="008A3BAC" w:rsidRDefault="005C75B9">
            <w:pPr>
              <w:jc w:val="right"/>
              <w:textAlignment w:val="bottom"/>
            </w:pPr>
            <w:r>
              <w:rPr>
                <w:rFonts w:ascii="Arial" w:eastAsia="宋体" w:hAnsi="Arial" w:cs="Arial"/>
                <w:b/>
                <w:bCs/>
                <w:color w:val="000000"/>
                <w:sz w:val="17"/>
                <w:szCs w:val="17"/>
              </w:rPr>
              <w:t>9,645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A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AA" w14:textId="77777777" w:rsidR="008A3BAC" w:rsidRDefault="005C75B9">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A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AD" w14:textId="77777777" w:rsidR="008A3BAC" w:rsidRDefault="005C75B9">
            <w:pPr>
              <w:jc w:val="right"/>
              <w:textAlignment w:val="bottom"/>
            </w:pPr>
            <w:r>
              <w:rPr>
                <w:rFonts w:ascii="Arial" w:eastAsia="宋体" w:hAnsi="Arial" w:cs="Arial"/>
                <w:b/>
                <w:bCs/>
                <w:color w:val="000000"/>
                <w:sz w:val="17"/>
                <w:szCs w:val="17"/>
              </w:rPr>
              <w:t>2,729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A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6A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6B0" w14:textId="77777777" w:rsidR="008A3BAC" w:rsidRDefault="005C75B9">
            <w:pPr>
              <w:jc w:val="right"/>
              <w:textAlignment w:val="bottom"/>
            </w:pPr>
            <w:r>
              <w:rPr>
                <w:rFonts w:ascii="Arial" w:eastAsia="宋体" w:hAnsi="Arial" w:cs="Arial"/>
                <w:b/>
                <w:bCs/>
                <w:color w:val="000000"/>
                <w:sz w:val="17"/>
                <w:szCs w:val="17"/>
              </w:rPr>
              <w:t>11,931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6B1" w14:textId="77777777" w:rsidR="008A3BAC" w:rsidRDefault="008A3BAC">
            <w:pPr>
              <w:jc w:val="right"/>
              <w:rPr>
                <w:rFonts w:ascii="宋体"/>
              </w:rPr>
            </w:pPr>
          </w:p>
        </w:tc>
      </w:tr>
    </w:tbl>
    <w:p w14:paraId="26E9C6B3" w14:textId="77777777" w:rsidR="008A3BAC" w:rsidRDefault="005C75B9">
      <w:pPr>
        <w:spacing w:before="120" w:after="120"/>
        <w:jc w:val="right"/>
      </w:pPr>
      <w:r>
        <w:rPr>
          <w:rFonts w:ascii="Arial" w:eastAsia="宋体" w:hAnsi="Arial" w:cs="Arial"/>
          <w:color w:val="E87722"/>
          <w:sz w:val="17"/>
          <w:szCs w:val="17"/>
        </w:rPr>
        <w:t>5</w:t>
      </w:r>
    </w:p>
    <w:p w14:paraId="26E9C6B4" w14:textId="77777777" w:rsidR="008A3BAC" w:rsidRDefault="005C75B9">
      <w:r>
        <w:pict w14:anchorId="26E9E84C">
          <v:rect id="_x0000_i1031" style="width:415.3pt;height:1.5pt" o:hralign="center" o:hrstd="t" o:hr="t" fillcolor="#a0a0a0" stroked="f"/>
        </w:pict>
      </w:r>
    </w:p>
    <w:p w14:paraId="26E9C6B5" w14:textId="77777777" w:rsidR="008A3BAC" w:rsidRDefault="008A3BAC"/>
    <w:p w14:paraId="26E9C6B6" w14:textId="77777777" w:rsidR="008A3BAC" w:rsidRDefault="005C75B9">
      <w:hyperlink r:id="rId48" w:anchor="i46aba51c6a804f42b3595948c57d2023_7" w:history="1">
        <w:r>
          <w:rPr>
            <w:rStyle w:val="a5"/>
            <w:rFonts w:ascii="sans-serif" w:eastAsia="sans-serif" w:hAnsi="sans-serif" w:cs="sans-serif"/>
            <w:sz w:val="17"/>
            <w:szCs w:val="17"/>
          </w:rPr>
          <w:t>Table of Contents</w:t>
        </w:r>
      </w:hyperlink>
    </w:p>
    <w:p w14:paraId="26E9C6B7" w14:textId="77777777" w:rsidR="008A3BAC" w:rsidRDefault="008A3BAC"/>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A3BAC" w14:paraId="26E9C6D6" w14:textId="77777777">
        <w:trPr>
          <w:jc w:val="center"/>
        </w:trPr>
        <w:tc>
          <w:tcPr>
            <w:tcW w:w="50" w:type="pct"/>
            <w:shd w:val="clear" w:color="auto" w:fill="auto"/>
            <w:vAlign w:val="bottom"/>
          </w:tcPr>
          <w:p w14:paraId="26E9C6B8" w14:textId="77777777" w:rsidR="008A3BAC" w:rsidRDefault="008A3BAC">
            <w:pPr>
              <w:rPr>
                <w:rFonts w:ascii="宋体"/>
              </w:rPr>
            </w:pPr>
          </w:p>
        </w:tc>
        <w:tc>
          <w:tcPr>
            <w:tcW w:w="1560" w:type="pct"/>
            <w:shd w:val="clear" w:color="auto" w:fill="auto"/>
            <w:vAlign w:val="bottom"/>
          </w:tcPr>
          <w:p w14:paraId="26E9C6B9" w14:textId="77777777" w:rsidR="008A3BAC" w:rsidRDefault="008A3BAC">
            <w:pPr>
              <w:rPr>
                <w:rFonts w:ascii="宋体"/>
              </w:rPr>
            </w:pPr>
          </w:p>
        </w:tc>
        <w:tc>
          <w:tcPr>
            <w:tcW w:w="5" w:type="pct"/>
            <w:shd w:val="clear" w:color="auto" w:fill="auto"/>
            <w:vAlign w:val="bottom"/>
          </w:tcPr>
          <w:p w14:paraId="26E9C6BA" w14:textId="77777777" w:rsidR="008A3BAC" w:rsidRDefault="008A3BAC">
            <w:pPr>
              <w:rPr>
                <w:rFonts w:ascii="宋体"/>
              </w:rPr>
            </w:pPr>
          </w:p>
        </w:tc>
        <w:tc>
          <w:tcPr>
            <w:tcW w:w="50" w:type="pct"/>
            <w:shd w:val="clear" w:color="auto" w:fill="auto"/>
            <w:vAlign w:val="bottom"/>
          </w:tcPr>
          <w:p w14:paraId="26E9C6BB" w14:textId="77777777" w:rsidR="008A3BAC" w:rsidRDefault="008A3BAC">
            <w:pPr>
              <w:rPr>
                <w:rFonts w:ascii="宋体"/>
              </w:rPr>
            </w:pPr>
          </w:p>
        </w:tc>
        <w:tc>
          <w:tcPr>
            <w:tcW w:w="285" w:type="pct"/>
            <w:shd w:val="clear" w:color="auto" w:fill="auto"/>
            <w:vAlign w:val="bottom"/>
          </w:tcPr>
          <w:p w14:paraId="26E9C6BC" w14:textId="77777777" w:rsidR="008A3BAC" w:rsidRDefault="008A3BAC">
            <w:pPr>
              <w:rPr>
                <w:rFonts w:ascii="宋体"/>
              </w:rPr>
            </w:pPr>
          </w:p>
        </w:tc>
        <w:tc>
          <w:tcPr>
            <w:tcW w:w="5" w:type="pct"/>
            <w:shd w:val="clear" w:color="auto" w:fill="auto"/>
            <w:vAlign w:val="bottom"/>
          </w:tcPr>
          <w:p w14:paraId="26E9C6BD" w14:textId="77777777" w:rsidR="008A3BAC" w:rsidRDefault="008A3BAC">
            <w:pPr>
              <w:rPr>
                <w:rFonts w:ascii="宋体"/>
              </w:rPr>
            </w:pPr>
          </w:p>
        </w:tc>
        <w:tc>
          <w:tcPr>
            <w:tcW w:w="50" w:type="pct"/>
            <w:shd w:val="clear" w:color="auto" w:fill="auto"/>
            <w:vAlign w:val="bottom"/>
          </w:tcPr>
          <w:p w14:paraId="26E9C6BE" w14:textId="77777777" w:rsidR="008A3BAC" w:rsidRDefault="008A3BAC">
            <w:pPr>
              <w:rPr>
                <w:rFonts w:ascii="宋体"/>
              </w:rPr>
            </w:pPr>
          </w:p>
        </w:tc>
        <w:tc>
          <w:tcPr>
            <w:tcW w:w="346" w:type="pct"/>
            <w:shd w:val="clear" w:color="auto" w:fill="auto"/>
            <w:vAlign w:val="bottom"/>
          </w:tcPr>
          <w:p w14:paraId="26E9C6BF" w14:textId="77777777" w:rsidR="008A3BAC" w:rsidRDefault="008A3BAC">
            <w:pPr>
              <w:rPr>
                <w:rFonts w:ascii="宋体"/>
              </w:rPr>
            </w:pPr>
          </w:p>
        </w:tc>
        <w:tc>
          <w:tcPr>
            <w:tcW w:w="5" w:type="pct"/>
            <w:shd w:val="clear" w:color="auto" w:fill="auto"/>
            <w:vAlign w:val="bottom"/>
          </w:tcPr>
          <w:p w14:paraId="26E9C6C0" w14:textId="77777777" w:rsidR="008A3BAC" w:rsidRDefault="008A3BAC">
            <w:pPr>
              <w:rPr>
                <w:rFonts w:ascii="宋体"/>
              </w:rPr>
            </w:pPr>
          </w:p>
        </w:tc>
        <w:tc>
          <w:tcPr>
            <w:tcW w:w="5" w:type="pct"/>
            <w:shd w:val="clear" w:color="auto" w:fill="auto"/>
            <w:vAlign w:val="bottom"/>
          </w:tcPr>
          <w:p w14:paraId="26E9C6C1" w14:textId="77777777" w:rsidR="008A3BAC" w:rsidRDefault="008A3BAC">
            <w:pPr>
              <w:rPr>
                <w:rFonts w:ascii="宋体"/>
              </w:rPr>
            </w:pPr>
          </w:p>
        </w:tc>
        <w:tc>
          <w:tcPr>
            <w:tcW w:w="28" w:type="pct"/>
            <w:shd w:val="clear" w:color="auto" w:fill="auto"/>
            <w:vAlign w:val="bottom"/>
          </w:tcPr>
          <w:p w14:paraId="26E9C6C2" w14:textId="77777777" w:rsidR="008A3BAC" w:rsidRDefault="008A3BAC">
            <w:pPr>
              <w:rPr>
                <w:rFonts w:ascii="宋体"/>
              </w:rPr>
            </w:pPr>
          </w:p>
        </w:tc>
        <w:tc>
          <w:tcPr>
            <w:tcW w:w="5" w:type="pct"/>
            <w:shd w:val="clear" w:color="auto" w:fill="auto"/>
            <w:vAlign w:val="bottom"/>
          </w:tcPr>
          <w:p w14:paraId="26E9C6C3" w14:textId="77777777" w:rsidR="008A3BAC" w:rsidRDefault="008A3BAC">
            <w:pPr>
              <w:rPr>
                <w:rFonts w:ascii="宋体"/>
              </w:rPr>
            </w:pPr>
          </w:p>
        </w:tc>
        <w:tc>
          <w:tcPr>
            <w:tcW w:w="50" w:type="pct"/>
            <w:shd w:val="clear" w:color="auto" w:fill="auto"/>
            <w:vAlign w:val="bottom"/>
          </w:tcPr>
          <w:p w14:paraId="26E9C6C4" w14:textId="77777777" w:rsidR="008A3BAC" w:rsidRDefault="008A3BAC">
            <w:pPr>
              <w:rPr>
                <w:rFonts w:ascii="宋体"/>
              </w:rPr>
            </w:pPr>
          </w:p>
        </w:tc>
        <w:tc>
          <w:tcPr>
            <w:tcW w:w="285" w:type="pct"/>
            <w:shd w:val="clear" w:color="auto" w:fill="auto"/>
            <w:vAlign w:val="bottom"/>
          </w:tcPr>
          <w:p w14:paraId="26E9C6C5" w14:textId="77777777" w:rsidR="008A3BAC" w:rsidRDefault="008A3BAC">
            <w:pPr>
              <w:rPr>
                <w:rFonts w:ascii="宋体"/>
              </w:rPr>
            </w:pPr>
          </w:p>
        </w:tc>
        <w:tc>
          <w:tcPr>
            <w:tcW w:w="5" w:type="pct"/>
            <w:shd w:val="clear" w:color="auto" w:fill="auto"/>
            <w:vAlign w:val="bottom"/>
          </w:tcPr>
          <w:p w14:paraId="26E9C6C6" w14:textId="77777777" w:rsidR="008A3BAC" w:rsidRDefault="008A3BAC">
            <w:pPr>
              <w:rPr>
                <w:rFonts w:ascii="宋体"/>
              </w:rPr>
            </w:pPr>
          </w:p>
        </w:tc>
        <w:tc>
          <w:tcPr>
            <w:tcW w:w="50" w:type="pct"/>
            <w:shd w:val="clear" w:color="auto" w:fill="auto"/>
            <w:vAlign w:val="bottom"/>
          </w:tcPr>
          <w:p w14:paraId="26E9C6C7" w14:textId="77777777" w:rsidR="008A3BAC" w:rsidRDefault="008A3BAC">
            <w:pPr>
              <w:rPr>
                <w:rFonts w:ascii="宋体"/>
              </w:rPr>
            </w:pPr>
          </w:p>
        </w:tc>
        <w:tc>
          <w:tcPr>
            <w:tcW w:w="323" w:type="pct"/>
            <w:shd w:val="clear" w:color="auto" w:fill="auto"/>
            <w:vAlign w:val="bottom"/>
          </w:tcPr>
          <w:p w14:paraId="26E9C6C8" w14:textId="77777777" w:rsidR="008A3BAC" w:rsidRDefault="008A3BAC">
            <w:pPr>
              <w:rPr>
                <w:rFonts w:ascii="宋体"/>
              </w:rPr>
            </w:pPr>
          </w:p>
        </w:tc>
        <w:tc>
          <w:tcPr>
            <w:tcW w:w="5" w:type="pct"/>
            <w:shd w:val="clear" w:color="auto" w:fill="auto"/>
            <w:vAlign w:val="bottom"/>
          </w:tcPr>
          <w:p w14:paraId="26E9C6C9" w14:textId="77777777" w:rsidR="008A3BAC" w:rsidRDefault="008A3BAC">
            <w:pPr>
              <w:rPr>
                <w:rFonts w:ascii="宋体"/>
              </w:rPr>
            </w:pPr>
          </w:p>
        </w:tc>
        <w:tc>
          <w:tcPr>
            <w:tcW w:w="50" w:type="pct"/>
            <w:shd w:val="clear" w:color="auto" w:fill="auto"/>
            <w:vAlign w:val="bottom"/>
          </w:tcPr>
          <w:p w14:paraId="26E9C6CA" w14:textId="77777777" w:rsidR="008A3BAC" w:rsidRDefault="008A3BAC">
            <w:pPr>
              <w:rPr>
                <w:rFonts w:ascii="宋体"/>
              </w:rPr>
            </w:pPr>
          </w:p>
        </w:tc>
        <w:tc>
          <w:tcPr>
            <w:tcW w:w="385" w:type="pct"/>
            <w:shd w:val="clear" w:color="auto" w:fill="auto"/>
            <w:vAlign w:val="bottom"/>
          </w:tcPr>
          <w:p w14:paraId="26E9C6CB" w14:textId="77777777" w:rsidR="008A3BAC" w:rsidRDefault="008A3BAC">
            <w:pPr>
              <w:rPr>
                <w:rFonts w:ascii="宋体"/>
              </w:rPr>
            </w:pPr>
          </w:p>
        </w:tc>
        <w:tc>
          <w:tcPr>
            <w:tcW w:w="5" w:type="pct"/>
            <w:shd w:val="clear" w:color="auto" w:fill="auto"/>
            <w:vAlign w:val="bottom"/>
          </w:tcPr>
          <w:p w14:paraId="26E9C6CC" w14:textId="77777777" w:rsidR="008A3BAC" w:rsidRDefault="008A3BAC">
            <w:pPr>
              <w:rPr>
                <w:rFonts w:ascii="宋体"/>
              </w:rPr>
            </w:pPr>
          </w:p>
        </w:tc>
        <w:tc>
          <w:tcPr>
            <w:tcW w:w="50" w:type="pct"/>
            <w:shd w:val="clear" w:color="auto" w:fill="auto"/>
            <w:vAlign w:val="bottom"/>
          </w:tcPr>
          <w:p w14:paraId="26E9C6CD" w14:textId="77777777" w:rsidR="008A3BAC" w:rsidRDefault="008A3BAC">
            <w:pPr>
              <w:rPr>
                <w:rFonts w:ascii="宋体"/>
              </w:rPr>
            </w:pPr>
          </w:p>
        </w:tc>
        <w:tc>
          <w:tcPr>
            <w:tcW w:w="586" w:type="pct"/>
            <w:shd w:val="clear" w:color="auto" w:fill="auto"/>
            <w:vAlign w:val="bottom"/>
          </w:tcPr>
          <w:p w14:paraId="26E9C6CE" w14:textId="77777777" w:rsidR="008A3BAC" w:rsidRDefault="008A3BAC">
            <w:pPr>
              <w:rPr>
                <w:rFonts w:ascii="宋体"/>
              </w:rPr>
            </w:pPr>
          </w:p>
        </w:tc>
        <w:tc>
          <w:tcPr>
            <w:tcW w:w="5" w:type="pct"/>
            <w:shd w:val="clear" w:color="auto" w:fill="auto"/>
            <w:vAlign w:val="bottom"/>
          </w:tcPr>
          <w:p w14:paraId="26E9C6CF" w14:textId="77777777" w:rsidR="008A3BAC" w:rsidRDefault="008A3BAC">
            <w:pPr>
              <w:rPr>
                <w:rFonts w:ascii="宋体"/>
              </w:rPr>
            </w:pPr>
          </w:p>
        </w:tc>
        <w:tc>
          <w:tcPr>
            <w:tcW w:w="50" w:type="pct"/>
            <w:shd w:val="clear" w:color="auto" w:fill="auto"/>
            <w:vAlign w:val="bottom"/>
          </w:tcPr>
          <w:p w14:paraId="26E9C6D0" w14:textId="77777777" w:rsidR="008A3BAC" w:rsidRDefault="008A3BAC">
            <w:pPr>
              <w:rPr>
                <w:rFonts w:ascii="宋体"/>
              </w:rPr>
            </w:pPr>
          </w:p>
        </w:tc>
        <w:tc>
          <w:tcPr>
            <w:tcW w:w="370" w:type="pct"/>
            <w:shd w:val="clear" w:color="auto" w:fill="auto"/>
            <w:vAlign w:val="bottom"/>
          </w:tcPr>
          <w:p w14:paraId="26E9C6D1" w14:textId="77777777" w:rsidR="008A3BAC" w:rsidRDefault="008A3BAC">
            <w:pPr>
              <w:rPr>
                <w:rFonts w:ascii="宋体"/>
              </w:rPr>
            </w:pPr>
          </w:p>
        </w:tc>
        <w:tc>
          <w:tcPr>
            <w:tcW w:w="5" w:type="pct"/>
            <w:shd w:val="clear" w:color="auto" w:fill="auto"/>
            <w:vAlign w:val="bottom"/>
          </w:tcPr>
          <w:p w14:paraId="26E9C6D2" w14:textId="77777777" w:rsidR="008A3BAC" w:rsidRDefault="008A3BAC">
            <w:pPr>
              <w:rPr>
                <w:rFonts w:ascii="宋体"/>
              </w:rPr>
            </w:pPr>
          </w:p>
        </w:tc>
        <w:tc>
          <w:tcPr>
            <w:tcW w:w="50" w:type="pct"/>
            <w:shd w:val="clear" w:color="auto" w:fill="auto"/>
            <w:vAlign w:val="bottom"/>
          </w:tcPr>
          <w:p w14:paraId="26E9C6D3" w14:textId="77777777" w:rsidR="008A3BAC" w:rsidRDefault="008A3BAC">
            <w:pPr>
              <w:rPr>
                <w:rFonts w:ascii="宋体"/>
              </w:rPr>
            </w:pPr>
          </w:p>
        </w:tc>
        <w:tc>
          <w:tcPr>
            <w:tcW w:w="323" w:type="pct"/>
            <w:shd w:val="clear" w:color="auto" w:fill="auto"/>
            <w:vAlign w:val="bottom"/>
          </w:tcPr>
          <w:p w14:paraId="26E9C6D4" w14:textId="77777777" w:rsidR="008A3BAC" w:rsidRDefault="008A3BAC">
            <w:pPr>
              <w:rPr>
                <w:rFonts w:ascii="宋体"/>
              </w:rPr>
            </w:pPr>
          </w:p>
        </w:tc>
        <w:tc>
          <w:tcPr>
            <w:tcW w:w="5" w:type="pct"/>
            <w:shd w:val="clear" w:color="auto" w:fill="auto"/>
            <w:vAlign w:val="bottom"/>
          </w:tcPr>
          <w:p w14:paraId="26E9C6D5" w14:textId="77777777" w:rsidR="008A3BAC" w:rsidRDefault="008A3BAC">
            <w:pPr>
              <w:rPr>
                <w:rFonts w:ascii="宋体"/>
              </w:rPr>
            </w:pPr>
          </w:p>
        </w:tc>
      </w:tr>
      <w:tr w:rsidR="008A3BAC" w14:paraId="26E9C6DD"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6D7"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6D8" w14:textId="77777777" w:rsidR="008A3BAC" w:rsidRDefault="005C75B9">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6E9C6D9" w14:textId="77777777" w:rsidR="008A3BAC" w:rsidRDefault="005C75B9">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6E9C6DA" w14:textId="77777777" w:rsidR="008A3BAC" w:rsidRDefault="005C75B9">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6E9C6DB" w14:textId="77777777" w:rsidR="008A3BAC" w:rsidRDefault="005C75B9">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26E9C6DC"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6E6"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6DE"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6DF" w14:textId="77777777" w:rsidR="008A3BAC" w:rsidRDefault="005C75B9">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E0"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6E1" w14:textId="77777777" w:rsidR="008A3BAC" w:rsidRDefault="005C75B9">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6E9C6E2"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E3"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E4"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E5" w14:textId="77777777" w:rsidR="008A3BAC" w:rsidRDefault="008A3BAC">
            <w:pPr>
              <w:jc w:val="right"/>
              <w:rPr>
                <w:rFonts w:ascii="宋体"/>
              </w:rPr>
            </w:pPr>
          </w:p>
        </w:tc>
      </w:tr>
      <w:tr w:rsidR="008A3BAC" w14:paraId="26E9C6F1" w14:textId="77777777">
        <w:trPr>
          <w:trHeight w:val="240"/>
          <w:jc w:val="center"/>
        </w:trPr>
        <w:tc>
          <w:tcPr>
            <w:tcW w:w="0" w:type="auto"/>
            <w:gridSpan w:val="3"/>
            <w:shd w:val="clear" w:color="auto" w:fill="auto"/>
            <w:tcMar>
              <w:top w:w="40" w:type="dxa"/>
              <w:left w:w="20" w:type="dxa"/>
              <w:bottom w:w="40" w:type="dxa"/>
              <w:right w:w="20" w:type="dxa"/>
            </w:tcMar>
            <w:vAlign w:val="bottom"/>
          </w:tcPr>
          <w:p w14:paraId="26E9C6E7"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E8" w14:textId="77777777" w:rsidR="008A3BAC" w:rsidRDefault="005C75B9">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E9" w14:textId="77777777" w:rsidR="008A3BAC" w:rsidRDefault="005C75B9">
            <w:pPr>
              <w:jc w:val="center"/>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6E9C6EA"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EB" w14:textId="77777777" w:rsidR="008A3BAC" w:rsidRDefault="005C75B9">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EC" w14:textId="77777777" w:rsidR="008A3BAC" w:rsidRDefault="005C75B9">
            <w:pPr>
              <w:jc w:val="center"/>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6E9C6ED"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EE"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EF" w14:textId="77777777" w:rsidR="008A3BAC" w:rsidRDefault="008A3BAC">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6E9C6F0" w14:textId="77777777" w:rsidR="008A3BAC" w:rsidRDefault="008A3BAC">
            <w:pPr>
              <w:jc w:val="right"/>
              <w:rPr>
                <w:rFonts w:ascii="宋体"/>
              </w:rPr>
            </w:pPr>
          </w:p>
        </w:tc>
      </w:tr>
      <w:tr w:rsidR="008A3BAC" w14:paraId="26E9C70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6F2" w14:textId="77777777" w:rsidR="008A3BAC" w:rsidRDefault="005C75B9">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F3"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F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F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F6"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F7"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6F8"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6F9" w14:textId="77777777" w:rsidR="008A3BAC" w:rsidRDefault="005C75B9">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F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F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FC"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6F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6F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6FF" w14:textId="77777777" w:rsidR="008A3BAC" w:rsidRDefault="005C75B9">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0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0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02" w14:textId="77777777" w:rsidR="008A3BAC" w:rsidRDefault="005C75B9">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0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0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05" w14:textId="77777777" w:rsidR="008A3BAC" w:rsidRDefault="005C75B9">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0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0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08" w14:textId="77777777" w:rsidR="008A3BAC" w:rsidRDefault="005C75B9">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09" w14:textId="77777777" w:rsidR="008A3BAC" w:rsidRDefault="008A3BAC">
            <w:pPr>
              <w:jc w:val="right"/>
              <w:rPr>
                <w:rFonts w:ascii="宋体"/>
              </w:rPr>
            </w:pPr>
          </w:p>
        </w:tc>
      </w:tr>
      <w:tr w:rsidR="008A3BAC" w14:paraId="26E9C718"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70B" w14:textId="77777777" w:rsidR="008A3BAC" w:rsidRDefault="005C75B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0C"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0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0E"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70F"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710" w14:textId="77777777" w:rsidR="008A3BAC" w:rsidRDefault="008A3BA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11"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712" w14:textId="77777777" w:rsidR="008A3BAC" w:rsidRDefault="005C75B9">
            <w:pPr>
              <w:jc w:val="right"/>
              <w:textAlignment w:val="bottom"/>
            </w:pPr>
            <w:r>
              <w:rPr>
                <w:rFonts w:ascii="Arial" w:eastAsia="宋体" w:hAnsi="Arial" w:cs="Arial"/>
                <w:color w:val="000000"/>
                <w:sz w:val="17"/>
                <w:szCs w:val="17"/>
              </w:rPr>
              <w:t>837 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713" w14:textId="77777777" w:rsidR="008A3BAC" w:rsidRDefault="008A3BAC">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14"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715"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716" w14:textId="77777777" w:rsidR="008A3BAC" w:rsidRDefault="005C75B9">
            <w:pPr>
              <w:jc w:val="right"/>
              <w:textAlignment w:val="bottom"/>
            </w:pPr>
            <w:r>
              <w:rPr>
                <w:rFonts w:ascii="Arial" w:eastAsia="宋体" w:hAnsi="Arial" w:cs="Arial"/>
                <w:color w:val="000000"/>
                <w:sz w:val="17"/>
                <w:szCs w:val="17"/>
              </w:rPr>
              <w:t>837 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717" w14:textId="77777777" w:rsidR="008A3BAC" w:rsidRDefault="008A3BAC">
            <w:pPr>
              <w:jc w:val="right"/>
              <w:rPr>
                <w:rFonts w:ascii="宋体"/>
              </w:rPr>
            </w:pPr>
          </w:p>
        </w:tc>
      </w:tr>
      <w:tr w:rsidR="008A3BAC" w14:paraId="26E9C72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19" w14:textId="77777777" w:rsidR="008A3BAC" w:rsidRDefault="005C75B9">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1A"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1B"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1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1D"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1E"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1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20" w14:textId="77777777" w:rsidR="008A3BAC" w:rsidRDefault="005C75B9">
            <w:pPr>
              <w:jc w:val="right"/>
              <w:textAlignment w:val="bottom"/>
            </w:pPr>
            <w:r>
              <w:rPr>
                <w:rFonts w:ascii="Arial" w:eastAsia="宋体" w:hAnsi="Arial" w:cs="Arial"/>
                <w:color w:val="000000"/>
                <w:sz w:val="17"/>
                <w:szCs w:val="17"/>
              </w:rPr>
              <w:t>(126)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21"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2"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23" w14:textId="77777777" w:rsidR="008A3BAC" w:rsidRDefault="005C75B9">
            <w:pPr>
              <w:jc w:val="right"/>
              <w:textAlignment w:val="bottom"/>
            </w:pPr>
            <w:r>
              <w:rPr>
                <w:rFonts w:ascii="Arial" w:eastAsia="宋体" w:hAnsi="Arial" w:cs="Arial"/>
                <w:color w:val="000000"/>
                <w:sz w:val="17"/>
                <w:szCs w:val="17"/>
              </w:rPr>
              <w:t>(2,806)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2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25" w14:textId="77777777" w:rsidR="008A3BAC" w:rsidRDefault="005C75B9">
            <w:pPr>
              <w:jc w:val="right"/>
              <w:textAlignment w:val="bottom"/>
            </w:pPr>
            <w:r>
              <w:rPr>
                <w:rFonts w:ascii="Arial" w:eastAsia="宋体" w:hAnsi="Arial" w:cs="Arial"/>
                <w:color w:val="000000"/>
                <w:sz w:val="17"/>
                <w:szCs w:val="17"/>
              </w:rPr>
              <w:t>(2,932)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26" w14:textId="77777777" w:rsidR="008A3BAC" w:rsidRDefault="008A3BAC">
            <w:pPr>
              <w:jc w:val="right"/>
              <w:rPr>
                <w:rFonts w:ascii="宋体"/>
              </w:rPr>
            </w:pPr>
          </w:p>
        </w:tc>
      </w:tr>
      <w:tr w:rsidR="008A3BAC" w14:paraId="26E9C73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28" w14:textId="77777777" w:rsidR="008A3BAC" w:rsidRDefault="005C75B9">
            <w:pPr>
              <w:textAlignment w:val="bottom"/>
            </w:pPr>
            <w:r>
              <w:rPr>
                <w:rFonts w:ascii="Arial" w:eastAsia="宋体" w:hAnsi="Arial" w:cs="Arial"/>
                <w:color w:val="000000"/>
                <w:sz w:val="17"/>
                <w:szCs w:val="17"/>
              </w:rPr>
              <w:t>Dividends on common stock ($0.885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9"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A"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B"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C"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D"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E"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2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30" w14:textId="77777777" w:rsidR="008A3BAC" w:rsidRDefault="005C75B9">
            <w:pPr>
              <w:jc w:val="right"/>
              <w:textAlignment w:val="bottom"/>
            </w:pPr>
            <w:r>
              <w:rPr>
                <w:rFonts w:ascii="Arial" w:eastAsia="宋体" w:hAnsi="Arial" w:cs="Arial"/>
                <w:color w:val="000000"/>
                <w:sz w:val="17"/>
                <w:szCs w:val="17"/>
              </w:rPr>
              <w:t>(1,406)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3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32" w14:textId="77777777" w:rsidR="008A3BAC" w:rsidRDefault="005C75B9">
            <w:pPr>
              <w:jc w:val="right"/>
              <w:textAlignment w:val="bottom"/>
            </w:pPr>
            <w:r>
              <w:rPr>
                <w:rFonts w:ascii="Arial" w:eastAsia="宋体" w:hAnsi="Arial" w:cs="Arial"/>
                <w:color w:val="000000"/>
                <w:sz w:val="17"/>
                <w:szCs w:val="17"/>
              </w:rPr>
              <w:t>(1,406)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33" w14:textId="77777777" w:rsidR="008A3BAC" w:rsidRDefault="008A3BAC">
            <w:pPr>
              <w:jc w:val="right"/>
              <w:rPr>
                <w:rFonts w:ascii="宋体"/>
              </w:rPr>
            </w:pPr>
          </w:p>
        </w:tc>
      </w:tr>
      <w:tr w:rsidR="008A3BAC" w14:paraId="26E9C74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35" w14:textId="77777777" w:rsidR="008A3BAC" w:rsidRDefault="005C75B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36"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3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38"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39"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3A"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3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3C" w14:textId="77777777" w:rsidR="008A3BAC" w:rsidRDefault="005C75B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3D"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3E"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3F" w14:textId="77777777" w:rsidR="008A3BAC" w:rsidRDefault="005C75B9">
            <w:pPr>
              <w:jc w:val="right"/>
              <w:textAlignment w:val="bottom"/>
            </w:pPr>
            <w:r>
              <w:rPr>
                <w:rFonts w:ascii="Arial" w:eastAsia="宋体" w:hAnsi="Arial" w:cs="Arial"/>
                <w:color w:val="000000"/>
                <w:sz w:val="17"/>
                <w:szCs w:val="17"/>
              </w:rPr>
              <w:t>(53)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4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41" w14:textId="77777777" w:rsidR="008A3BAC" w:rsidRDefault="005C75B9">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42" w14:textId="77777777" w:rsidR="008A3BAC" w:rsidRDefault="008A3BAC">
            <w:pPr>
              <w:jc w:val="right"/>
              <w:rPr>
                <w:rFonts w:ascii="宋体"/>
              </w:rPr>
            </w:pPr>
          </w:p>
        </w:tc>
      </w:tr>
      <w:tr w:rsidR="008A3BAC" w14:paraId="26E9C75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44" w14:textId="77777777" w:rsidR="008A3BAC" w:rsidRDefault="005C75B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5"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6"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8"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4A"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4B"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C"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4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4E"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4F" w14:textId="77777777" w:rsidR="008A3BAC" w:rsidRDefault="008A3BAC">
            <w:pPr>
              <w:jc w:val="right"/>
              <w:rPr>
                <w:rFonts w:ascii="宋体"/>
              </w:rPr>
            </w:pPr>
          </w:p>
        </w:tc>
      </w:tr>
      <w:tr w:rsidR="008A3BAC" w14:paraId="26E9C75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51" w14:textId="77777777" w:rsidR="008A3BAC" w:rsidRDefault="005C75B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2"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3"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4"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5"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6"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8"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59" w14:textId="77777777" w:rsidR="008A3BAC" w:rsidRDefault="005C75B9">
            <w:pPr>
              <w:jc w:val="right"/>
              <w:textAlignment w:val="bottom"/>
            </w:pPr>
            <w:r>
              <w:rPr>
                <w:rFonts w:ascii="Arial" w:eastAsia="宋体" w:hAnsi="Arial" w:cs="Arial"/>
                <w:color w:val="000000"/>
                <w:sz w:val="17"/>
                <w:szCs w:val="17"/>
              </w:rPr>
              <w:t>4,607 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5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5B" w14:textId="77777777" w:rsidR="008A3BAC" w:rsidRDefault="005C75B9">
            <w:pPr>
              <w:jc w:val="right"/>
              <w:textAlignment w:val="bottom"/>
            </w:pPr>
            <w:r>
              <w:rPr>
                <w:rFonts w:ascii="Arial" w:eastAsia="宋体" w:hAnsi="Arial" w:cs="Arial"/>
                <w:color w:val="000000"/>
                <w:sz w:val="17"/>
                <w:szCs w:val="17"/>
              </w:rPr>
              <w:t>4,607 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5C" w14:textId="77777777" w:rsidR="008A3BAC" w:rsidRDefault="008A3BAC">
            <w:pPr>
              <w:jc w:val="right"/>
              <w:rPr>
                <w:rFonts w:ascii="宋体"/>
              </w:rPr>
            </w:pPr>
          </w:p>
        </w:tc>
      </w:tr>
      <w:tr w:rsidR="008A3BAC" w14:paraId="26E9C76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5E" w14:textId="77777777" w:rsidR="008A3BAC" w:rsidRDefault="005C75B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5F"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0"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1"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2"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3"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4"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65" w14:textId="77777777" w:rsidR="008A3BAC" w:rsidRDefault="005C75B9">
            <w:pPr>
              <w:jc w:val="right"/>
              <w:textAlignment w:val="bottom"/>
            </w:pPr>
            <w:r>
              <w:rPr>
                <w:rFonts w:ascii="Arial" w:eastAsia="宋体" w:hAnsi="Arial" w:cs="Arial"/>
                <w:color w:val="000000"/>
                <w:sz w:val="17"/>
                <w:szCs w:val="17"/>
              </w:rPr>
              <w:t>479 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66"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767"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768" w14:textId="77777777" w:rsidR="008A3BAC" w:rsidRDefault="005C75B9">
            <w:pPr>
              <w:jc w:val="right"/>
              <w:textAlignment w:val="bottom"/>
            </w:pPr>
            <w:r>
              <w:rPr>
                <w:rFonts w:ascii="Arial" w:eastAsia="宋体" w:hAnsi="Arial" w:cs="Arial"/>
                <w:color w:val="000000"/>
                <w:sz w:val="17"/>
                <w:szCs w:val="17"/>
              </w:rPr>
              <w:t>479 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769" w14:textId="77777777" w:rsidR="008A3BAC" w:rsidRDefault="008A3BAC">
            <w:pPr>
              <w:jc w:val="right"/>
              <w:rPr>
                <w:rFonts w:ascii="宋体"/>
              </w:rPr>
            </w:pPr>
          </w:p>
        </w:tc>
      </w:tr>
      <w:tr w:rsidR="008A3BAC" w14:paraId="26E9C783"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76B" w14:textId="77777777" w:rsidR="008A3BAC" w:rsidRDefault="005C75B9">
            <w:pPr>
              <w:textAlignment w:val="bottom"/>
            </w:pPr>
            <w:r>
              <w:rPr>
                <w:rFonts w:ascii="Arial" w:eastAsia="宋体" w:hAnsi="Arial" w:cs="Arial"/>
                <w:b/>
                <w:bCs/>
                <w:color w:val="000000"/>
                <w:sz w:val="17"/>
                <w:szCs w:val="17"/>
              </w:rPr>
              <w:t>Balance at February 28, 2022</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6C"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6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6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6F"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0"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6E9C771"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72" w14:textId="77777777" w:rsidR="008A3BAC" w:rsidRDefault="005C75B9">
            <w:pPr>
              <w:jc w:val="right"/>
              <w:textAlignment w:val="bottom"/>
            </w:pPr>
            <w:r>
              <w:rPr>
                <w:rFonts w:ascii="Arial" w:eastAsia="宋体" w:hAnsi="Arial" w:cs="Arial"/>
                <w:b/>
                <w:bCs/>
                <w:color w:val="000000"/>
                <w:sz w:val="17"/>
                <w:szCs w:val="17"/>
              </w:rPr>
              <w:t>1,271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7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75"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7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78" w14:textId="77777777" w:rsidR="008A3BAC" w:rsidRDefault="005C75B9">
            <w:pPr>
              <w:jc w:val="right"/>
              <w:textAlignment w:val="bottom"/>
            </w:pPr>
            <w:r>
              <w:rPr>
                <w:rFonts w:ascii="Arial" w:eastAsia="宋体" w:hAnsi="Arial" w:cs="Arial"/>
                <w:b/>
                <w:bCs/>
                <w:color w:val="000000"/>
                <w:sz w:val="17"/>
                <w:szCs w:val="17"/>
              </w:rPr>
              <w:t>11,186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9"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7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7B" w14:textId="77777777" w:rsidR="008A3BAC" w:rsidRDefault="005C75B9">
            <w:pPr>
              <w:jc w:val="right"/>
              <w:textAlignment w:val="bottom"/>
            </w:pPr>
            <w:r>
              <w:rPr>
                <w:rFonts w:ascii="Arial" w:eastAsia="宋体" w:hAnsi="Arial" w:cs="Arial"/>
                <w:b/>
                <w:bCs/>
                <w:color w:val="000000"/>
                <w:sz w:val="17"/>
                <w:szCs w:val="17"/>
              </w:rPr>
              <w:t>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C"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7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7E" w14:textId="77777777" w:rsidR="008A3BAC" w:rsidRDefault="005C75B9">
            <w:pPr>
              <w:jc w:val="right"/>
              <w:textAlignment w:val="bottom"/>
            </w:pPr>
            <w:r>
              <w:rPr>
                <w:rFonts w:ascii="Arial" w:eastAsia="宋体" w:hAnsi="Arial" w:cs="Arial"/>
                <w:b/>
                <w:bCs/>
                <w:color w:val="000000"/>
                <w:sz w:val="17"/>
                <w:szCs w:val="17"/>
              </w:rPr>
              <w:t>3,521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7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78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781" w14:textId="77777777" w:rsidR="008A3BAC" w:rsidRDefault="005C75B9">
            <w:pPr>
              <w:jc w:val="right"/>
              <w:textAlignment w:val="bottom"/>
            </w:pPr>
            <w:r>
              <w:rPr>
                <w:rFonts w:ascii="Arial" w:eastAsia="宋体" w:hAnsi="Arial" w:cs="Arial"/>
                <w:b/>
                <w:bCs/>
                <w:color w:val="000000"/>
                <w:sz w:val="17"/>
                <w:szCs w:val="17"/>
              </w:rPr>
              <w:t>14,809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782" w14:textId="77777777" w:rsidR="008A3BAC" w:rsidRDefault="008A3BAC">
            <w:pPr>
              <w:jc w:val="right"/>
              <w:rPr>
                <w:rFonts w:ascii="宋体"/>
              </w:rPr>
            </w:pPr>
          </w:p>
        </w:tc>
      </w:tr>
    </w:tbl>
    <w:p w14:paraId="26E9C784" w14:textId="77777777" w:rsidR="008A3BAC" w:rsidRDefault="008A3BAC">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8A3BAC" w14:paraId="26E9C7A3" w14:textId="77777777">
        <w:trPr>
          <w:jc w:val="center"/>
        </w:trPr>
        <w:tc>
          <w:tcPr>
            <w:tcW w:w="50" w:type="pct"/>
            <w:shd w:val="clear" w:color="auto" w:fill="auto"/>
            <w:vAlign w:val="bottom"/>
          </w:tcPr>
          <w:p w14:paraId="26E9C785" w14:textId="77777777" w:rsidR="008A3BAC" w:rsidRDefault="008A3BAC">
            <w:pPr>
              <w:rPr>
                <w:rFonts w:ascii="宋体"/>
              </w:rPr>
            </w:pPr>
          </w:p>
        </w:tc>
        <w:tc>
          <w:tcPr>
            <w:tcW w:w="1560" w:type="pct"/>
            <w:shd w:val="clear" w:color="auto" w:fill="auto"/>
            <w:vAlign w:val="bottom"/>
          </w:tcPr>
          <w:p w14:paraId="26E9C786" w14:textId="77777777" w:rsidR="008A3BAC" w:rsidRDefault="008A3BAC">
            <w:pPr>
              <w:rPr>
                <w:rFonts w:ascii="宋体"/>
              </w:rPr>
            </w:pPr>
          </w:p>
        </w:tc>
        <w:tc>
          <w:tcPr>
            <w:tcW w:w="5" w:type="pct"/>
            <w:shd w:val="clear" w:color="auto" w:fill="auto"/>
            <w:vAlign w:val="bottom"/>
          </w:tcPr>
          <w:p w14:paraId="26E9C787" w14:textId="77777777" w:rsidR="008A3BAC" w:rsidRDefault="008A3BAC">
            <w:pPr>
              <w:rPr>
                <w:rFonts w:ascii="宋体"/>
              </w:rPr>
            </w:pPr>
          </w:p>
        </w:tc>
        <w:tc>
          <w:tcPr>
            <w:tcW w:w="50" w:type="pct"/>
            <w:shd w:val="clear" w:color="auto" w:fill="auto"/>
            <w:vAlign w:val="bottom"/>
          </w:tcPr>
          <w:p w14:paraId="26E9C788" w14:textId="77777777" w:rsidR="008A3BAC" w:rsidRDefault="008A3BAC">
            <w:pPr>
              <w:rPr>
                <w:rFonts w:ascii="宋体"/>
              </w:rPr>
            </w:pPr>
          </w:p>
        </w:tc>
        <w:tc>
          <w:tcPr>
            <w:tcW w:w="285" w:type="pct"/>
            <w:shd w:val="clear" w:color="auto" w:fill="auto"/>
            <w:vAlign w:val="bottom"/>
          </w:tcPr>
          <w:p w14:paraId="26E9C789" w14:textId="77777777" w:rsidR="008A3BAC" w:rsidRDefault="008A3BAC">
            <w:pPr>
              <w:rPr>
                <w:rFonts w:ascii="宋体"/>
              </w:rPr>
            </w:pPr>
          </w:p>
        </w:tc>
        <w:tc>
          <w:tcPr>
            <w:tcW w:w="5" w:type="pct"/>
            <w:shd w:val="clear" w:color="auto" w:fill="auto"/>
            <w:vAlign w:val="bottom"/>
          </w:tcPr>
          <w:p w14:paraId="26E9C78A" w14:textId="77777777" w:rsidR="008A3BAC" w:rsidRDefault="008A3BAC">
            <w:pPr>
              <w:rPr>
                <w:rFonts w:ascii="宋体"/>
              </w:rPr>
            </w:pPr>
          </w:p>
        </w:tc>
        <w:tc>
          <w:tcPr>
            <w:tcW w:w="50" w:type="pct"/>
            <w:shd w:val="clear" w:color="auto" w:fill="auto"/>
            <w:vAlign w:val="bottom"/>
          </w:tcPr>
          <w:p w14:paraId="26E9C78B" w14:textId="77777777" w:rsidR="008A3BAC" w:rsidRDefault="008A3BAC">
            <w:pPr>
              <w:rPr>
                <w:rFonts w:ascii="宋体"/>
              </w:rPr>
            </w:pPr>
          </w:p>
        </w:tc>
        <w:tc>
          <w:tcPr>
            <w:tcW w:w="346" w:type="pct"/>
            <w:shd w:val="clear" w:color="auto" w:fill="auto"/>
            <w:vAlign w:val="bottom"/>
          </w:tcPr>
          <w:p w14:paraId="26E9C78C" w14:textId="77777777" w:rsidR="008A3BAC" w:rsidRDefault="008A3BAC">
            <w:pPr>
              <w:rPr>
                <w:rFonts w:ascii="宋体"/>
              </w:rPr>
            </w:pPr>
          </w:p>
        </w:tc>
        <w:tc>
          <w:tcPr>
            <w:tcW w:w="5" w:type="pct"/>
            <w:shd w:val="clear" w:color="auto" w:fill="auto"/>
            <w:vAlign w:val="bottom"/>
          </w:tcPr>
          <w:p w14:paraId="26E9C78D" w14:textId="77777777" w:rsidR="008A3BAC" w:rsidRDefault="008A3BAC">
            <w:pPr>
              <w:rPr>
                <w:rFonts w:ascii="宋体"/>
              </w:rPr>
            </w:pPr>
          </w:p>
        </w:tc>
        <w:tc>
          <w:tcPr>
            <w:tcW w:w="5" w:type="pct"/>
            <w:shd w:val="clear" w:color="auto" w:fill="auto"/>
            <w:vAlign w:val="bottom"/>
          </w:tcPr>
          <w:p w14:paraId="26E9C78E" w14:textId="77777777" w:rsidR="008A3BAC" w:rsidRDefault="008A3BAC">
            <w:pPr>
              <w:rPr>
                <w:rFonts w:ascii="宋体"/>
              </w:rPr>
            </w:pPr>
          </w:p>
        </w:tc>
        <w:tc>
          <w:tcPr>
            <w:tcW w:w="28" w:type="pct"/>
            <w:shd w:val="clear" w:color="auto" w:fill="auto"/>
            <w:vAlign w:val="bottom"/>
          </w:tcPr>
          <w:p w14:paraId="26E9C78F" w14:textId="77777777" w:rsidR="008A3BAC" w:rsidRDefault="008A3BAC">
            <w:pPr>
              <w:rPr>
                <w:rFonts w:ascii="宋体"/>
              </w:rPr>
            </w:pPr>
          </w:p>
        </w:tc>
        <w:tc>
          <w:tcPr>
            <w:tcW w:w="5" w:type="pct"/>
            <w:shd w:val="clear" w:color="auto" w:fill="auto"/>
            <w:vAlign w:val="bottom"/>
          </w:tcPr>
          <w:p w14:paraId="26E9C790" w14:textId="77777777" w:rsidR="008A3BAC" w:rsidRDefault="008A3BAC">
            <w:pPr>
              <w:rPr>
                <w:rFonts w:ascii="宋体"/>
              </w:rPr>
            </w:pPr>
          </w:p>
        </w:tc>
        <w:tc>
          <w:tcPr>
            <w:tcW w:w="50" w:type="pct"/>
            <w:shd w:val="clear" w:color="auto" w:fill="auto"/>
            <w:vAlign w:val="bottom"/>
          </w:tcPr>
          <w:p w14:paraId="26E9C791" w14:textId="77777777" w:rsidR="008A3BAC" w:rsidRDefault="008A3BAC">
            <w:pPr>
              <w:rPr>
                <w:rFonts w:ascii="宋体"/>
              </w:rPr>
            </w:pPr>
          </w:p>
        </w:tc>
        <w:tc>
          <w:tcPr>
            <w:tcW w:w="285" w:type="pct"/>
            <w:shd w:val="clear" w:color="auto" w:fill="auto"/>
            <w:vAlign w:val="bottom"/>
          </w:tcPr>
          <w:p w14:paraId="26E9C792" w14:textId="77777777" w:rsidR="008A3BAC" w:rsidRDefault="008A3BAC">
            <w:pPr>
              <w:rPr>
                <w:rFonts w:ascii="宋体"/>
              </w:rPr>
            </w:pPr>
          </w:p>
        </w:tc>
        <w:tc>
          <w:tcPr>
            <w:tcW w:w="5" w:type="pct"/>
            <w:shd w:val="clear" w:color="auto" w:fill="auto"/>
            <w:vAlign w:val="bottom"/>
          </w:tcPr>
          <w:p w14:paraId="26E9C793" w14:textId="77777777" w:rsidR="008A3BAC" w:rsidRDefault="008A3BAC">
            <w:pPr>
              <w:rPr>
                <w:rFonts w:ascii="宋体"/>
              </w:rPr>
            </w:pPr>
          </w:p>
        </w:tc>
        <w:tc>
          <w:tcPr>
            <w:tcW w:w="50" w:type="pct"/>
            <w:shd w:val="clear" w:color="auto" w:fill="auto"/>
            <w:vAlign w:val="bottom"/>
          </w:tcPr>
          <w:p w14:paraId="26E9C794" w14:textId="77777777" w:rsidR="008A3BAC" w:rsidRDefault="008A3BAC">
            <w:pPr>
              <w:rPr>
                <w:rFonts w:ascii="宋体"/>
              </w:rPr>
            </w:pPr>
          </w:p>
        </w:tc>
        <w:tc>
          <w:tcPr>
            <w:tcW w:w="323" w:type="pct"/>
            <w:shd w:val="clear" w:color="auto" w:fill="auto"/>
            <w:vAlign w:val="bottom"/>
          </w:tcPr>
          <w:p w14:paraId="26E9C795" w14:textId="77777777" w:rsidR="008A3BAC" w:rsidRDefault="008A3BAC">
            <w:pPr>
              <w:rPr>
                <w:rFonts w:ascii="宋体"/>
              </w:rPr>
            </w:pPr>
          </w:p>
        </w:tc>
        <w:tc>
          <w:tcPr>
            <w:tcW w:w="5" w:type="pct"/>
            <w:shd w:val="clear" w:color="auto" w:fill="auto"/>
            <w:vAlign w:val="bottom"/>
          </w:tcPr>
          <w:p w14:paraId="26E9C796" w14:textId="77777777" w:rsidR="008A3BAC" w:rsidRDefault="008A3BAC">
            <w:pPr>
              <w:rPr>
                <w:rFonts w:ascii="宋体"/>
              </w:rPr>
            </w:pPr>
          </w:p>
        </w:tc>
        <w:tc>
          <w:tcPr>
            <w:tcW w:w="50" w:type="pct"/>
            <w:shd w:val="clear" w:color="auto" w:fill="auto"/>
            <w:vAlign w:val="bottom"/>
          </w:tcPr>
          <w:p w14:paraId="26E9C797" w14:textId="77777777" w:rsidR="008A3BAC" w:rsidRDefault="008A3BAC">
            <w:pPr>
              <w:rPr>
                <w:rFonts w:ascii="宋体"/>
              </w:rPr>
            </w:pPr>
          </w:p>
        </w:tc>
        <w:tc>
          <w:tcPr>
            <w:tcW w:w="385" w:type="pct"/>
            <w:shd w:val="clear" w:color="auto" w:fill="auto"/>
            <w:vAlign w:val="bottom"/>
          </w:tcPr>
          <w:p w14:paraId="26E9C798" w14:textId="77777777" w:rsidR="008A3BAC" w:rsidRDefault="008A3BAC">
            <w:pPr>
              <w:rPr>
                <w:rFonts w:ascii="宋体"/>
              </w:rPr>
            </w:pPr>
          </w:p>
        </w:tc>
        <w:tc>
          <w:tcPr>
            <w:tcW w:w="5" w:type="pct"/>
            <w:shd w:val="clear" w:color="auto" w:fill="auto"/>
            <w:vAlign w:val="bottom"/>
          </w:tcPr>
          <w:p w14:paraId="26E9C799" w14:textId="77777777" w:rsidR="008A3BAC" w:rsidRDefault="008A3BAC">
            <w:pPr>
              <w:rPr>
                <w:rFonts w:ascii="宋体"/>
              </w:rPr>
            </w:pPr>
          </w:p>
        </w:tc>
        <w:tc>
          <w:tcPr>
            <w:tcW w:w="50" w:type="pct"/>
            <w:shd w:val="clear" w:color="auto" w:fill="auto"/>
            <w:vAlign w:val="bottom"/>
          </w:tcPr>
          <w:p w14:paraId="26E9C79A" w14:textId="77777777" w:rsidR="008A3BAC" w:rsidRDefault="008A3BAC">
            <w:pPr>
              <w:rPr>
                <w:rFonts w:ascii="宋体"/>
              </w:rPr>
            </w:pPr>
          </w:p>
        </w:tc>
        <w:tc>
          <w:tcPr>
            <w:tcW w:w="586" w:type="pct"/>
            <w:shd w:val="clear" w:color="auto" w:fill="auto"/>
            <w:vAlign w:val="bottom"/>
          </w:tcPr>
          <w:p w14:paraId="26E9C79B" w14:textId="77777777" w:rsidR="008A3BAC" w:rsidRDefault="008A3BAC">
            <w:pPr>
              <w:rPr>
                <w:rFonts w:ascii="宋体"/>
              </w:rPr>
            </w:pPr>
          </w:p>
        </w:tc>
        <w:tc>
          <w:tcPr>
            <w:tcW w:w="5" w:type="pct"/>
            <w:shd w:val="clear" w:color="auto" w:fill="auto"/>
            <w:vAlign w:val="bottom"/>
          </w:tcPr>
          <w:p w14:paraId="26E9C79C" w14:textId="77777777" w:rsidR="008A3BAC" w:rsidRDefault="008A3BAC">
            <w:pPr>
              <w:rPr>
                <w:rFonts w:ascii="宋体"/>
              </w:rPr>
            </w:pPr>
          </w:p>
        </w:tc>
        <w:tc>
          <w:tcPr>
            <w:tcW w:w="50" w:type="pct"/>
            <w:shd w:val="clear" w:color="auto" w:fill="auto"/>
            <w:vAlign w:val="bottom"/>
          </w:tcPr>
          <w:p w14:paraId="26E9C79D" w14:textId="77777777" w:rsidR="008A3BAC" w:rsidRDefault="008A3BAC">
            <w:pPr>
              <w:rPr>
                <w:rFonts w:ascii="宋体"/>
              </w:rPr>
            </w:pPr>
          </w:p>
        </w:tc>
        <w:tc>
          <w:tcPr>
            <w:tcW w:w="370" w:type="pct"/>
            <w:shd w:val="clear" w:color="auto" w:fill="auto"/>
            <w:vAlign w:val="bottom"/>
          </w:tcPr>
          <w:p w14:paraId="26E9C79E" w14:textId="77777777" w:rsidR="008A3BAC" w:rsidRDefault="008A3BAC">
            <w:pPr>
              <w:rPr>
                <w:rFonts w:ascii="宋体"/>
              </w:rPr>
            </w:pPr>
          </w:p>
        </w:tc>
        <w:tc>
          <w:tcPr>
            <w:tcW w:w="5" w:type="pct"/>
            <w:shd w:val="clear" w:color="auto" w:fill="auto"/>
            <w:vAlign w:val="bottom"/>
          </w:tcPr>
          <w:p w14:paraId="26E9C79F" w14:textId="77777777" w:rsidR="008A3BAC" w:rsidRDefault="008A3BAC">
            <w:pPr>
              <w:rPr>
                <w:rFonts w:ascii="宋体"/>
              </w:rPr>
            </w:pPr>
          </w:p>
        </w:tc>
        <w:tc>
          <w:tcPr>
            <w:tcW w:w="50" w:type="pct"/>
            <w:shd w:val="clear" w:color="auto" w:fill="auto"/>
            <w:vAlign w:val="bottom"/>
          </w:tcPr>
          <w:p w14:paraId="26E9C7A0" w14:textId="77777777" w:rsidR="008A3BAC" w:rsidRDefault="008A3BAC">
            <w:pPr>
              <w:rPr>
                <w:rFonts w:ascii="宋体"/>
              </w:rPr>
            </w:pPr>
          </w:p>
        </w:tc>
        <w:tc>
          <w:tcPr>
            <w:tcW w:w="323" w:type="pct"/>
            <w:shd w:val="clear" w:color="auto" w:fill="auto"/>
            <w:vAlign w:val="bottom"/>
          </w:tcPr>
          <w:p w14:paraId="26E9C7A1" w14:textId="77777777" w:rsidR="008A3BAC" w:rsidRDefault="008A3BAC">
            <w:pPr>
              <w:rPr>
                <w:rFonts w:ascii="宋体"/>
              </w:rPr>
            </w:pPr>
          </w:p>
        </w:tc>
        <w:tc>
          <w:tcPr>
            <w:tcW w:w="5" w:type="pct"/>
            <w:shd w:val="clear" w:color="auto" w:fill="auto"/>
            <w:vAlign w:val="bottom"/>
          </w:tcPr>
          <w:p w14:paraId="26E9C7A2" w14:textId="77777777" w:rsidR="008A3BAC" w:rsidRDefault="008A3BAC">
            <w:pPr>
              <w:rPr>
                <w:rFonts w:ascii="宋体"/>
              </w:rPr>
            </w:pPr>
          </w:p>
        </w:tc>
      </w:tr>
      <w:tr w:rsidR="008A3BAC" w14:paraId="26E9C7AA"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7A4"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7A5" w14:textId="77777777" w:rsidR="008A3BAC" w:rsidRDefault="005C75B9">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6E9C7A6" w14:textId="77777777" w:rsidR="008A3BAC" w:rsidRDefault="005C75B9">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6E9C7A7" w14:textId="77777777" w:rsidR="008A3BAC" w:rsidRDefault="005C75B9">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6E9C7A8" w14:textId="77777777" w:rsidR="008A3BAC" w:rsidRDefault="005C75B9">
            <w:pPr>
              <w:jc w:val="right"/>
              <w:textAlignment w:val="bottom"/>
            </w:pPr>
            <w:r>
              <w:rPr>
                <w:rFonts w:ascii="sans-serif" w:eastAsia="sans-serif" w:hAnsi="sans-serif" w:cs="sans-serif"/>
                <w:b/>
                <w:bCs/>
                <w:color w:val="000000"/>
                <w:sz w:val="17"/>
                <w:szCs w:val="17"/>
              </w:rPr>
              <w:t xml:space="preserve">RETAINED EARNINGS </w:t>
            </w:r>
            <w:r>
              <w:rPr>
                <w:rFonts w:ascii="sans-serif" w:eastAsia="sans-serif" w:hAnsi="sans-serif" w:cs="sans-serif"/>
                <w:b/>
                <w:bCs/>
                <w:color w:val="000000"/>
                <w:sz w:val="17"/>
                <w:szCs w:val="17"/>
              </w:rPr>
              <w:t>(DEFICIT)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6E9C7A9"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7B3" w14:textId="77777777">
        <w:trPr>
          <w:trHeight w:val="240"/>
          <w:jc w:val="center"/>
        </w:trPr>
        <w:tc>
          <w:tcPr>
            <w:tcW w:w="0" w:type="auto"/>
            <w:gridSpan w:val="3"/>
            <w:shd w:val="clear" w:color="auto" w:fill="auto"/>
            <w:tcMar>
              <w:top w:w="0" w:type="dxa"/>
              <w:left w:w="20" w:type="dxa"/>
              <w:bottom w:w="0" w:type="dxa"/>
              <w:right w:w="20" w:type="dxa"/>
            </w:tcMar>
            <w:vAlign w:val="bottom"/>
          </w:tcPr>
          <w:p w14:paraId="26E9C7AB"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7AC" w14:textId="77777777" w:rsidR="008A3BAC" w:rsidRDefault="005C75B9">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AD"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7AE" w14:textId="77777777" w:rsidR="008A3BAC" w:rsidRDefault="005C75B9">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AF"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0"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1"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2" w14:textId="77777777" w:rsidR="008A3BAC" w:rsidRDefault="008A3BAC">
            <w:pPr>
              <w:jc w:val="right"/>
              <w:rPr>
                <w:rFonts w:ascii="宋体"/>
              </w:rPr>
            </w:pPr>
          </w:p>
        </w:tc>
      </w:tr>
      <w:tr w:rsidR="008A3BAC" w14:paraId="26E9C7BE"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26E9C7B4"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7B5" w14:textId="77777777" w:rsidR="008A3BAC" w:rsidRDefault="005C75B9">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7B6" w14:textId="77777777" w:rsidR="008A3BAC" w:rsidRDefault="005C75B9">
            <w:pPr>
              <w:jc w:val="center"/>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vAlign w:val="bottom"/>
          </w:tcPr>
          <w:p w14:paraId="26E9C7B7"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7B8" w14:textId="77777777" w:rsidR="008A3BAC" w:rsidRDefault="005C75B9">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7B9" w14:textId="77777777" w:rsidR="008A3BAC" w:rsidRDefault="005C75B9">
            <w:pPr>
              <w:jc w:val="center"/>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A"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B"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C" w14:textId="77777777" w:rsidR="008A3BAC" w:rsidRDefault="008A3BAC">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6E9C7BD" w14:textId="77777777" w:rsidR="008A3BAC" w:rsidRDefault="008A3BAC">
            <w:pPr>
              <w:jc w:val="right"/>
              <w:rPr>
                <w:rFonts w:ascii="宋体"/>
              </w:rPr>
            </w:pPr>
          </w:p>
        </w:tc>
      </w:tr>
      <w:tr w:rsidR="008A3BAC" w14:paraId="26E9C7D7"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7BF" w14:textId="77777777" w:rsidR="008A3BAC" w:rsidRDefault="005C75B9">
            <w:pPr>
              <w:textAlignment w:val="bottom"/>
            </w:pPr>
            <w:r>
              <w:rPr>
                <w:rFonts w:ascii="Arial" w:eastAsia="宋体" w:hAnsi="Arial" w:cs="Arial"/>
                <w:b/>
                <w:bCs/>
                <w:color w:val="000000"/>
                <w:sz w:val="17"/>
                <w:szCs w:val="17"/>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7C0" w14:textId="77777777" w:rsidR="008A3BAC" w:rsidRDefault="005C75B9">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C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C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C3"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C4"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C5"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7C6" w14:textId="77777777" w:rsidR="008A3BAC" w:rsidRDefault="005C75B9">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C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C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C9"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C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C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CC" w14:textId="77777777" w:rsidR="008A3BAC" w:rsidRDefault="005C75B9">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C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C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CF" w14:textId="77777777" w:rsidR="008A3BAC" w:rsidRDefault="005C75B9">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D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D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D2" w14:textId="77777777" w:rsidR="008A3BAC" w:rsidRDefault="005C75B9">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D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7D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7D5" w14:textId="77777777" w:rsidR="008A3BAC" w:rsidRDefault="005C75B9">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D6" w14:textId="77777777" w:rsidR="008A3BAC" w:rsidRDefault="008A3BAC">
            <w:pPr>
              <w:jc w:val="right"/>
              <w:rPr>
                <w:rFonts w:ascii="宋体"/>
              </w:rPr>
            </w:pPr>
          </w:p>
        </w:tc>
      </w:tr>
      <w:tr w:rsidR="008A3BAC" w14:paraId="26E9C7E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7D8" w14:textId="77777777" w:rsidR="008A3BAC" w:rsidRDefault="005C75B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D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D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DB"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7DC"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DD"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DE"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7DF" w14:textId="77777777" w:rsidR="008A3BAC" w:rsidRDefault="005C75B9">
            <w:pPr>
              <w:jc w:val="right"/>
              <w:textAlignment w:val="bottom"/>
            </w:pPr>
            <w:r>
              <w:rPr>
                <w:rFonts w:ascii="Arial" w:eastAsia="宋体" w:hAnsi="Arial" w:cs="Arial"/>
                <w:color w:val="000000"/>
                <w:sz w:val="17"/>
                <w:szCs w:val="17"/>
              </w:rPr>
              <w:t>844 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E0"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E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7E2"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7E3" w14:textId="77777777" w:rsidR="008A3BAC" w:rsidRDefault="005C75B9">
            <w:pPr>
              <w:jc w:val="right"/>
              <w:textAlignment w:val="bottom"/>
            </w:pPr>
            <w:r>
              <w:rPr>
                <w:rFonts w:ascii="Arial" w:eastAsia="宋体" w:hAnsi="Arial" w:cs="Arial"/>
                <w:color w:val="000000"/>
                <w:sz w:val="17"/>
                <w:szCs w:val="17"/>
              </w:rPr>
              <w:t>844 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7E4" w14:textId="77777777" w:rsidR="008A3BAC" w:rsidRDefault="008A3BAC">
            <w:pPr>
              <w:jc w:val="right"/>
              <w:rPr>
                <w:rFonts w:ascii="宋体"/>
              </w:rPr>
            </w:pPr>
          </w:p>
        </w:tc>
      </w:tr>
      <w:tr w:rsidR="008A3BAC" w14:paraId="26E9C7F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E6" w14:textId="77777777" w:rsidR="008A3BAC" w:rsidRDefault="005C75B9">
            <w:pPr>
              <w:textAlignment w:val="bottom"/>
            </w:pPr>
            <w:r>
              <w:rPr>
                <w:rFonts w:ascii="Arial" w:eastAsia="宋体" w:hAnsi="Arial" w:cs="Arial"/>
                <w:color w:val="000000"/>
                <w:sz w:val="17"/>
                <w:szCs w:val="17"/>
              </w:rPr>
              <w:t>Conversion to Class B Common Stock</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7E7" w14:textId="77777777" w:rsidR="008A3BAC" w:rsidRDefault="005C75B9">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7E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E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E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7EB"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7E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E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E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E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7F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7F2" w14:textId="77777777" w:rsidR="008A3BAC" w:rsidRDefault="008A3BAC">
            <w:pPr>
              <w:jc w:val="right"/>
              <w:rPr>
                <w:rFonts w:ascii="宋体"/>
              </w:rPr>
            </w:pPr>
          </w:p>
        </w:tc>
      </w:tr>
      <w:tr w:rsidR="008A3BAC" w14:paraId="26E9C80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7F4" w14:textId="77777777" w:rsidR="008A3BAC" w:rsidRDefault="005C75B9">
            <w:pPr>
              <w:textAlignment w:val="bottom"/>
            </w:pPr>
            <w:r>
              <w:rPr>
                <w:rFonts w:ascii="Arial" w:eastAsia="宋体" w:hAnsi="Arial" w:cs="Arial"/>
                <w:color w:val="000000"/>
                <w:sz w:val="17"/>
                <w:szCs w:val="17"/>
              </w:rPr>
              <w:t>Dividends on common stock ($0.795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5"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6"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7"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8"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A"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7FB"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7FC" w14:textId="77777777" w:rsidR="008A3BAC" w:rsidRDefault="005C75B9">
            <w:pPr>
              <w:jc w:val="right"/>
              <w:textAlignment w:val="bottom"/>
            </w:pPr>
            <w:r>
              <w:rPr>
                <w:rFonts w:ascii="Arial" w:eastAsia="宋体" w:hAnsi="Arial" w:cs="Arial"/>
                <w:color w:val="000000"/>
                <w:sz w:val="17"/>
                <w:szCs w:val="17"/>
              </w:rPr>
              <w:t>(1,256)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7F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7FE" w14:textId="77777777" w:rsidR="008A3BAC" w:rsidRDefault="005C75B9">
            <w:pPr>
              <w:jc w:val="right"/>
              <w:textAlignment w:val="bottom"/>
            </w:pPr>
            <w:r>
              <w:rPr>
                <w:rFonts w:ascii="Arial" w:eastAsia="宋体" w:hAnsi="Arial" w:cs="Arial"/>
                <w:color w:val="000000"/>
                <w:sz w:val="17"/>
                <w:szCs w:val="17"/>
              </w:rPr>
              <w:t>(1,256)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7FF" w14:textId="77777777" w:rsidR="008A3BAC" w:rsidRDefault="008A3BAC">
            <w:pPr>
              <w:jc w:val="right"/>
              <w:rPr>
                <w:rFonts w:ascii="宋体"/>
              </w:rPr>
            </w:pPr>
          </w:p>
        </w:tc>
      </w:tr>
      <w:tr w:rsidR="008A3BAC" w14:paraId="26E9C80F"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01" w14:textId="77777777" w:rsidR="008A3BAC" w:rsidRDefault="005C75B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0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0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04"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05"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0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0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08" w14:textId="77777777" w:rsidR="008A3BAC" w:rsidRDefault="005C75B9">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0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0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0B" w14:textId="77777777" w:rsidR="008A3BAC" w:rsidRDefault="005C75B9">
            <w:pPr>
              <w:jc w:val="right"/>
              <w:textAlignment w:val="bottom"/>
            </w:pPr>
            <w:r>
              <w:rPr>
                <w:rFonts w:ascii="Arial" w:eastAsia="宋体" w:hAnsi="Arial" w:cs="Arial"/>
                <w:color w:val="000000"/>
                <w:sz w:val="17"/>
                <w:szCs w:val="17"/>
              </w:rPr>
              <w:t>(42)</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0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0D" w14:textId="77777777" w:rsidR="008A3BAC" w:rsidRDefault="005C75B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0E" w14:textId="77777777" w:rsidR="008A3BAC" w:rsidRDefault="008A3BAC">
            <w:pPr>
              <w:jc w:val="right"/>
              <w:rPr>
                <w:rFonts w:ascii="宋体"/>
              </w:rPr>
            </w:pPr>
          </w:p>
        </w:tc>
      </w:tr>
      <w:tr w:rsidR="008A3BAC" w14:paraId="26E9C81C"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10" w14:textId="77777777" w:rsidR="008A3BAC" w:rsidRDefault="005C75B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4"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5"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16"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1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8"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1A" w14:textId="77777777" w:rsidR="008A3BAC" w:rsidRDefault="005C75B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1B" w14:textId="77777777" w:rsidR="008A3BAC" w:rsidRDefault="008A3BAC">
            <w:pPr>
              <w:jc w:val="right"/>
              <w:rPr>
                <w:rFonts w:ascii="宋体"/>
              </w:rPr>
            </w:pPr>
          </w:p>
        </w:tc>
      </w:tr>
      <w:tr w:rsidR="008A3BAC" w14:paraId="26E9C82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1D" w14:textId="77777777" w:rsidR="008A3BAC" w:rsidRDefault="005C75B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1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0"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4"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25" w14:textId="77777777" w:rsidR="008A3BAC" w:rsidRDefault="005C75B9">
            <w:pPr>
              <w:jc w:val="right"/>
              <w:textAlignment w:val="bottom"/>
            </w:pPr>
            <w:r>
              <w:rPr>
                <w:rFonts w:ascii="Arial" w:eastAsia="宋体" w:hAnsi="Arial" w:cs="Arial"/>
                <w:color w:val="000000"/>
                <w:sz w:val="17"/>
                <w:szCs w:val="17"/>
              </w:rPr>
              <w:t>4,218 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2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27" w14:textId="77777777" w:rsidR="008A3BAC" w:rsidRDefault="005C75B9">
            <w:pPr>
              <w:jc w:val="right"/>
              <w:textAlignment w:val="bottom"/>
            </w:pPr>
            <w:r>
              <w:rPr>
                <w:rFonts w:ascii="Arial" w:eastAsia="宋体" w:hAnsi="Arial" w:cs="Arial"/>
                <w:color w:val="000000"/>
                <w:sz w:val="17"/>
                <w:szCs w:val="17"/>
              </w:rPr>
              <w:t>4,218 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28" w14:textId="77777777" w:rsidR="008A3BAC" w:rsidRDefault="008A3BAC">
            <w:pPr>
              <w:jc w:val="right"/>
              <w:rPr>
                <w:rFonts w:ascii="宋体"/>
              </w:rPr>
            </w:pPr>
          </w:p>
        </w:tc>
      </w:tr>
      <w:tr w:rsidR="008A3BAC" w14:paraId="26E9C836"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2A" w14:textId="77777777" w:rsidR="008A3BAC" w:rsidRDefault="005C75B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B"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C"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2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3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31" w14:textId="77777777" w:rsidR="008A3BAC" w:rsidRDefault="005C75B9">
            <w:pPr>
              <w:jc w:val="right"/>
              <w:textAlignment w:val="bottom"/>
            </w:pPr>
            <w:r>
              <w:rPr>
                <w:rFonts w:ascii="Arial" w:eastAsia="宋体" w:hAnsi="Arial" w:cs="Arial"/>
                <w:color w:val="000000"/>
                <w:sz w:val="17"/>
                <w:szCs w:val="17"/>
              </w:rPr>
              <w:t>(390)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3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3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34" w14:textId="77777777" w:rsidR="008A3BAC" w:rsidRDefault="005C75B9">
            <w:pPr>
              <w:jc w:val="right"/>
              <w:textAlignment w:val="bottom"/>
            </w:pPr>
            <w:r>
              <w:rPr>
                <w:rFonts w:ascii="Arial" w:eastAsia="宋体" w:hAnsi="Arial" w:cs="Arial"/>
                <w:color w:val="000000"/>
                <w:sz w:val="17"/>
                <w:szCs w:val="17"/>
              </w:rPr>
              <w:t>(390)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35" w14:textId="77777777" w:rsidR="008A3BAC" w:rsidRDefault="008A3BAC">
            <w:pPr>
              <w:jc w:val="right"/>
              <w:rPr>
                <w:rFonts w:ascii="宋体"/>
              </w:rPr>
            </w:pPr>
          </w:p>
        </w:tc>
      </w:tr>
      <w:tr w:rsidR="008A3BAC" w14:paraId="26E9C84F"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837" w14:textId="77777777" w:rsidR="008A3BAC" w:rsidRDefault="005C75B9">
            <w:pPr>
              <w:textAlignment w:val="bottom"/>
            </w:pPr>
            <w:r>
              <w:rPr>
                <w:rFonts w:ascii="Arial" w:eastAsia="宋体" w:hAnsi="Arial" w:cs="Arial"/>
                <w:b/>
                <w:bCs/>
                <w:color w:val="000000"/>
                <w:sz w:val="17"/>
                <w:szCs w:val="17"/>
              </w:rPr>
              <w:t>Balance at February 28, 2021</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38" w14:textId="77777777" w:rsidR="008A3BAC" w:rsidRDefault="005C75B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39"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3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3B"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3C"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83D"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3E" w14:textId="77777777" w:rsidR="008A3BAC" w:rsidRDefault="005C75B9">
            <w:pPr>
              <w:jc w:val="right"/>
              <w:textAlignment w:val="bottom"/>
            </w:pPr>
            <w:r>
              <w:rPr>
                <w:rFonts w:ascii="Arial" w:eastAsia="宋体" w:hAnsi="Arial" w:cs="Arial"/>
                <w:b/>
                <w:bCs/>
                <w:color w:val="000000"/>
                <w:sz w:val="17"/>
                <w:szCs w:val="17"/>
              </w:rPr>
              <w:t>1,274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3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4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41"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42"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4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44" w14:textId="77777777" w:rsidR="008A3BAC" w:rsidRDefault="005C75B9">
            <w:pPr>
              <w:jc w:val="right"/>
              <w:textAlignment w:val="bottom"/>
            </w:pPr>
            <w:r>
              <w:rPr>
                <w:rFonts w:ascii="Arial" w:eastAsia="宋体" w:hAnsi="Arial" w:cs="Arial"/>
                <w:b/>
                <w:bCs/>
                <w:color w:val="000000"/>
                <w:sz w:val="17"/>
                <w:szCs w:val="17"/>
              </w:rPr>
              <w:t>9,645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45"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4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47" w14:textId="77777777" w:rsidR="008A3BAC" w:rsidRDefault="005C75B9">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4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4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4A" w14:textId="77777777" w:rsidR="008A3BAC" w:rsidRDefault="005C75B9">
            <w:pPr>
              <w:jc w:val="right"/>
              <w:textAlignment w:val="bottom"/>
            </w:pPr>
            <w:r>
              <w:rPr>
                <w:rFonts w:ascii="Arial" w:eastAsia="宋体" w:hAnsi="Arial" w:cs="Arial"/>
                <w:b/>
                <w:bCs/>
                <w:color w:val="000000"/>
                <w:sz w:val="17"/>
                <w:szCs w:val="17"/>
              </w:rPr>
              <w:t>2,729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4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4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4D" w14:textId="77777777" w:rsidR="008A3BAC" w:rsidRDefault="005C75B9">
            <w:pPr>
              <w:jc w:val="right"/>
              <w:textAlignment w:val="bottom"/>
            </w:pPr>
            <w:r>
              <w:rPr>
                <w:rFonts w:ascii="Arial" w:eastAsia="宋体" w:hAnsi="Arial" w:cs="Arial"/>
                <w:b/>
                <w:bCs/>
                <w:color w:val="000000"/>
                <w:sz w:val="17"/>
                <w:szCs w:val="17"/>
              </w:rPr>
              <w:t>11,931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4E" w14:textId="77777777" w:rsidR="008A3BAC" w:rsidRDefault="008A3BAC">
            <w:pPr>
              <w:jc w:val="right"/>
              <w:rPr>
                <w:rFonts w:ascii="宋体"/>
              </w:rPr>
            </w:pPr>
          </w:p>
        </w:tc>
      </w:tr>
    </w:tbl>
    <w:p w14:paraId="26E9C850" w14:textId="77777777" w:rsidR="008A3BAC" w:rsidRDefault="005C75B9">
      <w:pPr>
        <w:spacing w:before="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6E9C851" w14:textId="77777777" w:rsidR="008A3BAC" w:rsidRDefault="005C75B9">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26E9C852" w14:textId="77777777" w:rsidR="008A3BAC" w:rsidRDefault="005C75B9">
      <w:r>
        <w:pict w14:anchorId="26E9E84D">
          <v:rect id="_x0000_i1032" style="width:415.3pt;height:1.5pt" o:hralign="center" o:hrstd="t" o:hr="t" fillcolor="#a0a0a0" stroked="f"/>
        </w:pict>
      </w:r>
    </w:p>
    <w:p w14:paraId="26E9C853" w14:textId="77777777" w:rsidR="008A3BAC" w:rsidRDefault="008A3BAC"/>
    <w:p w14:paraId="26E9C854" w14:textId="77777777" w:rsidR="008A3BAC" w:rsidRDefault="005C75B9">
      <w:hyperlink r:id="rId49" w:anchor="i46aba51c6a804f42b3595948c57d2023_7" w:history="1">
        <w:r>
          <w:rPr>
            <w:rStyle w:val="a5"/>
            <w:rFonts w:ascii="sans-serif" w:eastAsia="sans-serif" w:hAnsi="sans-serif" w:cs="sans-serif"/>
            <w:sz w:val="17"/>
            <w:szCs w:val="17"/>
          </w:rPr>
          <w:t>Table of Contents</w:t>
        </w:r>
      </w:hyperlink>
    </w:p>
    <w:p w14:paraId="26E9C855" w14:textId="77777777" w:rsidR="008A3BAC" w:rsidRDefault="008A3BAC"/>
    <w:p w14:paraId="26E9C856" w14:textId="77777777" w:rsidR="008A3BAC" w:rsidRDefault="005C75B9">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8"/>
        <w:gridCol w:w="69"/>
        <w:gridCol w:w="356"/>
        <w:gridCol w:w="36"/>
      </w:tblGrid>
      <w:tr w:rsidR="008A3BAC" w14:paraId="26E9C860" w14:textId="77777777">
        <w:tc>
          <w:tcPr>
            <w:tcW w:w="50" w:type="pct"/>
            <w:shd w:val="clear" w:color="auto" w:fill="auto"/>
            <w:vAlign w:val="bottom"/>
          </w:tcPr>
          <w:p w14:paraId="26E9C857" w14:textId="77777777" w:rsidR="008A3BAC" w:rsidRDefault="008A3BAC">
            <w:pPr>
              <w:rPr>
                <w:rFonts w:ascii="宋体"/>
              </w:rPr>
            </w:pPr>
          </w:p>
        </w:tc>
        <w:tc>
          <w:tcPr>
            <w:tcW w:w="469" w:type="pct"/>
            <w:shd w:val="clear" w:color="auto" w:fill="auto"/>
            <w:vAlign w:val="bottom"/>
          </w:tcPr>
          <w:p w14:paraId="26E9C858" w14:textId="77777777" w:rsidR="008A3BAC" w:rsidRDefault="008A3BAC">
            <w:pPr>
              <w:rPr>
                <w:rFonts w:ascii="宋体"/>
              </w:rPr>
            </w:pPr>
          </w:p>
        </w:tc>
        <w:tc>
          <w:tcPr>
            <w:tcW w:w="5" w:type="pct"/>
            <w:shd w:val="clear" w:color="auto" w:fill="auto"/>
            <w:vAlign w:val="bottom"/>
          </w:tcPr>
          <w:p w14:paraId="26E9C859" w14:textId="77777777" w:rsidR="008A3BAC" w:rsidRDefault="008A3BAC">
            <w:pPr>
              <w:rPr>
                <w:rFonts w:ascii="宋体"/>
              </w:rPr>
            </w:pPr>
          </w:p>
        </w:tc>
        <w:tc>
          <w:tcPr>
            <w:tcW w:w="50" w:type="pct"/>
            <w:shd w:val="clear" w:color="auto" w:fill="auto"/>
            <w:vAlign w:val="bottom"/>
          </w:tcPr>
          <w:p w14:paraId="26E9C85A" w14:textId="77777777" w:rsidR="008A3BAC" w:rsidRDefault="008A3BAC">
            <w:pPr>
              <w:rPr>
                <w:rFonts w:ascii="宋体"/>
              </w:rPr>
            </w:pPr>
          </w:p>
        </w:tc>
        <w:tc>
          <w:tcPr>
            <w:tcW w:w="4142" w:type="pct"/>
            <w:shd w:val="clear" w:color="auto" w:fill="auto"/>
            <w:vAlign w:val="bottom"/>
          </w:tcPr>
          <w:p w14:paraId="26E9C85B" w14:textId="77777777" w:rsidR="008A3BAC" w:rsidRDefault="008A3BAC">
            <w:pPr>
              <w:rPr>
                <w:rFonts w:ascii="宋体"/>
              </w:rPr>
            </w:pPr>
          </w:p>
        </w:tc>
        <w:tc>
          <w:tcPr>
            <w:tcW w:w="5" w:type="pct"/>
            <w:shd w:val="clear" w:color="auto" w:fill="auto"/>
            <w:vAlign w:val="bottom"/>
          </w:tcPr>
          <w:p w14:paraId="26E9C85C" w14:textId="77777777" w:rsidR="008A3BAC" w:rsidRDefault="008A3BAC">
            <w:pPr>
              <w:rPr>
                <w:rFonts w:ascii="宋体"/>
              </w:rPr>
            </w:pPr>
          </w:p>
        </w:tc>
        <w:tc>
          <w:tcPr>
            <w:tcW w:w="50" w:type="pct"/>
            <w:shd w:val="clear" w:color="auto" w:fill="auto"/>
            <w:vAlign w:val="bottom"/>
          </w:tcPr>
          <w:p w14:paraId="26E9C85D" w14:textId="77777777" w:rsidR="008A3BAC" w:rsidRDefault="008A3BAC">
            <w:pPr>
              <w:rPr>
                <w:rFonts w:ascii="宋体"/>
              </w:rPr>
            </w:pPr>
          </w:p>
        </w:tc>
        <w:tc>
          <w:tcPr>
            <w:tcW w:w="222" w:type="pct"/>
            <w:shd w:val="clear" w:color="auto" w:fill="auto"/>
            <w:vAlign w:val="bottom"/>
          </w:tcPr>
          <w:p w14:paraId="26E9C85E" w14:textId="77777777" w:rsidR="008A3BAC" w:rsidRDefault="008A3BAC">
            <w:pPr>
              <w:rPr>
                <w:rFonts w:ascii="宋体"/>
              </w:rPr>
            </w:pPr>
          </w:p>
        </w:tc>
        <w:tc>
          <w:tcPr>
            <w:tcW w:w="5" w:type="pct"/>
            <w:shd w:val="clear" w:color="auto" w:fill="auto"/>
            <w:vAlign w:val="bottom"/>
          </w:tcPr>
          <w:p w14:paraId="26E9C85F" w14:textId="77777777" w:rsidR="008A3BAC" w:rsidRDefault="008A3BAC">
            <w:pPr>
              <w:rPr>
                <w:rFonts w:ascii="宋体"/>
              </w:rPr>
            </w:pPr>
          </w:p>
        </w:tc>
      </w:tr>
      <w:tr w:rsidR="008A3BAC" w14:paraId="26E9C8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61" w14:textId="77777777" w:rsidR="008A3BAC" w:rsidRDefault="005C75B9">
            <w:pPr>
              <w:textAlignment w:val="bottom"/>
            </w:pPr>
            <w:r>
              <w:rPr>
                <w:rFonts w:ascii="Arial" w:eastAsia="宋体" w:hAnsi="Arial" w:cs="Arial"/>
                <w:b/>
                <w:bCs/>
                <w:color w:val="000000"/>
                <w:sz w:val="17"/>
                <w:szCs w:val="17"/>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62" w14:textId="77777777" w:rsidR="008A3BAC" w:rsidRDefault="005C75B9">
            <w:pPr>
              <w:textAlignment w:val="bottom"/>
            </w:pPr>
            <w:hyperlink r:id="rId50" w:anchor="i46aba51c6a804f42b3595948c57d2023_34" w:history="1">
              <w:r>
                <w:rPr>
                  <w:rStyle w:val="a5"/>
                  <w:rFonts w:ascii="Arial" w:eastAsia="宋体" w:hAnsi="Arial" w:cs="Arial"/>
                  <w:color w:val="000000"/>
                  <w:sz w:val="17"/>
                  <w:szCs w:val="17"/>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63" w14:textId="77777777" w:rsidR="008A3BAC" w:rsidRDefault="005C75B9">
            <w:pPr>
              <w:textAlignment w:val="bottom"/>
            </w:pPr>
            <w:hyperlink r:id="rId51" w:anchor="i46aba51c6a804f42b3595948c57d2023_34" w:history="1">
              <w:r>
                <w:rPr>
                  <w:rStyle w:val="a5"/>
                  <w:rFonts w:ascii="Arial" w:eastAsia="宋体" w:hAnsi="Arial" w:cs="Arial"/>
                  <w:color w:val="000000"/>
                  <w:sz w:val="17"/>
                  <w:szCs w:val="17"/>
                  <w:u w:val="none"/>
                </w:rPr>
                <w:t>8</w:t>
              </w:r>
            </w:hyperlink>
          </w:p>
        </w:tc>
      </w:tr>
      <w:tr w:rsidR="008A3BAC" w14:paraId="26E9C86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5" w14:textId="77777777" w:rsidR="008A3BAC" w:rsidRDefault="005C75B9">
            <w:pPr>
              <w:textAlignment w:val="bottom"/>
            </w:pPr>
            <w:r>
              <w:rPr>
                <w:rFonts w:ascii="Arial" w:eastAsia="宋体" w:hAnsi="Arial" w:cs="Arial"/>
                <w:b/>
                <w:bCs/>
                <w:color w:val="000000"/>
                <w:sz w:val="17"/>
                <w:szCs w:val="17"/>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6" w14:textId="77777777" w:rsidR="008A3BAC" w:rsidRDefault="005C75B9">
            <w:pPr>
              <w:textAlignment w:val="bottom"/>
            </w:pPr>
            <w:hyperlink r:id="rId52" w:anchor="i46aba51c6a804f42b3595948c57d2023_37" w:history="1">
              <w:r>
                <w:rPr>
                  <w:rStyle w:val="a5"/>
                  <w:rFonts w:ascii="Arial" w:eastAsia="宋体" w:hAnsi="Arial" w:cs="Arial"/>
                  <w:color w:val="000000"/>
                  <w:sz w:val="17"/>
                  <w:szCs w:val="17"/>
                  <w:u w:val="none"/>
                </w:rPr>
                <w:t>Inventories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7" w14:textId="77777777" w:rsidR="008A3BAC" w:rsidRDefault="005C75B9">
            <w:pPr>
              <w:textAlignment w:val="bottom"/>
            </w:pPr>
            <w:hyperlink r:id="rId53" w:anchor="i46aba51c6a804f42b3595948c57d2023_37" w:history="1">
              <w:r>
                <w:rPr>
                  <w:rStyle w:val="a5"/>
                  <w:rFonts w:ascii="Arial" w:eastAsia="宋体" w:hAnsi="Arial" w:cs="Arial"/>
                  <w:color w:val="000000"/>
                  <w:sz w:val="17"/>
                  <w:szCs w:val="17"/>
                  <w:u w:val="none"/>
                </w:rPr>
                <w:t>8</w:t>
              </w:r>
            </w:hyperlink>
          </w:p>
        </w:tc>
      </w:tr>
      <w:tr w:rsidR="008A3BAC" w14:paraId="26E9C86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9" w14:textId="77777777" w:rsidR="008A3BAC" w:rsidRDefault="005C75B9">
            <w:pPr>
              <w:textAlignment w:val="bottom"/>
            </w:pPr>
            <w:r>
              <w:rPr>
                <w:rFonts w:ascii="Arial" w:eastAsia="宋体" w:hAnsi="Arial" w:cs="Arial"/>
                <w:b/>
                <w:bCs/>
                <w:color w:val="000000"/>
                <w:sz w:val="17"/>
                <w:szCs w:val="17"/>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A" w14:textId="77777777" w:rsidR="008A3BAC" w:rsidRDefault="005C75B9">
            <w:pPr>
              <w:textAlignment w:val="bottom"/>
            </w:pPr>
            <w:hyperlink r:id="rId54" w:anchor="i46aba51c6a804f42b3595948c57d2023_40" w:history="1">
              <w:r>
                <w:rPr>
                  <w:rStyle w:val="a5"/>
                  <w:rFonts w:ascii="Arial" w:eastAsia="宋体" w:hAnsi="Arial" w:cs="Arial"/>
                  <w:color w:val="000000"/>
                  <w:sz w:val="17"/>
                  <w:szCs w:val="17"/>
                  <w:u w:val="none"/>
                </w:rPr>
                <w:t>Accrued Liabilities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B" w14:textId="77777777" w:rsidR="008A3BAC" w:rsidRDefault="005C75B9">
            <w:pPr>
              <w:textAlignment w:val="bottom"/>
            </w:pPr>
            <w:hyperlink r:id="rId55" w:anchor="i46aba51c6a804f42b3595948c57d2023_40" w:history="1">
              <w:r>
                <w:rPr>
                  <w:rStyle w:val="a5"/>
                  <w:rFonts w:ascii="Arial" w:eastAsia="宋体" w:hAnsi="Arial" w:cs="Arial"/>
                  <w:color w:val="000000"/>
                  <w:sz w:val="17"/>
                  <w:szCs w:val="17"/>
                  <w:u w:val="none"/>
                </w:rPr>
                <w:t>8</w:t>
              </w:r>
            </w:hyperlink>
          </w:p>
        </w:tc>
      </w:tr>
      <w:tr w:rsidR="008A3BAC" w14:paraId="26E9C87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D" w14:textId="77777777" w:rsidR="008A3BAC" w:rsidRDefault="005C75B9">
            <w:pPr>
              <w:textAlignment w:val="bottom"/>
            </w:pPr>
            <w:r>
              <w:rPr>
                <w:rFonts w:ascii="Arial" w:eastAsia="宋体" w:hAnsi="Arial" w:cs="Arial"/>
                <w:b/>
                <w:bCs/>
                <w:color w:val="000000"/>
                <w:sz w:val="17"/>
                <w:szCs w:val="17"/>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E" w14:textId="77777777" w:rsidR="008A3BAC" w:rsidRDefault="005C75B9">
            <w:pPr>
              <w:textAlignment w:val="bottom"/>
            </w:pPr>
            <w:hyperlink r:id="rId56" w:anchor="i46aba51c6a804f42b3595948c57d2023_43" w:history="1">
              <w:r>
                <w:rPr>
                  <w:rStyle w:val="a5"/>
                  <w:rFonts w:ascii="Arial" w:eastAsia="宋体" w:hAnsi="Arial" w:cs="Arial"/>
                  <w:color w:val="000000"/>
                  <w:sz w:val="17"/>
                  <w:szCs w:val="17"/>
                  <w:u w:val="none"/>
                </w:rPr>
                <w:t>Fair Value Measurements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6F" w14:textId="77777777" w:rsidR="008A3BAC" w:rsidRDefault="005C75B9">
            <w:pPr>
              <w:textAlignment w:val="bottom"/>
            </w:pPr>
            <w:hyperlink r:id="rId57" w:anchor="i46aba51c6a804f42b3595948c57d2023_43" w:history="1">
              <w:r>
                <w:rPr>
                  <w:rStyle w:val="a5"/>
                  <w:rFonts w:ascii="Arial" w:eastAsia="宋体" w:hAnsi="Arial" w:cs="Arial"/>
                  <w:color w:val="000000"/>
                  <w:sz w:val="17"/>
                  <w:szCs w:val="17"/>
                  <w:u w:val="none"/>
                </w:rPr>
                <w:t>8</w:t>
              </w:r>
            </w:hyperlink>
          </w:p>
        </w:tc>
      </w:tr>
      <w:tr w:rsidR="008A3BAC" w14:paraId="26E9C87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1" w14:textId="77777777" w:rsidR="008A3BAC" w:rsidRDefault="005C75B9">
            <w:pPr>
              <w:textAlignment w:val="bottom"/>
            </w:pPr>
            <w:r>
              <w:rPr>
                <w:rFonts w:ascii="Arial" w:eastAsia="宋体" w:hAnsi="Arial" w:cs="Arial"/>
                <w:b/>
                <w:bCs/>
                <w:color w:val="000000"/>
                <w:sz w:val="17"/>
                <w:szCs w:val="17"/>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2" w14:textId="77777777" w:rsidR="008A3BAC" w:rsidRDefault="005C75B9">
            <w:pPr>
              <w:textAlignment w:val="bottom"/>
            </w:pPr>
            <w:hyperlink r:id="rId58" w:anchor="i46aba51c6a804f42b3595948c57d2023_8246337209580" w:history="1">
              <w:r>
                <w:rPr>
                  <w:rStyle w:val="a5"/>
                  <w:rFonts w:ascii="Arial" w:eastAsia="宋体" w:hAnsi="Arial" w:cs="Arial"/>
                  <w:color w:val="000000"/>
                  <w:sz w:val="17"/>
                  <w:szCs w:val="17"/>
                  <w:u w:val="none"/>
                </w:rPr>
                <w:t xml:space="preserve">Short-Term </w:t>
              </w:r>
              <w:r>
                <w:rPr>
                  <w:rStyle w:val="a5"/>
                  <w:rFonts w:ascii="Arial" w:eastAsia="宋体" w:hAnsi="Arial" w:cs="Arial"/>
                  <w:color w:val="000000"/>
                  <w:sz w:val="17"/>
                  <w:szCs w:val="17"/>
                  <w:u w:val="none"/>
                </w:rPr>
                <w:t>Borrowings and Credit Lines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3" w14:textId="77777777" w:rsidR="008A3BAC" w:rsidRDefault="005C75B9">
            <w:pPr>
              <w:textAlignment w:val="bottom"/>
            </w:pPr>
            <w:hyperlink r:id="rId59" w:anchor="i46aba51c6a804f42b3595948c57d2023_8246337209580" w:history="1">
              <w:r>
                <w:rPr>
                  <w:rStyle w:val="a5"/>
                  <w:rFonts w:ascii="Arial" w:eastAsia="宋体" w:hAnsi="Arial" w:cs="Arial"/>
                  <w:color w:val="000000"/>
                  <w:sz w:val="17"/>
                  <w:szCs w:val="17"/>
                  <w:u w:val="none"/>
                </w:rPr>
                <w:t>10</w:t>
              </w:r>
            </w:hyperlink>
          </w:p>
        </w:tc>
      </w:tr>
      <w:tr w:rsidR="008A3BAC" w14:paraId="26E9C87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5" w14:textId="77777777" w:rsidR="008A3BAC" w:rsidRDefault="005C75B9">
            <w:pPr>
              <w:textAlignment w:val="bottom"/>
            </w:pPr>
            <w:r>
              <w:rPr>
                <w:rFonts w:ascii="Arial" w:eastAsia="宋体" w:hAnsi="Arial" w:cs="Arial"/>
                <w:b/>
                <w:bCs/>
                <w:color w:val="000000"/>
                <w:sz w:val="17"/>
                <w:szCs w:val="17"/>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6" w14:textId="77777777" w:rsidR="008A3BAC" w:rsidRDefault="005C75B9">
            <w:pPr>
              <w:textAlignment w:val="bottom"/>
            </w:pPr>
            <w:hyperlink r:id="rId60" w:anchor="i46aba51c6a804f42b3595948c57d2023_46" w:history="1">
              <w:r>
                <w:rPr>
                  <w:rStyle w:val="a5"/>
                  <w:rFonts w:ascii="Arial" w:eastAsia="宋体" w:hAnsi="Arial" w:cs="Arial"/>
                  <w:color w:val="000000"/>
                  <w:sz w:val="17"/>
                  <w:szCs w:val="17"/>
                  <w:u w:val="none"/>
                </w:rPr>
                <w:t>Income Taxes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7" w14:textId="77777777" w:rsidR="008A3BAC" w:rsidRDefault="005C75B9">
            <w:pPr>
              <w:textAlignment w:val="bottom"/>
            </w:pPr>
            <w:hyperlink r:id="rId61" w:anchor="i46aba51c6a804f42b3595948c57d2023_46" w:history="1">
              <w:r>
                <w:rPr>
                  <w:rStyle w:val="a5"/>
                  <w:rFonts w:ascii="Arial" w:eastAsia="宋体" w:hAnsi="Arial" w:cs="Arial"/>
                  <w:color w:val="000000"/>
                  <w:sz w:val="17"/>
                  <w:szCs w:val="17"/>
                  <w:u w:val="none"/>
                </w:rPr>
                <w:t>11</w:t>
              </w:r>
            </w:hyperlink>
          </w:p>
        </w:tc>
      </w:tr>
      <w:tr w:rsidR="008A3BAC" w14:paraId="26E9C87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9" w14:textId="77777777" w:rsidR="008A3BAC" w:rsidRDefault="005C75B9">
            <w:pPr>
              <w:textAlignment w:val="bottom"/>
            </w:pPr>
            <w:r>
              <w:rPr>
                <w:rFonts w:ascii="Arial" w:eastAsia="宋体" w:hAnsi="Arial" w:cs="Arial"/>
                <w:b/>
                <w:bCs/>
                <w:color w:val="000000"/>
                <w:sz w:val="17"/>
                <w:szCs w:val="17"/>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A" w14:textId="77777777" w:rsidR="008A3BAC" w:rsidRDefault="005C75B9">
            <w:pPr>
              <w:textAlignment w:val="bottom"/>
            </w:pPr>
            <w:hyperlink r:id="rId62" w:anchor="i46aba51c6a804f42b3595948c57d2023_49" w:history="1">
              <w:r>
                <w:rPr>
                  <w:rStyle w:val="a5"/>
                  <w:rFonts w:ascii="Arial" w:eastAsia="宋体" w:hAnsi="Arial" w:cs="Arial"/>
                  <w:color w:val="000000"/>
                  <w:sz w:val="17"/>
                  <w:szCs w:val="17"/>
                  <w:u w:val="none"/>
                </w:rPr>
                <w:t>Stock-Based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B" w14:textId="77777777" w:rsidR="008A3BAC" w:rsidRDefault="005C75B9">
            <w:pPr>
              <w:textAlignment w:val="bottom"/>
            </w:pPr>
            <w:hyperlink r:id="rId63" w:anchor="i46aba51c6a804f42b3595948c57d2023_49" w:history="1">
              <w:r>
                <w:rPr>
                  <w:rStyle w:val="a5"/>
                  <w:rFonts w:ascii="Arial" w:eastAsia="宋体" w:hAnsi="Arial" w:cs="Arial"/>
                  <w:color w:val="000000"/>
                  <w:sz w:val="17"/>
                  <w:szCs w:val="17"/>
                  <w:u w:val="none"/>
                </w:rPr>
                <w:t>11</w:t>
              </w:r>
            </w:hyperlink>
          </w:p>
        </w:tc>
      </w:tr>
      <w:tr w:rsidR="008A3BAC" w14:paraId="26E9C88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D" w14:textId="77777777" w:rsidR="008A3BAC" w:rsidRDefault="005C75B9">
            <w:pPr>
              <w:textAlignment w:val="bottom"/>
            </w:pPr>
            <w:r>
              <w:rPr>
                <w:rFonts w:ascii="Arial" w:eastAsia="宋体" w:hAnsi="Arial" w:cs="Arial"/>
                <w:b/>
                <w:bCs/>
                <w:color w:val="000000"/>
                <w:sz w:val="17"/>
                <w:szCs w:val="17"/>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E" w14:textId="77777777" w:rsidR="008A3BAC" w:rsidRDefault="005C75B9">
            <w:pPr>
              <w:textAlignment w:val="bottom"/>
            </w:pPr>
            <w:hyperlink r:id="rId64" w:anchor="i46aba51c6a804f42b3595948c57d2023_52" w:history="1">
              <w:r>
                <w:rPr>
                  <w:rStyle w:val="a5"/>
                  <w:rFonts w:ascii="Arial" w:eastAsia="宋体" w:hAnsi="Arial" w:cs="Arial"/>
                  <w:color w:val="000000"/>
                  <w:sz w:val="17"/>
                  <w:szCs w:val="17"/>
                  <w:u w:val="none"/>
                </w:rPr>
                <w:t>Earnings Per Share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7F" w14:textId="77777777" w:rsidR="008A3BAC" w:rsidRDefault="005C75B9">
            <w:pPr>
              <w:textAlignment w:val="bottom"/>
            </w:pPr>
            <w:hyperlink r:id="rId65" w:anchor="i46aba51c6a804f42b3595948c57d2023_52" w:history="1">
              <w:r>
                <w:rPr>
                  <w:rStyle w:val="a5"/>
                  <w:rFonts w:ascii="Arial" w:eastAsia="宋体" w:hAnsi="Arial" w:cs="Arial"/>
                  <w:color w:val="000000"/>
                  <w:sz w:val="17"/>
                  <w:szCs w:val="17"/>
                  <w:u w:val="none"/>
                </w:rPr>
                <w:t>13</w:t>
              </w:r>
            </w:hyperlink>
          </w:p>
        </w:tc>
      </w:tr>
      <w:tr w:rsidR="008A3BAC" w14:paraId="26E9C88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1" w14:textId="77777777" w:rsidR="008A3BAC" w:rsidRDefault="005C75B9">
            <w:pPr>
              <w:textAlignment w:val="bottom"/>
            </w:pPr>
            <w:r>
              <w:rPr>
                <w:rFonts w:ascii="Arial" w:eastAsia="宋体" w:hAnsi="Arial" w:cs="Arial"/>
                <w:b/>
                <w:bCs/>
                <w:color w:val="000000"/>
                <w:sz w:val="17"/>
                <w:szCs w:val="17"/>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2" w14:textId="77777777" w:rsidR="008A3BAC" w:rsidRDefault="005C75B9">
            <w:pPr>
              <w:textAlignment w:val="bottom"/>
            </w:pPr>
            <w:hyperlink r:id="rId66" w:anchor="i46aba51c6a804f42b3595948c57d2023_55" w:history="1">
              <w:r>
                <w:rPr>
                  <w:rStyle w:val="a5"/>
                  <w:rFonts w:ascii="Arial" w:eastAsia="宋体" w:hAnsi="Arial" w:cs="Arial"/>
                  <w:color w:val="000000"/>
                  <w:sz w:val="17"/>
                  <w:szCs w:val="17"/>
                  <w:u w:val="none"/>
                </w:rPr>
                <w:t>Risk Management and Derivatives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3" w14:textId="77777777" w:rsidR="008A3BAC" w:rsidRDefault="005C75B9">
            <w:pPr>
              <w:textAlignment w:val="bottom"/>
            </w:pPr>
            <w:hyperlink r:id="rId67" w:anchor="i46aba51c6a804f42b3595948c57d2023_55" w:history="1">
              <w:r>
                <w:rPr>
                  <w:rStyle w:val="a5"/>
                  <w:rFonts w:ascii="Arial" w:eastAsia="宋体" w:hAnsi="Arial" w:cs="Arial"/>
                  <w:color w:val="000000"/>
                  <w:sz w:val="17"/>
                  <w:szCs w:val="17"/>
                  <w:u w:val="none"/>
                </w:rPr>
                <w:t>13</w:t>
              </w:r>
            </w:hyperlink>
          </w:p>
        </w:tc>
      </w:tr>
      <w:tr w:rsidR="008A3BAC" w14:paraId="26E9C8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5" w14:textId="77777777" w:rsidR="008A3BAC" w:rsidRDefault="005C75B9">
            <w:pPr>
              <w:textAlignment w:val="bottom"/>
            </w:pPr>
            <w:r>
              <w:rPr>
                <w:rFonts w:ascii="Arial" w:eastAsia="宋体" w:hAnsi="Arial" w:cs="Arial"/>
                <w:b/>
                <w:bCs/>
                <w:color w:val="000000"/>
                <w:sz w:val="17"/>
                <w:szCs w:val="17"/>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6" w14:textId="77777777" w:rsidR="008A3BAC" w:rsidRDefault="005C75B9">
            <w:pPr>
              <w:textAlignment w:val="bottom"/>
            </w:pPr>
            <w:hyperlink r:id="rId68" w:anchor="i46aba51c6a804f42b3595948c57d2023_58" w:history="1">
              <w:r>
                <w:rPr>
                  <w:rStyle w:val="a5"/>
                  <w:rFonts w:ascii="Arial" w:eastAsia="宋体" w:hAnsi="Arial" w:cs="Arial"/>
                  <w:color w:val="000000"/>
                  <w:sz w:val="17"/>
                  <w:szCs w:val="17"/>
                  <w:u w:val="none"/>
                </w:rPr>
                <w:t xml:space="preserve">Accumulated </w:t>
              </w:r>
              <w:r>
                <w:rPr>
                  <w:rStyle w:val="a5"/>
                  <w:rFonts w:ascii="Arial" w:eastAsia="宋体" w:hAnsi="Arial" w:cs="Arial"/>
                  <w:color w:val="000000"/>
                  <w:sz w:val="17"/>
                  <w:szCs w:val="17"/>
                  <w:u w:val="none"/>
                </w:rPr>
                <w:t>Other Comprehensive Income (Loss)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7" w14:textId="77777777" w:rsidR="008A3BAC" w:rsidRDefault="005C75B9">
            <w:pPr>
              <w:textAlignment w:val="bottom"/>
            </w:pPr>
            <w:hyperlink r:id="rId69" w:anchor="i46aba51c6a804f42b3595948c57d2023_58" w:history="1">
              <w:r>
                <w:rPr>
                  <w:rStyle w:val="a5"/>
                  <w:rFonts w:ascii="Arial" w:eastAsia="宋体" w:hAnsi="Arial" w:cs="Arial"/>
                  <w:color w:val="000000"/>
                  <w:sz w:val="17"/>
                  <w:szCs w:val="17"/>
                  <w:u w:val="none"/>
                </w:rPr>
                <w:t>18</w:t>
              </w:r>
            </w:hyperlink>
          </w:p>
        </w:tc>
      </w:tr>
      <w:tr w:rsidR="008A3BAC" w14:paraId="26E9C88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9" w14:textId="77777777" w:rsidR="008A3BAC" w:rsidRDefault="005C75B9">
            <w:pPr>
              <w:textAlignment w:val="bottom"/>
            </w:pPr>
            <w:r>
              <w:rPr>
                <w:rFonts w:ascii="Arial" w:eastAsia="宋体" w:hAnsi="Arial" w:cs="Arial"/>
                <w:b/>
                <w:bCs/>
                <w:color w:val="000000"/>
                <w:sz w:val="17"/>
                <w:szCs w:val="17"/>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A" w14:textId="77777777" w:rsidR="008A3BAC" w:rsidRDefault="005C75B9">
            <w:pPr>
              <w:textAlignment w:val="bottom"/>
            </w:pPr>
            <w:hyperlink r:id="rId70" w:anchor="i46aba51c6a804f42b3595948c57d2023_61" w:history="1">
              <w:r>
                <w:rPr>
                  <w:rStyle w:val="a5"/>
                  <w:rFonts w:ascii="Arial" w:eastAsia="宋体" w:hAnsi="Arial" w:cs="Arial"/>
                  <w:color w:val="000000"/>
                  <w:sz w:val="17"/>
                  <w:szCs w:val="17"/>
                  <w:u w:val="none"/>
                </w:rPr>
                <w:t>Revenues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B" w14:textId="77777777" w:rsidR="008A3BAC" w:rsidRDefault="005C75B9">
            <w:pPr>
              <w:textAlignment w:val="bottom"/>
            </w:pPr>
            <w:hyperlink r:id="rId71" w:anchor="i46aba51c6a804f42b3595948c57d2023_61" w:history="1">
              <w:r>
                <w:rPr>
                  <w:rStyle w:val="a5"/>
                  <w:rFonts w:ascii="Arial" w:eastAsia="宋体" w:hAnsi="Arial" w:cs="Arial"/>
                  <w:color w:val="000000"/>
                  <w:sz w:val="17"/>
                  <w:szCs w:val="17"/>
                  <w:u w:val="none"/>
                </w:rPr>
                <w:t>20</w:t>
              </w:r>
            </w:hyperlink>
          </w:p>
        </w:tc>
      </w:tr>
      <w:tr w:rsidR="008A3BAC" w14:paraId="26E9C8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D" w14:textId="77777777" w:rsidR="008A3BAC" w:rsidRDefault="005C75B9">
            <w:pPr>
              <w:textAlignment w:val="bottom"/>
            </w:pPr>
            <w:r>
              <w:rPr>
                <w:rFonts w:ascii="Arial" w:eastAsia="宋体" w:hAnsi="Arial" w:cs="Arial"/>
                <w:b/>
                <w:bCs/>
                <w:color w:val="000000"/>
                <w:sz w:val="17"/>
                <w:szCs w:val="17"/>
              </w:rPr>
              <w:t>Note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E" w14:textId="77777777" w:rsidR="008A3BAC" w:rsidRDefault="005C75B9">
            <w:pPr>
              <w:textAlignment w:val="bottom"/>
            </w:pPr>
            <w:hyperlink r:id="rId72" w:anchor="i46aba51c6a804f42b3595948c57d2023_64" w:history="1">
              <w:r>
                <w:rPr>
                  <w:rStyle w:val="a5"/>
                  <w:rFonts w:ascii="Arial" w:eastAsia="宋体" w:hAnsi="Arial" w:cs="Arial"/>
                  <w:color w:val="000000"/>
                  <w:sz w:val="17"/>
                  <w:szCs w:val="17"/>
                  <w:u w:val="none"/>
                </w:rPr>
                <w:t>Operating Segments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8F" w14:textId="77777777" w:rsidR="008A3BAC" w:rsidRDefault="005C75B9">
            <w:pPr>
              <w:textAlignment w:val="bottom"/>
            </w:pPr>
            <w:hyperlink r:id="rId73" w:anchor="i46aba51c6a804f42b3595948c57d2023_64" w:history="1">
              <w:r>
                <w:rPr>
                  <w:rStyle w:val="a5"/>
                  <w:rFonts w:ascii="Arial" w:eastAsia="宋体" w:hAnsi="Arial" w:cs="Arial"/>
                  <w:color w:val="000000"/>
                  <w:sz w:val="17"/>
                  <w:szCs w:val="17"/>
                  <w:u w:val="none"/>
                </w:rPr>
                <w:t>22</w:t>
              </w:r>
            </w:hyperlink>
          </w:p>
        </w:tc>
      </w:tr>
      <w:tr w:rsidR="008A3BAC" w14:paraId="26E9C89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91" w14:textId="77777777" w:rsidR="008A3BAC" w:rsidRDefault="005C75B9">
            <w:pPr>
              <w:textAlignment w:val="bottom"/>
            </w:pPr>
            <w:r>
              <w:rPr>
                <w:rFonts w:ascii="Arial" w:eastAsia="宋体" w:hAnsi="Arial" w:cs="Arial"/>
                <w:b/>
                <w:bCs/>
                <w:color w:val="000000"/>
                <w:sz w:val="17"/>
                <w:szCs w:val="17"/>
              </w:rPr>
              <w:t>Note 13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92" w14:textId="77777777" w:rsidR="008A3BAC" w:rsidRDefault="005C75B9">
            <w:pPr>
              <w:textAlignment w:val="bottom"/>
            </w:pPr>
            <w:hyperlink r:id="rId74" w:anchor="i46aba51c6a804f42b3595948c57d2023_67" w:history="1">
              <w:r>
                <w:rPr>
                  <w:rStyle w:val="a5"/>
                  <w:rFonts w:ascii="Arial" w:eastAsia="宋体" w:hAnsi="Arial" w:cs="Arial"/>
                  <w:color w:val="000000"/>
                  <w:sz w:val="17"/>
                  <w:szCs w:val="17"/>
                  <w:u w:val="none"/>
                </w:rPr>
                <w:t>Acquisit</w:t>
              </w:r>
              <w:r>
                <w:rPr>
                  <w:rStyle w:val="a5"/>
                  <w:rFonts w:ascii="Arial" w:eastAsia="宋体" w:hAnsi="Arial" w:cs="Arial"/>
                  <w:color w:val="000000"/>
                  <w:sz w:val="17"/>
                  <w:szCs w:val="17"/>
                  <w:u w:val="none"/>
                </w:rPr>
                <w:t>ions and Divestitures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93" w14:textId="77777777" w:rsidR="008A3BAC" w:rsidRDefault="005C75B9">
            <w:pPr>
              <w:textAlignment w:val="bottom"/>
            </w:pPr>
            <w:hyperlink r:id="rId75" w:anchor="i46aba51c6a804f42b3595948c57d2023_67" w:history="1">
              <w:r>
                <w:rPr>
                  <w:rStyle w:val="a5"/>
                  <w:rFonts w:ascii="Arial" w:eastAsia="宋体" w:hAnsi="Arial" w:cs="Arial"/>
                  <w:color w:val="000000"/>
                  <w:sz w:val="17"/>
                  <w:szCs w:val="17"/>
                  <w:u w:val="none"/>
                </w:rPr>
                <w:t>24</w:t>
              </w:r>
            </w:hyperlink>
          </w:p>
        </w:tc>
      </w:tr>
      <w:tr w:rsidR="008A3BAC" w14:paraId="26E9C89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895" w14:textId="77777777" w:rsidR="008A3BAC" w:rsidRDefault="005C75B9">
            <w:pPr>
              <w:textAlignment w:val="bottom"/>
            </w:pPr>
            <w:r>
              <w:rPr>
                <w:rFonts w:ascii="Arial" w:eastAsia="宋体" w:hAnsi="Arial" w:cs="Arial"/>
                <w:b/>
                <w:bCs/>
                <w:color w:val="000000"/>
                <w:sz w:val="17"/>
                <w:szCs w:val="17"/>
              </w:rPr>
              <w:t>Note 14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896" w14:textId="77777777" w:rsidR="008A3BAC" w:rsidRDefault="005C75B9">
            <w:pPr>
              <w:textAlignment w:val="bottom"/>
            </w:pPr>
            <w:hyperlink r:id="rId76" w:anchor="i46aba51c6a804f42b3595948c57d2023_73" w:history="1">
              <w:r>
                <w:rPr>
                  <w:rStyle w:val="a5"/>
                  <w:rFonts w:ascii="Arial" w:eastAsia="宋体" w:hAnsi="Arial" w:cs="Arial"/>
                  <w:color w:val="000000"/>
                  <w:sz w:val="17"/>
                  <w:szCs w:val="17"/>
                  <w:u w:val="none"/>
                </w:rPr>
                <w:t>Restructuring</w:t>
              </w:r>
            </w:hyperlink>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897" w14:textId="77777777" w:rsidR="008A3BAC" w:rsidRDefault="005C75B9">
            <w:pPr>
              <w:textAlignment w:val="bottom"/>
            </w:pPr>
            <w:hyperlink r:id="rId77" w:anchor="i46aba51c6a804f42b3595948c57d2023_73" w:history="1">
              <w:r>
                <w:rPr>
                  <w:rStyle w:val="a5"/>
                  <w:rFonts w:ascii="Arial" w:eastAsia="宋体" w:hAnsi="Arial" w:cs="Arial"/>
                  <w:color w:val="000000"/>
                  <w:sz w:val="17"/>
                  <w:szCs w:val="17"/>
                  <w:u w:val="none"/>
                </w:rPr>
                <w:t>24</w:t>
              </w:r>
            </w:hyperlink>
          </w:p>
        </w:tc>
      </w:tr>
    </w:tbl>
    <w:p w14:paraId="26E9C899" w14:textId="77777777" w:rsidR="008A3BAC" w:rsidRDefault="005C75B9">
      <w:pPr>
        <w:spacing w:before="120" w:after="120"/>
        <w:jc w:val="right"/>
      </w:pPr>
      <w:r>
        <w:rPr>
          <w:rFonts w:ascii="Arial" w:eastAsia="宋体" w:hAnsi="Arial" w:cs="Arial"/>
          <w:color w:val="E87722"/>
          <w:sz w:val="17"/>
          <w:szCs w:val="17"/>
        </w:rPr>
        <w:t>7</w:t>
      </w:r>
    </w:p>
    <w:p w14:paraId="26E9C89A" w14:textId="77777777" w:rsidR="008A3BAC" w:rsidRDefault="005C75B9">
      <w:r>
        <w:pict w14:anchorId="26E9E84E">
          <v:rect id="_x0000_i1033" style="width:415.3pt;height:1.5pt" o:hralign="center" o:hrstd="t" o:hr="t" fillcolor="#a0a0a0" stroked="f"/>
        </w:pict>
      </w:r>
    </w:p>
    <w:p w14:paraId="26E9C89B" w14:textId="77777777" w:rsidR="008A3BAC" w:rsidRDefault="008A3BAC"/>
    <w:p w14:paraId="26E9C89C" w14:textId="77777777" w:rsidR="008A3BAC" w:rsidRDefault="005C75B9">
      <w:hyperlink r:id="rId78" w:anchor="i46aba51c6a804f42b3595948c57d2023_7" w:history="1">
        <w:r>
          <w:rPr>
            <w:rStyle w:val="a5"/>
            <w:rFonts w:ascii="sans-serif" w:eastAsia="sans-serif" w:hAnsi="sans-serif" w:cs="sans-serif"/>
            <w:sz w:val="17"/>
            <w:szCs w:val="17"/>
          </w:rPr>
          <w:t>Table of Contents</w:t>
        </w:r>
      </w:hyperlink>
    </w:p>
    <w:p w14:paraId="26E9C89D"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8A1" w14:textId="77777777">
        <w:tc>
          <w:tcPr>
            <w:tcW w:w="50" w:type="pct"/>
            <w:shd w:val="clear" w:color="auto" w:fill="auto"/>
            <w:vAlign w:val="bottom"/>
          </w:tcPr>
          <w:p w14:paraId="26E9C89E" w14:textId="77777777" w:rsidR="008A3BAC" w:rsidRDefault="008A3BAC">
            <w:pPr>
              <w:rPr>
                <w:rFonts w:ascii="宋体"/>
              </w:rPr>
            </w:pPr>
          </w:p>
        </w:tc>
        <w:tc>
          <w:tcPr>
            <w:tcW w:w="4945" w:type="pct"/>
            <w:shd w:val="clear" w:color="auto" w:fill="auto"/>
            <w:vAlign w:val="bottom"/>
          </w:tcPr>
          <w:p w14:paraId="26E9C89F" w14:textId="77777777" w:rsidR="008A3BAC" w:rsidRDefault="008A3BAC">
            <w:pPr>
              <w:rPr>
                <w:rFonts w:ascii="宋体"/>
              </w:rPr>
            </w:pPr>
          </w:p>
        </w:tc>
        <w:tc>
          <w:tcPr>
            <w:tcW w:w="5" w:type="pct"/>
            <w:shd w:val="clear" w:color="auto" w:fill="auto"/>
            <w:vAlign w:val="bottom"/>
          </w:tcPr>
          <w:p w14:paraId="26E9C8A0" w14:textId="77777777" w:rsidR="008A3BAC" w:rsidRDefault="008A3BAC">
            <w:pPr>
              <w:rPr>
                <w:rFonts w:ascii="宋体"/>
              </w:rPr>
            </w:pPr>
          </w:p>
        </w:tc>
      </w:tr>
      <w:tr w:rsidR="008A3BAC" w14:paraId="26E9C8A3" w14:textId="77777777">
        <w:tc>
          <w:tcPr>
            <w:tcW w:w="0" w:type="auto"/>
            <w:gridSpan w:val="3"/>
            <w:shd w:val="clear" w:color="auto" w:fill="auto"/>
            <w:tcMar>
              <w:top w:w="40" w:type="dxa"/>
              <w:left w:w="20" w:type="dxa"/>
              <w:bottom w:w="40" w:type="dxa"/>
              <w:right w:w="20" w:type="dxa"/>
            </w:tcMar>
            <w:vAlign w:val="bottom"/>
          </w:tcPr>
          <w:p w14:paraId="26E9C8A2" w14:textId="77777777" w:rsidR="008A3BAC" w:rsidRDefault="005C75B9">
            <w:pPr>
              <w:textAlignment w:val="bottom"/>
            </w:pPr>
            <w:r>
              <w:rPr>
                <w:rFonts w:ascii="sans-serif" w:eastAsia="sans-serif" w:hAnsi="sans-serif" w:cs="sans-serif"/>
                <w:b/>
                <w:bCs/>
                <w:color w:val="E87722"/>
                <w:sz w:val="36"/>
                <w:szCs w:val="36"/>
              </w:rPr>
              <w:t>NOTE 1 — SUMMARY OF SIGNIFICANT ACCOUNTING POLICIES</w:t>
            </w:r>
          </w:p>
        </w:tc>
      </w:tr>
    </w:tbl>
    <w:p w14:paraId="26E9C8A4" w14:textId="77777777" w:rsidR="008A3BAC" w:rsidRDefault="005C75B9">
      <w:pPr>
        <w:spacing w:before="240" w:after="120"/>
      </w:pPr>
      <w:r>
        <w:rPr>
          <w:rFonts w:ascii="sans-serif" w:eastAsia="sans-serif" w:hAnsi="sans-serif" w:cs="sans-serif"/>
          <w:b/>
          <w:bCs/>
          <w:color w:val="000000"/>
          <w:sz w:val="28"/>
          <w:szCs w:val="28"/>
        </w:rPr>
        <w:t>BASIS OF PRESENTATION</w:t>
      </w:r>
    </w:p>
    <w:p w14:paraId="26E9C8A5" w14:textId="77777777" w:rsidR="008A3BAC" w:rsidRDefault="005C75B9">
      <w:pPr>
        <w:spacing w:before="120" w:after="120"/>
      </w:pPr>
      <w:r>
        <w:rPr>
          <w:rFonts w:ascii="Arial" w:eastAsia="宋体" w:hAnsi="Arial" w:cs="Arial"/>
          <w:color w:val="000000"/>
          <w:sz w:val="17"/>
          <w:szCs w:val="17"/>
        </w:rPr>
        <w:t>The Un</w:t>
      </w:r>
      <w:r>
        <w:rPr>
          <w:rFonts w:ascii="Arial" w:eastAsia="宋体" w:hAnsi="Arial" w:cs="Arial"/>
          <w:color w:val="000000"/>
          <w:sz w:val="17"/>
          <w:szCs w:val="17"/>
        </w:rPr>
        <w:t>audited Condensed Consolidated Financial Statements include the accounts of NIKE, Inc. and its subsidiaries (the “Company” or “NIKE”) and reflect all normal recurring adjustments which are, in the opinion of management, necessary for a fair statement of th</w:t>
      </w:r>
      <w:r>
        <w:rPr>
          <w:rFonts w:ascii="Arial" w:eastAsia="宋体" w:hAnsi="Arial" w:cs="Arial"/>
          <w:color w:val="000000"/>
          <w:sz w:val="17"/>
          <w:szCs w:val="17"/>
        </w:rPr>
        <w:t>e results of operations for the interim period. The year-end Condensed Consolidated Balance Sheet data as of May 31, 2021, was derived from audited financial statements, but does not include all disclosures required by accounting principles generally accep</w:t>
      </w:r>
      <w:r>
        <w:rPr>
          <w:rFonts w:ascii="Arial" w:eastAsia="宋体" w:hAnsi="Arial" w:cs="Arial"/>
          <w:color w:val="000000"/>
          <w:sz w:val="17"/>
          <w:szCs w:val="17"/>
        </w:rPr>
        <w:t xml:space="preserve">ted in the United States of America (“U.S. GAAP”). The interim financial information and notes thereto should be read in conjunction with the Company's latest Annual Report on Form 10-K for the fiscal year ended May 31, 2021. The results of operations for </w:t>
      </w:r>
      <w:r>
        <w:rPr>
          <w:rFonts w:ascii="Arial" w:eastAsia="宋体" w:hAnsi="Arial" w:cs="Arial"/>
          <w:color w:val="000000"/>
          <w:sz w:val="17"/>
          <w:szCs w:val="17"/>
        </w:rPr>
        <w:t>the three and nine months ended February 28, 2022, are not necessarily indicative of results to be expected for the entire fiscal year.</w:t>
      </w:r>
    </w:p>
    <w:p w14:paraId="26E9C8A6" w14:textId="77777777" w:rsidR="008A3BAC" w:rsidRDefault="005C75B9">
      <w:r>
        <w:rPr>
          <w:rFonts w:ascii="Arial" w:eastAsia="宋体" w:hAnsi="Arial" w:cs="Arial"/>
          <w:color w:val="000000"/>
          <w:sz w:val="17"/>
          <w:szCs w:val="17"/>
        </w:rPr>
        <w:t>The extent to which the COVID-19 pandemic impacts the Company's financial statements depends on a number of factors, including the magnitude and duration of the pandemic. There have been and may continue to be developments outside of the Company's control,</w:t>
      </w:r>
      <w:r>
        <w:rPr>
          <w:rFonts w:ascii="Arial" w:eastAsia="宋体" w:hAnsi="Arial" w:cs="Arial"/>
          <w:color w:val="000000"/>
          <w:sz w:val="17"/>
          <w:szCs w:val="17"/>
        </w:rPr>
        <w:t xml:space="preserve"> including new COVID-19 variants, that require the Company to make adjustments to its operating plan, such as store operating hours and the timeline to return to normal production volumes in factories impacted by COVID-19. Such developments and other poten</w:t>
      </w:r>
      <w:r>
        <w:rPr>
          <w:rFonts w:ascii="Arial" w:eastAsia="宋体" w:hAnsi="Arial" w:cs="Arial"/>
          <w:color w:val="000000"/>
          <w:sz w:val="17"/>
          <w:szCs w:val="17"/>
        </w:rPr>
        <w:t xml:space="preserve">tial impacts of COVID-19, such as new or prolonged factory closures, higher inventory levels or inventory shortages in various markets, other adverse impacts on the global supply chain, revised payment terms with certain of its wholesale customers, higher </w:t>
      </w:r>
      <w:r>
        <w:rPr>
          <w:rFonts w:ascii="Arial" w:eastAsia="宋体" w:hAnsi="Arial" w:cs="Arial"/>
          <w:color w:val="000000"/>
          <w:sz w:val="17"/>
          <w:szCs w:val="17"/>
        </w:rPr>
        <w:t xml:space="preserve">sales-related reserves, factory cancellation costs and a volatile effective tax rate driven by changes in the mix of earnings across its jurisdictions, among other factors, could have material adverse impacts on the Company's revenue growth as well as its </w:t>
      </w:r>
      <w:r>
        <w:rPr>
          <w:rFonts w:ascii="Arial" w:eastAsia="宋体" w:hAnsi="Arial" w:cs="Arial"/>
          <w:color w:val="000000"/>
          <w:sz w:val="17"/>
          <w:szCs w:val="17"/>
        </w:rPr>
        <w:t>overall profitability in future periods. As a result of these circumstances, COVID-19 related disruptions are making it more challenging to compare the Company's performance, including its revenue growth and overall profitability, across quarters and fisca</w:t>
      </w:r>
      <w:r>
        <w:rPr>
          <w:rFonts w:ascii="Arial" w:eastAsia="宋体" w:hAnsi="Arial" w:cs="Arial"/>
          <w:color w:val="000000"/>
          <w:sz w:val="17"/>
          <w:szCs w:val="17"/>
        </w:rPr>
        <w:t xml:space="preserve">l years, and the Company expects that the operating environment could remain volatile as COVID-19 variants may continue to cause disruption to operations.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8AA" w14:textId="77777777">
        <w:tc>
          <w:tcPr>
            <w:tcW w:w="50" w:type="pct"/>
            <w:shd w:val="clear" w:color="auto" w:fill="auto"/>
            <w:vAlign w:val="bottom"/>
          </w:tcPr>
          <w:p w14:paraId="26E9C8A7" w14:textId="77777777" w:rsidR="008A3BAC" w:rsidRDefault="008A3BAC">
            <w:pPr>
              <w:rPr>
                <w:rFonts w:ascii="宋体"/>
              </w:rPr>
            </w:pPr>
          </w:p>
        </w:tc>
        <w:tc>
          <w:tcPr>
            <w:tcW w:w="4945" w:type="pct"/>
            <w:shd w:val="clear" w:color="auto" w:fill="auto"/>
            <w:vAlign w:val="bottom"/>
          </w:tcPr>
          <w:p w14:paraId="26E9C8A8" w14:textId="77777777" w:rsidR="008A3BAC" w:rsidRDefault="008A3BAC">
            <w:pPr>
              <w:rPr>
                <w:rFonts w:ascii="宋体"/>
              </w:rPr>
            </w:pPr>
          </w:p>
        </w:tc>
        <w:tc>
          <w:tcPr>
            <w:tcW w:w="5" w:type="pct"/>
            <w:shd w:val="clear" w:color="auto" w:fill="auto"/>
            <w:vAlign w:val="bottom"/>
          </w:tcPr>
          <w:p w14:paraId="26E9C8A9" w14:textId="77777777" w:rsidR="008A3BAC" w:rsidRDefault="008A3BAC">
            <w:pPr>
              <w:rPr>
                <w:rFonts w:ascii="宋体"/>
              </w:rPr>
            </w:pPr>
          </w:p>
        </w:tc>
      </w:tr>
      <w:tr w:rsidR="008A3BAC" w14:paraId="26E9C8AC" w14:textId="77777777">
        <w:tc>
          <w:tcPr>
            <w:tcW w:w="0" w:type="auto"/>
            <w:gridSpan w:val="3"/>
            <w:shd w:val="clear" w:color="auto" w:fill="auto"/>
            <w:tcMar>
              <w:top w:w="40" w:type="dxa"/>
              <w:left w:w="20" w:type="dxa"/>
              <w:bottom w:w="40" w:type="dxa"/>
              <w:right w:w="20" w:type="dxa"/>
            </w:tcMar>
            <w:vAlign w:val="bottom"/>
          </w:tcPr>
          <w:p w14:paraId="26E9C8AB" w14:textId="77777777" w:rsidR="008A3BAC" w:rsidRDefault="005C75B9">
            <w:pPr>
              <w:textAlignment w:val="bottom"/>
            </w:pPr>
            <w:r>
              <w:rPr>
                <w:rFonts w:ascii="sans-serif" w:eastAsia="sans-serif" w:hAnsi="sans-serif" w:cs="sans-serif"/>
                <w:b/>
                <w:bCs/>
                <w:color w:val="E87722"/>
                <w:sz w:val="36"/>
                <w:szCs w:val="36"/>
              </w:rPr>
              <w:t>NOTE 2 — INVENTORIES</w:t>
            </w:r>
          </w:p>
        </w:tc>
      </w:tr>
    </w:tbl>
    <w:p w14:paraId="26E9C8AD" w14:textId="77777777" w:rsidR="008A3BAC" w:rsidRDefault="005C75B9">
      <w:pPr>
        <w:spacing w:before="120" w:after="120"/>
      </w:pPr>
      <w:r>
        <w:rPr>
          <w:rFonts w:ascii="Arial" w:eastAsia="宋体" w:hAnsi="Arial" w:cs="Arial"/>
          <w:color w:val="000000"/>
          <w:sz w:val="17"/>
          <w:szCs w:val="17"/>
        </w:rPr>
        <w:t>Inventory balances of $7,700 million and $6,854 million at February 28, 20</w:t>
      </w:r>
      <w:r>
        <w:rPr>
          <w:rFonts w:ascii="Arial" w:eastAsia="宋体" w:hAnsi="Arial" w:cs="Arial"/>
          <w:color w:val="000000"/>
          <w:sz w:val="17"/>
          <w:szCs w:val="17"/>
        </w:rPr>
        <w:t>22 and May 31, 2021,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8B1" w14:textId="77777777">
        <w:tc>
          <w:tcPr>
            <w:tcW w:w="50" w:type="pct"/>
            <w:shd w:val="clear" w:color="auto" w:fill="auto"/>
            <w:vAlign w:val="bottom"/>
          </w:tcPr>
          <w:p w14:paraId="26E9C8AE" w14:textId="77777777" w:rsidR="008A3BAC" w:rsidRDefault="008A3BAC">
            <w:pPr>
              <w:rPr>
                <w:rFonts w:ascii="宋体"/>
              </w:rPr>
            </w:pPr>
          </w:p>
        </w:tc>
        <w:tc>
          <w:tcPr>
            <w:tcW w:w="4945" w:type="pct"/>
            <w:shd w:val="clear" w:color="auto" w:fill="auto"/>
            <w:vAlign w:val="bottom"/>
          </w:tcPr>
          <w:p w14:paraId="26E9C8AF" w14:textId="77777777" w:rsidR="008A3BAC" w:rsidRDefault="008A3BAC">
            <w:pPr>
              <w:rPr>
                <w:rFonts w:ascii="宋体"/>
              </w:rPr>
            </w:pPr>
          </w:p>
        </w:tc>
        <w:tc>
          <w:tcPr>
            <w:tcW w:w="5" w:type="pct"/>
            <w:shd w:val="clear" w:color="auto" w:fill="auto"/>
            <w:vAlign w:val="bottom"/>
          </w:tcPr>
          <w:p w14:paraId="26E9C8B0" w14:textId="77777777" w:rsidR="008A3BAC" w:rsidRDefault="008A3BAC">
            <w:pPr>
              <w:rPr>
                <w:rFonts w:ascii="宋体"/>
              </w:rPr>
            </w:pPr>
          </w:p>
        </w:tc>
      </w:tr>
      <w:tr w:rsidR="008A3BAC" w14:paraId="26E9C8B3" w14:textId="77777777">
        <w:tc>
          <w:tcPr>
            <w:tcW w:w="0" w:type="auto"/>
            <w:gridSpan w:val="3"/>
            <w:shd w:val="clear" w:color="auto" w:fill="auto"/>
            <w:tcMar>
              <w:top w:w="40" w:type="dxa"/>
              <w:left w:w="20" w:type="dxa"/>
              <w:bottom w:w="40" w:type="dxa"/>
              <w:right w:w="20" w:type="dxa"/>
            </w:tcMar>
            <w:vAlign w:val="bottom"/>
          </w:tcPr>
          <w:p w14:paraId="26E9C8B2" w14:textId="77777777" w:rsidR="008A3BAC" w:rsidRDefault="005C75B9">
            <w:pPr>
              <w:textAlignment w:val="bottom"/>
            </w:pPr>
            <w:r>
              <w:rPr>
                <w:rFonts w:ascii="sans-serif" w:eastAsia="sans-serif" w:hAnsi="sans-serif" w:cs="sans-serif"/>
                <w:b/>
                <w:bCs/>
                <w:color w:val="E87722"/>
                <w:sz w:val="36"/>
                <w:szCs w:val="36"/>
              </w:rPr>
              <w:t>NOTE 3 — ACCRUED LIABILITIES</w:t>
            </w:r>
          </w:p>
        </w:tc>
      </w:tr>
    </w:tbl>
    <w:p w14:paraId="26E9C8B4" w14:textId="77777777" w:rsidR="008A3BAC" w:rsidRDefault="005C75B9">
      <w:pPr>
        <w:spacing w:before="120" w:after="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6056"/>
        <w:gridCol w:w="37"/>
        <w:gridCol w:w="116"/>
        <w:gridCol w:w="909"/>
        <w:gridCol w:w="36"/>
        <w:gridCol w:w="36"/>
        <w:gridCol w:w="36"/>
        <w:gridCol w:w="36"/>
        <w:gridCol w:w="115"/>
        <w:gridCol w:w="881"/>
        <w:gridCol w:w="36"/>
      </w:tblGrid>
      <w:tr w:rsidR="008A3BAC" w14:paraId="26E9C8C1" w14:textId="77777777">
        <w:tc>
          <w:tcPr>
            <w:tcW w:w="50" w:type="pct"/>
            <w:shd w:val="clear" w:color="auto" w:fill="auto"/>
            <w:vAlign w:val="bottom"/>
          </w:tcPr>
          <w:p w14:paraId="26E9C8B5" w14:textId="77777777" w:rsidR="008A3BAC" w:rsidRDefault="008A3BAC">
            <w:pPr>
              <w:rPr>
                <w:rFonts w:ascii="宋体"/>
              </w:rPr>
            </w:pPr>
          </w:p>
        </w:tc>
        <w:tc>
          <w:tcPr>
            <w:tcW w:w="3656" w:type="pct"/>
            <w:shd w:val="clear" w:color="auto" w:fill="auto"/>
            <w:vAlign w:val="bottom"/>
          </w:tcPr>
          <w:p w14:paraId="26E9C8B6" w14:textId="77777777" w:rsidR="008A3BAC" w:rsidRDefault="008A3BAC">
            <w:pPr>
              <w:rPr>
                <w:rFonts w:ascii="宋体"/>
              </w:rPr>
            </w:pPr>
          </w:p>
        </w:tc>
        <w:tc>
          <w:tcPr>
            <w:tcW w:w="5" w:type="pct"/>
            <w:shd w:val="clear" w:color="auto" w:fill="auto"/>
            <w:vAlign w:val="bottom"/>
          </w:tcPr>
          <w:p w14:paraId="26E9C8B7" w14:textId="77777777" w:rsidR="008A3BAC" w:rsidRDefault="008A3BAC">
            <w:pPr>
              <w:rPr>
                <w:rFonts w:ascii="宋体"/>
              </w:rPr>
            </w:pPr>
          </w:p>
        </w:tc>
        <w:tc>
          <w:tcPr>
            <w:tcW w:w="50" w:type="pct"/>
            <w:shd w:val="clear" w:color="auto" w:fill="auto"/>
            <w:vAlign w:val="bottom"/>
          </w:tcPr>
          <w:p w14:paraId="26E9C8B8" w14:textId="77777777" w:rsidR="008A3BAC" w:rsidRDefault="008A3BAC">
            <w:pPr>
              <w:rPr>
                <w:rFonts w:ascii="宋体"/>
              </w:rPr>
            </w:pPr>
          </w:p>
        </w:tc>
        <w:tc>
          <w:tcPr>
            <w:tcW w:w="570" w:type="pct"/>
            <w:shd w:val="clear" w:color="auto" w:fill="auto"/>
            <w:vAlign w:val="bottom"/>
          </w:tcPr>
          <w:p w14:paraId="26E9C8B9" w14:textId="77777777" w:rsidR="008A3BAC" w:rsidRDefault="008A3BAC">
            <w:pPr>
              <w:rPr>
                <w:rFonts w:ascii="宋体"/>
              </w:rPr>
            </w:pPr>
          </w:p>
        </w:tc>
        <w:tc>
          <w:tcPr>
            <w:tcW w:w="5" w:type="pct"/>
            <w:shd w:val="clear" w:color="auto" w:fill="auto"/>
            <w:vAlign w:val="bottom"/>
          </w:tcPr>
          <w:p w14:paraId="26E9C8BA" w14:textId="77777777" w:rsidR="008A3BAC" w:rsidRDefault="008A3BAC">
            <w:pPr>
              <w:rPr>
                <w:rFonts w:ascii="宋体"/>
              </w:rPr>
            </w:pPr>
          </w:p>
        </w:tc>
        <w:tc>
          <w:tcPr>
            <w:tcW w:w="5" w:type="pct"/>
            <w:shd w:val="clear" w:color="auto" w:fill="auto"/>
            <w:vAlign w:val="bottom"/>
          </w:tcPr>
          <w:p w14:paraId="26E9C8BB" w14:textId="77777777" w:rsidR="008A3BAC" w:rsidRDefault="008A3BAC">
            <w:pPr>
              <w:rPr>
                <w:rFonts w:ascii="宋体"/>
              </w:rPr>
            </w:pPr>
          </w:p>
        </w:tc>
        <w:tc>
          <w:tcPr>
            <w:tcW w:w="28" w:type="pct"/>
            <w:shd w:val="clear" w:color="auto" w:fill="auto"/>
            <w:vAlign w:val="bottom"/>
          </w:tcPr>
          <w:p w14:paraId="26E9C8BC" w14:textId="77777777" w:rsidR="008A3BAC" w:rsidRDefault="008A3BAC">
            <w:pPr>
              <w:rPr>
                <w:rFonts w:ascii="宋体"/>
              </w:rPr>
            </w:pPr>
          </w:p>
        </w:tc>
        <w:tc>
          <w:tcPr>
            <w:tcW w:w="5" w:type="pct"/>
            <w:shd w:val="clear" w:color="auto" w:fill="auto"/>
            <w:vAlign w:val="bottom"/>
          </w:tcPr>
          <w:p w14:paraId="26E9C8BD" w14:textId="77777777" w:rsidR="008A3BAC" w:rsidRDefault="008A3BAC">
            <w:pPr>
              <w:rPr>
                <w:rFonts w:ascii="宋体"/>
              </w:rPr>
            </w:pPr>
          </w:p>
        </w:tc>
        <w:tc>
          <w:tcPr>
            <w:tcW w:w="50" w:type="pct"/>
            <w:shd w:val="clear" w:color="auto" w:fill="auto"/>
            <w:vAlign w:val="bottom"/>
          </w:tcPr>
          <w:p w14:paraId="26E9C8BE" w14:textId="77777777" w:rsidR="008A3BAC" w:rsidRDefault="008A3BAC">
            <w:pPr>
              <w:rPr>
                <w:rFonts w:ascii="宋体"/>
              </w:rPr>
            </w:pPr>
          </w:p>
        </w:tc>
        <w:tc>
          <w:tcPr>
            <w:tcW w:w="570" w:type="pct"/>
            <w:shd w:val="clear" w:color="auto" w:fill="auto"/>
            <w:vAlign w:val="bottom"/>
          </w:tcPr>
          <w:p w14:paraId="26E9C8BF" w14:textId="77777777" w:rsidR="008A3BAC" w:rsidRDefault="008A3BAC">
            <w:pPr>
              <w:rPr>
                <w:rFonts w:ascii="宋体"/>
              </w:rPr>
            </w:pPr>
          </w:p>
        </w:tc>
        <w:tc>
          <w:tcPr>
            <w:tcW w:w="5" w:type="pct"/>
            <w:shd w:val="clear" w:color="auto" w:fill="auto"/>
            <w:vAlign w:val="bottom"/>
          </w:tcPr>
          <w:p w14:paraId="26E9C8C0" w14:textId="77777777" w:rsidR="008A3BAC" w:rsidRDefault="008A3BAC">
            <w:pPr>
              <w:rPr>
                <w:rFonts w:ascii="宋体"/>
              </w:rPr>
            </w:pPr>
          </w:p>
        </w:tc>
      </w:tr>
      <w:tr w:rsidR="008A3BAC" w14:paraId="26E9C8C6" w14:textId="77777777">
        <w:tc>
          <w:tcPr>
            <w:tcW w:w="0" w:type="auto"/>
            <w:gridSpan w:val="3"/>
            <w:shd w:val="clear" w:color="auto" w:fill="auto"/>
            <w:tcMar>
              <w:top w:w="0" w:type="dxa"/>
              <w:left w:w="20" w:type="dxa"/>
              <w:bottom w:w="0" w:type="dxa"/>
              <w:right w:w="20" w:type="dxa"/>
            </w:tcMar>
            <w:vAlign w:val="bottom"/>
          </w:tcPr>
          <w:p w14:paraId="26E9C8C2"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C8C3"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vAlign w:val="bottom"/>
          </w:tcPr>
          <w:p w14:paraId="26E9C8C4"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C8C5"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C8CB" w14:textId="77777777">
        <w:tc>
          <w:tcPr>
            <w:tcW w:w="0" w:type="auto"/>
            <w:gridSpan w:val="3"/>
            <w:shd w:val="clear" w:color="auto" w:fill="auto"/>
            <w:tcMar>
              <w:top w:w="40" w:type="dxa"/>
              <w:left w:w="20" w:type="dxa"/>
              <w:bottom w:w="40" w:type="dxa"/>
              <w:right w:w="20" w:type="dxa"/>
            </w:tcMar>
            <w:vAlign w:val="bottom"/>
          </w:tcPr>
          <w:p w14:paraId="26E9C8C7"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C8"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C8C9"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CA"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8D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8CC" w14:textId="77777777" w:rsidR="008A3BAC" w:rsidRDefault="005C75B9">
            <w:pPr>
              <w:textAlignment w:val="bottom"/>
            </w:pPr>
            <w:r>
              <w:rPr>
                <w:rFonts w:ascii="Arial" w:eastAsia="宋体" w:hAnsi="Arial" w:cs="Arial"/>
                <w:color w:val="000000"/>
                <w:sz w:val="17"/>
                <w:szCs w:val="17"/>
              </w:rPr>
              <w:t xml:space="preserve">Compensation and </w:t>
            </w:r>
            <w:r>
              <w:rPr>
                <w:rFonts w:ascii="Arial" w:eastAsia="宋体" w:hAnsi="Arial" w:cs="Arial"/>
                <w:color w:val="000000"/>
                <w:sz w:val="17"/>
                <w:szCs w:val="17"/>
              </w:rPr>
              <w:t>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8C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8CE" w14:textId="77777777" w:rsidR="008A3BAC" w:rsidRDefault="005C75B9">
            <w:pPr>
              <w:jc w:val="right"/>
              <w:textAlignment w:val="bottom"/>
            </w:pPr>
            <w:r>
              <w:rPr>
                <w:rFonts w:ascii="Arial" w:eastAsia="宋体" w:hAnsi="Arial" w:cs="Arial"/>
                <w:color w:val="000000"/>
                <w:sz w:val="17"/>
                <w:szCs w:val="17"/>
              </w:rPr>
              <w:t>1,176 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8CF"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8D0"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8D1"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8D2" w14:textId="77777777" w:rsidR="008A3BAC" w:rsidRDefault="005C75B9">
            <w:pPr>
              <w:jc w:val="right"/>
              <w:textAlignment w:val="bottom"/>
            </w:pPr>
            <w:r>
              <w:rPr>
                <w:rFonts w:ascii="Arial" w:eastAsia="宋体" w:hAnsi="Arial" w:cs="Arial"/>
                <w:color w:val="000000"/>
                <w:sz w:val="17"/>
                <w:szCs w:val="17"/>
              </w:rPr>
              <w:t>1,472 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8D3" w14:textId="77777777" w:rsidR="008A3BAC" w:rsidRDefault="008A3BAC">
            <w:pPr>
              <w:jc w:val="right"/>
              <w:rPr>
                <w:rFonts w:ascii="宋体"/>
              </w:rPr>
            </w:pPr>
          </w:p>
        </w:tc>
      </w:tr>
      <w:tr w:rsidR="008A3BAC" w14:paraId="26E9C8D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D5" w14:textId="77777777" w:rsidR="008A3BAC" w:rsidRDefault="005C75B9">
            <w:pPr>
              <w:textAlignment w:val="bottom"/>
            </w:pPr>
            <w:r>
              <w:rPr>
                <w:rFonts w:ascii="Arial" w:eastAsia="宋体" w:hAnsi="Arial" w:cs="Arial"/>
                <w:color w:val="000000"/>
                <w:sz w:val="17"/>
                <w:szCs w:val="17"/>
              </w:rPr>
              <w:t>Sales-related reserves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8D6" w14:textId="77777777" w:rsidR="008A3BAC" w:rsidRDefault="005C75B9">
            <w:pPr>
              <w:jc w:val="right"/>
              <w:textAlignment w:val="bottom"/>
            </w:pPr>
            <w:r>
              <w:rPr>
                <w:rFonts w:ascii="Arial" w:eastAsia="宋体" w:hAnsi="Arial" w:cs="Arial"/>
                <w:color w:val="000000"/>
                <w:sz w:val="17"/>
                <w:szCs w:val="17"/>
              </w:rPr>
              <w:t>898 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8D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D8"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D9" w14:textId="77777777" w:rsidR="008A3BAC" w:rsidRDefault="005C75B9">
            <w:pPr>
              <w:jc w:val="right"/>
              <w:textAlignment w:val="bottom"/>
            </w:pPr>
            <w:r>
              <w:rPr>
                <w:rFonts w:ascii="Arial" w:eastAsia="宋体" w:hAnsi="Arial" w:cs="Arial"/>
                <w:color w:val="000000"/>
                <w:sz w:val="17"/>
                <w:szCs w:val="17"/>
              </w:rPr>
              <w:t>1,077 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DA" w14:textId="77777777" w:rsidR="008A3BAC" w:rsidRDefault="008A3BAC">
            <w:pPr>
              <w:jc w:val="right"/>
              <w:rPr>
                <w:rFonts w:ascii="宋体"/>
              </w:rPr>
            </w:pPr>
          </w:p>
        </w:tc>
      </w:tr>
      <w:tr w:rsidR="008A3BAC" w14:paraId="26E9C8E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DC" w14:textId="77777777" w:rsidR="008A3BAC" w:rsidRDefault="005C75B9">
            <w:pPr>
              <w:textAlignment w:val="bottom"/>
            </w:pPr>
            <w:r>
              <w:rPr>
                <w:rFonts w:ascii="Arial" w:eastAsia="宋体" w:hAnsi="Arial" w:cs="Arial"/>
                <w:color w:val="000000"/>
                <w:sz w:val="17"/>
                <w:szCs w:val="17"/>
              </w:rPr>
              <w:t>Dividends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8DD" w14:textId="77777777" w:rsidR="008A3BAC" w:rsidRDefault="005C75B9">
            <w:pPr>
              <w:jc w:val="right"/>
              <w:textAlignment w:val="bottom"/>
            </w:pPr>
            <w:r>
              <w:rPr>
                <w:rFonts w:ascii="Arial" w:eastAsia="宋体" w:hAnsi="Arial" w:cs="Arial"/>
                <w:color w:val="000000"/>
                <w:sz w:val="17"/>
                <w:szCs w:val="17"/>
              </w:rPr>
              <w:t>486 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8DE"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DF"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E0" w14:textId="77777777" w:rsidR="008A3BAC" w:rsidRDefault="005C75B9">
            <w:pPr>
              <w:jc w:val="right"/>
              <w:textAlignment w:val="bottom"/>
            </w:pPr>
            <w:r>
              <w:rPr>
                <w:rFonts w:ascii="Arial" w:eastAsia="宋体" w:hAnsi="Arial" w:cs="Arial"/>
                <w:color w:val="000000"/>
                <w:sz w:val="17"/>
                <w:szCs w:val="17"/>
              </w:rPr>
              <w:t>436 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E1" w14:textId="77777777" w:rsidR="008A3BAC" w:rsidRDefault="008A3BAC">
            <w:pPr>
              <w:jc w:val="right"/>
              <w:rPr>
                <w:rFonts w:ascii="宋体"/>
              </w:rPr>
            </w:pPr>
          </w:p>
        </w:tc>
      </w:tr>
      <w:tr w:rsidR="008A3BAC" w14:paraId="26E9C8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E3" w14:textId="77777777" w:rsidR="008A3BAC" w:rsidRDefault="005C75B9">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8E4" w14:textId="77777777" w:rsidR="008A3BAC" w:rsidRDefault="005C75B9">
            <w:pPr>
              <w:jc w:val="right"/>
              <w:textAlignment w:val="bottom"/>
            </w:pPr>
            <w:r>
              <w:rPr>
                <w:rFonts w:ascii="Arial" w:eastAsia="宋体" w:hAnsi="Arial" w:cs="Arial"/>
                <w:color w:val="000000"/>
                <w:sz w:val="17"/>
                <w:szCs w:val="17"/>
              </w:rPr>
              <w:t>344 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8E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E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E7" w14:textId="77777777" w:rsidR="008A3BAC" w:rsidRDefault="005C75B9">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E8" w14:textId="77777777" w:rsidR="008A3BAC" w:rsidRDefault="008A3BAC">
            <w:pPr>
              <w:jc w:val="right"/>
              <w:rPr>
                <w:rFonts w:ascii="宋体"/>
              </w:rPr>
            </w:pPr>
          </w:p>
        </w:tc>
      </w:tr>
      <w:tr w:rsidR="008A3BAC" w14:paraId="26E9C8F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8EA"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8EB" w14:textId="77777777" w:rsidR="008A3BAC" w:rsidRDefault="005C75B9">
            <w:pPr>
              <w:jc w:val="right"/>
              <w:textAlignment w:val="bottom"/>
            </w:pPr>
            <w:r>
              <w:rPr>
                <w:rFonts w:ascii="Arial" w:eastAsia="宋体" w:hAnsi="Arial" w:cs="Arial"/>
                <w:color w:val="000000"/>
                <w:sz w:val="17"/>
                <w:szCs w:val="17"/>
              </w:rPr>
              <w:t>2,487 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8E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8E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8EE" w14:textId="77777777" w:rsidR="008A3BAC" w:rsidRDefault="005C75B9">
            <w:pPr>
              <w:jc w:val="right"/>
              <w:textAlignment w:val="bottom"/>
            </w:pPr>
            <w:r>
              <w:rPr>
                <w:rFonts w:ascii="Arial" w:eastAsia="宋体" w:hAnsi="Arial" w:cs="Arial"/>
                <w:color w:val="000000"/>
                <w:sz w:val="17"/>
                <w:szCs w:val="17"/>
              </w:rPr>
              <w:t>2,720 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8EF" w14:textId="77777777" w:rsidR="008A3BAC" w:rsidRDefault="008A3BAC">
            <w:pPr>
              <w:jc w:val="right"/>
              <w:rPr>
                <w:rFonts w:ascii="宋体"/>
              </w:rPr>
            </w:pPr>
          </w:p>
        </w:tc>
      </w:tr>
      <w:tr w:rsidR="008A3BAC" w14:paraId="26E9C8F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8F1" w14:textId="77777777" w:rsidR="008A3BAC" w:rsidRDefault="005C75B9">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8F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8F3" w14:textId="77777777" w:rsidR="008A3BAC" w:rsidRDefault="005C75B9">
            <w:pPr>
              <w:jc w:val="right"/>
              <w:textAlignment w:val="bottom"/>
            </w:pPr>
            <w:r>
              <w:rPr>
                <w:rFonts w:ascii="Arial" w:eastAsia="宋体" w:hAnsi="Arial" w:cs="Arial"/>
                <w:b/>
                <w:bCs/>
                <w:color w:val="000000"/>
                <w:sz w:val="17"/>
                <w:szCs w:val="17"/>
              </w:rPr>
              <w:t>5,391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8F4"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8F5"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8F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8F7" w14:textId="77777777" w:rsidR="008A3BAC" w:rsidRDefault="005C75B9">
            <w:pPr>
              <w:jc w:val="right"/>
              <w:textAlignment w:val="bottom"/>
            </w:pPr>
            <w:r>
              <w:rPr>
                <w:rFonts w:ascii="Arial" w:eastAsia="宋体" w:hAnsi="Arial" w:cs="Arial"/>
                <w:b/>
                <w:bCs/>
                <w:color w:val="000000"/>
                <w:sz w:val="17"/>
                <w:szCs w:val="17"/>
              </w:rPr>
              <w:t>6,063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8F8" w14:textId="77777777" w:rsidR="008A3BAC" w:rsidRDefault="008A3BAC">
            <w:pPr>
              <w:jc w:val="right"/>
              <w:rPr>
                <w:rFonts w:ascii="宋体"/>
              </w:rPr>
            </w:pPr>
          </w:p>
        </w:tc>
      </w:tr>
    </w:tbl>
    <w:p w14:paraId="26E9C8FA" w14:textId="77777777" w:rsidR="008A3BAC" w:rsidRDefault="005C75B9">
      <w:pPr>
        <w:spacing w:before="60" w:after="60"/>
        <w:ind w:hanging="360"/>
      </w:pPr>
      <w:r>
        <w:rPr>
          <w:rFonts w:ascii="Arial" w:eastAsia="宋体" w:hAnsi="Arial" w:cs="Arial"/>
          <w:i/>
          <w:iCs/>
          <w:color w:val="000000"/>
          <w:sz w:val="14"/>
          <w:szCs w:val="14"/>
        </w:rPr>
        <w:t>(1)Refer to Note 13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8FE" w14:textId="77777777">
        <w:tc>
          <w:tcPr>
            <w:tcW w:w="50" w:type="pct"/>
            <w:shd w:val="clear" w:color="auto" w:fill="auto"/>
            <w:vAlign w:val="bottom"/>
          </w:tcPr>
          <w:p w14:paraId="26E9C8FB" w14:textId="77777777" w:rsidR="008A3BAC" w:rsidRDefault="008A3BAC">
            <w:pPr>
              <w:rPr>
                <w:rFonts w:ascii="宋体"/>
              </w:rPr>
            </w:pPr>
          </w:p>
        </w:tc>
        <w:tc>
          <w:tcPr>
            <w:tcW w:w="4945" w:type="pct"/>
            <w:shd w:val="clear" w:color="auto" w:fill="auto"/>
            <w:vAlign w:val="bottom"/>
          </w:tcPr>
          <w:p w14:paraId="26E9C8FC" w14:textId="77777777" w:rsidR="008A3BAC" w:rsidRDefault="008A3BAC">
            <w:pPr>
              <w:rPr>
                <w:rFonts w:ascii="宋体"/>
              </w:rPr>
            </w:pPr>
          </w:p>
        </w:tc>
        <w:tc>
          <w:tcPr>
            <w:tcW w:w="5" w:type="pct"/>
            <w:shd w:val="clear" w:color="auto" w:fill="auto"/>
            <w:vAlign w:val="bottom"/>
          </w:tcPr>
          <w:p w14:paraId="26E9C8FD" w14:textId="77777777" w:rsidR="008A3BAC" w:rsidRDefault="008A3BAC">
            <w:pPr>
              <w:rPr>
                <w:rFonts w:ascii="宋体"/>
              </w:rPr>
            </w:pPr>
          </w:p>
        </w:tc>
      </w:tr>
      <w:tr w:rsidR="008A3BAC" w14:paraId="26E9C900" w14:textId="77777777">
        <w:tc>
          <w:tcPr>
            <w:tcW w:w="0" w:type="auto"/>
            <w:gridSpan w:val="3"/>
            <w:shd w:val="clear" w:color="auto" w:fill="auto"/>
            <w:tcMar>
              <w:top w:w="40" w:type="dxa"/>
              <w:left w:w="20" w:type="dxa"/>
              <w:bottom w:w="40" w:type="dxa"/>
              <w:right w:w="20" w:type="dxa"/>
            </w:tcMar>
            <w:vAlign w:val="bottom"/>
          </w:tcPr>
          <w:p w14:paraId="26E9C8FF" w14:textId="77777777" w:rsidR="008A3BAC" w:rsidRDefault="005C75B9">
            <w:pPr>
              <w:textAlignment w:val="bottom"/>
            </w:pPr>
            <w:r>
              <w:rPr>
                <w:rFonts w:ascii="sans-serif" w:eastAsia="sans-serif" w:hAnsi="sans-serif" w:cs="sans-serif"/>
                <w:b/>
                <w:bCs/>
                <w:color w:val="E87722"/>
                <w:sz w:val="36"/>
                <w:szCs w:val="36"/>
              </w:rPr>
              <w:t>NOTE 4 — FAIR VALUE MEASUREMENTS</w:t>
            </w:r>
          </w:p>
        </w:tc>
      </w:tr>
    </w:tbl>
    <w:p w14:paraId="26E9C901" w14:textId="77777777" w:rsidR="008A3BAC" w:rsidRDefault="005C75B9">
      <w:pPr>
        <w:spacing w:before="120" w:after="120"/>
      </w:pPr>
      <w:r>
        <w:rPr>
          <w:rFonts w:ascii="Arial" w:eastAsia="宋体" w:hAnsi="Arial" w:cs="Arial"/>
          <w:color w:val="000000"/>
          <w:sz w:val="17"/>
          <w:szCs w:val="17"/>
        </w:rPr>
        <w:t xml:space="preserve">The Company measures certain financial assets and liabilities at fair value on a recurring basis, including derivatives, equity </w:t>
      </w:r>
      <w:r>
        <w:rPr>
          <w:rFonts w:ascii="Arial" w:eastAsia="宋体" w:hAnsi="Arial" w:cs="Arial"/>
          <w:color w:val="000000"/>
          <w:sz w:val="17"/>
          <w:szCs w:val="17"/>
        </w:rPr>
        <w:t>securities and available-for-sale debt securities. For additional information about the Company's fair value policies, refer to Note 1 — Summary of Significant Accounting Policies of the Annual Report on Form 10-K for the fiscal year ended May 31, 2021.</w:t>
      </w:r>
    </w:p>
    <w:p w14:paraId="26E9C902" w14:textId="77777777" w:rsidR="008A3BAC" w:rsidRDefault="008A3BAC">
      <w:pPr>
        <w:spacing w:before="120" w:after="120"/>
      </w:pPr>
    </w:p>
    <w:p w14:paraId="26E9C903" w14:textId="77777777" w:rsidR="008A3BAC" w:rsidRDefault="005C75B9">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26E9C904" w14:textId="77777777" w:rsidR="008A3BAC" w:rsidRDefault="005C75B9">
      <w:r>
        <w:pict w14:anchorId="26E9E84F">
          <v:rect id="_x0000_i1034" style="width:415.3pt;height:1.5pt" o:hralign="center" o:hrstd="t" o:hr="t" fillcolor="#a0a0a0" stroked="f"/>
        </w:pict>
      </w:r>
    </w:p>
    <w:p w14:paraId="26E9C905" w14:textId="77777777" w:rsidR="008A3BAC" w:rsidRDefault="008A3BAC"/>
    <w:p w14:paraId="26E9C906" w14:textId="77777777" w:rsidR="008A3BAC" w:rsidRDefault="005C75B9">
      <w:hyperlink r:id="rId79" w:anchor="i46aba51c6a804f42b3595948c57d2023_7" w:history="1">
        <w:r>
          <w:rPr>
            <w:rStyle w:val="a5"/>
            <w:rFonts w:ascii="sans-serif" w:eastAsia="sans-serif" w:hAnsi="sans-serif" w:cs="sans-serif"/>
            <w:sz w:val="17"/>
            <w:szCs w:val="17"/>
          </w:rPr>
          <w:t>Table of Contents</w:t>
        </w:r>
      </w:hyperlink>
    </w:p>
    <w:p w14:paraId="26E9C907" w14:textId="77777777" w:rsidR="008A3BAC" w:rsidRDefault="008A3BAC"/>
    <w:p w14:paraId="26E9C908" w14:textId="77777777" w:rsidR="008A3BAC" w:rsidRDefault="005C75B9">
      <w:pPr>
        <w:spacing w:before="120" w:after="120"/>
      </w:pPr>
      <w:r>
        <w:rPr>
          <w:rFonts w:ascii="Arial" w:eastAsia="宋体" w:hAnsi="Arial" w:cs="Arial"/>
          <w:color w:val="000000"/>
          <w:sz w:val="17"/>
          <w:szCs w:val="17"/>
        </w:rPr>
        <w:t xml:space="preserve">The following tables present information about the Company's financial </w:t>
      </w:r>
      <w:r>
        <w:rPr>
          <w:rFonts w:ascii="Arial" w:eastAsia="宋体" w:hAnsi="Arial" w:cs="Arial"/>
          <w:color w:val="000000"/>
          <w:sz w:val="17"/>
          <w:szCs w:val="17"/>
        </w:rPr>
        <w:t>assets measured at fair value on a recurring basis as of February 28, 2022 and May 31, 2021,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8A3BAC" w14:paraId="26E9C915" w14:textId="77777777">
        <w:tc>
          <w:tcPr>
            <w:tcW w:w="50" w:type="pct"/>
            <w:shd w:val="clear" w:color="auto" w:fill="auto"/>
            <w:vAlign w:val="bottom"/>
          </w:tcPr>
          <w:p w14:paraId="26E9C909" w14:textId="77777777" w:rsidR="008A3BAC" w:rsidRDefault="008A3BAC">
            <w:pPr>
              <w:rPr>
                <w:rFonts w:ascii="宋体"/>
              </w:rPr>
            </w:pPr>
          </w:p>
        </w:tc>
        <w:tc>
          <w:tcPr>
            <w:tcW w:w="1962" w:type="pct"/>
            <w:shd w:val="clear" w:color="auto" w:fill="auto"/>
            <w:vAlign w:val="bottom"/>
          </w:tcPr>
          <w:p w14:paraId="26E9C90A" w14:textId="77777777" w:rsidR="008A3BAC" w:rsidRDefault="008A3BAC">
            <w:pPr>
              <w:rPr>
                <w:rFonts w:ascii="宋体"/>
              </w:rPr>
            </w:pPr>
          </w:p>
        </w:tc>
        <w:tc>
          <w:tcPr>
            <w:tcW w:w="5" w:type="pct"/>
            <w:shd w:val="clear" w:color="auto" w:fill="auto"/>
            <w:vAlign w:val="bottom"/>
          </w:tcPr>
          <w:p w14:paraId="26E9C90B" w14:textId="77777777" w:rsidR="008A3BAC" w:rsidRDefault="008A3BAC">
            <w:pPr>
              <w:rPr>
                <w:rFonts w:ascii="宋体"/>
              </w:rPr>
            </w:pPr>
          </w:p>
        </w:tc>
        <w:tc>
          <w:tcPr>
            <w:tcW w:w="50" w:type="pct"/>
            <w:shd w:val="clear" w:color="auto" w:fill="auto"/>
            <w:vAlign w:val="bottom"/>
          </w:tcPr>
          <w:p w14:paraId="26E9C90C" w14:textId="77777777" w:rsidR="008A3BAC" w:rsidRDefault="008A3BAC">
            <w:pPr>
              <w:rPr>
                <w:rFonts w:ascii="宋体"/>
              </w:rPr>
            </w:pPr>
          </w:p>
        </w:tc>
        <w:tc>
          <w:tcPr>
            <w:tcW w:w="910" w:type="pct"/>
            <w:shd w:val="clear" w:color="auto" w:fill="auto"/>
            <w:vAlign w:val="bottom"/>
          </w:tcPr>
          <w:p w14:paraId="26E9C90D" w14:textId="77777777" w:rsidR="008A3BAC" w:rsidRDefault="008A3BAC">
            <w:pPr>
              <w:rPr>
                <w:rFonts w:ascii="宋体"/>
              </w:rPr>
            </w:pPr>
          </w:p>
        </w:tc>
        <w:tc>
          <w:tcPr>
            <w:tcW w:w="5" w:type="pct"/>
            <w:shd w:val="clear" w:color="auto" w:fill="auto"/>
            <w:vAlign w:val="bottom"/>
          </w:tcPr>
          <w:p w14:paraId="26E9C90E" w14:textId="77777777" w:rsidR="008A3BAC" w:rsidRDefault="008A3BAC">
            <w:pPr>
              <w:rPr>
                <w:rFonts w:ascii="宋体"/>
              </w:rPr>
            </w:pPr>
          </w:p>
        </w:tc>
        <w:tc>
          <w:tcPr>
            <w:tcW w:w="50" w:type="pct"/>
            <w:shd w:val="clear" w:color="auto" w:fill="auto"/>
            <w:vAlign w:val="bottom"/>
          </w:tcPr>
          <w:p w14:paraId="26E9C90F" w14:textId="77777777" w:rsidR="008A3BAC" w:rsidRDefault="008A3BAC">
            <w:pPr>
              <w:rPr>
                <w:rFonts w:ascii="宋体"/>
              </w:rPr>
            </w:pPr>
          </w:p>
        </w:tc>
        <w:tc>
          <w:tcPr>
            <w:tcW w:w="910" w:type="pct"/>
            <w:shd w:val="clear" w:color="auto" w:fill="auto"/>
            <w:vAlign w:val="bottom"/>
          </w:tcPr>
          <w:p w14:paraId="26E9C910" w14:textId="77777777" w:rsidR="008A3BAC" w:rsidRDefault="008A3BAC">
            <w:pPr>
              <w:rPr>
                <w:rFonts w:ascii="宋体"/>
              </w:rPr>
            </w:pPr>
          </w:p>
        </w:tc>
        <w:tc>
          <w:tcPr>
            <w:tcW w:w="5" w:type="pct"/>
            <w:shd w:val="clear" w:color="auto" w:fill="auto"/>
            <w:vAlign w:val="bottom"/>
          </w:tcPr>
          <w:p w14:paraId="26E9C911" w14:textId="77777777" w:rsidR="008A3BAC" w:rsidRDefault="008A3BAC">
            <w:pPr>
              <w:rPr>
                <w:rFonts w:ascii="宋体"/>
              </w:rPr>
            </w:pPr>
          </w:p>
        </w:tc>
        <w:tc>
          <w:tcPr>
            <w:tcW w:w="50" w:type="pct"/>
            <w:shd w:val="clear" w:color="auto" w:fill="auto"/>
            <w:vAlign w:val="bottom"/>
          </w:tcPr>
          <w:p w14:paraId="26E9C912" w14:textId="77777777" w:rsidR="008A3BAC" w:rsidRDefault="008A3BAC">
            <w:pPr>
              <w:rPr>
                <w:rFonts w:ascii="宋体"/>
              </w:rPr>
            </w:pPr>
          </w:p>
        </w:tc>
        <w:tc>
          <w:tcPr>
            <w:tcW w:w="996" w:type="pct"/>
            <w:shd w:val="clear" w:color="auto" w:fill="auto"/>
            <w:vAlign w:val="bottom"/>
          </w:tcPr>
          <w:p w14:paraId="26E9C913" w14:textId="77777777" w:rsidR="008A3BAC" w:rsidRDefault="008A3BAC">
            <w:pPr>
              <w:rPr>
                <w:rFonts w:ascii="宋体"/>
              </w:rPr>
            </w:pPr>
          </w:p>
        </w:tc>
        <w:tc>
          <w:tcPr>
            <w:tcW w:w="5" w:type="pct"/>
            <w:shd w:val="clear" w:color="auto" w:fill="auto"/>
            <w:vAlign w:val="bottom"/>
          </w:tcPr>
          <w:p w14:paraId="26E9C914" w14:textId="77777777" w:rsidR="008A3BAC" w:rsidRDefault="008A3BAC">
            <w:pPr>
              <w:rPr>
                <w:rFonts w:ascii="宋体"/>
              </w:rPr>
            </w:pPr>
          </w:p>
        </w:tc>
      </w:tr>
      <w:tr w:rsidR="008A3BAC" w14:paraId="26E9C918" w14:textId="77777777">
        <w:tc>
          <w:tcPr>
            <w:tcW w:w="0" w:type="auto"/>
            <w:gridSpan w:val="3"/>
            <w:shd w:val="clear" w:color="auto" w:fill="auto"/>
            <w:tcMar>
              <w:top w:w="0" w:type="dxa"/>
              <w:left w:w="20" w:type="dxa"/>
              <w:bottom w:w="0" w:type="dxa"/>
              <w:right w:w="20" w:type="dxa"/>
            </w:tcMar>
            <w:vAlign w:val="bottom"/>
          </w:tcPr>
          <w:p w14:paraId="26E9C916"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C917" w14:textId="77777777" w:rsidR="008A3BAC" w:rsidRDefault="005C75B9">
            <w:pPr>
              <w:jc w:val="center"/>
              <w:textAlignment w:val="bottom"/>
            </w:pPr>
            <w:r>
              <w:rPr>
                <w:rFonts w:ascii="sans-serif" w:eastAsia="sans-serif" w:hAnsi="sans-serif" w:cs="sans-serif"/>
                <w:b/>
                <w:bCs/>
                <w:color w:val="000000"/>
                <w:sz w:val="17"/>
                <w:szCs w:val="17"/>
              </w:rPr>
              <w:t>FEBRUARY 28, 2022</w:t>
            </w:r>
          </w:p>
        </w:tc>
      </w:tr>
      <w:tr w:rsidR="008A3BAC" w14:paraId="26E9C91D" w14:textId="77777777">
        <w:tc>
          <w:tcPr>
            <w:tcW w:w="0" w:type="auto"/>
            <w:gridSpan w:val="3"/>
            <w:shd w:val="clear" w:color="auto" w:fill="auto"/>
            <w:tcMar>
              <w:top w:w="40" w:type="dxa"/>
              <w:left w:w="20" w:type="dxa"/>
              <w:bottom w:w="40" w:type="dxa"/>
              <w:right w:w="20" w:type="dxa"/>
            </w:tcMar>
            <w:vAlign w:val="bottom"/>
          </w:tcPr>
          <w:p w14:paraId="26E9C919" w14:textId="77777777" w:rsidR="008A3BAC" w:rsidRDefault="005C75B9">
            <w:pPr>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1A" w14:textId="77777777" w:rsidR="008A3BAC" w:rsidRDefault="005C75B9">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1B" w14:textId="77777777" w:rsidR="008A3BAC" w:rsidRDefault="005C75B9">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1C" w14:textId="77777777" w:rsidR="008A3BAC" w:rsidRDefault="005C75B9">
            <w:pPr>
              <w:jc w:val="center"/>
              <w:textAlignment w:val="bottom"/>
            </w:pPr>
            <w:r>
              <w:rPr>
                <w:rFonts w:ascii="sans-serif" w:eastAsia="sans-serif" w:hAnsi="sans-serif" w:cs="sans-serif"/>
                <w:b/>
                <w:bCs/>
                <w:color w:val="000000"/>
                <w:sz w:val="17"/>
                <w:szCs w:val="17"/>
              </w:rPr>
              <w:t>SHORT-TERM INVESTMENTS</w:t>
            </w:r>
          </w:p>
        </w:tc>
      </w:tr>
      <w:tr w:rsidR="008A3BAC" w14:paraId="26E9C92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1E" w14:textId="77777777" w:rsidR="008A3BAC" w:rsidRDefault="005C75B9">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91F"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920" w14:textId="77777777" w:rsidR="008A3BAC" w:rsidRDefault="005C75B9">
            <w:pPr>
              <w:jc w:val="right"/>
              <w:textAlignment w:val="bottom"/>
            </w:pPr>
            <w:r>
              <w:rPr>
                <w:rFonts w:ascii="Arial" w:eastAsia="宋体" w:hAnsi="Arial" w:cs="Arial"/>
                <w:color w:val="000000"/>
                <w:sz w:val="17"/>
                <w:szCs w:val="17"/>
              </w:rPr>
              <w:t>730 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21"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922"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923" w14:textId="77777777" w:rsidR="008A3BAC" w:rsidRDefault="005C75B9">
            <w:pPr>
              <w:jc w:val="right"/>
              <w:textAlignment w:val="bottom"/>
            </w:pPr>
            <w:r>
              <w:rPr>
                <w:rFonts w:ascii="Arial" w:eastAsia="宋体" w:hAnsi="Arial" w:cs="Arial"/>
                <w:color w:val="000000"/>
                <w:sz w:val="17"/>
                <w:szCs w:val="17"/>
              </w:rPr>
              <w:t>730 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24"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925"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926"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27" w14:textId="77777777" w:rsidR="008A3BAC" w:rsidRDefault="008A3BAC">
            <w:pPr>
              <w:jc w:val="right"/>
              <w:rPr>
                <w:rFonts w:ascii="宋体"/>
              </w:rPr>
            </w:pPr>
          </w:p>
        </w:tc>
      </w:tr>
      <w:tr w:rsidR="008A3BAC" w14:paraId="26E9C92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929" w14:textId="77777777" w:rsidR="008A3BAC" w:rsidRDefault="005C75B9">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2A"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2B"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2C" w14:textId="77777777" w:rsidR="008A3BAC" w:rsidRDefault="008A3BAC">
            <w:pPr>
              <w:rPr>
                <w:rFonts w:ascii="宋体"/>
              </w:rPr>
            </w:pPr>
          </w:p>
        </w:tc>
      </w:tr>
      <w:tr w:rsidR="008A3BAC" w14:paraId="26E9C93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2E" w14:textId="77777777" w:rsidR="008A3BAC" w:rsidRDefault="005C75B9">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2F" w14:textId="77777777" w:rsidR="008A3BAC" w:rsidRDefault="005C75B9">
            <w:pPr>
              <w:jc w:val="right"/>
              <w:textAlignment w:val="bottom"/>
            </w:pPr>
            <w:r>
              <w:rPr>
                <w:rFonts w:ascii="Arial" w:eastAsia="宋体" w:hAnsi="Arial" w:cs="Arial"/>
                <w:color w:val="000000"/>
                <w:sz w:val="17"/>
                <w:szCs w:val="17"/>
              </w:rPr>
              <w:t>4,231 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3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31" w14:textId="77777777" w:rsidR="008A3BAC" w:rsidRDefault="005C75B9">
            <w:pPr>
              <w:jc w:val="right"/>
              <w:textAlignment w:val="bottom"/>
            </w:pPr>
            <w:r>
              <w:rPr>
                <w:rFonts w:ascii="Arial" w:eastAsia="宋体" w:hAnsi="Arial" w:cs="Arial"/>
                <w:color w:val="000000"/>
                <w:sz w:val="17"/>
                <w:szCs w:val="17"/>
              </w:rPr>
              <w:t>117 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3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33" w14:textId="77777777" w:rsidR="008A3BAC" w:rsidRDefault="005C75B9">
            <w:pPr>
              <w:jc w:val="right"/>
              <w:textAlignment w:val="bottom"/>
            </w:pPr>
            <w:r>
              <w:rPr>
                <w:rFonts w:ascii="Arial" w:eastAsia="宋体" w:hAnsi="Arial" w:cs="Arial"/>
                <w:color w:val="000000"/>
                <w:sz w:val="17"/>
                <w:szCs w:val="17"/>
              </w:rPr>
              <w:t>4,114 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34" w14:textId="77777777" w:rsidR="008A3BAC" w:rsidRDefault="008A3BAC">
            <w:pPr>
              <w:jc w:val="right"/>
              <w:rPr>
                <w:rFonts w:ascii="宋体"/>
              </w:rPr>
            </w:pPr>
          </w:p>
        </w:tc>
      </w:tr>
      <w:tr w:rsidR="008A3BAC" w14:paraId="26E9C93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936" w14:textId="77777777" w:rsidR="008A3BAC" w:rsidRDefault="005C75B9">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37"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38"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939" w14:textId="77777777" w:rsidR="008A3BAC" w:rsidRDefault="008A3BAC">
            <w:pPr>
              <w:rPr>
                <w:rFonts w:ascii="宋体"/>
              </w:rPr>
            </w:pPr>
          </w:p>
        </w:tc>
      </w:tr>
      <w:tr w:rsidR="008A3BAC" w14:paraId="26E9C94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3B" w14:textId="77777777" w:rsidR="008A3BAC" w:rsidRDefault="005C75B9">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3C" w14:textId="77777777" w:rsidR="008A3BAC" w:rsidRDefault="005C75B9">
            <w:pPr>
              <w:jc w:val="right"/>
              <w:textAlignment w:val="bottom"/>
            </w:pPr>
            <w:r>
              <w:rPr>
                <w:rFonts w:ascii="Arial" w:eastAsia="宋体" w:hAnsi="Arial" w:cs="Arial"/>
                <w:color w:val="000000"/>
                <w:sz w:val="17"/>
                <w:szCs w:val="17"/>
              </w:rPr>
              <w:t>686 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3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3E" w14:textId="77777777" w:rsidR="008A3BAC" w:rsidRDefault="005C75B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3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0" w14:textId="77777777" w:rsidR="008A3BAC" w:rsidRDefault="005C75B9">
            <w:pPr>
              <w:jc w:val="right"/>
              <w:textAlignment w:val="bottom"/>
            </w:pPr>
            <w:r>
              <w:rPr>
                <w:rFonts w:ascii="Arial" w:eastAsia="宋体" w:hAnsi="Arial" w:cs="Arial"/>
                <w:color w:val="000000"/>
                <w:sz w:val="17"/>
                <w:szCs w:val="17"/>
              </w:rPr>
              <w:t>644 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1" w14:textId="77777777" w:rsidR="008A3BAC" w:rsidRDefault="008A3BAC">
            <w:pPr>
              <w:jc w:val="right"/>
              <w:rPr>
                <w:rFonts w:ascii="宋体"/>
              </w:rPr>
            </w:pPr>
          </w:p>
        </w:tc>
      </w:tr>
      <w:tr w:rsidR="008A3BAC" w14:paraId="26E9C94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43" w14:textId="77777777" w:rsidR="008A3BAC" w:rsidRDefault="005C75B9">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4" w14:textId="77777777" w:rsidR="008A3BAC" w:rsidRDefault="005C75B9">
            <w:pPr>
              <w:jc w:val="right"/>
              <w:textAlignment w:val="bottom"/>
            </w:pPr>
            <w:r>
              <w:rPr>
                <w:rFonts w:ascii="Arial" w:eastAsia="宋体" w:hAnsi="Arial" w:cs="Arial"/>
                <w:color w:val="000000"/>
                <w:sz w:val="17"/>
                <w:szCs w:val="17"/>
              </w:rPr>
              <w:t>6,662 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6" w14:textId="77777777" w:rsidR="008A3BAC" w:rsidRDefault="005C75B9">
            <w:pPr>
              <w:jc w:val="right"/>
              <w:textAlignment w:val="bottom"/>
            </w:pPr>
            <w:r>
              <w:rPr>
                <w:rFonts w:ascii="Arial" w:eastAsia="宋体" w:hAnsi="Arial" w:cs="Arial"/>
                <w:color w:val="000000"/>
                <w:sz w:val="17"/>
                <w:szCs w:val="17"/>
              </w:rPr>
              <w:t>6,662 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9" w14:textId="77777777" w:rsidR="008A3BAC" w:rsidRDefault="008A3BAC">
            <w:pPr>
              <w:jc w:val="right"/>
              <w:rPr>
                <w:rFonts w:ascii="宋体"/>
              </w:rPr>
            </w:pPr>
          </w:p>
        </w:tc>
      </w:tr>
      <w:tr w:rsidR="008A3BAC" w14:paraId="26E9C95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4B" w14:textId="77777777" w:rsidR="008A3BAC" w:rsidRDefault="005C75B9">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C" w14:textId="77777777" w:rsidR="008A3BAC" w:rsidRDefault="005C75B9">
            <w:pPr>
              <w:jc w:val="right"/>
              <w:textAlignment w:val="bottom"/>
            </w:pPr>
            <w:r>
              <w:rPr>
                <w:rFonts w:ascii="Arial" w:eastAsia="宋体" w:hAnsi="Arial" w:cs="Arial"/>
                <w:color w:val="000000"/>
                <w:sz w:val="17"/>
                <w:szCs w:val="17"/>
              </w:rPr>
              <w:t>1,158 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4E" w14:textId="77777777" w:rsidR="008A3BAC" w:rsidRDefault="005C75B9">
            <w:pPr>
              <w:jc w:val="right"/>
              <w:textAlignment w:val="bottom"/>
            </w:pPr>
            <w:r>
              <w:rPr>
                <w:rFonts w:ascii="Arial" w:eastAsia="宋体" w:hAnsi="Arial" w:cs="Arial"/>
                <w:color w:val="000000"/>
                <w:sz w:val="17"/>
                <w:szCs w:val="17"/>
              </w:rPr>
              <w:t>1,153 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4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950"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951" w14:textId="77777777" w:rsidR="008A3BAC" w:rsidRDefault="008A3BAC">
            <w:pPr>
              <w:jc w:val="right"/>
              <w:rPr>
                <w:rFonts w:ascii="宋体"/>
              </w:rPr>
            </w:pPr>
          </w:p>
        </w:tc>
      </w:tr>
      <w:tr w:rsidR="008A3BAC" w14:paraId="26E9C957" w14:textId="77777777">
        <w:trPr>
          <w:hidden/>
        </w:trPr>
        <w:tc>
          <w:tcPr>
            <w:tcW w:w="0" w:type="auto"/>
            <w:gridSpan w:val="3"/>
            <w:shd w:val="clear" w:color="auto" w:fill="auto"/>
            <w:vAlign w:val="bottom"/>
          </w:tcPr>
          <w:p w14:paraId="26E9C953" w14:textId="77777777" w:rsidR="008A3BAC" w:rsidRDefault="008A3BAC">
            <w:pPr>
              <w:rPr>
                <w:rFonts w:ascii="宋体"/>
                <w:vanish/>
              </w:rPr>
            </w:pPr>
          </w:p>
        </w:tc>
        <w:tc>
          <w:tcPr>
            <w:tcW w:w="0" w:type="auto"/>
            <w:gridSpan w:val="3"/>
            <w:shd w:val="clear" w:color="auto" w:fill="auto"/>
            <w:vAlign w:val="bottom"/>
          </w:tcPr>
          <w:p w14:paraId="26E9C954" w14:textId="77777777" w:rsidR="008A3BAC" w:rsidRDefault="008A3BAC">
            <w:pPr>
              <w:rPr>
                <w:rFonts w:ascii="宋体"/>
                <w:vanish/>
              </w:rPr>
            </w:pPr>
          </w:p>
        </w:tc>
        <w:tc>
          <w:tcPr>
            <w:tcW w:w="0" w:type="auto"/>
            <w:gridSpan w:val="3"/>
            <w:shd w:val="clear" w:color="auto" w:fill="auto"/>
            <w:vAlign w:val="bottom"/>
          </w:tcPr>
          <w:p w14:paraId="26E9C955" w14:textId="77777777" w:rsidR="008A3BAC" w:rsidRDefault="008A3BAC">
            <w:pPr>
              <w:rPr>
                <w:rFonts w:ascii="宋体"/>
                <w:vanish/>
              </w:rPr>
            </w:pPr>
          </w:p>
        </w:tc>
        <w:tc>
          <w:tcPr>
            <w:tcW w:w="0" w:type="auto"/>
            <w:gridSpan w:val="3"/>
            <w:shd w:val="clear" w:color="auto" w:fill="auto"/>
            <w:vAlign w:val="bottom"/>
          </w:tcPr>
          <w:p w14:paraId="26E9C956" w14:textId="77777777" w:rsidR="008A3BAC" w:rsidRDefault="008A3BAC">
            <w:pPr>
              <w:rPr>
                <w:rFonts w:ascii="宋体"/>
                <w:vanish/>
              </w:rPr>
            </w:pPr>
          </w:p>
        </w:tc>
      </w:tr>
      <w:tr w:rsidR="008A3BAC" w14:paraId="26E9C95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58" w14:textId="77777777" w:rsidR="008A3BAC" w:rsidRDefault="005C75B9">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959" w14:textId="77777777" w:rsidR="008A3BAC" w:rsidRDefault="005C75B9">
            <w:pPr>
              <w:jc w:val="right"/>
              <w:textAlignment w:val="bottom"/>
            </w:pPr>
            <w:r>
              <w:rPr>
                <w:rFonts w:ascii="Arial" w:eastAsia="宋体" w:hAnsi="Arial" w:cs="Arial"/>
                <w:color w:val="000000"/>
                <w:sz w:val="17"/>
                <w:szCs w:val="17"/>
              </w:rPr>
              <w:t>8,506 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5A"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95B" w14:textId="77777777" w:rsidR="008A3BAC" w:rsidRDefault="005C75B9">
            <w:pPr>
              <w:jc w:val="right"/>
              <w:textAlignment w:val="bottom"/>
            </w:pPr>
            <w:r>
              <w:rPr>
                <w:rFonts w:ascii="Arial" w:eastAsia="宋体" w:hAnsi="Arial" w:cs="Arial"/>
                <w:color w:val="000000"/>
                <w:sz w:val="17"/>
                <w:szCs w:val="17"/>
              </w:rPr>
              <w:t>7,857 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5C"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95D" w14:textId="77777777" w:rsidR="008A3BAC" w:rsidRDefault="005C75B9">
            <w:pPr>
              <w:jc w:val="right"/>
              <w:textAlignment w:val="bottom"/>
            </w:pPr>
            <w:r>
              <w:rPr>
                <w:rFonts w:ascii="Arial" w:eastAsia="宋体" w:hAnsi="Arial" w:cs="Arial"/>
                <w:color w:val="000000"/>
                <w:sz w:val="17"/>
                <w:szCs w:val="17"/>
              </w:rPr>
              <w:t>649 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95E" w14:textId="77777777" w:rsidR="008A3BAC" w:rsidRDefault="008A3BAC">
            <w:pPr>
              <w:jc w:val="right"/>
              <w:rPr>
                <w:rFonts w:ascii="宋体"/>
              </w:rPr>
            </w:pPr>
          </w:p>
        </w:tc>
      </w:tr>
      <w:tr w:rsidR="008A3BAC" w14:paraId="26E9C96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960" w14:textId="77777777" w:rsidR="008A3BAC" w:rsidRDefault="005C75B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96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962" w14:textId="77777777" w:rsidR="008A3BAC" w:rsidRDefault="005C75B9">
            <w:pPr>
              <w:jc w:val="right"/>
              <w:textAlignment w:val="bottom"/>
            </w:pPr>
            <w:r>
              <w:rPr>
                <w:rFonts w:ascii="Arial" w:eastAsia="宋体" w:hAnsi="Arial" w:cs="Arial"/>
                <w:b/>
                <w:bCs/>
                <w:color w:val="000000"/>
                <w:sz w:val="17"/>
                <w:szCs w:val="17"/>
              </w:rPr>
              <w:t>13,467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96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96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965" w14:textId="77777777" w:rsidR="008A3BAC" w:rsidRDefault="005C75B9">
            <w:pPr>
              <w:jc w:val="right"/>
              <w:textAlignment w:val="bottom"/>
            </w:pPr>
            <w:r>
              <w:rPr>
                <w:rFonts w:ascii="Arial" w:eastAsia="宋体" w:hAnsi="Arial" w:cs="Arial"/>
                <w:b/>
                <w:bCs/>
                <w:color w:val="000000"/>
                <w:sz w:val="17"/>
                <w:szCs w:val="17"/>
              </w:rPr>
              <w:t>8,704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96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96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968" w14:textId="77777777" w:rsidR="008A3BAC" w:rsidRDefault="005C75B9">
            <w:pPr>
              <w:jc w:val="right"/>
              <w:textAlignment w:val="bottom"/>
            </w:pPr>
            <w:r>
              <w:rPr>
                <w:rFonts w:ascii="Arial" w:eastAsia="宋体" w:hAnsi="Arial" w:cs="Arial"/>
                <w:b/>
                <w:bCs/>
                <w:color w:val="000000"/>
                <w:sz w:val="17"/>
                <w:szCs w:val="17"/>
              </w:rPr>
              <w:t>4,763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969" w14:textId="77777777" w:rsidR="008A3BAC" w:rsidRDefault="008A3BAC">
            <w:pPr>
              <w:jc w:val="right"/>
              <w:rPr>
                <w:rFonts w:ascii="宋体"/>
              </w:rPr>
            </w:pPr>
          </w:p>
        </w:tc>
      </w:tr>
    </w:tbl>
    <w:p w14:paraId="26E9C96B" w14:textId="77777777" w:rsidR="008A3BAC" w:rsidRDefault="008A3BAC">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8A3BAC" w14:paraId="26E9C978" w14:textId="77777777">
        <w:tc>
          <w:tcPr>
            <w:tcW w:w="50" w:type="pct"/>
            <w:shd w:val="clear" w:color="auto" w:fill="auto"/>
            <w:vAlign w:val="bottom"/>
          </w:tcPr>
          <w:p w14:paraId="26E9C96C" w14:textId="77777777" w:rsidR="008A3BAC" w:rsidRDefault="008A3BAC">
            <w:pPr>
              <w:rPr>
                <w:rFonts w:ascii="宋体"/>
              </w:rPr>
            </w:pPr>
          </w:p>
        </w:tc>
        <w:tc>
          <w:tcPr>
            <w:tcW w:w="1962" w:type="pct"/>
            <w:shd w:val="clear" w:color="auto" w:fill="auto"/>
            <w:vAlign w:val="bottom"/>
          </w:tcPr>
          <w:p w14:paraId="26E9C96D" w14:textId="77777777" w:rsidR="008A3BAC" w:rsidRDefault="008A3BAC">
            <w:pPr>
              <w:rPr>
                <w:rFonts w:ascii="宋体"/>
              </w:rPr>
            </w:pPr>
          </w:p>
        </w:tc>
        <w:tc>
          <w:tcPr>
            <w:tcW w:w="5" w:type="pct"/>
            <w:shd w:val="clear" w:color="auto" w:fill="auto"/>
            <w:vAlign w:val="bottom"/>
          </w:tcPr>
          <w:p w14:paraId="26E9C96E" w14:textId="77777777" w:rsidR="008A3BAC" w:rsidRDefault="008A3BAC">
            <w:pPr>
              <w:rPr>
                <w:rFonts w:ascii="宋体"/>
              </w:rPr>
            </w:pPr>
          </w:p>
        </w:tc>
        <w:tc>
          <w:tcPr>
            <w:tcW w:w="50" w:type="pct"/>
            <w:shd w:val="clear" w:color="auto" w:fill="auto"/>
            <w:vAlign w:val="bottom"/>
          </w:tcPr>
          <w:p w14:paraId="26E9C96F" w14:textId="77777777" w:rsidR="008A3BAC" w:rsidRDefault="008A3BAC">
            <w:pPr>
              <w:rPr>
                <w:rFonts w:ascii="宋体"/>
              </w:rPr>
            </w:pPr>
          </w:p>
        </w:tc>
        <w:tc>
          <w:tcPr>
            <w:tcW w:w="910" w:type="pct"/>
            <w:shd w:val="clear" w:color="auto" w:fill="auto"/>
            <w:vAlign w:val="bottom"/>
          </w:tcPr>
          <w:p w14:paraId="26E9C970" w14:textId="77777777" w:rsidR="008A3BAC" w:rsidRDefault="008A3BAC">
            <w:pPr>
              <w:rPr>
                <w:rFonts w:ascii="宋体"/>
              </w:rPr>
            </w:pPr>
          </w:p>
        </w:tc>
        <w:tc>
          <w:tcPr>
            <w:tcW w:w="5" w:type="pct"/>
            <w:shd w:val="clear" w:color="auto" w:fill="auto"/>
            <w:vAlign w:val="bottom"/>
          </w:tcPr>
          <w:p w14:paraId="26E9C971" w14:textId="77777777" w:rsidR="008A3BAC" w:rsidRDefault="008A3BAC">
            <w:pPr>
              <w:rPr>
                <w:rFonts w:ascii="宋体"/>
              </w:rPr>
            </w:pPr>
          </w:p>
        </w:tc>
        <w:tc>
          <w:tcPr>
            <w:tcW w:w="50" w:type="pct"/>
            <w:shd w:val="clear" w:color="auto" w:fill="auto"/>
            <w:vAlign w:val="bottom"/>
          </w:tcPr>
          <w:p w14:paraId="26E9C972" w14:textId="77777777" w:rsidR="008A3BAC" w:rsidRDefault="008A3BAC">
            <w:pPr>
              <w:rPr>
                <w:rFonts w:ascii="宋体"/>
              </w:rPr>
            </w:pPr>
          </w:p>
        </w:tc>
        <w:tc>
          <w:tcPr>
            <w:tcW w:w="910" w:type="pct"/>
            <w:shd w:val="clear" w:color="auto" w:fill="auto"/>
            <w:vAlign w:val="bottom"/>
          </w:tcPr>
          <w:p w14:paraId="26E9C973" w14:textId="77777777" w:rsidR="008A3BAC" w:rsidRDefault="008A3BAC">
            <w:pPr>
              <w:rPr>
                <w:rFonts w:ascii="宋体"/>
              </w:rPr>
            </w:pPr>
          </w:p>
        </w:tc>
        <w:tc>
          <w:tcPr>
            <w:tcW w:w="5" w:type="pct"/>
            <w:shd w:val="clear" w:color="auto" w:fill="auto"/>
            <w:vAlign w:val="bottom"/>
          </w:tcPr>
          <w:p w14:paraId="26E9C974" w14:textId="77777777" w:rsidR="008A3BAC" w:rsidRDefault="008A3BAC">
            <w:pPr>
              <w:rPr>
                <w:rFonts w:ascii="宋体"/>
              </w:rPr>
            </w:pPr>
          </w:p>
        </w:tc>
        <w:tc>
          <w:tcPr>
            <w:tcW w:w="50" w:type="pct"/>
            <w:shd w:val="clear" w:color="auto" w:fill="auto"/>
            <w:vAlign w:val="bottom"/>
          </w:tcPr>
          <w:p w14:paraId="26E9C975" w14:textId="77777777" w:rsidR="008A3BAC" w:rsidRDefault="008A3BAC">
            <w:pPr>
              <w:rPr>
                <w:rFonts w:ascii="宋体"/>
              </w:rPr>
            </w:pPr>
          </w:p>
        </w:tc>
        <w:tc>
          <w:tcPr>
            <w:tcW w:w="996" w:type="pct"/>
            <w:shd w:val="clear" w:color="auto" w:fill="auto"/>
            <w:vAlign w:val="bottom"/>
          </w:tcPr>
          <w:p w14:paraId="26E9C976" w14:textId="77777777" w:rsidR="008A3BAC" w:rsidRDefault="008A3BAC">
            <w:pPr>
              <w:rPr>
                <w:rFonts w:ascii="宋体"/>
              </w:rPr>
            </w:pPr>
          </w:p>
        </w:tc>
        <w:tc>
          <w:tcPr>
            <w:tcW w:w="5" w:type="pct"/>
            <w:shd w:val="clear" w:color="auto" w:fill="auto"/>
            <w:vAlign w:val="bottom"/>
          </w:tcPr>
          <w:p w14:paraId="26E9C977" w14:textId="77777777" w:rsidR="008A3BAC" w:rsidRDefault="008A3BAC">
            <w:pPr>
              <w:rPr>
                <w:rFonts w:ascii="宋体"/>
              </w:rPr>
            </w:pPr>
          </w:p>
        </w:tc>
      </w:tr>
      <w:tr w:rsidR="008A3BAC" w14:paraId="26E9C97B" w14:textId="77777777">
        <w:tc>
          <w:tcPr>
            <w:tcW w:w="0" w:type="auto"/>
            <w:gridSpan w:val="3"/>
            <w:shd w:val="clear" w:color="auto" w:fill="auto"/>
            <w:tcMar>
              <w:top w:w="0" w:type="dxa"/>
              <w:left w:w="20" w:type="dxa"/>
              <w:bottom w:w="0" w:type="dxa"/>
              <w:right w:w="20" w:type="dxa"/>
            </w:tcMar>
            <w:vAlign w:val="bottom"/>
          </w:tcPr>
          <w:p w14:paraId="26E9C979"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C97A" w14:textId="77777777" w:rsidR="008A3BAC" w:rsidRDefault="005C75B9">
            <w:pPr>
              <w:jc w:val="center"/>
              <w:textAlignment w:val="bottom"/>
            </w:pPr>
            <w:r>
              <w:rPr>
                <w:rFonts w:ascii="sans-serif" w:eastAsia="sans-serif" w:hAnsi="sans-serif" w:cs="sans-serif"/>
                <w:b/>
                <w:bCs/>
                <w:color w:val="000000"/>
                <w:sz w:val="17"/>
                <w:szCs w:val="17"/>
              </w:rPr>
              <w:t>MAY 31, 2021</w:t>
            </w:r>
          </w:p>
        </w:tc>
      </w:tr>
      <w:tr w:rsidR="008A3BAC" w14:paraId="26E9C980" w14:textId="77777777">
        <w:tc>
          <w:tcPr>
            <w:tcW w:w="0" w:type="auto"/>
            <w:gridSpan w:val="3"/>
            <w:shd w:val="clear" w:color="auto" w:fill="auto"/>
            <w:tcMar>
              <w:top w:w="40" w:type="dxa"/>
              <w:left w:w="20" w:type="dxa"/>
              <w:bottom w:w="40" w:type="dxa"/>
              <w:right w:w="20" w:type="dxa"/>
            </w:tcMar>
            <w:vAlign w:val="bottom"/>
          </w:tcPr>
          <w:p w14:paraId="26E9C97C"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7D" w14:textId="77777777" w:rsidR="008A3BAC" w:rsidRDefault="005C75B9">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7E" w14:textId="77777777" w:rsidR="008A3BAC" w:rsidRDefault="005C75B9">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7F" w14:textId="77777777" w:rsidR="008A3BAC" w:rsidRDefault="005C75B9">
            <w:pPr>
              <w:jc w:val="center"/>
              <w:textAlignment w:val="bottom"/>
            </w:pPr>
            <w:r>
              <w:rPr>
                <w:rFonts w:ascii="sans-serif" w:eastAsia="sans-serif" w:hAnsi="sans-serif" w:cs="sans-serif"/>
                <w:b/>
                <w:bCs/>
                <w:color w:val="000000"/>
                <w:sz w:val="17"/>
                <w:szCs w:val="17"/>
              </w:rPr>
              <w:t>SHORT-TERM INVESTMENTS</w:t>
            </w:r>
          </w:p>
        </w:tc>
      </w:tr>
      <w:tr w:rsidR="008A3BAC" w14:paraId="26E9C98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81" w14:textId="77777777" w:rsidR="008A3BAC" w:rsidRDefault="005C75B9">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26E9C982"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983" w14:textId="77777777" w:rsidR="008A3BAC" w:rsidRDefault="005C75B9">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8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985"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986" w14:textId="77777777" w:rsidR="008A3BAC" w:rsidRDefault="005C75B9">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8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988"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98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8A" w14:textId="77777777" w:rsidR="008A3BAC" w:rsidRDefault="008A3BAC">
            <w:pPr>
              <w:jc w:val="right"/>
              <w:rPr>
                <w:rFonts w:ascii="宋体"/>
              </w:rPr>
            </w:pPr>
          </w:p>
        </w:tc>
      </w:tr>
      <w:tr w:rsidR="008A3BAC" w14:paraId="26E9C9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98C" w14:textId="77777777" w:rsidR="008A3BAC" w:rsidRDefault="005C75B9">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8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8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8F" w14:textId="77777777" w:rsidR="008A3BAC" w:rsidRDefault="008A3BAC">
            <w:pPr>
              <w:rPr>
                <w:rFonts w:ascii="宋体"/>
              </w:rPr>
            </w:pPr>
          </w:p>
        </w:tc>
      </w:tr>
      <w:tr w:rsidR="008A3BAC" w14:paraId="26E9C99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91" w14:textId="77777777" w:rsidR="008A3BAC" w:rsidRDefault="005C75B9">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92" w14:textId="77777777" w:rsidR="008A3BAC" w:rsidRDefault="005C75B9">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9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9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9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96" w14:textId="77777777" w:rsidR="008A3BAC" w:rsidRDefault="005C75B9">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97" w14:textId="77777777" w:rsidR="008A3BAC" w:rsidRDefault="008A3BAC">
            <w:pPr>
              <w:jc w:val="right"/>
              <w:rPr>
                <w:rFonts w:ascii="宋体"/>
              </w:rPr>
            </w:pPr>
          </w:p>
        </w:tc>
      </w:tr>
      <w:tr w:rsidR="008A3BAC" w14:paraId="26E9C99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999" w14:textId="77777777" w:rsidR="008A3BAC" w:rsidRDefault="005C75B9">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9A"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9B"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99C" w14:textId="77777777" w:rsidR="008A3BAC" w:rsidRDefault="008A3BAC">
            <w:pPr>
              <w:rPr>
                <w:rFonts w:ascii="宋体"/>
              </w:rPr>
            </w:pPr>
          </w:p>
        </w:tc>
      </w:tr>
      <w:tr w:rsidR="008A3BAC" w14:paraId="26E9C9A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9E" w14:textId="77777777" w:rsidR="008A3BAC" w:rsidRDefault="005C75B9">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9F" w14:textId="77777777" w:rsidR="008A3BAC" w:rsidRDefault="005C75B9">
            <w:pPr>
              <w:jc w:val="right"/>
              <w:textAlignment w:val="bottom"/>
            </w:pPr>
            <w:r>
              <w:rPr>
                <w:rFonts w:ascii="Arial" w:eastAsia="宋体" w:hAnsi="Arial" w:cs="Arial"/>
                <w:color w:val="000000"/>
                <w:sz w:val="17"/>
                <w:szCs w:val="17"/>
              </w:rPr>
              <w:t>748 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1" w14:textId="77777777" w:rsidR="008A3BAC" w:rsidRDefault="005C75B9">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3" w14:textId="77777777" w:rsidR="008A3BAC" w:rsidRDefault="005C75B9">
            <w:pPr>
              <w:jc w:val="right"/>
              <w:textAlignment w:val="bottom"/>
            </w:pPr>
            <w:r>
              <w:rPr>
                <w:rFonts w:ascii="Arial" w:eastAsia="宋体" w:hAnsi="Arial" w:cs="Arial"/>
                <w:color w:val="000000"/>
                <w:sz w:val="17"/>
                <w:szCs w:val="17"/>
              </w:rPr>
              <w:t>691 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4" w14:textId="77777777" w:rsidR="008A3BAC" w:rsidRDefault="008A3BAC">
            <w:pPr>
              <w:jc w:val="right"/>
              <w:rPr>
                <w:rFonts w:ascii="宋体"/>
              </w:rPr>
            </w:pPr>
          </w:p>
        </w:tc>
      </w:tr>
      <w:tr w:rsidR="008A3BAC" w14:paraId="26E9C9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A6" w14:textId="77777777" w:rsidR="008A3BAC" w:rsidRDefault="005C75B9">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7" w14:textId="77777777" w:rsidR="008A3BAC" w:rsidRDefault="005C75B9">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9" w14:textId="77777777" w:rsidR="008A3BAC" w:rsidRDefault="005C75B9">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AC" w14:textId="77777777" w:rsidR="008A3BAC" w:rsidRDefault="008A3BAC">
            <w:pPr>
              <w:jc w:val="right"/>
              <w:rPr>
                <w:rFonts w:ascii="宋体"/>
              </w:rPr>
            </w:pPr>
          </w:p>
        </w:tc>
      </w:tr>
      <w:tr w:rsidR="008A3BAC" w14:paraId="26E9C9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AE" w14:textId="77777777" w:rsidR="008A3BAC" w:rsidRDefault="005C75B9">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AF" w14:textId="77777777" w:rsidR="008A3BAC" w:rsidRDefault="005C75B9">
            <w:pPr>
              <w:jc w:val="right"/>
              <w:textAlignment w:val="bottom"/>
            </w:pPr>
            <w:r>
              <w:rPr>
                <w:rFonts w:ascii="Arial" w:eastAsia="宋体" w:hAnsi="Arial" w:cs="Arial"/>
                <w:color w:val="000000"/>
                <w:sz w:val="17"/>
                <w:szCs w:val="17"/>
              </w:rPr>
              <w:t>1,293 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B1" w14:textId="77777777" w:rsidR="008A3BAC" w:rsidRDefault="005C75B9">
            <w:pPr>
              <w:jc w:val="right"/>
              <w:textAlignment w:val="bottom"/>
            </w:pPr>
            <w:r>
              <w:rPr>
                <w:rFonts w:ascii="Arial" w:eastAsia="宋体" w:hAnsi="Arial" w:cs="Arial"/>
                <w:color w:val="000000"/>
                <w:sz w:val="17"/>
                <w:szCs w:val="17"/>
              </w:rPr>
              <w:t>1,291 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B3"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4" w14:textId="77777777" w:rsidR="008A3BAC" w:rsidRDefault="008A3BAC">
            <w:pPr>
              <w:jc w:val="right"/>
              <w:rPr>
                <w:rFonts w:ascii="宋体"/>
              </w:rPr>
            </w:pPr>
          </w:p>
        </w:tc>
      </w:tr>
      <w:tr w:rsidR="008A3BAC" w14:paraId="26E9C9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9B6" w14:textId="77777777" w:rsidR="008A3BAC" w:rsidRDefault="005C75B9">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B7"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B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9BB"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9BC" w14:textId="77777777" w:rsidR="008A3BAC" w:rsidRDefault="008A3BAC">
            <w:pPr>
              <w:jc w:val="right"/>
              <w:rPr>
                <w:rFonts w:ascii="宋体"/>
              </w:rPr>
            </w:pPr>
          </w:p>
        </w:tc>
      </w:tr>
      <w:tr w:rsidR="008A3BAC" w14:paraId="26E9C9C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BE" w14:textId="77777777" w:rsidR="008A3BAC" w:rsidRDefault="005C75B9">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9BF" w14:textId="77777777" w:rsidR="008A3BAC" w:rsidRDefault="005C75B9">
            <w:pPr>
              <w:jc w:val="right"/>
              <w:textAlignment w:val="bottom"/>
            </w:pPr>
            <w:r>
              <w:rPr>
                <w:rFonts w:ascii="Arial" w:eastAsia="宋体" w:hAnsi="Arial" w:cs="Arial"/>
                <w:color w:val="000000"/>
                <w:sz w:val="17"/>
                <w:szCs w:val="17"/>
              </w:rPr>
              <w:t>9,744 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C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9C1" w14:textId="77777777" w:rsidR="008A3BAC" w:rsidRDefault="005C75B9">
            <w:pPr>
              <w:jc w:val="right"/>
              <w:textAlignment w:val="bottom"/>
            </w:pPr>
            <w:r>
              <w:rPr>
                <w:rFonts w:ascii="Arial" w:eastAsia="宋体" w:hAnsi="Arial" w:cs="Arial"/>
                <w:color w:val="000000"/>
                <w:sz w:val="17"/>
                <w:szCs w:val="17"/>
              </w:rPr>
              <w:t>9,049 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C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9C3" w14:textId="77777777" w:rsidR="008A3BAC" w:rsidRDefault="005C75B9">
            <w:pPr>
              <w:jc w:val="right"/>
              <w:textAlignment w:val="bottom"/>
            </w:pPr>
            <w:r>
              <w:rPr>
                <w:rFonts w:ascii="Arial" w:eastAsia="宋体" w:hAnsi="Arial" w:cs="Arial"/>
                <w:color w:val="000000"/>
                <w:sz w:val="17"/>
                <w:szCs w:val="17"/>
              </w:rPr>
              <w:t>695 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9C4" w14:textId="77777777" w:rsidR="008A3BAC" w:rsidRDefault="008A3BAC">
            <w:pPr>
              <w:jc w:val="right"/>
              <w:rPr>
                <w:rFonts w:ascii="宋体"/>
              </w:rPr>
            </w:pPr>
          </w:p>
        </w:tc>
      </w:tr>
      <w:tr w:rsidR="008A3BAC" w14:paraId="26E9C9D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9C6" w14:textId="77777777" w:rsidR="008A3BAC" w:rsidRDefault="005C75B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9C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9C8" w14:textId="77777777" w:rsidR="008A3BAC" w:rsidRDefault="005C75B9">
            <w:pPr>
              <w:jc w:val="right"/>
              <w:textAlignment w:val="bottom"/>
            </w:pPr>
            <w:r>
              <w:rPr>
                <w:rFonts w:ascii="Arial" w:eastAsia="宋体" w:hAnsi="Arial" w:cs="Arial"/>
                <w:b/>
                <w:bCs/>
                <w:color w:val="000000"/>
                <w:sz w:val="17"/>
                <w:szCs w:val="17"/>
              </w:rPr>
              <w:t>13,476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9C9"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9C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9CB" w14:textId="77777777" w:rsidR="008A3BAC" w:rsidRDefault="005C75B9">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9CC"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9C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9CE" w14:textId="77777777" w:rsidR="008A3BAC" w:rsidRDefault="005C75B9">
            <w:pPr>
              <w:jc w:val="right"/>
              <w:textAlignment w:val="bottom"/>
            </w:pPr>
            <w:r>
              <w:rPr>
                <w:rFonts w:ascii="Arial" w:eastAsia="宋体" w:hAnsi="Arial" w:cs="Arial"/>
                <w:b/>
                <w:bCs/>
                <w:color w:val="000000"/>
                <w:sz w:val="17"/>
                <w:szCs w:val="17"/>
              </w:rPr>
              <w:t>3,587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9CF" w14:textId="77777777" w:rsidR="008A3BAC" w:rsidRDefault="008A3BAC">
            <w:pPr>
              <w:jc w:val="right"/>
              <w:rPr>
                <w:rFonts w:ascii="宋体"/>
              </w:rPr>
            </w:pPr>
          </w:p>
        </w:tc>
      </w:tr>
    </w:tbl>
    <w:p w14:paraId="26E9C9D1" w14:textId="77777777" w:rsidR="008A3BAC" w:rsidRDefault="005C75B9">
      <w:pPr>
        <w:spacing w:before="120" w:after="120"/>
      </w:pPr>
      <w:r>
        <w:rPr>
          <w:rFonts w:ascii="Arial" w:eastAsia="宋体" w:hAnsi="Arial" w:cs="Arial"/>
          <w:color w:val="000000"/>
          <w:sz w:val="17"/>
          <w:szCs w:val="17"/>
        </w:rPr>
        <w:t xml:space="preserve">As of February 28, 2022, the Company held $4,077 million of available-for-sale debt securities with maturity dates within one year and $686 million with maturity dates over one </w:t>
      </w:r>
      <w:r>
        <w:rPr>
          <w:rFonts w:ascii="Arial" w:eastAsia="宋体" w:hAnsi="Arial" w:cs="Arial"/>
          <w:color w:val="000000"/>
          <w:sz w:val="17"/>
          <w:szCs w:val="17"/>
        </w:rPr>
        <w:t>year and less than five years in Short-term investments on the Unaudited Condensed Consolidated Balance Sheets. The fair value of the Company's available-for-sale debt securities approximates their amortized cost.</w:t>
      </w:r>
    </w:p>
    <w:p w14:paraId="26E9C9D2" w14:textId="77777777" w:rsidR="008A3BAC" w:rsidRDefault="005C75B9">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Interest expense </w:t>
      </w:r>
      <w:r>
        <w:rPr>
          <w:rFonts w:ascii="Arial" w:eastAsia="宋体" w:hAnsi="Arial" w:cs="Arial"/>
          <w:color w:val="000000"/>
          <w:sz w:val="17"/>
          <w:szCs w:val="17"/>
        </w:rPr>
        <w:t>(income), net was interest income related to the Company's investment portfolio of $22 million and $8 million for the three months ended February 28, 2022 and 2021, respectively, and $57 million and $21 million for the nine months ended February 28, 2022 a</w:t>
      </w:r>
      <w:r>
        <w:rPr>
          <w:rFonts w:ascii="Arial" w:eastAsia="宋体" w:hAnsi="Arial" w:cs="Arial"/>
          <w:color w:val="000000"/>
          <w:sz w:val="17"/>
          <w:szCs w:val="17"/>
        </w:rPr>
        <w:t>nd 2021, respectively.</w:t>
      </w:r>
    </w:p>
    <w:p w14:paraId="26E9C9D3" w14:textId="77777777" w:rsidR="008A3BAC" w:rsidRDefault="005C75B9">
      <w:pPr>
        <w:spacing w:before="120" w:after="120"/>
      </w:pPr>
      <w:r>
        <w:rPr>
          <w:rFonts w:ascii="Arial" w:eastAsia="宋体" w:hAnsi="Arial" w:cs="Arial"/>
          <w:color w:val="000000"/>
          <w:sz w:val="17"/>
          <w:szCs w:val="17"/>
        </w:rPr>
        <w:t>The following tables present information about the Company's derivative assets and liabilities measured at fair value on a recurring basis and indicate the level in the fair value hierarchy in which the Company classifies the fair va</w:t>
      </w:r>
      <w:r>
        <w:rPr>
          <w:rFonts w:ascii="Arial" w:eastAsia="宋体" w:hAnsi="Arial" w:cs="Arial"/>
          <w:color w:val="000000"/>
          <w:sz w:val="17"/>
          <w:szCs w:val="17"/>
        </w:rPr>
        <w:t>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8A3BAC" w14:paraId="26E9C9EC" w14:textId="77777777">
        <w:tc>
          <w:tcPr>
            <w:tcW w:w="50" w:type="pct"/>
            <w:shd w:val="clear" w:color="auto" w:fill="auto"/>
            <w:vAlign w:val="bottom"/>
          </w:tcPr>
          <w:p w14:paraId="26E9C9D4" w14:textId="77777777" w:rsidR="008A3BAC" w:rsidRDefault="008A3BAC">
            <w:pPr>
              <w:rPr>
                <w:rFonts w:ascii="宋体"/>
              </w:rPr>
            </w:pPr>
          </w:p>
        </w:tc>
        <w:tc>
          <w:tcPr>
            <w:tcW w:w="2047" w:type="pct"/>
            <w:shd w:val="clear" w:color="auto" w:fill="auto"/>
            <w:vAlign w:val="bottom"/>
          </w:tcPr>
          <w:p w14:paraId="26E9C9D5" w14:textId="77777777" w:rsidR="008A3BAC" w:rsidRDefault="008A3BAC">
            <w:pPr>
              <w:rPr>
                <w:rFonts w:ascii="宋体"/>
              </w:rPr>
            </w:pPr>
          </w:p>
        </w:tc>
        <w:tc>
          <w:tcPr>
            <w:tcW w:w="5" w:type="pct"/>
            <w:shd w:val="clear" w:color="auto" w:fill="auto"/>
            <w:vAlign w:val="bottom"/>
          </w:tcPr>
          <w:p w14:paraId="26E9C9D6" w14:textId="77777777" w:rsidR="008A3BAC" w:rsidRDefault="008A3BAC">
            <w:pPr>
              <w:rPr>
                <w:rFonts w:ascii="宋体"/>
              </w:rPr>
            </w:pPr>
          </w:p>
        </w:tc>
        <w:tc>
          <w:tcPr>
            <w:tcW w:w="50" w:type="pct"/>
            <w:shd w:val="clear" w:color="auto" w:fill="auto"/>
            <w:vAlign w:val="bottom"/>
          </w:tcPr>
          <w:p w14:paraId="26E9C9D7" w14:textId="77777777" w:rsidR="008A3BAC" w:rsidRDefault="008A3BAC">
            <w:pPr>
              <w:rPr>
                <w:rFonts w:ascii="宋体"/>
              </w:rPr>
            </w:pPr>
          </w:p>
        </w:tc>
        <w:tc>
          <w:tcPr>
            <w:tcW w:w="408" w:type="pct"/>
            <w:shd w:val="clear" w:color="auto" w:fill="auto"/>
            <w:vAlign w:val="bottom"/>
          </w:tcPr>
          <w:p w14:paraId="26E9C9D8" w14:textId="77777777" w:rsidR="008A3BAC" w:rsidRDefault="008A3BAC">
            <w:pPr>
              <w:rPr>
                <w:rFonts w:ascii="宋体"/>
              </w:rPr>
            </w:pPr>
          </w:p>
        </w:tc>
        <w:tc>
          <w:tcPr>
            <w:tcW w:w="5" w:type="pct"/>
            <w:shd w:val="clear" w:color="auto" w:fill="auto"/>
            <w:vAlign w:val="bottom"/>
          </w:tcPr>
          <w:p w14:paraId="26E9C9D9" w14:textId="77777777" w:rsidR="008A3BAC" w:rsidRDefault="008A3BAC">
            <w:pPr>
              <w:rPr>
                <w:rFonts w:ascii="宋体"/>
              </w:rPr>
            </w:pPr>
          </w:p>
        </w:tc>
        <w:tc>
          <w:tcPr>
            <w:tcW w:w="50" w:type="pct"/>
            <w:shd w:val="clear" w:color="auto" w:fill="auto"/>
            <w:vAlign w:val="bottom"/>
          </w:tcPr>
          <w:p w14:paraId="26E9C9DA" w14:textId="77777777" w:rsidR="008A3BAC" w:rsidRDefault="008A3BAC">
            <w:pPr>
              <w:rPr>
                <w:rFonts w:ascii="宋体"/>
              </w:rPr>
            </w:pPr>
          </w:p>
        </w:tc>
        <w:tc>
          <w:tcPr>
            <w:tcW w:w="408" w:type="pct"/>
            <w:shd w:val="clear" w:color="auto" w:fill="auto"/>
            <w:vAlign w:val="bottom"/>
          </w:tcPr>
          <w:p w14:paraId="26E9C9DB" w14:textId="77777777" w:rsidR="008A3BAC" w:rsidRDefault="008A3BAC">
            <w:pPr>
              <w:rPr>
                <w:rFonts w:ascii="宋体"/>
              </w:rPr>
            </w:pPr>
          </w:p>
        </w:tc>
        <w:tc>
          <w:tcPr>
            <w:tcW w:w="5" w:type="pct"/>
            <w:shd w:val="clear" w:color="auto" w:fill="auto"/>
            <w:vAlign w:val="bottom"/>
          </w:tcPr>
          <w:p w14:paraId="26E9C9DC" w14:textId="77777777" w:rsidR="008A3BAC" w:rsidRDefault="008A3BAC">
            <w:pPr>
              <w:rPr>
                <w:rFonts w:ascii="宋体"/>
              </w:rPr>
            </w:pPr>
          </w:p>
        </w:tc>
        <w:tc>
          <w:tcPr>
            <w:tcW w:w="50" w:type="pct"/>
            <w:shd w:val="clear" w:color="auto" w:fill="auto"/>
            <w:vAlign w:val="bottom"/>
          </w:tcPr>
          <w:p w14:paraId="26E9C9DD" w14:textId="77777777" w:rsidR="008A3BAC" w:rsidRDefault="008A3BAC">
            <w:pPr>
              <w:rPr>
                <w:rFonts w:ascii="宋体"/>
              </w:rPr>
            </w:pPr>
          </w:p>
        </w:tc>
        <w:tc>
          <w:tcPr>
            <w:tcW w:w="447" w:type="pct"/>
            <w:shd w:val="clear" w:color="auto" w:fill="auto"/>
            <w:vAlign w:val="bottom"/>
          </w:tcPr>
          <w:p w14:paraId="26E9C9DE" w14:textId="77777777" w:rsidR="008A3BAC" w:rsidRDefault="008A3BAC">
            <w:pPr>
              <w:rPr>
                <w:rFonts w:ascii="宋体"/>
              </w:rPr>
            </w:pPr>
          </w:p>
        </w:tc>
        <w:tc>
          <w:tcPr>
            <w:tcW w:w="5" w:type="pct"/>
            <w:shd w:val="clear" w:color="auto" w:fill="auto"/>
            <w:vAlign w:val="bottom"/>
          </w:tcPr>
          <w:p w14:paraId="26E9C9DF" w14:textId="77777777" w:rsidR="008A3BAC" w:rsidRDefault="008A3BAC">
            <w:pPr>
              <w:rPr>
                <w:rFonts w:ascii="宋体"/>
              </w:rPr>
            </w:pPr>
          </w:p>
        </w:tc>
        <w:tc>
          <w:tcPr>
            <w:tcW w:w="5" w:type="pct"/>
            <w:shd w:val="clear" w:color="auto" w:fill="auto"/>
            <w:vAlign w:val="bottom"/>
          </w:tcPr>
          <w:p w14:paraId="26E9C9E0" w14:textId="77777777" w:rsidR="008A3BAC" w:rsidRDefault="008A3BAC">
            <w:pPr>
              <w:rPr>
                <w:rFonts w:ascii="宋体"/>
              </w:rPr>
            </w:pPr>
          </w:p>
        </w:tc>
        <w:tc>
          <w:tcPr>
            <w:tcW w:w="28" w:type="pct"/>
            <w:shd w:val="clear" w:color="auto" w:fill="auto"/>
            <w:vAlign w:val="bottom"/>
          </w:tcPr>
          <w:p w14:paraId="26E9C9E1" w14:textId="77777777" w:rsidR="008A3BAC" w:rsidRDefault="008A3BAC">
            <w:pPr>
              <w:rPr>
                <w:rFonts w:ascii="宋体"/>
              </w:rPr>
            </w:pPr>
          </w:p>
        </w:tc>
        <w:tc>
          <w:tcPr>
            <w:tcW w:w="5" w:type="pct"/>
            <w:shd w:val="clear" w:color="auto" w:fill="auto"/>
            <w:vAlign w:val="bottom"/>
          </w:tcPr>
          <w:p w14:paraId="26E9C9E2" w14:textId="77777777" w:rsidR="008A3BAC" w:rsidRDefault="008A3BAC">
            <w:pPr>
              <w:rPr>
                <w:rFonts w:ascii="宋体"/>
              </w:rPr>
            </w:pPr>
          </w:p>
        </w:tc>
        <w:tc>
          <w:tcPr>
            <w:tcW w:w="50" w:type="pct"/>
            <w:shd w:val="clear" w:color="auto" w:fill="auto"/>
            <w:vAlign w:val="bottom"/>
          </w:tcPr>
          <w:p w14:paraId="26E9C9E3" w14:textId="77777777" w:rsidR="008A3BAC" w:rsidRDefault="008A3BAC">
            <w:pPr>
              <w:rPr>
                <w:rFonts w:ascii="宋体"/>
              </w:rPr>
            </w:pPr>
          </w:p>
        </w:tc>
        <w:tc>
          <w:tcPr>
            <w:tcW w:w="408" w:type="pct"/>
            <w:shd w:val="clear" w:color="auto" w:fill="auto"/>
            <w:vAlign w:val="bottom"/>
          </w:tcPr>
          <w:p w14:paraId="26E9C9E4" w14:textId="77777777" w:rsidR="008A3BAC" w:rsidRDefault="008A3BAC">
            <w:pPr>
              <w:rPr>
                <w:rFonts w:ascii="宋体"/>
              </w:rPr>
            </w:pPr>
          </w:p>
        </w:tc>
        <w:tc>
          <w:tcPr>
            <w:tcW w:w="5" w:type="pct"/>
            <w:shd w:val="clear" w:color="auto" w:fill="auto"/>
            <w:vAlign w:val="bottom"/>
          </w:tcPr>
          <w:p w14:paraId="26E9C9E5" w14:textId="77777777" w:rsidR="008A3BAC" w:rsidRDefault="008A3BAC">
            <w:pPr>
              <w:rPr>
                <w:rFonts w:ascii="宋体"/>
              </w:rPr>
            </w:pPr>
          </w:p>
        </w:tc>
        <w:tc>
          <w:tcPr>
            <w:tcW w:w="50" w:type="pct"/>
            <w:shd w:val="clear" w:color="auto" w:fill="auto"/>
            <w:vAlign w:val="bottom"/>
          </w:tcPr>
          <w:p w14:paraId="26E9C9E6" w14:textId="77777777" w:rsidR="008A3BAC" w:rsidRDefault="008A3BAC">
            <w:pPr>
              <w:rPr>
                <w:rFonts w:ascii="宋体"/>
              </w:rPr>
            </w:pPr>
          </w:p>
        </w:tc>
        <w:tc>
          <w:tcPr>
            <w:tcW w:w="408" w:type="pct"/>
            <w:shd w:val="clear" w:color="auto" w:fill="auto"/>
            <w:vAlign w:val="bottom"/>
          </w:tcPr>
          <w:p w14:paraId="26E9C9E7" w14:textId="77777777" w:rsidR="008A3BAC" w:rsidRDefault="008A3BAC">
            <w:pPr>
              <w:rPr>
                <w:rFonts w:ascii="宋体"/>
              </w:rPr>
            </w:pPr>
          </w:p>
        </w:tc>
        <w:tc>
          <w:tcPr>
            <w:tcW w:w="5" w:type="pct"/>
            <w:shd w:val="clear" w:color="auto" w:fill="auto"/>
            <w:vAlign w:val="bottom"/>
          </w:tcPr>
          <w:p w14:paraId="26E9C9E8" w14:textId="77777777" w:rsidR="008A3BAC" w:rsidRDefault="008A3BAC">
            <w:pPr>
              <w:rPr>
                <w:rFonts w:ascii="宋体"/>
              </w:rPr>
            </w:pPr>
          </w:p>
        </w:tc>
        <w:tc>
          <w:tcPr>
            <w:tcW w:w="50" w:type="pct"/>
            <w:shd w:val="clear" w:color="auto" w:fill="auto"/>
            <w:vAlign w:val="bottom"/>
          </w:tcPr>
          <w:p w14:paraId="26E9C9E9" w14:textId="77777777" w:rsidR="008A3BAC" w:rsidRDefault="008A3BAC">
            <w:pPr>
              <w:rPr>
                <w:rFonts w:ascii="宋体"/>
              </w:rPr>
            </w:pPr>
          </w:p>
        </w:tc>
        <w:tc>
          <w:tcPr>
            <w:tcW w:w="447" w:type="pct"/>
            <w:shd w:val="clear" w:color="auto" w:fill="auto"/>
            <w:vAlign w:val="bottom"/>
          </w:tcPr>
          <w:p w14:paraId="26E9C9EA" w14:textId="77777777" w:rsidR="008A3BAC" w:rsidRDefault="008A3BAC">
            <w:pPr>
              <w:rPr>
                <w:rFonts w:ascii="宋体"/>
              </w:rPr>
            </w:pPr>
          </w:p>
        </w:tc>
        <w:tc>
          <w:tcPr>
            <w:tcW w:w="5" w:type="pct"/>
            <w:shd w:val="clear" w:color="auto" w:fill="auto"/>
            <w:vAlign w:val="bottom"/>
          </w:tcPr>
          <w:p w14:paraId="26E9C9EB" w14:textId="77777777" w:rsidR="008A3BAC" w:rsidRDefault="008A3BAC">
            <w:pPr>
              <w:rPr>
                <w:rFonts w:ascii="宋体"/>
              </w:rPr>
            </w:pPr>
          </w:p>
        </w:tc>
      </w:tr>
      <w:tr w:rsidR="008A3BAC" w14:paraId="26E9C9EF" w14:textId="77777777">
        <w:tc>
          <w:tcPr>
            <w:tcW w:w="0" w:type="auto"/>
            <w:gridSpan w:val="3"/>
            <w:shd w:val="clear" w:color="auto" w:fill="auto"/>
            <w:tcMar>
              <w:top w:w="0" w:type="dxa"/>
              <w:left w:w="20" w:type="dxa"/>
              <w:bottom w:w="0" w:type="dxa"/>
              <w:right w:w="20" w:type="dxa"/>
            </w:tcMar>
            <w:vAlign w:val="bottom"/>
          </w:tcPr>
          <w:p w14:paraId="26E9C9ED" w14:textId="77777777" w:rsidR="008A3BAC" w:rsidRDefault="008A3BA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6E9C9EE" w14:textId="77777777" w:rsidR="008A3BAC" w:rsidRDefault="005C75B9">
            <w:pPr>
              <w:jc w:val="center"/>
              <w:textAlignment w:val="bottom"/>
            </w:pPr>
            <w:r>
              <w:rPr>
                <w:rFonts w:ascii="sans-serif" w:eastAsia="sans-serif" w:hAnsi="sans-serif" w:cs="sans-serif"/>
                <w:b/>
                <w:bCs/>
                <w:color w:val="000000"/>
                <w:sz w:val="17"/>
                <w:szCs w:val="17"/>
              </w:rPr>
              <w:t>FEBRUARY 28, 2022</w:t>
            </w:r>
          </w:p>
        </w:tc>
      </w:tr>
      <w:tr w:rsidR="008A3BAC" w14:paraId="26E9C9F4" w14:textId="77777777">
        <w:tc>
          <w:tcPr>
            <w:tcW w:w="0" w:type="auto"/>
            <w:gridSpan w:val="3"/>
            <w:shd w:val="clear" w:color="auto" w:fill="auto"/>
            <w:tcMar>
              <w:top w:w="0" w:type="dxa"/>
              <w:left w:w="20" w:type="dxa"/>
              <w:bottom w:w="0" w:type="dxa"/>
              <w:right w:w="20" w:type="dxa"/>
            </w:tcMar>
            <w:vAlign w:val="bottom"/>
          </w:tcPr>
          <w:p w14:paraId="26E9C9F0" w14:textId="77777777" w:rsidR="008A3BAC" w:rsidRDefault="008A3BA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6E9C9F1" w14:textId="77777777" w:rsidR="008A3BAC" w:rsidRDefault="005C75B9">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9F2" w14:textId="77777777" w:rsidR="008A3BAC" w:rsidRDefault="008A3BA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6E9C9F3" w14:textId="77777777" w:rsidR="008A3BAC" w:rsidRDefault="005C75B9">
            <w:pPr>
              <w:jc w:val="center"/>
              <w:textAlignment w:val="bottom"/>
            </w:pPr>
            <w:r>
              <w:rPr>
                <w:rFonts w:ascii="sans-serif" w:eastAsia="sans-serif" w:hAnsi="sans-serif" w:cs="sans-serif"/>
                <w:b/>
                <w:bCs/>
                <w:color w:val="000000"/>
                <w:sz w:val="17"/>
                <w:szCs w:val="17"/>
              </w:rPr>
              <w:t>DERIVATIVE LIABILITIES</w:t>
            </w:r>
          </w:p>
        </w:tc>
      </w:tr>
      <w:tr w:rsidR="008A3BAC" w14:paraId="26E9C9FD" w14:textId="77777777">
        <w:tc>
          <w:tcPr>
            <w:tcW w:w="0" w:type="auto"/>
            <w:gridSpan w:val="3"/>
            <w:shd w:val="clear" w:color="auto" w:fill="auto"/>
            <w:tcMar>
              <w:top w:w="40" w:type="dxa"/>
              <w:left w:w="20" w:type="dxa"/>
              <w:bottom w:w="40" w:type="dxa"/>
              <w:right w:w="20" w:type="dxa"/>
            </w:tcMar>
            <w:vAlign w:val="bottom"/>
          </w:tcPr>
          <w:p w14:paraId="26E9C9F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6" w14:textId="77777777" w:rsidR="008A3BAC" w:rsidRDefault="005C75B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7" w14:textId="77777777" w:rsidR="008A3BAC" w:rsidRDefault="005C75B9">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8" w14:textId="77777777" w:rsidR="008A3BAC" w:rsidRDefault="005C75B9">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6E9C9F9"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A" w14:textId="77777777" w:rsidR="008A3BAC" w:rsidRDefault="005C75B9">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B" w14:textId="77777777" w:rsidR="008A3BAC" w:rsidRDefault="005C75B9">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C" w14:textId="77777777" w:rsidR="008A3BAC" w:rsidRDefault="005C75B9">
            <w:pPr>
              <w:jc w:val="right"/>
              <w:textAlignment w:val="bottom"/>
            </w:pPr>
            <w:r>
              <w:rPr>
                <w:rFonts w:ascii="sans-serif" w:eastAsia="sans-serif" w:hAnsi="sans-serif" w:cs="sans-serif"/>
                <w:b/>
                <w:bCs/>
                <w:color w:val="000000"/>
                <w:sz w:val="17"/>
                <w:szCs w:val="17"/>
              </w:rPr>
              <w:t>OTHER LONG-TERM LIABILITIES</w:t>
            </w:r>
          </w:p>
        </w:tc>
      </w:tr>
      <w:tr w:rsidR="008A3BAC" w14:paraId="26E9CA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9FE" w14:textId="77777777" w:rsidR="008A3BAC" w:rsidRDefault="005C75B9">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9F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2"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4"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A05" w14:textId="77777777" w:rsidR="008A3BAC" w:rsidRDefault="008A3BAC">
            <w:pPr>
              <w:rPr>
                <w:rFonts w:ascii="宋体"/>
              </w:rPr>
            </w:pPr>
          </w:p>
        </w:tc>
      </w:tr>
      <w:tr w:rsidR="008A3BAC" w14:paraId="26E9CA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A07" w14:textId="77777777" w:rsidR="008A3BAC" w:rsidRDefault="005C75B9">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A0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09" w14:textId="77777777" w:rsidR="008A3BAC" w:rsidRDefault="005C75B9">
            <w:pPr>
              <w:jc w:val="right"/>
              <w:textAlignment w:val="bottom"/>
            </w:pPr>
            <w:r>
              <w:rPr>
                <w:rFonts w:ascii="Arial" w:eastAsia="宋体" w:hAnsi="Arial" w:cs="Arial"/>
                <w:color w:val="000000"/>
                <w:sz w:val="17"/>
                <w:szCs w:val="17"/>
              </w:rPr>
              <w:t>482 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0A"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A0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0C" w14:textId="77777777" w:rsidR="008A3BAC" w:rsidRDefault="005C75B9">
            <w:pPr>
              <w:jc w:val="right"/>
              <w:textAlignment w:val="bottom"/>
            </w:pPr>
            <w:r>
              <w:rPr>
                <w:rFonts w:ascii="Arial" w:eastAsia="宋体" w:hAnsi="Arial" w:cs="Arial"/>
                <w:color w:val="000000"/>
                <w:sz w:val="17"/>
                <w:szCs w:val="17"/>
              </w:rPr>
              <w:t>414 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0D"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A0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0F" w14:textId="77777777" w:rsidR="008A3BAC" w:rsidRDefault="005C75B9">
            <w:pPr>
              <w:jc w:val="right"/>
              <w:textAlignment w:val="bottom"/>
            </w:pPr>
            <w:r>
              <w:rPr>
                <w:rFonts w:ascii="Arial" w:eastAsia="宋体" w:hAnsi="Arial" w:cs="Arial"/>
                <w:color w:val="000000"/>
                <w:sz w:val="17"/>
                <w:szCs w:val="17"/>
              </w:rPr>
              <w:t>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10"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A11"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A1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13" w14:textId="77777777" w:rsidR="008A3BAC" w:rsidRDefault="005C75B9">
            <w:pPr>
              <w:jc w:val="right"/>
              <w:textAlignment w:val="bottom"/>
            </w:pPr>
            <w:r>
              <w:rPr>
                <w:rFonts w:ascii="Arial" w:eastAsia="宋体" w:hAnsi="Arial" w:cs="Arial"/>
                <w:color w:val="000000"/>
                <w:sz w:val="17"/>
                <w:szCs w:val="17"/>
              </w:rPr>
              <w:t>107 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14"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A1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16" w14:textId="77777777" w:rsidR="008A3BAC" w:rsidRDefault="005C75B9">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17"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A1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A19"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1A" w14:textId="77777777" w:rsidR="008A3BAC" w:rsidRDefault="008A3BAC">
            <w:pPr>
              <w:jc w:val="right"/>
              <w:rPr>
                <w:rFonts w:ascii="宋体"/>
              </w:rPr>
            </w:pPr>
          </w:p>
        </w:tc>
      </w:tr>
      <w:tr w:rsidR="008A3BAC" w14:paraId="26E9CA2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A1C" w14:textId="77777777" w:rsidR="008A3BAC" w:rsidRDefault="005C75B9">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1D"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1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1F"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2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2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22" w14:textId="77777777" w:rsidR="008A3BAC" w:rsidRDefault="008A3BAC">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A2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24"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2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26"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2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A2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A29" w14:textId="77777777" w:rsidR="008A3BAC" w:rsidRDefault="008A3BAC">
            <w:pPr>
              <w:jc w:val="right"/>
              <w:rPr>
                <w:rFonts w:ascii="宋体"/>
              </w:rPr>
            </w:pPr>
          </w:p>
        </w:tc>
      </w:tr>
      <w:tr w:rsidR="008A3BAC" w14:paraId="26E9CA3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A2B" w14:textId="77777777" w:rsidR="008A3BAC" w:rsidRDefault="005C75B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2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2D" w14:textId="77777777" w:rsidR="008A3BAC" w:rsidRDefault="005C75B9">
            <w:pPr>
              <w:jc w:val="right"/>
              <w:textAlignment w:val="bottom"/>
            </w:pPr>
            <w:r>
              <w:rPr>
                <w:rFonts w:ascii="Arial" w:eastAsia="宋体" w:hAnsi="Arial" w:cs="Arial"/>
                <w:b/>
                <w:bCs/>
                <w:color w:val="000000"/>
                <w:sz w:val="17"/>
                <w:szCs w:val="17"/>
              </w:rPr>
              <w:t>484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2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2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30" w14:textId="77777777" w:rsidR="008A3BAC" w:rsidRDefault="005C75B9">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3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3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33" w14:textId="77777777" w:rsidR="008A3BAC" w:rsidRDefault="005C75B9">
            <w:pPr>
              <w:jc w:val="right"/>
              <w:textAlignment w:val="bottom"/>
            </w:pPr>
            <w:r>
              <w:rPr>
                <w:rFonts w:ascii="Arial" w:eastAsia="宋体" w:hAnsi="Arial" w:cs="Arial"/>
                <w:b/>
                <w:bCs/>
                <w:color w:val="000000"/>
                <w:sz w:val="17"/>
                <w:szCs w:val="17"/>
              </w:rPr>
              <w:t>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34"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6E9CA35"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3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37" w14:textId="77777777" w:rsidR="008A3BAC" w:rsidRDefault="005C75B9">
            <w:pPr>
              <w:jc w:val="right"/>
              <w:textAlignment w:val="bottom"/>
            </w:pPr>
            <w:r>
              <w:rPr>
                <w:rFonts w:ascii="Arial" w:eastAsia="宋体" w:hAnsi="Arial" w:cs="Arial"/>
                <w:b/>
                <w:bCs/>
                <w:color w:val="000000"/>
                <w:sz w:val="17"/>
                <w:szCs w:val="17"/>
              </w:rPr>
              <w:t>108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3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3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3A" w14:textId="77777777" w:rsidR="008A3BAC" w:rsidRDefault="005C75B9">
            <w:pPr>
              <w:jc w:val="right"/>
              <w:textAlignment w:val="bottom"/>
            </w:pPr>
            <w:r>
              <w:rPr>
                <w:rFonts w:ascii="Arial" w:eastAsia="宋体" w:hAnsi="Arial" w:cs="Arial"/>
                <w:b/>
                <w:bCs/>
                <w:color w:val="000000"/>
                <w:sz w:val="17"/>
                <w:szCs w:val="17"/>
              </w:rPr>
              <w:t>104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3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A3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A3D" w14:textId="77777777" w:rsidR="008A3BAC" w:rsidRDefault="005C75B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A3E" w14:textId="77777777" w:rsidR="008A3BAC" w:rsidRDefault="008A3BAC">
            <w:pPr>
              <w:jc w:val="right"/>
              <w:rPr>
                <w:rFonts w:ascii="宋体"/>
              </w:rPr>
            </w:pPr>
          </w:p>
        </w:tc>
      </w:tr>
    </w:tbl>
    <w:p w14:paraId="26E9CA40" w14:textId="77777777" w:rsidR="008A3BAC" w:rsidRDefault="005C75B9">
      <w:pPr>
        <w:spacing w:before="60" w:after="60"/>
        <w:ind w:hanging="360"/>
      </w:pPr>
      <w:r>
        <w:rPr>
          <w:rFonts w:ascii="Arial" w:eastAsia="宋体" w:hAnsi="Arial" w:cs="Arial"/>
          <w:i/>
          <w:iCs/>
          <w:color w:val="000000"/>
          <w:sz w:val="14"/>
          <w:szCs w:val="14"/>
        </w:rPr>
        <w:t>(1)If the foreign exchange derivative instruments had been netted on the U</w:t>
      </w:r>
      <w:r>
        <w:rPr>
          <w:rFonts w:ascii="Arial" w:eastAsia="宋体" w:hAnsi="Arial" w:cs="Arial"/>
          <w:i/>
          <w:iCs/>
          <w:color w:val="000000"/>
          <w:sz w:val="14"/>
          <w:szCs w:val="14"/>
        </w:rPr>
        <w:t>naudited Condensed Consolidated Balance Sheets, the asset and liability positions each would have been reduced by $107 million as of February 28, 2022. As of that date, the Company received $62 million of cash collateral from various counterparties related</w:t>
      </w:r>
      <w:r>
        <w:rPr>
          <w:rFonts w:ascii="Arial" w:eastAsia="宋体" w:hAnsi="Arial" w:cs="Arial"/>
          <w:i/>
          <w:iCs/>
          <w:color w:val="000000"/>
          <w:sz w:val="14"/>
          <w:szCs w:val="14"/>
        </w:rPr>
        <w:t xml:space="preserve"> to foreign exchange derivative instruments. No amount of collateral was posted on the derivative liability balance as of February 28, 2022.</w:t>
      </w:r>
    </w:p>
    <w:p w14:paraId="26E9CA41" w14:textId="77777777" w:rsidR="008A3BAC" w:rsidRDefault="005C75B9">
      <w:pPr>
        <w:spacing w:before="120" w:after="120"/>
        <w:jc w:val="right"/>
      </w:pPr>
      <w:r>
        <w:rPr>
          <w:rFonts w:ascii="Arial" w:eastAsia="宋体" w:hAnsi="Arial" w:cs="Arial"/>
          <w:color w:val="E87722"/>
          <w:sz w:val="17"/>
          <w:szCs w:val="17"/>
        </w:rPr>
        <w:t>9</w:t>
      </w:r>
    </w:p>
    <w:p w14:paraId="26E9CA42" w14:textId="77777777" w:rsidR="008A3BAC" w:rsidRDefault="005C75B9">
      <w:r>
        <w:pict w14:anchorId="26E9E850">
          <v:rect id="_x0000_i1035" style="width:415.3pt;height:1.5pt" o:hralign="center" o:hrstd="t" o:hr="t" fillcolor="#a0a0a0" stroked="f"/>
        </w:pict>
      </w:r>
    </w:p>
    <w:p w14:paraId="26E9CA43" w14:textId="77777777" w:rsidR="008A3BAC" w:rsidRDefault="008A3BAC"/>
    <w:p w14:paraId="26E9CA44" w14:textId="77777777" w:rsidR="008A3BAC" w:rsidRDefault="005C75B9">
      <w:hyperlink r:id="rId80" w:anchor="i46aba51c6a804f42b3595948c57d2023_7" w:history="1">
        <w:r>
          <w:rPr>
            <w:rStyle w:val="a5"/>
            <w:rFonts w:ascii="sans-serif" w:eastAsia="sans-serif" w:hAnsi="sans-serif" w:cs="sans-serif"/>
            <w:sz w:val="17"/>
            <w:szCs w:val="17"/>
          </w:rPr>
          <w:t>Table of Contents</w:t>
        </w:r>
      </w:hyperlink>
    </w:p>
    <w:p w14:paraId="26E9CA45" w14:textId="77777777" w:rsidR="008A3BAC" w:rsidRDefault="008A3BAC"/>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8A3BAC" w14:paraId="26E9CA5E" w14:textId="77777777">
        <w:tc>
          <w:tcPr>
            <w:tcW w:w="50" w:type="pct"/>
            <w:shd w:val="clear" w:color="auto" w:fill="auto"/>
            <w:vAlign w:val="bottom"/>
          </w:tcPr>
          <w:p w14:paraId="26E9CA46" w14:textId="77777777" w:rsidR="008A3BAC" w:rsidRDefault="008A3BAC">
            <w:pPr>
              <w:rPr>
                <w:rFonts w:ascii="宋体"/>
              </w:rPr>
            </w:pPr>
          </w:p>
        </w:tc>
        <w:tc>
          <w:tcPr>
            <w:tcW w:w="2047" w:type="pct"/>
            <w:shd w:val="clear" w:color="auto" w:fill="auto"/>
            <w:vAlign w:val="bottom"/>
          </w:tcPr>
          <w:p w14:paraId="26E9CA47" w14:textId="77777777" w:rsidR="008A3BAC" w:rsidRDefault="008A3BAC">
            <w:pPr>
              <w:rPr>
                <w:rFonts w:ascii="宋体"/>
              </w:rPr>
            </w:pPr>
          </w:p>
        </w:tc>
        <w:tc>
          <w:tcPr>
            <w:tcW w:w="5" w:type="pct"/>
            <w:shd w:val="clear" w:color="auto" w:fill="auto"/>
            <w:vAlign w:val="bottom"/>
          </w:tcPr>
          <w:p w14:paraId="26E9CA48" w14:textId="77777777" w:rsidR="008A3BAC" w:rsidRDefault="008A3BAC">
            <w:pPr>
              <w:rPr>
                <w:rFonts w:ascii="宋体"/>
              </w:rPr>
            </w:pPr>
          </w:p>
        </w:tc>
        <w:tc>
          <w:tcPr>
            <w:tcW w:w="50" w:type="pct"/>
            <w:shd w:val="clear" w:color="auto" w:fill="auto"/>
            <w:vAlign w:val="bottom"/>
          </w:tcPr>
          <w:p w14:paraId="26E9CA49" w14:textId="77777777" w:rsidR="008A3BAC" w:rsidRDefault="008A3BAC">
            <w:pPr>
              <w:rPr>
                <w:rFonts w:ascii="宋体"/>
              </w:rPr>
            </w:pPr>
          </w:p>
        </w:tc>
        <w:tc>
          <w:tcPr>
            <w:tcW w:w="408" w:type="pct"/>
            <w:shd w:val="clear" w:color="auto" w:fill="auto"/>
            <w:vAlign w:val="bottom"/>
          </w:tcPr>
          <w:p w14:paraId="26E9CA4A" w14:textId="77777777" w:rsidR="008A3BAC" w:rsidRDefault="008A3BAC">
            <w:pPr>
              <w:rPr>
                <w:rFonts w:ascii="宋体"/>
              </w:rPr>
            </w:pPr>
          </w:p>
        </w:tc>
        <w:tc>
          <w:tcPr>
            <w:tcW w:w="5" w:type="pct"/>
            <w:shd w:val="clear" w:color="auto" w:fill="auto"/>
            <w:vAlign w:val="bottom"/>
          </w:tcPr>
          <w:p w14:paraId="26E9CA4B" w14:textId="77777777" w:rsidR="008A3BAC" w:rsidRDefault="008A3BAC">
            <w:pPr>
              <w:rPr>
                <w:rFonts w:ascii="宋体"/>
              </w:rPr>
            </w:pPr>
          </w:p>
        </w:tc>
        <w:tc>
          <w:tcPr>
            <w:tcW w:w="50" w:type="pct"/>
            <w:shd w:val="clear" w:color="auto" w:fill="auto"/>
            <w:vAlign w:val="bottom"/>
          </w:tcPr>
          <w:p w14:paraId="26E9CA4C" w14:textId="77777777" w:rsidR="008A3BAC" w:rsidRDefault="008A3BAC">
            <w:pPr>
              <w:rPr>
                <w:rFonts w:ascii="宋体"/>
              </w:rPr>
            </w:pPr>
          </w:p>
        </w:tc>
        <w:tc>
          <w:tcPr>
            <w:tcW w:w="408" w:type="pct"/>
            <w:shd w:val="clear" w:color="auto" w:fill="auto"/>
            <w:vAlign w:val="bottom"/>
          </w:tcPr>
          <w:p w14:paraId="26E9CA4D" w14:textId="77777777" w:rsidR="008A3BAC" w:rsidRDefault="008A3BAC">
            <w:pPr>
              <w:rPr>
                <w:rFonts w:ascii="宋体"/>
              </w:rPr>
            </w:pPr>
          </w:p>
        </w:tc>
        <w:tc>
          <w:tcPr>
            <w:tcW w:w="5" w:type="pct"/>
            <w:shd w:val="clear" w:color="auto" w:fill="auto"/>
            <w:vAlign w:val="bottom"/>
          </w:tcPr>
          <w:p w14:paraId="26E9CA4E" w14:textId="77777777" w:rsidR="008A3BAC" w:rsidRDefault="008A3BAC">
            <w:pPr>
              <w:rPr>
                <w:rFonts w:ascii="宋体"/>
              </w:rPr>
            </w:pPr>
          </w:p>
        </w:tc>
        <w:tc>
          <w:tcPr>
            <w:tcW w:w="50" w:type="pct"/>
            <w:shd w:val="clear" w:color="auto" w:fill="auto"/>
            <w:vAlign w:val="bottom"/>
          </w:tcPr>
          <w:p w14:paraId="26E9CA4F" w14:textId="77777777" w:rsidR="008A3BAC" w:rsidRDefault="008A3BAC">
            <w:pPr>
              <w:rPr>
                <w:rFonts w:ascii="宋体"/>
              </w:rPr>
            </w:pPr>
          </w:p>
        </w:tc>
        <w:tc>
          <w:tcPr>
            <w:tcW w:w="447" w:type="pct"/>
            <w:shd w:val="clear" w:color="auto" w:fill="auto"/>
            <w:vAlign w:val="bottom"/>
          </w:tcPr>
          <w:p w14:paraId="26E9CA50" w14:textId="77777777" w:rsidR="008A3BAC" w:rsidRDefault="008A3BAC">
            <w:pPr>
              <w:rPr>
                <w:rFonts w:ascii="宋体"/>
              </w:rPr>
            </w:pPr>
          </w:p>
        </w:tc>
        <w:tc>
          <w:tcPr>
            <w:tcW w:w="5" w:type="pct"/>
            <w:shd w:val="clear" w:color="auto" w:fill="auto"/>
            <w:vAlign w:val="bottom"/>
          </w:tcPr>
          <w:p w14:paraId="26E9CA51" w14:textId="77777777" w:rsidR="008A3BAC" w:rsidRDefault="008A3BAC">
            <w:pPr>
              <w:rPr>
                <w:rFonts w:ascii="宋体"/>
              </w:rPr>
            </w:pPr>
          </w:p>
        </w:tc>
        <w:tc>
          <w:tcPr>
            <w:tcW w:w="5" w:type="pct"/>
            <w:shd w:val="clear" w:color="auto" w:fill="auto"/>
            <w:vAlign w:val="bottom"/>
          </w:tcPr>
          <w:p w14:paraId="26E9CA52" w14:textId="77777777" w:rsidR="008A3BAC" w:rsidRDefault="008A3BAC">
            <w:pPr>
              <w:rPr>
                <w:rFonts w:ascii="宋体"/>
              </w:rPr>
            </w:pPr>
          </w:p>
        </w:tc>
        <w:tc>
          <w:tcPr>
            <w:tcW w:w="28" w:type="pct"/>
            <w:shd w:val="clear" w:color="auto" w:fill="auto"/>
            <w:vAlign w:val="bottom"/>
          </w:tcPr>
          <w:p w14:paraId="26E9CA53" w14:textId="77777777" w:rsidR="008A3BAC" w:rsidRDefault="008A3BAC">
            <w:pPr>
              <w:rPr>
                <w:rFonts w:ascii="宋体"/>
              </w:rPr>
            </w:pPr>
          </w:p>
        </w:tc>
        <w:tc>
          <w:tcPr>
            <w:tcW w:w="5" w:type="pct"/>
            <w:shd w:val="clear" w:color="auto" w:fill="auto"/>
            <w:vAlign w:val="bottom"/>
          </w:tcPr>
          <w:p w14:paraId="26E9CA54" w14:textId="77777777" w:rsidR="008A3BAC" w:rsidRDefault="008A3BAC">
            <w:pPr>
              <w:rPr>
                <w:rFonts w:ascii="宋体"/>
              </w:rPr>
            </w:pPr>
          </w:p>
        </w:tc>
        <w:tc>
          <w:tcPr>
            <w:tcW w:w="50" w:type="pct"/>
            <w:shd w:val="clear" w:color="auto" w:fill="auto"/>
            <w:vAlign w:val="bottom"/>
          </w:tcPr>
          <w:p w14:paraId="26E9CA55" w14:textId="77777777" w:rsidR="008A3BAC" w:rsidRDefault="008A3BAC">
            <w:pPr>
              <w:rPr>
                <w:rFonts w:ascii="宋体"/>
              </w:rPr>
            </w:pPr>
          </w:p>
        </w:tc>
        <w:tc>
          <w:tcPr>
            <w:tcW w:w="408" w:type="pct"/>
            <w:shd w:val="clear" w:color="auto" w:fill="auto"/>
            <w:vAlign w:val="bottom"/>
          </w:tcPr>
          <w:p w14:paraId="26E9CA56" w14:textId="77777777" w:rsidR="008A3BAC" w:rsidRDefault="008A3BAC">
            <w:pPr>
              <w:rPr>
                <w:rFonts w:ascii="宋体"/>
              </w:rPr>
            </w:pPr>
          </w:p>
        </w:tc>
        <w:tc>
          <w:tcPr>
            <w:tcW w:w="5" w:type="pct"/>
            <w:shd w:val="clear" w:color="auto" w:fill="auto"/>
            <w:vAlign w:val="bottom"/>
          </w:tcPr>
          <w:p w14:paraId="26E9CA57" w14:textId="77777777" w:rsidR="008A3BAC" w:rsidRDefault="008A3BAC">
            <w:pPr>
              <w:rPr>
                <w:rFonts w:ascii="宋体"/>
              </w:rPr>
            </w:pPr>
          </w:p>
        </w:tc>
        <w:tc>
          <w:tcPr>
            <w:tcW w:w="50" w:type="pct"/>
            <w:shd w:val="clear" w:color="auto" w:fill="auto"/>
            <w:vAlign w:val="bottom"/>
          </w:tcPr>
          <w:p w14:paraId="26E9CA58" w14:textId="77777777" w:rsidR="008A3BAC" w:rsidRDefault="008A3BAC">
            <w:pPr>
              <w:rPr>
                <w:rFonts w:ascii="宋体"/>
              </w:rPr>
            </w:pPr>
          </w:p>
        </w:tc>
        <w:tc>
          <w:tcPr>
            <w:tcW w:w="408" w:type="pct"/>
            <w:shd w:val="clear" w:color="auto" w:fill="auto"/>
            <w:vAlign w:val="bottom"/>
          </w:tcPr>
          <w:p w14:paraId="26E9CA59" w14:textId="77777777" w:rsidR="008A3BAC" w:rsidRDefault="008A3BAC">
            <w:pPr>
              <w:rPr>
                <w:rFonts w:ascii="宋体"/>
              </w:rPr>
            </w:pPr>
          </w:p>
        </w:tc>
        <w:tc>
          <w:tcPr>
            <w:tcW w:w="5" w:type="pct"/>
            <w:shd w:val="clear" w:color="auto" w:fill="auto"/>
            <w:vAlign w:val="bottom"/>
          </w:tcPr>
          <w:p w14:paraId="26E9CA5A" w14:textId="77777777" w:rsidR="008A3BAC" w:rsidRDefault="008A3BAC">
            <w:pPr>
              <w:rPr>
                <w:rFonts w:ascii="宋体"/>
              </w:rPr>
            </w:pPr>
          </w:p>
        </w:tc>
        <w:tc>
          <w:tcPr>
            <w:tcW w:w="50" w:type="pct"/>
            <w:shd w:val="clear" w:color="auto" w:fill="auto"/>
            <w:vAlign w:val="bottom"/>
          </w:tcPr>
          <w:p w14:paraId="26E9CA5B" w14:textId="77777777" w:rsidR="008A3BAC" w:rsidRDefault="008A3BAC">
            <w:pPr>
              <w:rPr>
                <w:rFonts w:ascii="宋体"/>
              </w:rPr>
            </w:pPr>
          </w:p>
        </w:tc>
        <w:tc>
          <w:tcPr>
            <w:tcW w:w="447" w:type="pct"/>
            <w:shd w:val="clear" w:color="auto" w:fill="auto"/>
            <w:vAlign w:val="bottom"/>
          </w:tcPr>
          <w:p w14:paraId="26E9CA5C" w14:textId="77777777" w:rsidR="008A3BAC" w:rsidRDefault="008A3BAC">
            <w:pPr>
              <w:rPr>
                <w:rFonts w:ascii="宋体"/>
              </w:rPr>
            </w:pPr>
          </w:p>
        </w:tc>
        <w:tc>
          <w:tcPr>
            <w:tcW w:w="5" w:type="pct"/>
            <w:shd w:val="clear" w:color="auto" w:fill="auto"/>
            <w:vAlign w:val="bottom"/>
          </w:tcPr>
          <w:p w14:paraId="26E9CA5D" w14:textId="77777777" w:rsidR="008A3BAC" w:rsidRDefault="008A3BAC">
            <w:pPr>
              <w:rPr>
                <w:rFonts w:ascii="宋体"/>
              </w:rPr>
            </w:pPr>
          </w:p>
        </w:tc>
      </w:tr>
      <w:tr w:rsidR="008A3BAC" w14:paraId="26E9CA61" w14:textId="77777777">
        <w:tc>
          <w:tcPr>
            <w:tcW w:w="0" w:type="auto"/>
            <w:gridSpan w:val="3"/>
            <w:shd w:val="clear" w:color="auto" w:fill="auto"/>
            <w:tcMar>
              <w:top w:w="0" w:type="dxa"/>
              <w:left w:w="20" w:type="dxa"/>
              <w:bottom w:w="0" w:type="dxa"/>
              <w:right w:w="20" w:type="dxa"/>
            </w:tcMar>
            <w:vAlign w:val="bottom"/>
          </w:tcPr>
          <w:p w14:paraId="26E9CA5F" w14:textId="77777777" w:rsidR="008A3BAC" w:rsidRDefault="008A3BAC">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6E9CA60" w14:textId="77777777" w:rsidR="008A3BAC" w:rsidRDefault="005C75B9">
            <w:pPr>
              <w:jc w:val="center"/>
              <w:textAlignment w:val="bottom"/>
            </w:pPr>
            <w:r>
              <w:rPr>
                <w:rFonts w:ascii="sans-serif" w:eastAsia="sans-serif" w:hAnsi="sans-serif" w:cs="sans-serif"/>
                <w:b/>
                <w:bCs/>
                <w:color w:val="000000"/>
                <w:sz w:val="17"/>
                <w:szCs w:val="17"/>
              </w:rPr>
              <w:t>MAY 31, 2021</w:t>
            </w:r>
          </w:p>
        </w:tc>
      </w:tr>
      <w:tr w:rsidR="008A3BAC" w14:paraId="26E9CA66" w14:textId="77777777">
        <w:tc>
          <w:tcPr>
            <w:tcW w:w="0" w:type="auto"/>
            <w:gridSpan w:val="3"/>
            <w:shd w:val="clear" w:color="auto" w:fill="auto"/>
            <w:tcMar>
              <w:top w:w="0" w:type="dxa"/>
              <w:left w:w="20" w:type="dxa"/>
              <w:bottom w:w="0" w:type="dxa"/>
              <w:right w:w="20" w:type="dxa"/>
            </w:tcMar>
            <w:vAlign w:val="bottom"/>
          </w:tcPr>
          <w:p w14:paraId="26E9CA62" w14:textId="77777777" w:rsidR="008A3BAC" w:rsidRDefault="008A3BA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6E9CA63" w14:textId="77777777" w:rsidR="008A3BAC" w:rsidRDefault="005C75B9">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64" w14:textId="77777777" w:rsidR="008A3BAC" w:rsidRDefault="008A3BAC">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6E9CA65" w14:textId="77777777" w:rsidR="008A3BAC" w:rsidRDefault="005C75B9">
            <w:pPr>
              <w:jc w:val="center"/>
              <w:textAlignment w:val="bottom"/>
            </w:pPr>
            <w:r>
              <w:rPr>
                <w:rFonts w:ascii="sans-serif" w:eastAsia="sans-serif" w:hAnsi="sans-serif" w:cs="sans-serif"/>
                <w:b/>
                <w:bCs/>
                <w:color w:val="000000"/>
                <w:sz w:val="17"/>
                <w:szCs w:val="17"/>
              </w:rPr>
              <w:t>DERIVATIVE LIABILITIES</w:t>
            </w:r>
          </w:p>
        </w:tc>
      </w:tr>
      <w:tr w:rsidR="008A3BAC" w14:paraId="26E9CA6F" w14:textId="77777777">
        <w:tc>
          <w:tcPr>
            <w:tcW w:w="0" w:type="auto"/>
            <w:gridSpan w:val="3"/>
            <w:shd w:val="clear" w:color="auto" w:fill="auto"/>
            <w:tcMar>
              <w:top w:w="40" w:type="dxa"/>
              <w:left w:w="20" w:type="dxa"/>
              <w:bottom w:w="40" w:type="dxa"/>
              <w:right w:w="20" w:type="dxa"/>
            </w:tcMar>
            <w:vAlign w:val="bottom"/>
          </w:tcPr>
          <w:p w14:paraId="26E9CA67"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8" w14:textId="77777777" w:rsidR="008A3BAC" w:rsidRDefault="005C75B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9" w14:textId="77777777" w:rsidR="008A3BAC" w:rsidRDefault="005C75B9">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A" w14:textId="77777777" w:rsidR="008A3BAC" w:rsidRDefault="005C75B9">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6E9CA6B"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C" w14:textId="77777777" w:rsidR="008A3BAC" w:rsidRDefault="005C75B9">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D" w14:textId="77777777" w:rsidR="008A3BAC" w:rsidRDefault="005C75B9">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6E" w14:textId="77777777" w:rsidR="008A3BAC" w:rsidRDefault="005C75B9">
            <w:pPr>
              <w:jc w:val="right"/>
              <w:textAlignment w:val="bottom"/>
            </w:pPr>
            <w:r>
              <w:rPr>
                <w:rFonts w:ascii="sans-serif" w:eastAsia="sans-serif" w:hAnsi="sans-serif" w:cs="sans-serif"/>
                <w:b/>
                <w:bCs/>
                <w:color w:val="000000"/>
                <w:sz w:val="17"/>
                <w:szCs w:val="17"/>
              </w:rPr>
              <w:t>OTHER LONG-TERM LIABILITIES</w:t>
            </w:r>
          </w:p>
        </w:tc>
      </w:tr>
      <w:tr w:rsidR="008A3BAC" w14:paraId="26E9CA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70" w14:textId="77777777" w:rsidR="008A3BAC" w:rsidRDefault="005C75B9">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5"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A77" w14:textId="77777777" w:rsidR="008A3BAC" w:rsidRDefault="008A3BAC">
            <w:pPr>
              <w:rPr>
                <w:rFonts w:ascii="宋体"/>
              </w:rPr>
            </w:pPr>
          </w:p>
        </w:tc>
      </w:tr>
      <w:tr w:rsidR="008A3BAC" w14:paraId="26E9CA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A79" w14:textId="77777777" w:rsidR="008A3BAC" w:rsidRDefault="005C75B9">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26E9CA7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7B" w14:textId="77777777" w:rsidR="008A3BAC" w:rsidRDefault="005C75B9">
            <w:pPr>
              <w:jc w:val="right"/>
              <w:textAlignment w:val="bottom"/>
            </w:pPr>
            <w:r>
              <w:rPr>
                <w:rFonts w:ascii="Arial" w:eastAsia="宋体" w:hAnsi="Arial" w:cs="Arial"/>
                <w:color w:val="000000"/>
                <w:sz w:val="17"/>
                <w:szCs w:val="17"/>
              </w:rPr>
              <w:t>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7C"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A7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7E" w14:textId="77777777" w:rsidR="008A3BAC" w:rsidRDefault="005C75B9">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7F"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A8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81"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8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A83"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A8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85" w14:textId="77777777" w:rsidR="008A3BAC" w:rsidRDefault="005C75B9">
            <w:pPr>
              <w:jc w:val="right"/>
              <w:textAlignment w:val="bottom"/>
            </w:pPr>
            <w:r>
              <w:rPr>
                <w:rFonts w:ascii="Arial" w:eastAsia="宋体" w:hAnsi="Arial" w:cs="Arial"/>
                <w:color w:val="000000"/>
                <w:sz w:val="17"/>
                <w:szCs w:val="17"/>
              </w:rPr>
              <w:t>456 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86"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A8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88" w14:textId="77777777" w:rsidR="008A3BAC" w:rsidRDefault="005C75B9">
            <w:pPr>
              <w:jc w:val="right"/>
              <w:textAlignment w:val="bottom"/>
            </w:pPr>
            <w:r>
              <w:rPr>
                <w:rFonts w:ascii="Arial" w:eastAsia="宋体" w:hAnsi="Arial" w:cs="Arial"/>
                <w:color w:val="000000"/>
                <w:sz w:val="17"/>
                <w:szCs w:val="17"/>
              </w:rPr>
              <w:t>415 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8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A8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A8B"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8C" w14:textId="77777777" w:rsidR="008A3BAC" w:rsidRDefault="008A3BAC">
            <w:pPr>
              <w:jc w:val="right"/>
              <w:rPr>
                <w:rFonts w:ascii="宋体"/>
              </w:rPr>
            </w:pPr>
          </w:p>
        </w:tc>
      </w:tr>
      <w:tr w:rsidR="008A3BAC" w14:paraId="26E9CA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A8E" w14:textId="77777777" w:rsidR="008A3BAC" w:rsidRDefault="005C75B9">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8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9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9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A95"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96"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98"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A9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A9B" w14:textId="77777777" w:rsidR="008A3BAC" w:rsidRDefault="008A3BAC">
            <w:pPr>
              <w:jc w:val="right"/>
              <w:rPr>
                <w:rFonts w:ascii="宋体"/>
              </w:rPr>
            </w:pPr>
          </w:p>
        </w:tc>
      </w:tr>
      <w:tr w:rsidR="008A3BAC" w14:paraId="26E9CAB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A9D" w14:textId="77777777" w:rsidR="008A3BAC" w:rsidRDefault="005C75B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9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9F" w14:textId="77777777" w:rsidR="008A3BAC" w:rsidRDefault="005C75B9">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A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A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A2" w14:textId="77777777" w:rsidR="008A3BAC" w:rsidRDefault="005C75B9">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A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A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A5" w14:textId="77777777" w:rsidR="008A3BAC" w:rsidRDefault="005C75B9">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A6"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AA7"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A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A9" w14:textId="77777777" w:rsidR="008A3BAC" w:rsidRDefault="005C75B9">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A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A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AC" w14:textId="77777777" w:rsidR="008A3BAC" w:rsidRDefault="005C75B9">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A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AA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AAF" w14:textId="77777777" w:rsidR="008A3BAC" w:rsidRDefault="005C75B9">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AB0" w14:textId="77777777" w:rsidR="008A3BAC" w:rsidRDefault="008A3BAC">
            <w:pPr>
              <w:jc w:val="right"/>
              <w:rPr>
                <w:rFonts w:ascii="宋体"/>
              </w:rPr>
            </w:pPr>
          </w:p>
        </w:tc>
      </w:tr>
    </w:tbl>
    <w:p w14:paraId="26E9CAB2" w14:textId="77777777" w:rsidR="008A3BAC" w:rsidRDefault="005C75B9">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$93 million as of May 31, 2021. As of that date, the Company had posted $39 million of cash collateral to various counterparties related to foreign exchange deriv</w:t>
      </w:r>
      <w:r>
        <w:rPr>
          <w:rFonts w:ascii="Arial" w:eastAsia="宋体" w:hAnsi="Arial" w:cs="Arial"/>
          <w:i/>
          <w:iCs/>
          <w:color w:val="000000"/>
          <w:sz w:val="14"/>
          <w:szCs w:val="14"/>
        </w:rPr>
        <w:t xml:space="preserve">ative instruments. No amount of collateral was received on the Company's derivative asset balance as of May 31, 2021. </w:t>
      </w:r>
    </w:p>
    <w:p w14:paraId="26E9CAB3" w14:textId="77777777" w:rsidR="008A3BAC" w:rsidRDefault="005C75B9">
      <w:pPr>
        <w:spacing w:before="120" w:after="120"/>
      </w:pPr>
      <w:r>
        <w:rPr>
          <w:rFonts w:ascii="Arial" w:eastAsia="宋体" w:hAnsi="Arial" w:cs="Arial"/>
          <w:color w:val="000000"/>
          <w:sz w:val="17"/>
          <w:szCs w:val="17"/>
        </w:rPr>
        <w:t>For additional information related to the Company's derivative financial instruments and credit risk, refer to Note 9 — Risk Management a</w:t>
      </w:r>
      <w:r>
        <w:rPr>
          <w:rFonts w:ascii="Arial" w:eastAsia="宋体" w:hAnsi="Arial" w:cs="Arial"/>
          <w:color w:val="000000"/>
          <w:sz w:val="17"/>
          <w:szCs w:val="17"/>
        </w:rPr>
        <w:t xml:space="preserve">nd Derivatives. </w:t>
      </w:r>
    </w:p>
    <w:p w14:paraId="26E9CAB4" w14:textId="77777777" w:rsidR="008A3BAC" w:rsidRDefault="005C75B9">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26E9CAB5" w14:textId="77777777" w:rsidR="008A3BAC" w:rsidRDefault="005C75B9">
      <w:pPr>
        <w:spacing w:before="240" w:after="120"/>
      </w:pPr>
      <w:r>
        <w:rPr>
          <w:rFonts w:ascii="sans-serif" w:eastAsia="sans-serif" w:hAnsi="sans-serif" w:cs="sans-serif"/>
          <w:b/>
          <w:bCs/>
          <w:color w:val="000000"/>
          <w:sz w:val="28"/>
          <w:szCs w:val="28"/>
        </w:rPr>
        <w:t>FINANCIAL ASSETS AND LIABILITIES NOT RECORDED AT FAIR VALUE</w:t>
      </w:r>
    </w:p>
    <w:p w14:paraId="26E9CAB6" w14:textId="77777777" w:rsidR="008A3BAC" w:rsidRDefault="005C75B9">
      <w:pPr>
        <w:spacing w:before="120" w:after="120"/>
      </w:pPr>
      <w:r>
        <w:rPr>
          <w:rFonts w:ascii="Arial" w:eastAsia="宋体" w:hAnsi="Arial" w:cs="Arial"/>
          <w:color w:val="000000"/>
          <w:sz w:val="17"/>
          <w:szCs w:val="17"/>
        </w:rPr>
        <w:t>The Company's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recorded at adjusted cost, </w:t>
      </w:r>
      <w:r>
        <w:rPr>
          <w:rFonts w:ascii="Arial" w:eastAsia="宋体" w:hAnsi="Arial" w:cs="Arial"/>
          <w:color w:val="000000"/>
          <w:sz w:val="17"/>
          <w:szCs w:val="17"/>
        </w:rPr>
        <w:t>net of unamortized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w:t>
      </w:r>
      <w:r>
        <w:rPr>
          <w:rFonts w:ascii="Arial" w:eastAsia="宋体" w:hAnsi="Arial" w:cs="Arial"/>
          <w:color w:val="000000"/>
          <w:sz w:val="17"/>
          <w:szCs w:val="17"/>
        </w:rPr>
        <w:t>ompany's Long-term debt, including the current portion, was approximately $9,719 million at February 28, 2022 and $10,275 million at May 31, 2021.</w:t>
      </w:r>
    </w:p>
    <w:p w14:paraId="26E9CAB7" w14:textId="77777777" w:rsidR="008A3BAC" w:rsidRDefault="005C75B9">
      <w:pPr>
        <w:spacing w:before="120" w:after="120"/>
      </w:pPr>
      <w:r>
        <w:rPr>
          <w:rFonts w:ascii="Arial" w:eastAsia="宋体" w:hAnsi="Arial" w:cs="Arial"/>
          <w:color w:val="000000"/>
          <w:sz w:val="17"/>
          <w:szCs w:val="17"/>
        </w:rPr>
        <w:t>For fair value information regarding Notes payable, refer to Note 5 — Short-Term Borrowings and Credit Lines.</w:t>
      </w:r>
    </w:p>
    <w:p w14:paraId="26E9CAB8" w14:textId="77777777" w:rsidR="008A3BAC" w:rsidRDefault="008A3BAC">
      <w:pPr>
        <w:spacing w:before="120" w:after="12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ABC" w14:textId="77777777">
        <w:tc>
          <w:tcPr>
            <w:tcW w:w="50" w:type="pct"/>
            <w:shd w:val="clear" w:color="auto" w:fill="auto"/>
            <w:vAlign w:val="bottom"/>
          </w:tcPr>
          <w:p w14:paraId="26E9CAB9" w14:textId="77777777" w:rsidR="008A3BAC" w:rsidRDefault="008A3BAC">
            <w:pPr>
              <w:rPr>
                <w:rFonts w:ascii="宋体"/>
              </w:rPr>
            </w:pPr>
          </w:p>
        </w:tc>
        <w:tc>
          <w:tcPr>
            <w:tcW w:w="4945" w:type="pct"/>
            <w:shd w:val="clear" w:color="auto" w:fill="auto"/>
            <w:vAlign w:val="bottom"/>
          </w:tcPr>
          <w:p w14:paraId="26E9CABA" w14:textId="77777777" w:rsidR="008A3BAC" w:rsidRDefault="008A3BAC">
            <w:pPr>
              <w:rPr>
                <w:rFonts w:ascii="宋体"/>
              </w:rPr>
            </w:pPr>
          </w:p>
        </w:tc>
        <w:tc>
          <w:tcPr>
            <w:tcW w:w="5" w:type="pct"/>
            <w:shd w:val="clear" w:color="auto" w:fill="auto"/>
            <w:vAlign w:val="bottom"/>
          </w:tcPr>
          <w:p w14:paraId="26E9CABB" w14:textId="77777777" w:rsidR="008A3BAC" w:rsidRDefault="008A3BAC">
            <w:pPr>
              <w:rPr>
                <w:rFonts w:ascii="宋体"/>
              </w:rPr>
            </w:pPr>
          </w:p>
        </w:tc>
      </w:tr>
      <w:tr w:rsidR="008A3BAC" w14:paraId="26E9CABE" w14:textId="77777777">
        <w:tc>
          <w:tcPr>
            <w:tcW w:w="0" w:type="auto"/>
            <w:gridSpan w:val="3"/>
            <w:shd w:val="clear" w:color="auto" w:fill="auto"/>
            <w:tcMar>
              <w:top w:w="40" w:type="dxa"/>
              <w:left w:w="20" w:type="dxa"/>
              <w:bottom w:w="40" w:type="dxa"/>
              <w:right w:w="20" w:type="dxa"/>
            </w:tcMar>
            <w:vAlign w:val="bottom"/>
          </w:tcPr>
          <w:p w14:paraId="26E9CABD" w14:textId="77777777" w:rsidR="008A3BAC" w:rsidRDefault="005C75B9">
            <w:pPr>
              <w:textAlignment w:val="bottom"/>
            </w:pPr>
            <w:r>
              <w:rPr>
                <w:rFonts w:ascii="sans-serif" w:eastAsia="sans-serif" w:hAnsi="sans-serif" w:cs="sans-serif"/>
                <w:b/>
                <w:bCs/>
                <w:color w:val="E87722"/>
                <w:sz w:val="36"/>
                <w:szCs w:val="36"/>
              </w:rPr>
              <w:t>NOTE 5 — SHORT-TERM BORROWINGS AND CREDIT LINES</w:t>
            </w:r>
          </w:p>
        </w:tc>
      </w:tr>
    </w:tbl>
    <w:p w14:paraId="26E9CABF" w14:textId="77777777" w:rsidR="008A3BAC" w:rsidRDefault="005C75B9">
      <w:pPr>
        <w:spacing w:before="120" w:after="120"/>
      </w:pPr>
      <w:r>
        <w:rPr>
          <w:rFonts w:ascii="Arial" w:eastAsia="宋体" w:hAnsi="Arial" w:cs="Arial"/>
          <w:color w:val="000000"/>
          <w:sz w:val="17"/>
          <w:szCs w:val="17"/>
        </w:rPr>
        <w:t xml:space="preserve">The carrying amounts reflected on the Unaudited Condensed Consolidated Balance Sheets for Notes payable approximate fair value. </w:t>
      </w:r>
    </w:p>
    <w:p w14:paraId="26E9CAC0" w14:textId="77777777" w:rsidR="008A3BAC" w:rsidRDefault="005C75B9">
      <w:pPr>
        <w:spacing w:before="120" w:after="120"/>
      </w:pPr>
      <w:r>
        <w:rPr>
          <w:rFonts w:ascii="Arial" w:eastAsia="宋体" w:hAnsi="Arial" w:cs="Arial"/>
          <w:color w:val="000000"/>
          <w:sz w:val="17"/>
          <w:szCs w:val="17"/>
        </w:rPr>
        <w:t>As of February 28, 2022 and May 31, 2021, the Company had no borrowings outstanding under its $3 billion commercial paper progr</w:t>
      </w:r>
      <w:r>
        <w:rPr>
          <w:rFonts w:ascii="Arial" w:eastAsia="宋体" w:hAnsi="Arial" w:cs="Arial"/>
          <w:color w:val="000000"/>
          <w:sz w:val="17"/>
          <w:szCs w:val="17"/>
        </w:rPr>
        <w:t>am.</w:t>
      </w:r>
    </w:p>
    <w:p w14:paraId="26E9CAC1" w14:textId="77777777" w:rsidR="008A3BAC" w:rsidRDefault="005C75B9">
      <w:pPr>
        <w:spacing w:before="120" w:after="120"/>
      </w:pPr>
      <w:r>
        <w:rPr>
          <w:rFonts w:ascii="Arial" w:eastAsia="宋体" w:hAnsi="Arial" w:cs="Arial"/>
          <w:color w:val="000000"/>
          <w:sz w:val="17"/>
          <w:szCs w:val="17"/>
        </w:rPr>
        <w:t>On March 11, 2022, subsequent to the end of the third quarter of fiscal 2022, the Company entered into a 364-day committed credit facility agreement with a syndicate of banks, which provides for up to $1 billion of borrowings, with an option to increas</w:t>
      </w:r>
      <w:r>
        <w:rPr>
          <w:rFonts w:ascii="Arial" w:eastAsia="宋体" w:hAnsi="Arial" w:cs="Arial"/>
          <w:color w:val="000000"/>
          <w:sz w:val="17"/>
          <w:szCs w:val="17"/>
        </w:rPr>
        <w:t xml:space="preserve">e borrowings up to $1.5 billion in total with lender approval. The facility matures on March 10, 2023, with an option to extend the maturity date an additional 364 days. This facility replaces the prior $1 billion 364-day credit facility agreement entered </w:t>
      </w:r>
      <w:r>
        <w:rPr>
          <w:rFonts w:ascii="Arial" w:eastAsia="宋体" w:hAnsi="Arial" w:cs="Arial"/>
          <w:color w:val="000000"/>
          <w:sz w:val="17"/>
          <w:szCs w:val="17"/>
        </w:rPr>
        <w:t>into on March 15, 2021, which would have matured on March 14, 2022. Based on the Company's current long-term senior unsecured debt ratings of AA- and A1 from Standard and Poor's Corporation and Moody's Investor Services, respectively, the interest rate cha</w:t>
      </w:r>
      <w:r>
        <w:rPr>
          <w:rFonts w:ascii="Arial" w:eastAsia="宋体" w:hAnsi="Arial" w:cs="Arial"/>
          <w:color w:val="000000"/>
          <w:sz w:val="17"/>
          <w:szCs w:val="17"/>
        </w:rPr>
        <w:t>rged on any outstanding borrowings would be the prevailing Term Secured Overnight Financing Rate (Term SOFR) for the applicable interest period plus 0.60%. The facility fee is 0.02% of the total undrawn commitment. As of April 5, 2022, no amounts were outs</w:t>
      </w:r>
      <w:r>
        <w:rPr>
          <w:rFonts w:ascii="Arial" w:eastAsia="宋体" w:hAnsi="Arial" w:cs="Arial"/>
          <w:color w:val="000000"/>
          <w:sz w:val="17"/>
          <w:szCs w:val="17"/>
        </w:rPr>
        <w:t>tanding under this committed credit facility.</w:t>
      </w:r>
    </w:p>
    <w:p w14:paraId="26E9CAC2" w14:textId="77777777" w:rsidR="008A3BAC" w:rsidRDefault="005C75B9">
      <w:pPr>
        <w:spacing w:before="120" w:after="120"/>
      </w:pPr>
      <w:r>
        <w:rPr>
          <w:rFonts w:ascii="Arial" w:eastAsia="宋体" w:hAnsi="Arial" w:cs="Arial"/>
          <w:color w:val="000000"/>
          <w:sz w:val="17"/>
          <w:szCs w:val="17"/>
        </w:rPr>
        <w:t>On March 11, 2022, the Company also entered into a five-year committed credit facility agreement with a syndicate of banks which provides for up to $2 billion of borrowings, with the option to increase borrowin</w:t>
      </w:r>
      <w:r>
        <w:rPr>
          <w:rFonts w:ascii="Arial" w:eastAsia="宋体" w:hAnsi="Arial" w:cs="Arial"/>
          <w:color w:val="000000"/>
          <w:sz w:val="17"/>
          <w:szCs w:val="17"/>
        </w:rPr>
        <w:t xml:space="preserve">gs up to $3 billion in total with lender approval. The facility matures on March 11, 2027, with options to extend the maturity date up to an additional two years. This facility replaces the prior $2 billion five-year credit facility agreement entered into </w:t>
      </w:r>
      <w:r>
        <w:rPr>
          <w:rFonts w:ascii="Arial" w:eastAsia="宋体" w:hAnsi="Arial" w:cs="Arial"/>
          <w:color w:val="000000"/>
          <w:sz w:val="17"/>
          <w:szCs w:val="17"/>
        </w:rPr>
        <w:t>on August 16, 2019, which would have matured on August 16, 2024. Based on the Company's current long-term senior unsecured debt ratings of AA- and A1 from Standard and Poor's Corporation and Moody's Investor Services, respectively, the interest rate charge</w:t>
      </w:r>
      <w:r>
        <w:rPr>
          <w:rFonts w:ascii="Arial" w:eastAsia="宋体" w:hAnsi="Arial" w:cs="Arial"/>
          <w:color w:val="000000"/>
          <w:sz w:val="17"/>
          <w:szCs w:val="17"/>
        </w:rPr>
        <w:t>d on any outstanding borrowings would be the prevailing Term SOFR for the applicable interest period plus 0.60%. The facility fee is 0.04% of the total undrawn commitment. As of April 5, 2022, no amounts were outstanding under this committed credit facilit</w:t>
      </w:r>
      <w:r>
        <w:rPr>
          <w:rFonts w:ascii="Arial" w:eastAsia="宋体" w:hAnsi="Arial" w:cs="Arial"/>
          <w:color w:val="000000"/>
          <w:sz w:val="17"/>
          <w:szCs w:val="17"/>
        </w:rPr>
        <w:t>y.</w:t>
      </w:r>
    </w:p>
    <w:p w14:paraId="26E9CAC3" w14:textId="77777777" w:rsidR="008A3BAC" w:rsidRDefault="005C75B9">
      <w:pPr>
        <w:spacing w:before="120" w:after="120"/>
      </w:pPr>
      <w:r>
        <w:rPr>
          <w:rFonts w:ascii="Arial" w:eastAsia="宋体" w:hAnsi="Arial" w:cs="Arial"/>
          <w:color w:val="000000"/>
          <w:sz w:val="17"/>
          <w:szCs w:val="17"/>
        </w:rPr>
        <w:t>There have been no other changes to the credit lines reported in the Company's Annual Report on Form 10-K for the fiscal year ended May 31, 2021.</w:t>
      </w:r>
    </w:p>
    <w:p w14:paraId="26E9CAC4" w14:textId="77777777" w:rsidR="008A3BAC" w:rsidRDefault="008A3BAC">
      <w:pPr>
        <w:spacing w:before="120" w:after="120"/>
      </w:pPr>
    </w:p>
    <w:p w14:paraId="26E9CAC5" w14:textId="77777777" w:rsidR="008A3BAC" w:rsidRDefault="005C75B9">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26E9CAC6" w14:textId="77777777" w:rsidR="008A3BAC" w:rsidRDefault="005C75B9">
      <w:r>
        <w:pict w14:anchorId="26E9E851">
          <v:rect id="_x0000_i1036" style="width:415.3pt;height:1.5pt" o:hralign="center" o:hrstd="t" o:hr="t" fillcolor="#a0a0a0" stroked="f"/>
        </w:pict>
      </w:r>
    </w:p>
    <w:p w14:paraId="26E9CAC7" w14:textId="77777777" w:rsidR="008A3BAC" w:rsidRDefault="008A3BAC"/>
    <w:p w14:paraId="26E9CAC8" w14:textId="77777777" w:rsidR="008A3BAC" w:rsidRDefault="005C75B9">
      <w:hyperlink r:id="rId81" w:anchor="i46aba51c6a804f42b3595948c57d2023_7" w:history="1">
        <w:r>
          <w:rPr>
            <w:rStyle w:val="a5"/>
            <w:rFonts w:ascii="sans-serif" w:eastAsia="sans-serif" w:hAnsi="sans-serif" w:cs="sans-serif"/>
            <w:sz w:val="17"/>
            <w:szCs w:val="17"/>
          </w:rPr>
          <w:t>Table of Contents</w:t>
        </w:r>
      </w:hyperlink>
    </w:p>
    <w:p w14:paraId="26E9CAC9"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ACD" w14:textId="77777777">
        <w:tc>
          <w:tcPr>
            <w:tcW w:w="50" w:type="pct"/>
            <w:shd w:val="clear" w:color="auto" w:fill="auto"/>
            <w:vAlign w:val="bottom"/>
          </w:tcPr>
          <w:p w14:paraId="26E9CACA" w14:textId="77777777" w:rsidR="008A3BAC" w:rsidRDefault="008A3BAC">
            <w:pPr>
              <w:rPr>
                <w:rFonts w:ascii="宋体"/>
              </w:rPr>
            </w:pPr>
          </w:p>
        </w:tc>
        <w:tc>
          <w:tcPr>
            <w:tcW w:w="4945" w:type="pct"/>
            <w:shd w:val="clear" w:color="auto" w:fill="auto"/>
            <w:vAlign w:val="bottom"/>
          </w:tcPr>
          <w:p w14:paraId="26E9CACB" w14:textId="77777777" w:rsidR="008A3BAC" w:rsidRDefault="008A3BAC">
            <w:pPr>
              <w:rPr>
                <w:rFonts w:ascii="宋体"/>
              </w:rPr>
            </w:pPr>
          </w:p>
        </w:tc>
        <w:tc>
          <w:tcPr>
            <w:tcW w:w="5" w:type="pct"/>
            <w:shd w:val="clear" w:color="auto" w:fill="auto"/>
            <w:vAlign w:val="bottom"/>
          </w:tcPr>
          <w:p w14:paraId="26E9CACC" w14:textId="77777777" w:rsidR="008A3BAC" w:rsidRDefault="008A3BAC">
            <w:pPr>
              <w:rPr>
                <w:rFonts w:ascii="宋体"/>
              </w:rPr>
            </w:pPr>
          </w:p>
        </w:tc>
      </w:tr>
      <w:tr w:rsidR="008A3BAC" w14:paraId="26E9CACF" w14:textId="77777777">
        <w:tc>
          <w:tcPr>
            <w:tcW w:w="0" w:type="auto"/>
            <w:gridSpan w:val="3"/>
            <w:shd w:val="clear" w:color="auto" w:fill="auto"/>
            <w:tcMar>
              <w:top w:w="40" w:type="dxa"/>
              <w:left w:w="20" w:type="dxa"/>
              <w:bottom w:w="40" w:type="dxa"/>
              <w:right w:w="20" w:type="dxa"/>
            </w:tcMar>
            <w:vAlign w:val="bottom"/>
          </w:tcPr>
          <w:p w14:paraId="26E9CACE" w14:textId="77777777" w:rsidR="008A3BAC" w:rsidRDefault="005C75B9">
            <w:pPr>
              <w:textAlignment w:val="bottom"/>
            </w:pPr>
            <w:r>
              <w:rPr>
                <w:rFonts w:ascii="sans-serif" w:eastAsia="sans-serif" w:hAnsi="sans-serif" w:cs="sans-serif"/>
                <w:b/>
                <w:bCs/>
                <w:color w:val="E87722"/>
                <w:sz w:val="36"/>
                <w:szCs w:val="36"/>
              </w:rPr>
              <w:t>NOTE 6 — INCOME TAXES</w:t>
            </w:r>
          </w:p>
        </w:tc>
      </w:tr>
    </w:tbl>
    <w:p w14:paraId="26E9CAD0" w14:textId="77777777" w:rsidR="008A3BAC" w:rsidRDefault="005C75B9">
      <w:pPr>
        <w:spacing w:before="120" w:after="120"/>
      </w:pPr>
      <w:r>
        <w:rPr>
          <w:rFonts w:ascii="Arial" w:eastAsia="宋体" w:hAnsi="Arial" w:cs="Arial"/>
          <w:color w:val="000000"/>
          <w:sz w:val="17"/>
          <w:szCs w:val="17"/>
        </w:rPr>
        <w:t>The effective tax rate was 12.7% and 12.3% for the nine mo</w:t>
      </w:r>
      <w:r>
        <w:rPr>
          <w:rFonts w:ascii="Arial" w:eastAsia="宋体" w:hAnsi="Arial" w:cs="Arial"/>
          <w:color w:val="000000"/>
          <w:sz w:val="17"/>
          <w:szCs w:val="17"/>
        </w:rPr>
        <w:t xml:space="preserve">nths ended February 28, 2022 and 2021, respectively. The increase in the Company's effective tax rate was primarily due to the impact of recently finalized U.S. tax regulations published by the U.S. Treasury and Internal Revenue Service ("IRS") on January </w:t>
      </w:r>
      <w:r>
        <w:rPr>
          <w:rFonts w:ascii="Arial" w:eastAsia="宋体" w:hAnsi="Arial" w:cs="Arial"/>
          <w:color w:val="000000"/>
          <w:sz w:val="17"/>
          <w:szCs w:val="17"/>
        </w:rPr>
        <w:t>4, 2022. These regulations overhaul various components of the foreign tax credit regime including the determination of creditable foreign taxes and limit the amount of foreign taxes that are creditable against U.S. income taxes. While these regulations are</w:t>
      </w:r>
      <w:r>
        <w:rPr>
          <w:rFonts w:ascii="Arial" w:eastAsia="宋体" w:hAnsi="Arial" w:cs="Arial"/>
          <w:color w:val="000000"/>
          <w:sz w:val="17"/>
          <w:szCs w:val="17"/>
        </w:rPr>
        <w:t xml:space="preserve"> generally effective on March 7, 2022, some retroactive provisions limit the Company's ability to claim credits on certain foreign taxes as of the third quarter of fiscal 2022. The increase in the Company's effective tax rate was partially offset by change</w:t>
      </w:r>
      <w:r>
        <w:rPr>
          <w:rFonts w:ascii="Arial" w:eastAsia="宋体" w:hAnsi="Arial" w:cs="Arial"/>
          <w:color w:val="000000"/>
          <w:sz w:val="17"/>
          <w:szCs w:val="17"/>
        </w:rPr>
        <w:t xml:space="preserve">s in discrete items compared to the first nine months of fiscal 2021, including the recognition 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w:t>
      </w:r>
    </w:p>
    <w:p w14:paraId="26E9CAD1" w14:textId="77777777" w:rsidR="008A3BAC" w:rsidRDefault="005C75B9">
      <w:pPr>
        <w:spacing w:before="120" w:after="120"/>
      </w:pPr>
      <w:r>
        <w:rPr>
          <w:rFonts w:ascii="Arial" w:eastAsia="宋体" w:hAnsi="Arial" w:cs="Arial"/>
          <w:color w:val="000000"/>
          <w:sz w:val="17"/>
          <w:szCs w:val="17"/>
        </w:rPr>
        <w:t xml:space="preserve">As of February 28, 2022, total gross unrecognized tax </w:t>
      </w:r>
      <w:r>
        <w:rPr>
          <w:rFonts w:ascii="Arial" w:eastAsia="宋体" w:hAnsi="Arial" w:cs="Arial"/>
          <w:color w:val="000000"/>
          <w:sz w:val="17"/>
          <w:szCs w:val="17"/>
        </w:rPr>
        <w:t>benefits, excluding related interest and penalties, were $871 million, $648 million of which would affect the Company's effective tax rate if recognized in future periods. The majority of the total gross unrecognized tax benefits are long-term in nature an</w:t>
      </w:r>
      <w:r>
        <w:rPr>
          <w:rFonts w:ascii="Arial" w:eastAsia="宋体" w:hAnsi="Arial" w:cs="Arial"/>
          <w:color w:val="000000"/>
          <w:sz w:val="17"/>
          <w:szCs w:val="17"/>
        </w:rPr>
        <w:t xml:space="preserve">d included within Deferred income taxes and other liabilities on the Unaudited Condensed Consolidated Balance Sheets. As of May 31, 2021, total gross unrecognized tax benefits, excluding related interest and penalties, were $896 million. The liability for </w:t>
      </w:r>
      <w:r>
        <w:rPr>
          <w:rFonts w:ascii="Arial" w:eastAsia="宋体" w:hAnsi="Arial" w:cs="Arial"/>
          <w:color w:val="000000"/>
          <w:sz w:val="17"/>
          <w:szCs w:val="17"/>
        </w:rPr>
        <w:t>payment of interest and penalties increased by $27 million during the nine months ended February 28, 2022. As of February 28, 2022 and May 31, 2021, accrued interest and penalties related to uncertain tax positions were $230 million and $203 million, respe</w:t>
      </w:r>
      <w:r>
        <w:rPr>
          <w:rFonts w:ascii="Arial" w:eastAsia="宋体" w:hAnsi="Arial" w:cs="Arial"/>
          <w:color w:val="000000"/>
          <w:sz w:val="17"/>
          <w:szCs w:val="17"/>
        </w:rPr>
        <w:t>ctively, (excluding federal benefit) and included within Deferred income taxes and other liabilities on the Unaudited Condensed Consolidated Balance Sheets.</w:t>
      </w:r>
    </w:p>
    <w:p w14:paraId="26E9CAD2" w14:textId="77777777" w:rsidR="008A3BAC" w:rsidRDefault="005C75B9">
      <w:pPr>
        <w:spacing w:before="120" w:after="120"/>
      </w:pPr>
      <w:r>
        <w:rPr>
          <w:rFonts w:ascii="Arial" w:eastAsia="宋体" w:hAnsi="Arial" w:cs="Arial"/>
          <w:color w:val="000000"/>
          <w:sz w:val="17"/>
          <w:szCs w:val="17"/>
        </w:rPr>
        <w:t>The Company is subject to taxation in the U.S., as well as various state and foreign jurisdictions.</w:t>
      </w:r>
      <w:r>
        <w:rPr>
          <w:rFonts w:ascii="Arial" w:eastAsia="宋体" w:hAnsi="Arial" w:cs="Arial"/>
          <w:color w:val="000000"/>
          <w:sz w:val="17"/>
          <w:szCs w:val="17"/>
        </w:rPr>
        <w:t xml:space="preserve"> The Company is currently under audit by the U.S. IRS for fiscal years 2017 through 2019. The Company has closed all U.S. federal income tax matters through fiscal 2016, with the exception of certain transfer pricing adjustments. </w:t>
      </w:r>
    </w:p>
    <w:p w14:paraId="26E9CAD3" w14:textId="77777777" w:rsidR="008A3BAC" w:rsidRDefault="005C75B9">
      <w:pPr>
        <w:spacing w:before="120" w:after="120"/>
      </w:pPr>
      <w:r>
        <w:rPr>
          <w:rFonts w:ascii="Arial" w:eastAsia="宋体" w:hAnsi="Arial" w:cs="Arial"/>
          <w:color w:val="000000"/>
          <w:sz w:val="17"/>
          <w:szCs w:val="17"/>
        </w:rPr>
        <w:t xml:space="preserve">Tax years after 2011 </w:t>
      </w:r>
      <w:r>
        <w:rPr>
          <w:rFonts w:ascii="Arial" w:eastAsia="宋体" w:hAnsi="Arial" w:cs="Arial"/>
          <w:color w:val="000000"/>
          <w:sz w:val="17"/>
          <w:szCs w:val="17"/>
        </w:rPr>
        <w:t>remain open in certain major foreign jurisdictions. Although the timing of resolution of audits is not certain, the Company evaluates all domestic and foreign audit issues in the aggregate, along with the expiration of applicable statutes of limitations, a</w:t>
      </w:r>
      <w:r>
        <w:rPr>
          <w:rFonts w:ascii="Arial" w:eastAsia="宋体" w:hAnsi="Arial" w:cs="Arial"/>
          <w:color w:val="000000"/>
          <w:sz w:val="17"/>
          <w:szCs w:val="17"/>
        </w:rPr>
        <w:t>nd estimates that it is reasonably possible the total gross unrecognized tax benefits could decrease by up to $80 million within the next 12 months. In January 2019, the European Commission opened a formal investigation to examine whether the Netherlands h</w:t>
      </w:r>
      <w:r>
        <w:rPr>
          <w:rFonts w:ascii="Arial" w:eastAsia="宋体" w:hAnsi="Arial" w:cs="Arial"/>
          <w:color w:val="000000"/>
          <w:sz w:val="17"/>
          <w:szCs w:val="17"/>
        </w:rPr>
        <w:t xml:space="preserve">as breached State Aid rules when granting certain tax rulings to the Company. The Company believes the investigation is without merit. If this matter is adversely resolved, the Netherlands may be required to assess additional amounts with respect to prior </w:t>
      </w:r>
      <w:r>
        <w:rPr>
          <w:rFonts w:ascii="Arial" w:eastAsia="宋体" w:hAnsi="Arial" w:cs="Arial"/>
          <w:color w:val="000000"/>
          <w:sz w:val="17"/>
          <w:szCs w:val="17"/>
        </w:rPr>
        <w:t>periods, and the Company's income taxes related to prior periods in the Netherlands could increase.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AD7" w14:textId="77777777">
        <w:tc>
          <w:tcPr>
            <w:tcW w:w="50" w:type="pct"/>
            <w:shd w:val="clear" w:color="auto" w:fill="auto"/>
            <w:vAlign w:val="bottom"/>
          </w:tcPr>
          <w:p w14:paraId="26E9CAD4" w14:textId="77777777" w:rsidR="008A3BAC" w:rsidRDefault="008A3BAC">
            <w:pPr>
              <w:rPr>
                <w:rFonts w:ascii="宋体"/>
              </w:rPr>
            </w:pPr>
          </w:p>
        </w:tc>
        <w:tc>
          <w:tcPr>
            <w:tcW w:w="4945" w:type="pct"/>
            <w:shd w:val="clear" w:color="auto" w:fill="auto"/>
            <w:vAlign w:val="bottom"/>
          </w:tcPr>
          <w:p w14:paraId="26E9CAD5" w14:textId="77777777" w:rsidR="008A3BAC" w:rsidRDefault="008A3BAC">
            <w:pPr>
              <w:rPr>
                <w:rFonts w:ascii="宋体"/>
              </w:rPr>
            </w:pPr>
          </w:p>
        </w:tc>
        <w:tc>
          <w:tcPr>
            <w:tcW w:w="5" w:type="pct"/>
            <w:shd w:val="clear" w:color="auto" w:fill="auto"/>
            <w:vAlign w:val="bottom"/>
          </w:tcPr>
          <w:p w14:paraId="26E9CAD6" w14:textId="77777777" w:rsidR="008A3BAC" w:rsidRDefault="008A3BAC">
            <w:pPr>
              <w:rPr>
                <w:rFonts w:ascii="宋体"/>
              </w:rPr>
            </w:pPr>
          </w:p>
        </w:tc>
      </w:tr>
      <w:tr w:rsidR="008A3BAC" w14:paraId="26E9CAD9" w14:textId="77777777">
        <w:tc>
          <w:tcPr>
            <w:tcW w:w="0" w:type="auto"/>
            <w:gridSpan w:val="3"/>
            <w:shd w:val="clear" w:color="auto" w:fill="auto"/>
            <w:tcMar>
              <w:top w:w="40" w:type="dxa"/>
              <w:left w:w="20" w:type="dxa"/>
              <w:bottom w:w="40" w:type="dxa"/>
              <w:right w:w="20" w:type="dxa"/>
            </w:tcMar>
            <w:vAlign w:val="bottom"/>
          </w:tcPr>
          <w:p w14:paraId="26E9CAD8" w14:textId="77777777" w:rsidR="008A3BAC" w:rsidRDefault="005C75B9">
            <w:pPr>
              <w:textAlignment w:val="bottom"/>
            </w:pPr>
            <w:r>
              <w:rPr>
                <w:rFonts w:ascii="sans-serif" w:eastAsia="sans-serif" w:hAnsi="sans-serif" w:cs="sans-serif"/>
                <w:b/>
                <w:bCs/>
                <w:color w:val="E87722"/>
                <w:sz w:val="36"/>
                <w:szCs w:val="36"/>
              </w:rPr>
              <w:t>NOTE 7 — STOCK-BASED COMPENSATION</w:t>
            </w:r>
          </w:p>
        </w:tc>
      </w:tr>
    </w:tbl>
    <w:p w14:paraId="26E9CADA" w14:textId="77777777" w:rsidR="008A3BAC" w:rsidRDefault="005C75B9">
      <w:pPr>
        <w:spacing w:before="240" w:after="120"/>
      </w:pPr>
      <w:r>
        <w:rPr>
          <w:rFonts w:ascii="sans-serif" w:eastAsia="sans-serif" w:hAnsi="sans-serif" w:cs="sans-serif"/>
          <w:b/>
          <w:bCs/>
          <w:color w:val="000000"/>
          <w:sz w:val="28"/>
          <w:szCs w:val="28"/>
        </w:rPr>
        <w:t>STOCK-BASED COMPENSATION</w:t>
      </w:r>
    </w:p>
    <w:p w14:paraId="26E9CADB" w14:textId="77777777" w:rsidR="008A3BAC" w:rsidRDefault="005C75B9">
      <w:pPr>
        <w:spacing w:before="120" w:after="120"/>
      </w:pPr>
      <w:r>
        <w:rPr>
          <w:rFonts w:ascii="Arial" w:eastAsia="宋体" w:hAnsi="Arial" w:cs="Arial"/>
          <w:color w:val="000000"/>
          <w:sz w:val="17"/>
          <w:szCs w:val="17"/>
        </w:rPr>
        <w:t>The NIKE, Inc. Stock Incentive Plan (the “Stock Incentive Plan”) provides for the issuance o</w:t>
      </w:r>
      <w:r>
        <w:rPr>
          <w:rFonts w:ascii="Arial" w:eastAsia="宋体" w:hAnsi="Arial" w:cs="Arial"/>
          <w:color w:val="000000"/>
          <w:sz w:val="17"/>
          <w:szCs w:val="17"/>
        </w:rPr>
        <w:t>f up to 798 million previously unissued shares of Class B Common Stock in connection with equity awards granted under the Stock Incentive Plan. The Stock Incentive Plan authorizes the grant of non-statutory stock options, incentive stock options, stock app</w:t>
      </w:r>
      <w:r>
        <w:rPr>
          <w:rFonts w:ascii="Arial" w:eastAsia="宋体" w:hAnsi="Arial" w:cs="Arial"/>
          <w:color w:val="000000"/>
          <w:sz w:val="17"/>
          <w:szCs w:val="17"/>
        </w:rPr>
        <w:t>reciation rights, restricted stock, restricted stock units and performance-based awards. In addition to the Stock Incentive Plan, the Company gives employees the right to purchase shares at a discount from the market price under employee stock purchase pla</w:t>
      </w:r>
      <w:r>
        <w:rPr>
          <w:rFonts w:ascii="Arial" w:eastAsia="宋体" w:hAnsi="Arial" w:cs="Arial"/>
          <w:color w:val="000000"/>
          <w:sz w:val="17"/>
          <w:szCs w:val="17"/>
        </w:rPr>
        <w:t xml:space="preserve">ns (ESPPs). Refer to Note 11 — Common Stock and Stock-Based Compensation of the Annual Report on Form 10-K for the fiscal year ended May 31, 2021 for further information. </w:t>
      </w:r>
    </w:p>
    <w:p w14:paraId="26E9CADC" w14:textId="77777777" w:rsidR="008A3BAC" w:rsidRDefault="005C75B9">
      <w:pPr>
        <w:spacing w:before="120" w:after="120"/>
      </w:pPr>
      <w:r>
        <w:rPr>
          <w:rFonts w:ascii="Arial" w:eastAsia="宋体" w:hAnsi="Arial" w:cs="Arial"/>
          <w:color w:val="000000"/>
          <w:sz w:val="17"/>
          <w:szCs w:val="17"/>
        </w:rPr>
        <w:t xml:space="preserve">The following table summarizes the Company's total stock-based compensation expense </w:t>
      </w:r>
      <w:r>
        <w:rPr>
          <w:rFonts w:ascii="Arial" w:eastAsia="宋体" w:hAnsi="Arial" w:cs="Arial"/>
          <w:color w:val="000000"/>
          <w:sz w:val="17"/>
          <w:szCs w:val="17"/>
        </w:rPr>
        <w:t>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552"/>
        <w:gridCol w:w="39"/>
        <w:gridCol w:w="115"/>
        <w:gridCol w:w="1007"/>
        <w:gridCol w:w="36"/>
        <w:gridCol w:w="115"/>
        <w:gridCol w:w="1007"/>
        <w:gridCol w:w="36"/>
        <w:gridCol w:w="36"/>
        <w:gridCol w:w="36"/>
        <w:gridCol w:w="36"/>
        <w:gridCol w:w="115"/>
        <w:gridCol w:w="971"/>
        <w:gridCol w:w="36"/>
        <w:gridCol w:w="115"/>
        <w:gridCol w:w="1008"/>
        <w:gridCol w:w="36"/>
      </w:tblGrid>
      <w:tr w:rsidR="008A3BAC" w14:paraId="26E9CAEF" w14:textId="77777777">
        <w:tc>
          <w:tcPr>
            <w:tcW w:w="50" w:type="pct"/>
            <w:shd w:val="clear" w:color="auto" w:fill="auto"/>
            <w:vAlign w:val="bottom"/>
          </w:tcPr>
          <w:p w14:paraId="26E9CADD" w14:textId="77777777" w:rsidR="008A3BAC" w:rsidRDefault="008A3BAC">
            <w:pPr>
              <w:rPr>
                <w:rFonts w:ascii="宋体"/>
              </w:rPr>
            </w:pPr>
          </w:p>
        </w:tc>
        <w:tc>
          <w:tcPr>
            <w:tcW w:w="2159" w:type="pct"/>
            <w:shd w:val="clear" w:color="auto" w:fill="auto"/>
            <w:vAlign w:val="bottom"/>
          </w:tcPr>
          <w:p w14:paraId="26E9CADE" w14:textId="77777777" w:rsidR="008A3BAC" w:rsidRDefault="008A3BAC">
            <w:pPr>
              <w:rPr>
                <w:rFonts w:ascii="宋体"/>
              </w:rPr>
            </w:pPr>
          </w:p>
        </w:tc>
        <w:tc>
          <w:tcPr>
            <w:tcW w:w="5" w:type="pct"/>
            <w:shd w:val="clear" w:color="auto" w:fill="auto"/>
            <w:vAlign w:val="bottom"/>
          </w:tcPr>
          <w:p w14:paraId="26E9CADF" w14:textId="77777777" w:rsidR="008A3BAC" w:rsidRDefault="008A3BAC">
            <w:pPr>
              <w:rPr>
                <w:rFonts w:ascii="宋体"/>
              </w:rPr>
            </w:pPr>
          </w:p>
        </w:tc>
        <w:tc>
          <w:tcPr>
            <w:tcW w:w="50" w:type="pct"/>
            <w:shd w:val="clear" w:color="auto" w:fill="auto"/>
            <w:vAlign w:val="bottom"/>
          </w:tcPr>
          <w:p w14:paraId="26E9CAE0" w14:textId="77777777" w:rsidR="008A3BAC" w:rsidRDefault="008A3BAC">
            <w:pPr>
              <w:rPr>
                <w:rFonts w:ascii="宋体"/>
              </w:rPr>
            </w:pPr>
          </w:p>
        </w:tc>
        <w:tc>
          <w:tcPr>
            <w:tcW w:w="631" w:type="pct"/>
            <w:shd w:val="clear" w:color="auto" w:fill="auto"/>
            <w:vAlign w:val="bottom"/>
          </w:tcPr>
          <w:p w14:paraId="26E9CAE1" w14:textId="77777777" w:rsidR="008A3BAC" w:rsidRDefault="008A3BAC">
            <w:pPr>
              <w:rPr>
                <w:rFonts w:ascii="宋体"/>
              </w:rPr>
            </w:pPr>
          </w:p>
        </w:tc>
        <w:tc>
          <w:tcPr>
            <w:tcW w:w="5" w:type="pct"/>
            <w:shd w:val="clear" w:color="auto" w:fill="auto"/>
            <w:vAlign w:val="bottom"/>
          </w:tcPr>
          <w:p w14:paraId="26E9CAE2" w14:textId="77777777" w:rsidR="008A3BAC" w:rsidRDefault="008A3BAC">
            <w:pPr>
              <w:rPr>
                <w:rFonts w:ascii="宋体"/>
              </w:rPr>
            </w:pPr>
          </w:p>
        </w:tc>
        <w:tc>
          <w:tcPr>
            <w:tcW w:w="50" w:type="pct"/>
            <w:shd w:val="clear" w:color="auto" w:fill="auto"/>
            <w:vAlign w:val="bottom"/>
          </w:tcPr>
          <w:p w14:paraId="26E9CAE3" w14:textId="77777777" w:rsidR="008A3BAC" w:rsidRDefault="008A3BAC">
            <w:pPr>
              <w:rPr>
                <w:rFonts w:ascii="宋体"/>
              </w:rPr>
            </w:pPr>
          </w:p>
        </w:tc>
        <w:tc>
          <w:tcPr>
            <w:tcW w:w="631" w:type="pct"/>
            <w:shd w:val="clear" w:color="auto" w:fill="auto"/>
            <w:vAlign w:val="bottom"/>
          </w:tcPr>
          <w:p w14:paraId="26E9CAE4" w14:textId="77777777" w:rsidR="008A3BAC" w:rsidRDefault="008A3BAC">
            <w:pPr>
              <w:rPr>
                <w:rFonts w:ascii="宋体"/>
              </w:rPr>
            </w:pPr>
          </w:p>
        </w:tc>
        <w:tc>
          <w:tcPr>
            <w:tcW w:w="5" w:type="pct"/>
            <w:shd w:val="clear" w:color="auto" w:fill="auto"/>
            <w:vAlign w:val="bottom"/>
          </w:tcPr>
          <w:p w14:paraId="26E9CAE5" w14:textId="77777777" w:rsidR="008A3BAC" w:rsidRDefault="008A3BAC">
            <w:pPr>
              <w:rPr>
                <w:rFonts w:ascii="宋体"/>
              </w:rPr>
            </w:pPr>
          </w:p>
        </w:tc>
        <w:tc>
          <w:tcPr>
            <w:tcW w:w="5" w:type="pct"/>
            <w:shd w:val="clear" w:color="auto" w:fill="auto"/>
            <w:vAlign w:val="bottom"/>
          </w:tcPr>
          <w:p w14:paraId="26E9CAE6" w14:textId="77777777" w:rsidR="008A3BAC" w:rsidRDefault="008A3BAC">
            <w:pPr>
              <w:rPr>
                <w:rFonts w:ascii="宋体"/>
              </w:rPr>
            </w:pPr>
          </w:p>
        </w:tc>
        <w:tc>
          <w:tcPr>
            <w:tcW w:w="28" w:type="pct"/>
            <w:shd w:val="clear" w:color="auto" w:fill="auto"/>
            <w:vAlign w:val="bottom"/>
          </w:tcPr>
          <w:p w14:paraId="26E9CAE7" w14:textId="77777777" w:rsidR="008A3BAC" w:rsidRDefault="008A3BAC">
            <w:pPr>
              <w:rPr>
                <w:rFonts w:ascii="宋体"/>
              </w:rPr>
            </w:pPr>
          </w:p>
        </w:tc>
        <w:tc>
          <w:tcPr>
            <w:tcW w:w="5" w:type="pct"/>
            <w:shd w:val="clear" w:color="auto" w:fill="auto"/>
            <w:vAlign w:val="bottom"/>
          </w:tcPr>
          <w:p w14:paraId="26E9CAE8" w14:textId="77777777" w:rsidR="008A3BAC" w:rsidRDefault="008A3BAC">
            <w:pPr>
              <w:rPr>
                <w:rFonts w:ascii="宋体"/>
              </w:rPr>
            </w:pPr>
          </w:p>
        </w:tc>
        <w:tc>
          <w:tcPr>
            <w:tcW w:w="50" w:type="pct"/>
            <w:shd w:val="clear" w:color="auto" w:fill="auto"/>
            <w:vAlign w:val="bottom"/>
          </w:tcPr>
          <w:p w14:paraId="26E9CAE9" w14:textId="77777777" w:rsidR="008A3BAC" w:rsidRDefault="008A3BAC">
            <w:pPr>
              <w:rPr>
                <w:rFonts w:ascii="宋体"/>
              </w:rPr>
            </w:pPr>
          </w:p>
        </w:tc>
        <w:tc>
          <w:tcPr>
            <w:tcW w:w="631" w:type="pct"/>
            <w:shd w:val="clear" w:color="auto" w:fill="auto"/>
            <w:vAlign w:val="bottom"/>
          </w:tcPr>
          <w:p w14:paraId="26E9CAEA" w14:textId="77777777" w:rsidR="008A3BAC" w:rsidRDefault="008A3BAC">
            <w:pPr>
              <w:rPr>
                <w:rFonts w:ascii="宋体"/>
              </w:rPr>
            </w:pPr>
          </w:p>
        </w:tc>
        <w:tc>
          <w:tcPr>
            <w:tcW w:w="5" w:type="pct"/>
            <w:shd w:val="clear" w:color="auto" w:fill="auto"/>
            <w:vAlign w:val="bottom"/>
          </w:tcPr>
          <w:p w14:paraId="26E9CAEB" w14:textId="77777777" w:rsidR="008A3BAC" w:rsidRDefault="008A3BAC">
            <w:pPr>
              <w:rPr>
                <w:rFonts w:ascii="宋体"/>
              </w:rPr>
            </w:pPr>
          </w:p>
        </w:tc>
        <w:tc>
          <w:tcPr>
            <w:tcW w:w="50" w:type="pct"/>
            <w:shd w:val="clear" w:color="auto" w:fill="auto"/>
            <w:vAlign w:val="bottom"/>
          </w:tcPr>
          <w:p w14:paraId="26E9CAEC" w14:textId="77777777" w:rsidR="008A3BAC" w:rsidRDefault="008A3BAC">
            <w:pPr>
              <w:rPr>
                <w:rFonts w:ascii="宋体"/>
              </w:rPr>
            </w:pPr>
          </w:p>
        </w:tc>
        <w:tc>
          <w:tcPr>
            <w:tcW w:w="631" w:type="pct"/>
            <w:shd w:val="clear" w:color="auto" w:fill="auto"/>
            <w:vAlign w:val="bottom"/>
          </w:tcPr>
          <w:p w14:paraId="26E9CAED" w14:textId="77777777" w:rsidR="008A3BAC" w:rsidRDefault="008A3BAC">
            <w:pPr>
              <w:rPr>
                <w:rFonts w:ascii="宋体"/>
              </w:rPr>
            </w:pPr>
          </w:p>
        </w:tc>
        <w:tc>
          <w:tcPr>
            <w:tcW w:w="5" w:type="pct"/>
            <w:shd w:val="clear" w:color="auto" w:fill="auto"/>
            <w:vAlign w:val="bottom"/>
          </w:tcPr>
          <w:p w14:paraId="26E9CAEE" w14:textId="77777777" w:rsidR="008A3BAC" w:rsidRDefault="008A3BAC">
            <w:pPr>
              <w:rPr>
                <w:rFonts w:ascii="宋体"/>
              </w:rPr>
            </w:pPr>
          </w:p>
        </w:tc>
      </w:tr>
      <w:tr w:rsidR="008A3BAC" w14:paraId="26E9CAF4" w14:textId="77777777">
        <w:tc>
          <w:tcPr>
            <w:tcW w:w="0" w:type="auto"/>
            <w:gridSpan w:val="3"/>
            <w:shd w:val="clear" w:color="auto" w:fill="auto"/>
            <w:tcMar>
              <w:top w:w="40" w:type="dxa"/>
              <w:left w:w="20" w:type="dxa"/>
              <w:bottom w:w="40" w:type="dxa"/>
              <w:right w:w="20" w:type="dxa"/>
            </w:tcMar>
            <w:vAlign w:val="bottom"/>
          </w:tcPr>
          <w:p w14:paraId="26E9CAF0" w14:textId="77777777" w:rsidR="008A3BAC" w:rsidRDefault="005C75B9">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6E9CAF1"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CAF2"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AF3"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AFB" w14:textId="77777777">
        <w:tc>
          <w:tcPr>
            <w:tcW w:w="0" w:type="auto"/>
            <w:gridSpan w:val="3"/>
            <w:shd w:val="clear" w:color="auto" w:fill="auto"/>
            <w:tcMar>
              <w:top w:w="40" w:type="dxa"/>
              <w:left w:w="20" w:type="dxa"/>
              <w:bottom w:w="40" w:type="dxa"/>
              <w:right w:w="20" w:type="dxa"/>
            </w:tcMar>
            <w:vAlign w:val="bottom"/>
          </w:tcPr>
          <w:p w14:paraId="26E9CAF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F6"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F7"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AF8"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F9"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FA"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B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AFC" w14:textId="77777777" w:rsidR="008A3BAC" w:rsidRDefault="005C75B9">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AF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AFE" w14:textId="77777777" w:rsidR="008A3BAC" w:rsidRDefault="005C75B9">
            <w:pPr>
              <w:jc w:val="right"/>
              <w:textAlignment w:val="bottom"/>
            </w:pPr>
            <w:r>
              <w:rPr>
                <w:rFonts w:ascii="Arial" w:eastAsia="宋体" w:hAnsi="Arial" w:cs="Arial"/>
                <w:color w:val="000000"/>
                <w:sz w:val="17"/>
                <w:szCs w:val="17"/>
              </w:rPr>
              <w:t>75 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AF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B00"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B01" w14:textId="77777777" w:rsidR="008A3BAC" w:rsidRDefault="005C75B9">
            <w:pPr>
              <w:jc w:val="right"/>
              <w:textAlignment w:val="bottom"/>
            </w:pPr>
            <w:r>
              <w:rPr>
                <w:rFonts w:ascii="Arial" w:eastAsia="宋体" w:hAnsi="Arial" w:cs="Arial"/>
                <w:color w:val="000000"/>
                <w:sz w:val="17"/>
                <w:szCs w:val="17"/>
              </w:rPr>
              <w:t>73 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0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03"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B0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B05" w14:textId="77777777" w:rsidR="008A3BAC" w:rsidRDefault="005C75B9">
            <w:pPr>
              <w:jc w:val="right"/>
              <w:textAlignment w:val="bottom"/>
            </w:pPr>
            <w:r>
              <w:rPr>
                <w:rFonts w:ascii="Arial" w:eastAsia="宋体" w:hAnsi="Arial" w:cs="Arial"/>
                <w:color w:val="000000"/>
                <w:sz w:val="17"/>
                <w:szCs w:val="17"/>
              </w:rPr>
              <w:t>221 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0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B0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B08" w14:textId="77777777" w:rsidR="008A3BAC" w:rsidRDefault="005C75B9">
            <w:pPr>
              <w:jc w:val="right"/>
              <w:textAlignment w:val="bottom"/>
            </w:pPr>
            <w:r>
              <w:rPr>
                <w:rFonts w:ascii="Arial" w:eastAsia="宋体" w:hAnsi="Arial" w:cs="Arial"/>
                <w:color w:val="000000"/>
                <w:sz w:val="17"/>
                <w:szCs w:val="17"/>
              </w:rPr>
              <w:t>250 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09" w14:textId="77777777" w:rsidR="008A3BAC" w:rsidRDefault="008A3BAC">
            <w:pPr>
              <w:jc w:val="right"/>
              <w:rPr>
                <w:rFonts w:ascii="宋体"/>
              </w:rPr>
            </w:pPr>
          </w:p>
        </w:tc>
      </w:tr>
      <w:tr w:rsidR="008A3BAC" w14:paraId="26E9CB1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0B" w14:textId="77777777" w:rsidR="008A3BAC" w:rsidRDefault="005C75B9">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0C"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0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0E"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0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1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11" w14:textId="77777777" w:rsidR="008A3BAC" w:rsidRDefault="005C75B9">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1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13" w14:textId="77777777" w:rsidR="008A3BAC" w:rsidRDefault="005C75B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14" w14:textId="77777777" w:rsidR="008A3BAC" w:rsidRDefault="008A3BAC">
            <w:pPr>
              <w:jc w:val="right"/>
              <w:rPr>
                <w:rFonts w:ascii="宋体"/>
              </w:rPr>
            </w:pPr>
          </w:p>
        </w:tc>
      </w:tr>
      <w:tr w:rsidR="008A3BAC" w14:paraId="26E9CB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16" w14:textId="77777777" w:rsidR="008A3BAC" w:rsidRDefault="005C75B9">
            <w:pPr>
              <w:textAlignment w:val="bottom"/>
            </w:pPr>
            <w:r>
              <w:rPr>
                <w:rFonts w:ascii="Arial" w:eastAsia="宋体" w:hAnsi="Arial" w:cs="Arial"/>
                <w:color w:val="000000"/>
                <w:sz w:val="17"/>
                <w:szCs w:val="17"/>
              </w:rPr>
              <w:t>Restricted stock and 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17" w14:textId="77777777" w:rsidR="008A3BAC" w:rsidRDefault="005C75B9">
            <w:pPr>
              <w:jc w:val="right"/>
              <w:textAlignment w:val="bottom"/>
            </w:pPr>
            <w:r>
              <w:rPr>
                <w:rFonts w:ascii="Arial" w:eastAsia="宋体" w:hAnsi="Arial" w:cs="Arial"/>
                <w:color w:val="000000"/>
                <w:sz w:val="17"/>
                <w:szCs w:val="17"/>
              </w:rPr>
              <w:t>71 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1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19"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1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1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1C" w14:textId="77777777" w:rsidR="008A3BAC" w:rsidRDefault="005C75B9">
            <w:pPr>
              <w:jc w:val="right"/>
              <w:textAlignment w:val="bottom"/>
            </w:pPr>
            <w:r>
              <w:rPr>
                <w:rFonts w:ascii="Arial" w:eastAsia="宋体" w:hAnsi="Arial" w:cs="Arial"/>
                <w:color w:val="000000"/>
                <w:sz w:val="17"/>
                <w:szCs w:val="17"/>
              </w:rPr>
              <w:t>202 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1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1E" w14:textId="77777777" w:rsidR="008A3BAC" w:rsidRDefault="005C75B9">
            <w:pPr>
              <w:jc w:val="right"/>
              <w:textAlignment w:val="bottom"/>
            </w:pPr>
            <w:r>
              <w:rPr>
                <w:rFonts w:ascii="Arial" w:eastAsia="宋体" w:hAnsi="Arial" w:cs="Arial"/>
                <w:color w:val="000000"/>
                <w:sz w:val="17"/>
                <w:szCs w:val="17"/>
              </w:rPr>
              <w:t>167 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1F" w14:textId="77777777" w:rsidR="008A3BAC" w:rsidRDefault="008A3BAC">
            <w:pPr>
              <w:jc w:val="right"/>
              <w:rPr>
                <w:rFonts w:ascii="宋体"/>
              </w:rPr>
            </w:pPr>
          </w:p>
        </w:tc>
      </w:tr>
      <w:tr w:rsidR="008A3BAC" w14:paraId="26E9CB2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B21" w14:textId="77777777" w:rsidR="008A3BAC" w:rsidRDefault="005C75B9">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B2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B23" w14:textId="77777777" w:rsidR="008A3BAC" w:rsidRDefault="005C75B9">
            <w:pPr>
              <w:jc w:val="right"/>
              <w:textAlignment w:val="bottom"/>
            </w:pPr>
            <w:r>
              <w:rPr>
                <w:rFonts w:ascii="Arial" w:eastAsia="宋体" w:hAnsi="Arial" w:cs="Arial"/>
                <w:b/>
                <w:bCs/>
                <w:color w:val="000000"/>
                <w:sz w:val="17"/>
                <w:szCs w:val="17"/>
              </w:rPr>
              <w:t>161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B2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B2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B26" w14:textId="77777777" w:rsidR="008A3BAC" w:rsidRDefault="005C75B9">
            <w:pPr>
              <w:jc w:val="right"/>
              <w:textAlignment w:val="bottom"/>
            </w:pPr>
            <w:r>
              <w:rPr>
                <w:rFonts w:ascii="Arial" w:eastAsia="宋体" w:hAnsi="Arial" w:cs="Arial"/>
                <w:b/>
                <w:bCs/>
                <w:color w:val="000000"/>
                <w:sz w:val="17"/>
                <w:szCs w:val="17"/>
              </w:rPr>
              <w:t>142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B27"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B28"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B2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B2A" w14:textId="77777777" w:rsidR="008A3BAC" w:rsidRDefault="005C75B9">
            <w:pPr>
              <w:jc w:val="right"/>
              <w:textAlignment w:val="bottom"/>
            </w:pPr>
            <w:r>
              <w:rPr>
                <w:rFonts w:ascii="Arial" w:eastAsia="宋体" w:hAnsi="Arial" w:cs="Arial"/>
                <w:b/>
                <w:bCs/>
                <w:color w:val="000000"/>
                <w:sz w:val="17"/>
                <w:szCs w:val="17"/>
              </w:rPr>
              <w:t>467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B2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B2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B2D" w14:textId="77777777" w:rsidR="008A3BAC" w:rsidRDefault="005C75B9">
            <w:pPr>
              <w:jc w:val="right"/>
              <w:textAlignment w:val="bottom"/>
            </w:pPr>
            <w:r>
              <w:rPr>
                <w:rFonts w:ascii="Arial" w:eastAsia="宋体" w:hAnsi="Arial" w:cs="Arial"/>
                <w:b/>
                <w:bCs/>
                <w:color w:val="000000"/>
                <w:sz w:val="17"/>
                <w:szCs w:val="17"/>
              </w:rPr>
              <w:t>467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B2E" w14:textId="77777777" w:rsidR="008A3BAC" w:rsidRDefault="008A3BAC">
            <w:pPr>
              <w:jc w:val="right"/>
              <w:rPr>
                <w:rFonts w:ascii="宋体"/>
              </w:rPr>
            </w:pPr>
          </w:p>
        </w:tc>
      </w:tr>
    </w:tbl>
    <w:p w14:paraId="26E9CB30" w14:textId="77777777" w:rsidR="008A3BAC" w:rsidRDefault="005C75B9">
      <w:pPr>
        <w:spacing w:before="60" w:after="60"/>
        <w:ind w:hanging="360"/>
      </w:pPr>
      <w:r>
        <w:rPr>
          <w:rFonts w:ascii="Arial" w:eastAsia="宋体" w:hAnsi="Arial" w:cs="Arial"/>
          <w:i/>
          <w:iCs/>
          <w:color w:val="000000"/>
          <w:sz w:val="14"/>
          <w:szCs w:val="14"/>
        </w:rPr>
        <w:t xml:space="preserve">(1)Expense for stock options includes the expense associated with stock appreciation rights. Accelerated stock option expense is primarily recorded for employees meeting certain </w:t>
      </w:r>
      <w:r>
        <w:rPr>
          <w:rFonts w:ascii="Arial" w:eastAsia="宋体" w:hAnsi="Arial" w:cs="Arial"/>
          <w:i/>
          <w:iCs/>
          <w:color w:val="000000"/>
          <w:sz w:val="14"/>
          <w:szCs w:val="14"/>
        </w:rPr>
        <w:t>retirement eligibility requirements. An immaterial amount of accelerated stock option and restricted stock expense was also recorded for certain employees impacted by the Company's organizational realignment; for more information see Note 14 — Restructurin</w:t>
      </w:r>
      <w:r>
        <w:rPr>
          <w:rFonts w:ascii="Arial" w:eastAsia="宋体" w:hAnsi="Arial" w:cs="Arial"/>
          <w:i/>
          <w:iCs/>
          <w:color w:val="000000"/>
          <w:sz w:val="14"/>
          <w:szCs w:val="14"/>
        </w:rPr>
        <w:t>g.</w:t>
      </w:r>
    </w:p>
    <w:p w14:paraId="26E9CB31" w14:textId="77777777" w:rsidR="008A3BAC" w:rsidRDefault="005C75B9">
      <w:pPr>
        <w:spacing w:before="60" w:after="60"/>
        <w:ind w:hanging="360"/>
      </w:pPr>
      <w:r>
        <w:rPr>
          <w:rFonts w:ascii="Arial" w:eastAsia="宋体" w:hAnsi="Arial" w:cs="Arial"/>
          <w:i/>
          <w:iCs/>
          <w:color w:val="000000"/>
          <w:sz w:val="14"/>
          <w:szCs w:val="14"/>
        </w:rPr>
        <w:t>(2)Includes expense for performance-based restricted stock units granted during the nine months ended February 28, 2022.</w:t>
      </w:r>
    </w:p>
    <w:p w14:paraId="26E9CB32" w14:textId="77777777" w:rsidR="008A3BAC" w:rsidRDefault="005C75B9">
      <w:pPr>
        <w:spacing w:before="120" w:after="120"/>
        <w:jc w:val="right"/>
      </w:pPr>
      <w:r>
        <w:rPr>
          <w:rFonts w:ascii="Arial" w:eastAsia="宋体" w:hAnsi="Arial" w:cs="Arial"/>
          <w:color w:val="E87722"/>
          <w:sz w:val="17"/>
          <w:szCs w:val="17"/>
        </w:rPr>
        <w:t>11</w:t>
      </w:r>
    </w:p>
    <w:p w14:paraId="26E9CB33" w14:textId="77777777" w:rsidR="008A3BAC" w:rsidRDefault="005C75B9">
      <w:r>
        <w:pict w14:anchorId="26E9E852">
          <v:rect id="_x0000_i1037" style="width:415.3pt;height:1.5pt" o:hralign="center" o:hrstd="t" o:hr="t" fillcolor="#a0a0a0" stroked="f"/>
        </w:pict>
      </w:r>
    </w:p>
    <w:p w14:paraId="26E9CB34" w14:textId="77777777" w:rsidR="008A3BAC" w:rsidRDefault="008A3BAC"/>
    <w:p w14:paraId="26E9CB35" w14:textId="77777777" w:rsidR="008A3BAC" w:rsidRDefault="005C75B9">
      <w:hyperlink r:id="rId82" w:anchor="i46aba51c6a804f42b3595948c57d2023_7" w:history="1">
        <w:r>
          <w:rPr>
            <w:rStyle w:val="a5"/>
            <w:rFonts w:ascii="sans-serif" w:eastAsia="sans-serif" w:hAnsi="sans-serif" w:cs="sans-serif"/>
            <w:sz w:val="17"/>
            <w:szCs w:val="17"/>
          </w:rPr>
          <w:t>Table of Contents</w:t>
        </w:r>
      </w:hyperlink>
    </w:p>
    <w:p w14:paraId="26E9CB36" w14:textId="77777777" w:rsidR="008A3BAC" w:rsidRDefault="008A3BAC"/>
    <w:p w14:paraId="26E9CB37" w14:textId="77777777" w:rsidR="008A3BAC" w:rsidRDefault="005C75B9">
      <w:pPr>
        <w:spacing w:before="120" w:after="120"/>
      </w:pPr>
      <w:r>
        <w:rPr>
          <w:rFonts w:ascii="Arial" w:eastAsia="宋体" w:hAnsi="Arial" w:cs="Arial"/>
          <w:color w:val="000000"/>
          <w:sz w:val="17"/>
          <w:szCs w:val="17"/>
        </w:rPr>
        <w:t>The income tax benefit related to stock-based compensation expense was $34 million and $67 million for the three months ended February 28, 2022 and 2021, respectively, and $307 million and $256 million for the n</w:t>
      </w:r>
      <w:r>
        <w:rPr>
          <w:rFonts w:ascii="Arial" w:eastAsia="宋体" w:hAnsi="Arial" w:cs="Arial"/>
          <w:color w:val="000000"/>
          <w:sz w:val="17"/>
          <w:szCs w:val="17"/>
        </w:rPr>
        <w:t>ine months ended February 28, 2022 and 2021, respectively.</w:t>
      </w:r>
    </w:p>
    <w:p w14:paraId="26E9CB38" w14:textId="77777777" w:rsidR="008A3BAC" w:rsidRDefault="005C75B9">
      <w:pPr>
        <w:spacing w:before="240" w:after="120"/>
      </w:pPr>
      <w:r>
        <w:rPr>
          <w:rFonts w:ascii="sans-serif" w:eastAsia="sans-serif" w:hAnsi="sans-serif" w:cs="sans-serif"/>
          <w:b/>
          <w:bCs/>
          <w:color w:val="000000"/>
          <w:sz w:val="28"/>
          <w:szCs w:val="28"/>
        </w:rPr>
        <w:t>STOCK OPTIONS</w:t>
      </w:r>
    </w:p>
    <w:p w14:paraId="26E9CB39" w14:textId="77777777" w:rsidR="008A3BAC" w:rsidRDefault="005C75B9">
      <w:pPr>
        <w:spacing w:before="120" w:after="120"/>
      </w:pPr>
      <w:r>
        <w:rPr>
          <w:rFonts w:ascii="Arial" w:eastAsia="宋体" w:hAnsi="Arial" w:cs="Arial"/>
          <w:color w:val="000000"/>
          <w:sz w:val="17"/>
          <w:szCs w:val="17"/>
        </w:rPr>
        <w:t>The weighted average fair value per share of the options granted during the nine months ended February 28, 2022 and 2021, computed as of the grant date using the Black-Scholes pricing</w:t>
      </w:r>
      <w:r>
        <w:rPr>
          <w:rFonts w:ascii="Arial" w:eastAsia="宋体" w:hAnsi="Arial" w:cs="Arial"/>
          <w:color w:val="000000"/>
          <w:sz w:val="17"/>
          <w:szCs w:val="17"/>
        </w:rPr>
        <w:t xml:space="preserve"> model, was $37.53 and $26.75, respectively. The weighted average assumptions used to estimate these fair values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5947"/>
        <w:gridCol w:w="36"/>
        <w:gridCol w:w="37"/>
        <w:gridCol w:w="942"/>
        <w:gridCol w:w="173"/>
        <w:gridCol w:w="37"/>
        <w:gridCol w:w="942"/>
        <w:gridCol w:w="172"/>
      </w:tblGrid>
      <w:tr w:rsidR="008A3BAC" w14:paraId="26E9CB43" w14:textId="77777777">
        <w:tc>
          <w:tcPr>
            <w:tcW w:w="50" w:type="pct"/>
            <w:shd w:val="clear" w:color="auto" w:fill="auto"/>
            <w:vAlign w:val="bottom"/>
          </w:tcPr>
          <w:p w14:paraId="26E9CB3A" w14:textId="77777777" w:rsidR="008A3BAC" w:rsidRDefault="008A3BAC">
            <w:pPr>
              <w:rPr>
                <w:rFonts w:ascii="宋体"/>
              </w:rPr>
            </w:pPr>
          </w:p>
        </w:tc>
        <w:tc>
          <w:tcPr>
            <w:tcW w:w="3615" w:type="pct"/>
            <w:shd w:val="clear" w:color="auto" w:fill="auto"/>
            <w:vAlign w:val="bottom"/>
          </w:tcPr>
          <w:p w14:paraId="26E9CB3B" w14:textId="77777777" w:rsidR="008A3BAC" w:rsidRDefault="008A3BAC">
            <w:pPr>
              <w:rPr>
                <w:rFonts w:ascii="宋体"/>
              </w:rPr>
            </w:pPr>
          </w:p>
        </w:tc>
        <w:tc>
          <w:tcPr>
            <w:tcW w:w="5" w:type="pct"/>
            <w:shd w:val="clear" w:color="auto" w:fill="auto"/>
            <w:vAlign w:val="bottom"/>
          </w:tcPr>
          <w:p w14:paraId="26E9CB3C" w14:textId="77777777" w:rsidR="008A3BAC" w:rsidRDefault="008A3BAC">
            <w:pPr>
              <w:rPr>
                <w:rFonts w:ascii="宋体"/>
              </w:rPr>
            </w:pPr>
          </w:p>
        </w:tc>
        <w:tc>
          <w:tcPr>
            <w:tcW w:w="50" w:type="pct"/>
            <w:shd w:val="clear" w:color="auto" w:fill="auto"/>
            <w:vAlign w:val="bottom"/>
          </w:tcPr>
          <w:p w14:paraId="26E9CB3D" w14:textId="77777777" w:rsidR="008A3BAC" w:rsidRDefault="008A3BAC">
            <w:pPr>
              <w:rPr>
                <w:rFonts w:ascii="宋体"/>
              </w:rPr>
            </w:pPr>
          </w:p>
        </w:tc>
        <w:tc>
          <w:tcPr>
            <w:tcW w:w="609" w:type="pct"/>
            <w:shd w:val="clear" w:color="auto" w:fill="auto"/>
            <w:vAlign w:val="bottom"/>
          </w:tcPr>
          <w:p w14:paraId="26E9CB3E" w14:textId="77777777" w:rsidR="008A3BAC" w:rsidRDefault="008A3BAC">
            <w:pPr>
              <w:rPr>
                <w:rFonts w:ascii="宋体"/>
              </w:rPr>
            </w:pPr>
          </w:p>
        </w:tc>
        <w:tc>
          <w:tcPr>
            <w:tcW w:w="5" w:type="pct"/>
            <w:shd w:val="clear" w:color="auto" w:fill="auto"/>
            <w:vAlign w:val="bottom"/>
          </w:tcPr>
          <w:p w14:paraId="26E9CB3F" w14:textId="77777777" w:rsidR="008A3BAC" w:rsidRDefault="008A3BAC">
            <w:pPr>
              <w:rPr>
                <w:rFonts w:ascii="宋体"/>
              </w:rPr>
            </w:pPr>
          </w:p>
        </w:tc>
        <w:tc>
          <w:tcPr>
            <w:tcW w:w="50" w:type="pct"/>
            <w:shd w:val="clear" w:color="auto" w:fill="auto"/>
            <w:vAlign w:val="bottom"/>
          </w:tcPr>
          <w:p w14:paraId="26E9CB40" w14:textId="77777777" w:rsidR="008A3BAC" w:rsidRDefault="008A3BAC">
            <w:pPr>
              <w:rPr>
                <w:rFonts w:ascii="宋体"/>
              </w:rPr>
            </w:pPr>
          </w:p>
        </w:tc>
        <w:tc>
          <w:tcPr>
            <w:tcW w:w="609" w:type="pct"/>
            <w:shd w:val="clear" w:color="auto" w:fill="auto"/>
            <w:vAlign w:val="bottom"/>
          </w:tcPr>
          <w:p w14:paraId="26E9CB41" w14:textId="77777777" w:rsidR="008A3BAC" w:rsidRDefault="008A3BAC">
            <w:pPr>
              <w:rPr>
                <w:rFonts w:ascii="宋体"/>
              </w:rPr>
            </w:pPr>
          </w:p>
        </w:tc>
        <w:tc>
          <w:tcPr>
            <w:tcW w:w="5" w:type="pct"/>
            <w:shd w:val="clear" w:color="auto" w:fill="auto"/>
            <w:vAlign w:val="bottom"/>
          </w:tcPr>
          <w:p w14:paraId="26E9CB42" w14:textId="77777777" w:rsidR="008A3BAC" w:rsidRDefault="008A3BAC">
            <w:pPr>
              <w:rPr>
                <w:rFonts w:ascii="宋体"/>
              </w:rPr>
            </w:pPr>
          </w:p>
        </w:tc>
      </w:tr>
      <w:tr w:rsidR="008A3BAC" w14:paraId="26E9CB46" w14:textId="77777777">
        <w:tc>
          <w:tcPr>
            <w:tcW w:w="0" w:type="auto"/>
            <w:gridSpan w:val="3"/>
            <w:shd w:val="clear" w:color="auto" w:fill="auto"/>
            <w:tcMar>
              <w:top w:w="40" w:type="dxa"/>
              <w:left w:w="20" w:type="dxa"/>
              <w:bottom w:w="40" w:type="dxa"/>
              <w:right w:w="20" w:type="dxa"/>
            </w:tcMar>
            <w:vAlign w:val="bottom"/>
          </w:tcPr>
          <w:p w14:paraId="26E9CB44" w14:textId="77777777" w:rsidR="008A3BAC" w:rsidRDefault="005C75B9">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6E9CB45"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B4A" w14:textId="77777777">
        <w:tc>
          <w:tcPr>
            <w:tcW w:w="0" w:type="auto"/>
            <w:gridSpan w:val="3"/>
            <w:shd w:val="clear" w:color="auto" w:fill="auto"/>
            <w:tcMar>
              <w:top w:w="0" w:type="dxa"/>
              <w:left w:w="20" w:type="dxa"/>
              <w:bottom w:w="0" w:type="dxa"/>
              <w:right w:w="20" w:type="dxa"/>
            </w:tcMar>
            <w:vAlign w:val="bottom"/>
          </w:tcPr>
          <w:p w14:paraId="26E9CB47"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48"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49"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B5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4B" w14:textId="77777777" w:rsidR="008A3BAC" w:rsidRDefault="005C75B9">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B4C" w14:textId="77777777" w:rsidR="008A3BAC" w:rsidRDefault="005C75B9">
            <w:pPr>
              <w:jc w:val="right"/>
              <w:textAlignment w:val="bottom"/>
            </w:pPr>
            <w:r>
              <w:rPr>
                <w:rFonts w:ascii="Arial" w:eastAsia="宋体" w:hAnsi="Arial" w:cs="Arial"/>
                <w:color w:val="000000"/>
                <w:sz w:val="17"/>
                <w:szCs w:val="17"/>
              </w:rPr>
              <w:t>0.8 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4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B4E" w14:textId="77777777" w:rsidR="008A3BAC" w:rsidRDefault="005C75B9">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4F" w14:textId="77777777" w:rsidR="008A3BAC" w:rsidRDefault="005C75B9">
            <w:pPr>
              <w:jc w:val="right"/>
              <w:textAlignment w:val="bottom"/>
            </w:pPr>
            <w:r>
              <w:rPr>
                <w:rFonts w:ascii="Arial" w:eastAsia="宋体" w:hAnsi="Arial" w:cs="Arial"/>
                <w:color w:val="000000"/>
                <w:sz w:val="17"/>
                <w:szCs w:val="17"/>
              </w:rPr>
              <w:t>%</w:t>
            </w:r>
          </w:p>
        </w:tc>
      </w:tr>
      <w:tr w:rsidR="008A3BAC" w14:paraId="26E9CB5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51" w14:textId="77777777" w:rsidR="008A3BAC" w:rsidRDefault="005C75B9">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52" w14:textId="77777777" w:rsidR="008A3BAC" w:rsidRDefault="005C75B9">
            <w:pPr>
              <w:jc w:val="right"/>
              <w:textAlignment w:val="bottom"/>
            </w:pPr>
            <w:r>
              <w:rPr>
                <w:rFonts w:ascii="Arial" w:eastAsia="宋体" w:hAnsi="Arial" w:cs="Arial"/>
                <w:color w:val="000000"/>
                <w:sz w:val="17"/>
                <w:szCs w:val="17"/>
              </w:rPr>
              <w:t>24.9 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5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54" w14:textId="77777777" w:rsidR="008A3BAC" w:rsidRDefault="005C75B9">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55" w14:textId="77777777" w:rsidR="008A3BAC" w:rsidRDefault="005C75B9">
            <w:pPr>
              <w:jc w:val="right"/>
              <w:textAlignment w:val="bottom"/>
            </w:pPr>
            <w:r>
              <w:rPr>
                <w:rFonts w:ascii="Arial" w:eastAsia="宋体" w:hAnsi="Arial" w:cs="Arial"/>
                <w:color w:val="000000"/>
                <w:sz w:val="17"/>
                <w:szCs w:val="17"/>
              </w:rPr>
              <w:t>%</w:t>
            </w:r>
          </w:p>
        </w:tc>
      </w:tr>
      <w:tr w:rsidR="008A3BAC" w14:paraId="26E9CB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57" w14:textId="77777777" w:rsidR="008A3BAC" w:rsidRDefault="005C75B9">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6E9CB58" w14:textId="77777777" w:rsidR="008A3BAC" w:rsidRDefault="005C75B9">
            <w:pPr>
              <w:jc w:val="right"/>
              <w:textAlignment w:val="bottom"/>
            </w:pPr>
            <w:r>
              <w:rPr>
                <w:rFonts w:ascii="Arial" w:eastAsia="宋体" w:hAnsi="Arial" w:cs="Arial"/>
                <w:color w:val="000000"/>
                <w:sz w:val="17"/>
                <w:szCs w:val="17"/>
              </w:rPr>
              <w:t>5.8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59" w14:textId="77777777" w:rsidR="008A3BAC" w:rsidRDefault="005C75B9">
            <w:pPr>
              <w:jc w:val="right"/>
              <w:textAlignment w:val="bottom"/>
            </w:pPr>
            <w:r>
              <w:rPr>
                <w:rFonts w:ascii="Arial" w:eastAsia="宋体" w:hAnsi="Arial" w:cs="Arial"/>
                <w:color w:val="000000"/>
                <w:sz w:val="17"/>
                <w:szCs w:val="17"/>
              </w:rPr>
              <w:t>6.0</w:t>
            </w:r>
          </w:p>
        </w:tc>
      </w:tr>
      <w:tr w:rsidR="008A3BAC" w14:paraId="26E9CB6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B5B" w14:textId="77777777" w:rsidR="008A3BAC" w:rsidRDefault="005C75B9">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B5C" w14:textId="77777777" w:rsidR="008A3BAC" w:rsidRDefault="005C75B9">
            <w:pPr>
              <w:jc w:val="right"/>
              <w:textAlignment w:val="bottom"/>
            </w:pPr>
            <w:r>
              <w:rPr>
                <w:rFonts w:ascii="Arial" w:eastAsia="宋体" w:hAnsi="Arial" w:cs="Arial"/>
                <w:color w:val="000000"/>
                <w:sz w:val="17"/>
                <w:szCs w:val="17"/>
              </w:rPr>
              <w:t>0.9 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B5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B5E" w14:textId="77777777" w:rsidR="008A3BAC" w:rsidRDefault="005C75B9">
            <w:pPr>
              <w:jc w:val="right"/>
              <w:textAlignment w:val="bottom"/>
            </w:pPr>
            <w:r>
              <w:rPr>
                <w:rFonts w:ascii="Arial" w:eastAsia="宋体" w:hAnsi="Arial" w:cs="Arial"/>
                <w:color w:val="000000"/>
                <w:sz w:val="17"/>
                <w:szCs w:val="17"/>
              </w:rPr>
              <w:t>0.4 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B5F" w14:textId="77777777" w:rsidR="008A3BAC" w:rsidRDefault="005C75B9">
            <w:pPr>
              <w:jc w:val="right"/>
              <w:textAlignment w:val="bottom"/>
            </w:pPr>
            <w:r>
              <w:rPr>
                <w:rFonts w:ascii="Arial" w:eastAsia="宋体" w:hAnsi="Arial" w:cs="Arial"/>
                <w:color w:val="000000"/>
                <w:sz w:val="17"/>
                <w:szCs w:val="17"/>
              </w:rPr>
              <w:t>%</w:t>
            </w:r>
          </w:p>
        </w:tc>
      </w:tr>
    </w:tbl>
    <w:p w14:paraId="26E9CB61" w14:textId="77777777" w:rsidR="008A3BAC" w:rsidRDefault="005C75B9">
      <w:pPr>
        <w:spacing w:before="120" w:after="120"/>
      </w:pPr>
      <w:r>
        <w:rPr>
          <w:rFonts w:ascii="Arial" w:eastAsia="宋体" w:hAnsi="Arial" w:cs="Arial"/>
          <w:color w:val="000000"/>
          <w:sz w:val="17"/>
          <w:szCs w:val="17"/>
        </w:rPr>
        <w:t xml:space="preserve">Expected volatilities are based on an analysis of the historical volatility of the Company's common stock, the implied volatility in market-traded options on the </w:t>
      </w:r>
      <w:r>
        <w:rPr>
          <w:rFonts w:ascii="Arial" w:eastAsia="宋体" w:hAnsi="Arial" w:cs="Arial"/>
          <w:color w:val="000000"/>
          <w:sz w:val="17"/>
          <w:szCs w:val="17"/>
        </w:rPr>
        <w:t>Company's common stock with a term greater than one year, as well as other factors. The weighted average expected life of options is based on an analysis of historical and expected future exercise patterns. The interest rate is based on the U.S. Treasury (</w:t>
      </w:r>
      <w:r>
        <w:rPr>
          <w:rFonts w:ascii="Arial" w:eastAsia="宋体" w:hAnsi="Arial" w:cs="Arial"/>
          <w:color w:val="000000"/>
          <w:sz w:val="17"/>
          <w:szCs w:val="17"/>
        </w:rPr>
        <w:t>constant maturity) risk-free rate in effect at the date of grant for periods corresponding with the expected term of the options.</w:t>
      </w:r>
    </w:p>
    <w:p w14:paraId="26E9CB62" w14:textId="77777777" w:rsidR="008A3BAC" w:rsidRDefault="005C75B9">
      <w:pPr>
        <w:spacing w:before="120" w:after="120"/>
      </w:pPr>
      <w:r>
        <w:rPr>
          <w:rFonts w:ascii="Arial" w:eastAsia="宋体" w:hAnsi="Arial" w:cs="Arial"/>
          <w:color w:val="000000"/>
          <w:sz w:val="17"/>
          <w:szCs w:val="17"/>
        </w:rPr>
        <w:t xml:space="preserve">As of February 28, 2022, the Company had $484 million of unrecognized compensation costs from stock options, net of estimated </w:t>
      </w:r>
      <w:r>
        <w:rPr>
          <w:rFonts w:ascii="Arial" w:eastAsia="宋体" w:hAnsi="Arial" w:cs="Arial"/>
          <w:color w:val="000000"/>
          <w:sz w:val="17"/>
          <w:szCs w:val="17"/>
        </w:rPr>
        <w:t>forfeitures, to be recognized in Cost of sales or Operating overhead expense, as applicable, over a weighted average remaining period of 2.6 years.</w:t>
      </w:r>
    </w:p>
    <w:p w14:paraId="26E9CB63" w14:textId="77777777" w:rsidR="008A3BAC" w:rsidRDefault="005C75B9">
      <w:pPr>
        <w:spacing w:before="240" w:after="120"/>
      </w:pPr>
      <w:r>
        <w:rPr>
          <w:rFonts w:ascii="sans-serif" w:eastAsia="sans-serif" w:hAnsi="sans-serif" w:cs="sans-serif"/>
          <w:b/>
          <w:bCs/>
          <w:color w:val="000000"/>
          <w:sz w:val="28"/>
          <w:szCs w:val="28"/>
        </w:rPr>
        <w:t>RESTRICTED STOCK AND RESTRICTED STOCK UNITS</w:t>
      </w:r>
    </w:p>
    <w:p w14:paraId="26E9CB64" w14:textId="77777777" w:rsidR="008A3BAC" w:rsidRDefault="005C75B9">
      <w:pPr>
        <w:spacing w:before="120" w:after="120"/>
      </w:pPr>
      <w:r>
        <w:rPr>
          <w:rFonts w:ascii="Arial" w:eastAsia="宋体" w:hAnsi="Arial" w:cs="Arial"/>
          <w:color w:val="000000"/>
          <w:sz w:val="17"/>
          <w:szCs w:val="17"/>
        </w:rPr>
        <w:t>The weighted average fair value per share of restricted stock an</w:t>
      </w:r>
      <w:r>
        <w:rPr>
          <w:rFonts w:ascii="Arial" w:eastAsia="宋体" w:hAnsi="Arial" w:cs="Arial"/>
          <w:color w:val="000000"/>
          <w:sz w:val="17"/>
          <w:szCs w:val="17"/>
        </w:rPr>
        <w:t xml:space="preserve">d restricted stock units granted for the nine months ended February 28, 2022 and 2021, computed as of the grant date, was $158.94 and $112.44, respectively. </w:t>
      </w:r>
    </w:p>
    <w:p w14:paraId="26E9CB65" w14:textId="77777777" w:rsidR="008A3BAC" w:rsidRDefault="005C75B9">
      <w:pPr>
        <w:spacing w:before="120" w:after="120"/>
      </w:pPr>
      <w:r>
        <w:rPr>
          <w:rFonts w:ascii="Arial" w:eastAsia="宋体" w:hAnsi="Arial" w:cs="Arial"/>
          <w:color w:val="000000"/>
          <w:sz w:val="17"/>
          <w:szCs w:val="17"/>
        </w:rPr>
        <w:t>During the nine months ended February 28, 2022, under the Stock Incentive Plan, the Company grante</w:t>
      </w:r>
      <w:r>
        <w:rPr>
          <w:rFonts w:ascii="Arial" w:eastAsia="宋体" w:hAnsi="Arial" w:cs="Arial"/>
          <w:color w:val="000000"/>
          <w:sz w:val="17"/>
          <w:szCs w:val="17"/>
        </w:rPr>
        <w:t>d performance-based restricted stock units (PSUs), which were historically in the form of cash-based long-term incentive awards under the Company's Long-Term Incentive Plan. The Company estimates the fair value of these PSUs as of the grant date using a Mo</w:t>
      </w:r>
      <w:r>
        <w:rPr>
          <w:rFonts w:ascii="Arial" w:eastAsia="宋体" w:hAnsi="Arial" w:cs="Arial"/>
          <w:color w:val="000000"/>
          <w:sz w:val="17"/>
          <w:szCs w:val="17"/>
        </w:rPr>
        <w:t>nte Carlo simulation. The weighted average fair value per share of PSUs granted for the nine months ended February 28, 2022, computed as of the grant date, was $250.52. The impact of granting PSUs during the nine months ended February 28, 2022, was not mat</w:t>
      </w:r>
      <w:r>
        <w:rPr>
          <w:rFonts w:ascii="Arial" w:eastAsia="宋体" w:hAnsi="Arial" w:cs="Arial"/>
          <w:color w:val="000000"/>
          <w:sz w:val="17"/>
          <w:szCs w:val="17"/>
        </w:rPr>
        <w:t xml:space="preserve">erial to the Company's Unaudited Condensed Consolidated Financial Statements. </w:t>
      </w:r>
    </w:p>
    <w:p w14:paraId="26E9CB66" w14:textId="77777777" w:rsidR="008A3BAC" w:rsidRDefault="005C75B9">
      <w:pPr>
        <w:spacing w:before="120" w:after="120"/>
      </w:pPr>
      <w:r>
        <w:rPr>
          <w:rFonts w:ascii="Arial" w:eastAsia="宋体" w:hAnsi="Arial" w:cs="Arial"/>
          <w:color w:val="000000"/>
          <w:sz w:val="17"/>
          <w:szCs w:val="17"/>
        </w:rPr>
        <w:t>As of February 28, 2022, the Company had $629 million of unrecognized compensation costs from restricted stock, restricted stock units and PSUs, net of estimated forfeitures, to</w:t>
      </w:r>
      <w:r>
        <w:rPr>
          <w:rFonts w:ascii="Arial" w:eastAsia="宋体" w:hAnsi="Arial" w:cs="Arial"/>
          <w:color w:val="000000"/>
          <w:sz w:val="17"/>
          <w:szCs w:val="17"/>
        </w:rPr>
        <w:t xml:space="preserve"> be recognized in Cost of sales or Operating overhead expense, as applicable, over a weighted average remaining period of 2.6 years.</w:t>
      </w:r>
    </w:p>
    <w:p w14:paraId="26E9CB67" w14:textId="77777777" w:rsidR="008A3BAC" w:rsidRDefault="005C75B9">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26E9CB68" w14:textId="77777777" w:rsidR="008A3BAC" w:rsidRDefault="005C75B9">
      <w:r>
        <w:pict w14:anchorId="26E9E853">
          <v:rect id="_x0000_i1038" style="width:415.3pt;height:1.5pt" o:hralign="center" o:hrstd="t" o:hr="t" fillcolor="#a0a0a0" stroked="f"/>
        </w:pict>
      </w:r>
    </w:p>
    <w:p w14:paraId="26E9CB69" w14:textId="77777777" w:rsidR="008A3BAC" w:rsidRDefault="008A3BAC"/>
    <w:p w14:paraId="26E9CB6A" w14:textId="77777777" w:rsidR="008A3BAC" w:rsidRDefault="005C75B9">
      <w:hyperlink r:id="rId83" w:anchor="i46aba51c6a804f42b3595948c57d2023_7" w:history="1">
        <w:r>
          <w:rPr>
            <w:rStyle w:val="a5"/>
            <w:rFonts w:ascii="sans-serif" w:eastAsia="sans-serif" w:hAnsi="sans-serif" w:cs="sans-serif"/>
            <w:sz w:val="17"/>
            <w:szCs w:val="17"/>
          </w:rPr>
          <w:t>Table of Contents</w:t>
        </w:r>
      </w:hyperlink>
    </w:p>
    <w:p w14:paraId="26E9CB6B"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B6F" w14:textId="77777777">
        <w:tc>
          <w:tcPr>
            <w:tcW w:w="50" w:type="pct"/>
            <w:shd w:val="clear" w:color="auto" w:fill="auto"/>
            <w:vAlign w:val="bottom"/>
          </w:tcPr>
          <w:p w14:paraId="26E9CB6C" w14:textId="77777777" w:rsidR="008A3BAC" w:rsidRDefault="008A3BAC">
            <w:pPr>
              <w:rPr>
                <w:rFonts w:ascii="宋体"/>
              </w:rPr>
            </w:pPr>
          </w:p>
        </w:tc>
        <w:tc>
          <w:tcPr>
            <w:tcW w:w="4945" w:type="pct"/>
            <w:shd w:val="clear" w:color="auto" w:fill="auto"/>
            <w:vAlign w:val="bottom"/>
          </w:tcPr>
          <w:p w14:paraId="26E9CB6D" w14:textId="77777777" w:rsidR="008A3BAC" w:rsidRDefault="008A3BAC">
            <w:pPr>
              <w:rPr>
                <w:rFonts w:ascii="宋体"/>
              </w:rPr>
            </w:pPr>
          </w:p>
        </w:tc>
        <w:tc>
          <w:tcPr>
            <w:tcW w:w="5" w:type="pct"/>
            <w:shd w:val="clear" w:color="auto" w:fill="auto"/>
            <w:vAlign w:val="bottom"/>
          </w:tcPr>
          <w:p w14:paraId="26E9CB6E" w14:textId="77777777" w:rsidR="008A3BAC" w:rsidRDefault="008A3BAC">
            <w:pPr>
              <w:rPr>
                <w:rFonts w:ascii="宋体"/>
              </w:rPr>
            </w:pPr>
          </w:p>
        </w:tc>
      </w:tr>
      <w:tr w:rsidR="008A3BAC" w14:paraId="26E9CB71" w14:textId="77777777">
        <w:tc>
          <w:tcPr>
            <w:tcW w:w="0" w:type="auto"/>
            <w:gridSpan w:val="3"/>
            <w:shd w:val="clear" w:color="auto" w:fill="auto"/>
            <w:tcMar>
              <w:top w:w="40" w:type="dxa"/>
              <w:left w:w="20" w:type="dxa"/>
              <w:bottom w:w="40" w:type="dxa"/>
              <w:right w:w="20" w:type="dxa"/>
            </w:tcMar>
            <w:vAlign w:val="bottom"/>
          </w:tcPr>
          <w:p w14:paraId="26E9CB70" w14:textId="77777777" w:rsidR="008A3BAC" w:rsidRDefault="005C75B9">
            <w:pPr>
              <w:textAlignment w:val="bottom"/>
            </w:pPr>
            <w:r>
              <w:rPr>
                <w:rFonts w:ascii="sans-serif" w:eastAsia="sans-serif" w:hAnsi="sans-serif" w:cs="sans-serif"/>
                <w:b/>
                <w:bCs/>
                <w:color w:val="E87722"/>
                <w:sz w:val="36"/>
                <w:szCs w:val="36"/>
              </w:rPr>
              <w:t>NOTE 8 — EARNINGS PER SHARE</w:t>
            </w:r>
          </w:p>
        </w:tc>
      </w:tr>
    </w:tbl>
    <w:p w14:paraId="26E9CB72" w14:textId="77777777" w:rsidR="008A3BAC" w:rsidRDefault="005C75B9">
      <w:pPr>
        <w:spacing w:before="120" w:after="120"/>
      </w:pPr>
      <w:r>
        <w:rPr>
          <w:rFonts w:ascii="Arial" w:eastAsia="宋体" w:hAnsi="Arial" w:cs="Arial"/>
          <w:color w:val="000000"/>
          <w:sz w:val="17"/>
          <w:szCs w:val="17"/>
        </w:rPr>
        <w:t>The following is a reconciliation from basic earning</w:t>
      </w:r>
      <w:r>
        <w:rPr>
          <w:rFonts w:ascii="Arial" w:eastAsia="宋体" w:hAnsi="Arial" w:cs="Arial"/>
          <w:color w:val="000000"/>
          <w:sz w:val="17"/>
          <w:szCs w:val="17"/>
        </w:rPr>
        <w:t>s per common share to diluted earnings per common share. The computations of diluted earnings per common share excluded restricted stock, restricted stock units and options, including shares under ESPPs, to purchase an additional 9.3 million shares of comm</w:t>
      </w:r>
      <w:r>
        <w:rPr>
          <w:rFonts w:ascii="Arial" w:eastAsia="宋体" w:hAnsi="Arial" w:cs="Arial"/>
          <w:color w:val="000000"/>
          <w:sz w:val="17"/>
          <w:szCs w:val="17"/>
        </w:rPr>
        <w:t>on stock outstanding for the three months ended February 28, 2022, because the awards were anti-dilutive. The amount of anti-dilutive awards for the three months ended February 28, 2021, was insignificant. For the nine months ended February 28, 2022 and 20</w:t>
      </w:r>
      <w:r>
        <w:rPr>
          <w:rFonts w:ascii="Arial" w:eastAsia="宋体" w:hAnsi="Arial" w:cs="Arial"/>
          <w:color w:val="000000"/>
          <w:sz w:val="17"/>
          <w:szCs w:val="17"/>
        </w:rPr>
        <w:t>21, the computations of diluted earnings per common share excluded 9.4 million and 11.6 million shares of common stock outstanding, respectively, because the awards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4787"/>
        <w:gridCol w:w="39"/>
        <w:gridCol w:w="116"/>
        <w:gridCol w:w="697"/>
        <w:gridCol w:w="36"/>
        <w:gridCol w:w="116"/>
        <w:gridCol w:w="697"/>
        <w:gridCol w:w="36"/>
        <w:gridCol w:w="36"/>
        <w:gridCol w:w="36"/>
        <w:gridCol w:w="36"/>
        <w:gridCol w:w="116"/>
        <w:gridCol w:w="662"/>
        <w:gridCol w:w="36"/>
        <w:gridCol w:w="116"/>
        <w:gridCol w:w="698"/>
        <w:gridCol w:w="36"/>
      </w:tblGrid>
      <w:tr w:rsidR="008A3BAC" w14:paraId="26E9CB85" w14:textId="77777777">
        <w:tc>
          <w:tcPr>
            <w:tcW w:w="50" w:type="pct"/>
            <w:shd w:val="clear" w:color="auto" w:fill="auto"/>
            <w:vAlign w:val="bottom"/>
          </w:tcPr>
          <w:p w14:paraId="26E9CB73" w14:textId="77777777" w:rsidR="008A3BAC" w:rsidRDefault="008A3BAC">
            <w:pPr>
              <w:rPr>
                <w:rFonts w:ascii="宋体"/>
              </w:rPr>
            </w:pPr>
          </w:p>
        </w:tc>
        <w:tc>
          <w:tcPr>
            <w:tcW w:w="2900" w:type="pct"/>
            <w:shd w:val="clear" w:color="auto" w:fill="auto"/>
            <w:vAlign w:val="bottom"/>
          </w:tcPr>
          <w:p w14:paraId="26E9CB74" w14:textId="77777777" w:rsidR="008A3BAC" w:rsidRDefault="008A3BAC">
            <w:pPr>
              <w:rPr>
                <w:rFonts w:ascii="宋体"/>
              </w:rPr>
            </w:pPr>
          </w:p>
        </w:tc>
        <w:tc>
          <w:tcPr>
            <w:tcW w:w="5" w:type="pct"/>
            <w:shd w:val="clear" w:color="auto" w:fill="auto"/>
            <w:vAlign w:val="bottom"/>
          </w:tcPr>
          <w:p w14:paraId="26E9CB75" w14:textId="77777777" w:rsidR="008A3BAC" w:rsidRDefault="008A3BAC">
            <w:pPr>
              <w:rPr>
                <w:rFonts w:ascii="宋体"/>
              </w:rPr>
            </w:pPr>
          </w:p>
        </w:tc>
        <w:tc>
          <w:tcPr>
            <w:tcW w:w="50" w:type="pct"/>
            <w:shd w:val="clear" w:color="auto" w:fill="auto"/>
            <w:vAlign w:val="bottom"/>
          </w:tcPr>
          <w:p w14:paraId="26E9CB76" w14:textId="77777777" w:rsidR="008A3BAC" w:rsidRDefault="008A3BAC">
            <w:pPr>
              <w:rPr>
                <w:rFonts w:ascii="宋体"/>
              </w:rPr>
            </w:pPr>
          </w:p>
        </w:tc>
        <w:tc>
          <w:tcPr>
            <w:tcW w:w="446" w:type="pct"/>
            <w:shd w:val="clear" w:color="auto" w:fill="auto"/>
            <w:vAlign w:val="bottom"/>
          </w:tcPr>
          <w:p w14:paraId="26E9CB77" w14:textId="77777777" w:rsidR="008A3BAC" w:rsidRDefault="008A3BAC">
            <w:pPr>
              <w:rPr>
                <w:rFonts w:ascii="宋体"/>
              </w:rPr>
            </w:pPr>
          </w:p>
        </w:tc>
        <w:tc>
          <w:tcPr>
            <w:tcW w:w="5" w:type="pct"/>
            <w:shd w:val="clear" w:color="auto" w:fill="auto"/>
            <w:vAlign w:val="bottom"/>
          </w:tcPr>
          <w:p w14:paraId="26E9CB78" w14:textId="77777777" w:rsidR="008A3BAC" w:rsidRDefault="008A3BAC">
            <w:pPr>
              <w:rPr>
                <w:rFonts w:ascii="宋体"/>
              </w:rPr>
            </w:pPr>
          </w:p>
        </w:tc>
        <w:tc>
          <w:tcPr>
            <w:tcW w:w="50" w:type="pct"/>
            <w:shd w:val="clear" w:color="auto" w:fill="auto"/>
            <w:vAlign w:val="bottom"/>
          </w:tcPr>
          <w:p w14:paraId="26E9CB79" w14:textId="77777777" w:rsidR="008A3BAC" w:rsidRDefault="008A3BAC">
            <w:pPr>
              <w:rPr>
                <w:rFonts w:ascii="宋体"/>
              </w:rPr>
            </w:pPr>
          </w:p>
        </w:tc>
        <w:tc>
          <w:tcPr>
            <w:tcW w:w="446" w:type="pct"/>
            <w:shd w:val="clear" w:color="auto" w:fill="auto"/>
            <w:vAlign w:val="bottom"/>
          </w:tcPr>
          <w:p w14:paraId="26E9CB7A" w14:textId="77777777" w:rsidR="008A3BAC" w:rsidRDefault="008A3BAC">
            <w:pPr>
              <w:rPr>
                <w:rFonts w:ascii="宋体"/>
              </w:rPr>
            </w:pPr>
          </w:p>
        </w:tc>
        <w:tc>
          <w:tcPr>
            <w:tcW w:w="5" w:type="pct"/>
            <w:shd w:val="clear" w:color="auto" w:fill="auto"/>
            <w:vAlign w:val="bottom"/>
          </w:tcPr>
          <w:p w14:paraId="26E9CB7B" w14:textId="77777777" w:rsidR="008A3BAC" w:rsidRDefault="008A3BAC">
            <w:pPr>
              <w:rPr>
                <w:rFonts w:ascii="宋体"/>
              </w:rPr>
            </w:pPr>
          </w:p>
        </w:tc>
        <w:tc>
          <w:tcPr>
            <w:tcW w:w="5" w:type="pct"/>
            <w:shd w:val="clear" w:color="auto" w:fill="auto"/>
            <w:vAlign w:val="bottom"/>
          </w:tcPr>
          <w:p w14:paraId="26E9CB7C" w14:textId="77777777" w:rsidR="008A3BAC" w:rsidRDefault="008A3BAC">
            <w:pPr>
              <w:rPr>
                <w:rFonts w:ascii="宋体"/>
              </w:rPr>
            </w:pPr>
          </w:p>
        </w:tc>
        <w:tc>
          <w:tcPr>
            <w:tcW w:w="28" w:type="pct"/>
            <w:shd w:val="clear" w:color="auto" w:fill="auto"/>
            <w:vAlign w:val="bottom"/>
          </w:tcPr>
          <w:p w14:paraId="26E9CB7D" w14:textId="77777777" w:rsidR="008A3BAC" w:rsidRDefault="008A3BAC">
            <w:pPr>
              <w:rPr>
                <w:rFonts w:ascii="宋体"/>
              </w:rPr>
            </w:pPr>
          </w:p>
        </w:tc>
        <w:tc>
          <w:tcPr>
            <w:tcW w:w="5" w:type="pct"/>
            <w:shd w:val="clear" w:color="auto" w:fill="auto"/>
            <w:vAlign w:val="bottom"/>
          </w:tcPr>
          <w:p w14:paraId="26E9CB7E" w14:textId="77777777" w:rsidR="008A3BAC" w:rsidRDefault="008A3BAC">
            <w:pPr>
              <w:rPr>
                <w:rFonts w:ascii="宋体"/>
              </w:rPr>
            </w:pPr>
          </w:p>
        </w:tc>
        <w:tc>
          <w:tcPr>
            <w:tcW w:w="50" w:type="pct"/>
            <w:shd w:val="clear" w:color="auto" w:fill="auto"/>
            <w:vAlign w:val="bottom"/>
          </w:tcPr>
          <w:p w14:paraId="26E9CB7F" w14:textId="77777777" w:rsidR="008A3BAC" w:rsidRDefault="008A3BAC">
            <w:pPr>
              <w:rPr>
                <w:rFonts w:ascii="宋体"/>
              </w:rPr>
            </w:pPr>
          </w:p>
        </w:tc>
        <w:tc>
          <w:tcPr>
            <w:tcW w:w="446" w:type="pct"/>
            <w:shd w:val="clear" w:color="auto" w:fill="auto"/>
            <w:vAlign w:val="bottom"/>
          </w:tcPr>
          <w:p w14:paraId="26E9CB80" w14:textId="77777777" w:rsidR="008A3BAC" w:rsidRDefault="008A3BAC">
            <w:pPr>
              <w:rPr>
                <w:rFonts w:ascii="宋体"/>
              </w:rPr>
            </w:pPr>
          </w:p>
        </w:tc>
        <w:tc>
          <w:tcPr>
            <w:tcW w:w="5" w:type="pct"/>
            <w:shd w:val="clear" w:color="auto" w:fill="auto"/>
            <w:vAlign w:val="bottom"/>
          </w:tcPr>
          <w:p w14:paraId="26E9CB81" w14:textId="77777777" w:rsidR="008A3BAC" w:rsidRDefault="008A3BAC">
            <w:pPr>
              <w:rPr>
                <w:rFonts w:ascii="宋体"/>
              </w:rPr>
            </w:pPr>
          </w:p>
        </w:tc>
        <w:tc>
          <w:tcPr>
            <w:tcW w:w="50" w:type="pct"/>
            <w:shd w:val="clear" w:color="auto" w:fill="auto"/>
            <w:vAlign w:val="bottom"/>
          </w:tcPr>
          <w:p w14:paraId="26E9CB82" w14:textId="77777777" w:rsidR="008A3BAC" w:rsidRDefault="008A3BAC">
            <w:pPr>
              <w:rPr>
                <w:rFonts w:ascii="宋体"/>
              </w:rPr>
            </w:pPr>
          </w:p>
        </w:tc>
        <w:tc>
          <w:tcPr>
            <w:tcW w:w="446" w:type="pct"/>
            <w:shd w:val="clear" w:color="auto" w:fill="auto"/>
            <w:vAlign w:val="bottom"/>
          </w:tcPr>
          <w:p w14:paraId="26E9CB83" w14:textId="77777777" w:rsidR="008A3BAC" w:rsidRDefault="008A3BAC">
            <w:pPr>
              <w:rPr>
                <w:rFonts w:ascii="宋体"/>
              </w:rPr>
            </w:pPr>
          </w:p>
        </w:tc>
        <w:tc>
          <w:tcPr>
            <w:tcW w:w="5" w:type="pct"/>
            <w:shd w:val="clear" w:color="auto" w:fill="auto"/>
            <w:vAlign w:val="bottom"/>
          </w:tcPr>
          <w:p w14:paraId="26E9CB84" w14:textId="77777777" w:rsidR="008A3BAC" w:rsidRDefault="008A3BAC">
            <w:pPr>
              <w:rPr>
                <w:rFonts w:ascii="宋体"/>
              </w:rPr>
            </w:pPr>
          </w:p>
        </w:tc>
      </w:tr>
      <w:tr w:rsidR="008A3BAC" w14:paraId="26E9CB8A" w14:textId="77777777">
        <w:tc>
          <w:tcPr>
            <w:tcW w:w="0" w:type="auto"/>
            <w:gridSpan w:val="3"/>
            <w:shd w:val="clear" w:color="auto" w:fill="auto"/>
            <w:tcMar>
              <w:top w:w="40" w:type="dxa"/>
              <w:left w:w="20" w:type="dxa"/>
              <w:bottom w:w="40" w:type="dxa"/>
              <w:right w:w="20" w:type="dxa"/>
            </w:tcMar>
            <w:vAlign w:val="bottom"/>
          </w:tcPr>
          <w:p w14:paraId="26E9CB86" w14:textId="77777777" w:rsidR="008A3BAC" w:rsidRDefault="005C75B9">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6E9CB87"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CB88"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CB89" w14:textId="77777777" w:rsidR="008A3BAC" w:rsidRDefault="005C75B9">
            <w:pPr>
              <w:jc w:val="center"/>
              <w:textAlignment w:val="bottom"/>
            </w:pPr>
            <w:r>
              <w:rPr>
                <w:rFonts w:ascii="sans-serif" w:eastAsia="sans-serif" w:hAnsi="sans-serif" w:cs="sans-serif"/>
                <w:b/>
                <w:bCs/>
                <w:color w:val="000000"/>
                <w:sz w:val="17"/>
                <w:szCs w:val="17"/>
              </w:rPr>
              <w:t xml:space="preserve">NINE MONTHS </w:t>
            </w:r>
            <w:r>
              <w:rPr>
                <w:rFonts w:ascii="sans-serif" w:eastAsia="sans-serif" w:hAnsi="sans-serif" w:cs="sans-serif"/>
                <w:b/>
                <w:bCs/>
                <w:color w:val="000000"/>
                <w:sz w:val="17"/>
                <w:szCs w:val="17"/>
              </w:rPr>
              <w:t>ENDED FEBRUARY 28,</w:t>
            </w:r>
          </w:p>
        </w:tc>
      </w:tr>
      <w:tr w:rsidR="008A3BAC" w14:paraId="26E9CB91" w14:textId="77777777">
        <w:tc>
          <w:tcPr>
            <w:tcW w:w="0" w:type="auto"/>
            <w:gridSpan w:val="3"/>
            <w:shd w:val="clear" w:color="auto" w:fill="auto"/>
            <w:tcMar>
              <w:top w:w="40" w:type="dxa"/>
              <w:left w:w="20" w:type="dxa"/>
              <w:bottom w:w="40" w:type="dxa"/>
              <w:right w:w="20" w:type="dxa"/>
            </w:tcMar>
            <w:vAlign w:val="bottom"/>
          </w:tcPr>
          <w:p w14:paraId="26E9CB8B" w14:textId="77777777" w:rsidR="008A3BAC" w:rsidRDefault="005C75B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8C"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8D"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B8E"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8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90"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BA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92" w14:textId="77777777" w:rsidR="008A3BAC" w:rsidRDefault="005C75B9">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B93"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B94" w14:textId="77777777" w:rsidR="008A3BAC" w:rsidRDefault="005C75B9">
            <w:pPr>
              <w:jc w:val="right"/>
              <w:textAlignment w:val="bottom"/>
            </w:pPr>
            <w:r>
              <w:rPr>
                <w:rFonts w:ascii="Arial" w:eastAsia="宋体" w:hAnsi="Arial" w:cs="Arial"/>
                <w:color w:val="000000"/>
                <w:sz w:val="17"/>
                <w:szCs w:val="17"/>
              </w:rPr>
              <w:t>1,396 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95"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B96"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B97" w14:textId="77777777" w:rsidR="008A3BAC" w:rsidRDefault="005C75B9">
            <w:pPr>
              <w:jc w:val="right"/>
              <w:textAlignment w:val="bottom"/>
            </w:pPr>
            <w:r>
              <w:rPr>
                <w:rFonts w:ascii="Arial" w:eastAsia="宋体" w:hAnsi="Arial" w:cs="Arial"/>
                <w:color w:val="000000"/>
                <w:sz w:val="17"/>
                <w:szCs w:val="17"/>
              </w:rPr>
              <w:t>1,449 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98"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99"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B9A"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B9B" w14:textId="77777777" w:rsidR="008A3BAC" w:rsidRDefault="005C75B9">
            <w:pPr>
              <w:jc w:val="right"/>
              <w:textAlignment w:val="bottom"/>
            </w:pPr>
            <w:r>
              <w:rPr>
                <w:rFonts w:ascii="Arial" w:eastAsia="宋体" w:hAnsi="Arial" w:cs="Arial"/>
                <w:color w:val="000000"/>
                <w:sz w:val="17"/>
                <w:szCs w:val="17"/>
              </w:rPr>
              <w:t>4,607 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9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B9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B9E" w14:textId="77777777" w:rsidR="008A3BAC" w:rsidRDefault="005C75B9">
            <w:pPr>
              <w:jc w:val="right"/>
              <w:textAlignment w:val="bottom"/>
            </w:pPr>
            <w:r>
              <w:rPr>
                <w:rFonts w:ascii="Arial" w:eastAsia="宋体" w:hAnsi="Arial" w:cs="Arial"/>
                <w:color w:val="000000"/>
                <w:sz w:val="17"/>
                <w:szCs w:val="17"/>
              </w:rPr>
              <w:t>4,218 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9F" w14:textId="77777777" w:rsidR="008A3BAC" w:rsidRDefault="008A3BAC">
            <w:pPr>
              <w:jc w:val="right"/>
              <w:rPr>
                <w:rFonts w:ascii="宋体"/>
              </w:rPr>
            </w:pPr>
          </w:p>
        </w:tc>
      </w:tr>
      <w:tr w:rsidR="008A3BAC" w14:paraId="26E9CB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BA1" w14:textId="77777777" w:rsidR="008A3BAC" w:rsidRDefault="005C75B9">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BA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A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A4"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CBA5"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A6" w14:textId="77777777" w:rsidR="008A3BAC" w:rsidRDefault="008A3BAC">
            <w:pPr>
              <w:rPr>
                <w:rFonts w:ascii="宋体"/>
              </w:rPr>
            </w:pPr>
          </w:p>
        </w:tc>
      </w:tr>
      <w:tr w:rsidR="008A3BAC" w14:paraId="26E9CBB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BA8" w14:textId="77777777" w:rsidR="008A3BAC" w:rsidRDefault="005C75B9">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A9" w14:textId="77777777" w:rsidR="008A3BAC" w:rsidRDefault="005C75B9">
            <w:pPr>
              <w:jc w:val="right"/>
              <w:textAlignment w:val="bottom"/>
            </w:pPr>
            <w:r>
              <w:rPr>
                <w:rFonts w:ascii="Arial" w:eastAsia="宋体" w:hAnsi="Arial" w:cs="Arial"/>
                <w:color w:val="000000"/>
                <w:sz w:val="17"/>
                <w:szCs w:val="17"/>
              </w:rPr>
              <w:t>1,579.0 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A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AB" w14:textId="77777777" w:rsidR="008A3BAC" w:rsidRDefault="005C75B9">
            <w:pPr>
              <w:jc w:val="right"/>
              <w:textAlignment w:val="bottom"/>
            </w:pPr>
            <w:r>
              <w:rPr>
                <w:rFonts w:ascii="Arial" w:eastAsia="宋体" w:hAnsi="Arial" w:cs="Arial"/>
                <w:color w:val="000000"/>
                <w:sz w:val="17"/>
                <w:szCs w:val="17"/>
              </w:rPr>
              <w:t>1,578.0 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A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A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AE" w14:textId="77777777" w:rsidR="008A3BAC" w:rsidRDefault="005C75B9">
            <w:pPr>
              <w:jc w:val="right"/>
              <w:textAlignment w:val="bottom"/>
            </w:pPr>
            <w:r>
              <w:rPr>
                <w:rFonts w:ascii="Arial" w:eastAsia="宋体" w:hAnsi="Arial" w:cs="Arial"/>
                <w:color w:val="000000"/>
                <w:sz w:val="17"/>
                <w:szCs w:val="17"/>
              </w:rPr>
              <w:t>1,581.1 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A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B0" w14:textId="77777777" w:rsidR="008A3BAC" w:rsidRDefault="005C75B9">
            <w:pPr>
              <w:jc w:val="right"/>
              <w:textAlignment w:val="bottom"/>
            </w:pPr>
            <w:r>
              <w:rPr>
                <w:rFonts w:ascii="Arial" w:eastAsia="宋体" w:hAnsi="Arial" w:cs="Arial"/>
                <w:color w:val="000000"/>
                <w:sz w:val="17"/>
                <w:szCs w:val="17"/>
              </w:rPr>
              <w:t>1,570.9 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B1" w14:textId="77777777" w:rsidR="008A3BAC" w:rsidRDefault="008A3BAC">
            <w:pPr>
              <w:jc w:val="right"/>
              <w:rPr>
                <w:rFonts w:ascii="宋体"/>
              </w:rPr>
            </w:pPr>
          </w:p>
        </w:tc>
      </w:tr>
      <w:tr w:rsidR="008A3BAC" w14:paraId="26E9CB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BB3" w14:textId="77777777" w:rsidR="008A3BAC" w:rsidRDefault="005C75B9">
            <w:pPr>
              <w:textAlignment w:val="bottom"/>
            </w:pPr>
            <w:r>
              <w:rPr>
                <w:rFonts w:ascii="Arial" w:eastAsia="宋体" w:hAnsi="Arial" w:cs="Arial"/>
                <w:color w:val="000000"/>
                <w:sz w:val="17"/>
                <w:szCs w:val="17"/>
              </w:rPr>
              <w:t>A</w:t>
            </w:r>
            <w:r>
              <w:rPr>
                <w:rFonts w:ascii="Arial" w:eastAsia="宋体" w:hAnsi="Arial" w:cs="Arial"/>
                <w:color w:val="000000"/>
                <w:sz w:val="17"/>
                <w:szCs w:val="17"/>
              </w:rPr>
              <w:t>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B4" w14:textId="77777777" w:rsidR="008A3BAC" w:rsidRDefault="005C75B9">
            <w:pPr>
              <w:jc w:val="right"/>
              <w:textAlignment w:val="bottom"/>
            </w:pPr>
            <w:r>
              <w:rPr>
                <w:rFonts w:ascii="Arial" w:eastAsia="宋体" w:hAnsi="Arial" w:cs="Arial"/>
                <w:color w:val="000000"/>
                <w:sz w:val="17"/>
                <w:szCs w:val="17"/>
              </w:rPr>
              <w:t>31.7 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B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B6" w14:textId="77777777" w:rsidR="008A3BAC" w:rsidRDefault="005C75B9">
            <w:pPr>
              <w:jc w:val="right"/>
              <w:textAlignment w:val="bottom"/>
            </w:pPr>
            <w:r>
              <w:rPr>
                <w:rFonts w:ascii="Arial" w:eastAsia="宋体" w:hAnsi="Arial" w:cs="Arial"/>
                <w:color w:val="000000"/>
                <w:sz w:val="17"/>
                <w:szCs w:val="17"/>
              </w:rPr>
              <w:t>38.9 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B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B8"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BB9" w14:textId="77777777" w:rsidR="008A3BAC" w:rsidRDefault="005C75B9">
            <w:pPr>
              <w:jc w:val="right"/>
              <w:textAlignment w:val="bottom"/>
            </w:pPr>
            <w:r>
              <w:rPr>
                <w:rFonts w:ascii="Arial" w:eastAsia="宋体" w:hAnsi="Arial" w:cs="Arial"/>
                <w:color w:val="000000"/>
                <w:sz w:val="17"/>
                <w:szCs w:val="17"/>
              </w:rPr>
              <w:t>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B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BBB" w14:textId="77777777" w:rsidR="008A3BAC" w:rsidRDefault="005C75B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BC" w14:textId="77777777" w:rsidR="008A3BAC" w:rsidRDefault="008A3BAC">
            <w:pPr>
              <w:jc w:val="right"/>
              <w:rPr>
                <w:rFonts w:ascii="宋体"/>
              </w:rPr>
            </w:pPr>
          </w:p>
        </w:tc>
      </w:tr>
      <w:tr w:rsidR="008A3BAC" w14:paraId="26E9CBC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BE" w14:textId="77777777" w:rsidR="008A3BAC" w:rsidRDefault="005C75B9">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BBF" w14:textId="77777777" w:rsidR="008A3BAC" w:rsidRDefault="005C75B9">
            <w:pPr>
              <w:jc w:val="right"/>
              <w:textAlignment w:val="bottom"/>
            </w:pPr>
            <w:r>
              <w:rPr>
                <w:rFonts w:ascii="Arial" w:eastAsia="宋体" w:hAnsi="Arial" w:cs="Arial"/>
                <w:b/>
                <w:bCs/>
                <w:color w:val="000000"/>
                <w:sz w:val="17"/>
                <w:szCs w:val="17"/>
              </w:rPr>
              <w:t>1,610.7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C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BC1" w14:textId="77777777" w:rsidR="008A3BAC" w:rsidRDefault="005C75B9">
            <w:pPr>
              <w:jc w:val="right"/>
              <w:textAlignment w:val="bottom"/>
            </w:pPr>
            <w:r>
              <w:rPr>
                <w:rFonts w:ascii="Arial" w:eastAsia="宋体" w:hAnsi="Arial" w:cs="Arial"/>
                <w:b/>
                <w:bCs/>
                <w:color w:val="000000"/>
                <w:sz w:val="17"/>
                <w:szCs w:val="17"/>
              </w:rPr>
              <w:t>1,616.9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C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C3"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BC4" w14:textId="77777777" w:rsidR="008A3BAC" w:rsidRDefault="005C75B9">
            <w:pPr>
              <w:jc w:val="right"/>
              <w:textAlignment w:val="bottom"/>
            </w:pPr>
            <w:r>
              <w:rPr>
                <w:rFonts w:ascii="Arial" w:eastAsia="宋体" w:hAnsi="Arial" w:cs="Arial"/>
                <w:b/>
                <w:bCs/>
                <w:color w:val="000000"/>
                <w:sz w:val="17"/>
                <w:szCs w:val="17"/>
              </w:rPr>
              <w:t>1,615.8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BC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BC6" w14:textId="77777777" w:rsidR="008A3BAC" w:rsidRDefault="005C75B9">
            <w:pPr>
              <w:jc w:val="right"/>
              <w:textAlignment w:val="bottom"/>
            </w:pPr>
            <w:r>
              <w:rPr>
                <w:rFonts w:ascii="Arial" w:eastAsia="宋体" w:hAnsi="Arial" w:cs="Arial"/>
                <w:b/>
                <w:bCs/>
                <w:color w:val="000000"/>
                <w:sz w:val="17"/>
                <w:szCs w:val="17"/>
              </w:rPr>
              <w:t>1,607.3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BC7" w14:textId="77777777" w:rsidR="008A3BAC" w:rsidRDefault="008A3BAC">
            <w:pPr>
              <w:jc w:val="right"/>
              <w:rPr>
                <w:rFonts w:ascii="宋体"/>
              </w:rPr>
            </w:pPr>
          </w:p>
        </w:tc>
      </w:tr>
      <w:tr w:rsidR="008A3BAC" w14:paraId="26E9CBC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BC9" w14:textId="77777777" w:rsidR="008A3BAC" w:rsidRDefault="005C75B9">
            <w:pPr>
              <w:textAlignment w:val="bottom"/>
            </w:pPr>
            <w:r>
              <w:rPr>
                <w:rFonts w:ascii="Arial" w:eastAsia="宋体" w:hAnsi="Arial" w:cs="Arial"/>
                <w:color w:val="000000"/>
                <w:sz w:val="17"/>
                <w:szCs w:val="17"/>
              </w:rPr>
              <w:t>Earnin</w:t>
            </w:r>
            <w:r>
              <w:rPr>
                <w:rFonts w:ascii="Arial" w:eastAsia="宋体" w:hAnsi="Arial" w:cs="Arial"/>
                <w:color w:val="000000"/>
                <w:sz w:val="17"/>
                <w:szCs w:val="17"/>
              </w:rPr>
              <w:t>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BC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C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CC"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BC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BCE" w14:textId="77777777" w:rsidR="008A3BAC" w:rsidRDefault="008A3BAC">
            <w:pPr>
              <w:rPr>
                <w:rFonts w:ascii="宋体"/>
              </w:rPr>
            </w:pPr>
          </w:p>
        </w:tc>
      </w:tr>
      <w:tr w:rsidR="008A3BAC" w14:paraId="26E9CB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BD0" w14:textId="77777777" w:rsidR="008A3BAC" w:rsidRDefault="005C75B9">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BD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BD2" w14:textId="77777777" w:rsidR="008A3BAC" w:rsidRDefault="005C75B9">
            <w:pPr>
              <w:jc w:val="right"/>
              <w:textAlignment w:val="bottom"/>
            </w:pPr>
            <w:r>
              <w:rPr>
                <w:rFonts w:ascii="Arial" w:eastAsia="宋体" w:hAnsi="Arial" w:cs="Arial"/>
                <w:color w:val="000000"/>
                <w:sz w:val="17"/>
                <w:szCs w:val="17"/>
              </w:rPr>
              <w:t>0.88 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D3"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BD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BD5" w14:textId="77777777" w:rsidR="008A3BAC" w:rsidRDefault="005C75B9">
            <w:pPr>
              <w:jc w:val="right"/>
              <w:textAlignment w:val="bottom"/>
            </w:pPr>
            <w:r>
              <w:rPr>
                <w:rFonts w:ascii="Arial" w:eastAsia="宋体" w:hAnsi="Arial" w:cs="Arial"/>
                <w:color w:val="000000"/>
                <w:sz w:val="17"/>
                <w:szCs w:val="17"/>
              </w:rPr>
              <w:t>0.92 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D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BD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BD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BD9" w14:textId="77777777" w:rsidR="008A3BAC" w:rsidRDefault="005C75B9">
            <w:pPr>
              <w:jc w:val="right"/>
              <w:textAlignment w:val="bottom"/>
            </w:pPr>
            <w:r>
              <w:rPr>
                <w:rFonts w:ascii="Arial" w:eastAsia="宋体" w:hAnsi="Arial" w:cs="Arial"/>
                <w:color w:val="000000"/>
                <w:sz w:val="17"/>
                <w:szCs w:val="17"/>
              </w:rPr>
              <w:t>2.91 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BD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BD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BDC" w14:textId="77777777" w:rsidR="008A3BAC" w:rsidRDefault="005C75B9">
            <w:pPr>
              <w:jc w:val="right"/>
              <w:textAlignment w:val="bottom"/>
            </w:pPr>
            <w:r>
              <w:rPr>
                <w:rFonts w:ascii="Arial" w:eastAsia="宋体" w:hAnsi="Arial" w:cs="Arial"/>
                <w:color w:val="000000"/>
                <w:sz w:val="17"/>
                <w:szCs w:val="17"/>
              </w:rPr>
              <w:t>2.68 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BDD" w14:textId="77777777" w:rsidR="008A3BAC" w:rsidRDefault="008A3BAC">
            <w:pPr>
              <w:jc w:val="right"/>
              <w:rPr>
                <w:rFonts w:ascii="宋体"/>
              </w:rPr>
            </w:pPr>
          </w:p>
        </w:tc>
      </w:tr>
      <w:tr w:rsidR="008A3BAC" w14:paraId="26E9CBED"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6E9CBDF" w14:textId="77777777" w:rsidR="008A3BAC" w:rsidRDefault="005C75B9">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BE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CBE1" w14:textId="77777777" w:rsidR="008A3BAC" w:rsidRDefault="005C75B9">
            <w:pPr>
              <w:jc w:val="right"/>
              <w:textAlignment w:val="bottom"/>
            </w:pPr>
            <w:r>
              <w:rPr>
                <w:rFonts w:ascii="Arial" w:eastAsia="宋体" w:hAnsi="Arial" w:cs="Arial"/>
                <w:color w:val="000000"/>
                <w:sz w:val="17"/>
                <w:szCs w:val="17"/>
              </w:rPr>
              <w:t>0.87 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BE2"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BE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CBE4" w14:textId="77777777" w:rsidR="008A3BAC" w:rsidRDefault="005C75B9">
            <w:pPr>
              <w:jc w:val="right"/>
              <w:textAlignment w:val="bottom"/>
            </w:pPr>
            <w:r>
              <w:rPr>
                <w:rFonts w:ascii="Arial" w:eastAsia="宋体" w:hAnsi="Arial" w:cs="Arial"/>
                <w:color w:val="000000"/>
                <w:sz w:val="17"/>
                <w:szCs w:val="17"/>
              </w:rPr>
              <w:t>0.90 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BE5"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BE6" w14:textId="77777777" w:rsidR="008A3BAC" w:rsidRDefault="008A3BAC">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BE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CBE8" w14:textId="77777777" w:rsidR="008A3BAC" w:rsidRDefault="005C75B9">
            <w:pPr>
              <w:jc w:val="right"/>
              <w:textAlignment w:val="bottom"/>
            </w:pPr>
            <w:r>
              <w:rPr>
                <w:rFonts w:ascii="Arial" w:eastAsia="宋体" w:hAnsi="Arial" w:cs="Arial"/>
                <w:color w:val="000000"/>
                <w:sz w:val="17"/>
                <w:szCs w:val="17"/>
              </w:rPr>
              <w:t>2.85 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BE9"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BE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CBEB" w14:textId="77777777" w:rsidR="008A3BAC" w:rsidRDefault="005C75B9">
            <w:pPr>
              <w:jc w:val="right"/>
              <w:textAlignment w:val="bottom"/>
            </w:pPr>
            <w:r>
              <w:rPr>
                <w:rFonts w:ascii="Arial" w:eastAsia="宋体" w:hAnsi="Arial" w:cs="Arial"/>
                <w:color w:val="000000"/>
                <w:sz w:val="17"/>
                <w:szCs w:val="17"/>
              </w:rPr>
              <w:t>2.62 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BEC" w14:textId="77777777" w:rsidR="008A3BAC" w:rsidRDefault="008A3BAC">
            <w:pPr>
              <w:jc w:val="right"/>
              <w:rPr>
                <w:rFonts w:ascii="宋体"/>
              </w:rPr>
            </w:pPr>
          </w:p>
        </w:tc>
      </w:tr>
    </w:tbl>
    <w:p w14:paraId="26E9CBEE" w14:textId="77777777" w:rsidR="008A3BAC" w:rsidRDefault="008A3BAC">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CBF2" w14:textId="77777777">
        <w:tc>
          <w:tcPr>
            <w:tcW w:w="50" w:type="pct"/>
            <w:shd w:val="clear" w:color="auto" w:fill="auto"/>
            <w:vAlign w:val="bottom"/>
          </w:tcPr>
          <w:p w14:paraId="26E9CBEF" w14:textId="77777777" w:rsidR="008A3BAC" w:rsidRDefault="008A3BAC">
            <w:pPr>
              <w:rPr>
                <w:rFonts w:ascii="宋体"/>
              </w:rPr>
            </w:pPr>
          </w:p>
        </w:tc>
        <w:tc>
          <w:tcPr>
            <w:tcW w:w="4945" w:type="pct"/>
            <w:shd w:val="clear" w:color="auto" w:fill="auto"/>
            <w:vAlign w:val="bottom"/>
          </w:tcPr>
          <w:p w14:paraId="26E9CBF0" w14:textId="77777777" w:rsidR="008A3BAC" w:rsidRDefault="008A3BAC">
            <w:pPr>
              <w:rPr>
                <w:rFonts w:ascii="宋体"/>
              </w:rPr>
            </w:pPr>
          </w:p>
        </w:tc>
        <w:tc>
          <w:tcPr>
            <w:tcW w:w="5" w:type="pct"/>
            <w:shd w:val="clear" w:color="auto" w:fill="auto"/>
            <w:vAlign w:val="bottom"/>
          </w:tcPr>
          <w:p w14:paraId="26E9CBF1" w14:textId="77777777" w:rsidR="008A3BAC" w:rsidRDefault="008A3BAC">
            <w:pPr>
              <w:rPr>
                <w:rFonts w:ascii="宋体"/>
              </w:rPr>
            </w:pPr>
          </w:p>
        </w:tc>
      </w:tr>
      <w:tr w:rsidR="008A3BAC" w14:paraId="26E9CBF4" w14:textId="77777777">
        <w:tc>
          <w:tcPr>
            <w:tcW w:w="0" w:type="auto"/>
            <w:gridSpan w:val="3"/>
            <w:shd w:val="clear" w:color="auto" w:fill="auto"/>
            <w:tcMar>
              <w:top w:w="40" w:type="dxa"/>
              <w:left w:w="20" w:type="dxa"/>
              <w:bottom w:w="40" w:type="dxa"/>
              <w:right w:w="20" w:type="dxa"/>
            </w:tcMar>
            <w:vAlign w:val="bottom"/>
          </w:tcPr>
          <w:p w14:paraId="26E9CBF3" w14:textId="77777777" w:rsidR="008A3BAC" w:rsidRDefault="005C75B9">
            <w:pPr>
              <w:textAlignment w:val="bottom"/>
            </w:pPr>
            <w:r>
              <w:rPr>
                <w:rFonts w:ascii="sans-serif" w:eastAsia="sans-serif" w:hAnsi="sans-serif" w:cs="sans-serif"/>
                <w:b/>
                <w:bCs/>
                <w:color w:val="E87722"/>
                <w:sz w:val="36"/>
                <w:szCs w:val="36"/>
              </w:rPr>
              <w:t>NOTE 9 — RISK MANAGEMENT AND DERIVATIVES</w:t>
            </w:r>
          </w:p>
        </w:tc>
      </w:tr>
    </w:tbl>
    <w:p w14:paraId="26E9CBF5" w14:textId="77777777" w:rsidR="008A3BAC" w:rsidRDefault="005C75B9">
      <w:pPr>
        <w:spacing w:before="120" w:after="120"/>
      </w:pPr>
      <w:r>
        <w:rPr>
          <w:rFonts w:ascii="Arial" w:eastAsia="宋体" w:hAnsi="Arial" w:cs="Arial"/>
          <w:color w:val="000000"/>
          <w:sz w:val="17"/>
          <w:szCs w:val="17"/>
        </w:rPr>
        <w:t xml:space="preserve">The Company is exposed to global market risks, including the effect of changes in foreign currency exchange rates and interest </w:t>
      </w:r>
      <w:r>
        <w:rPr>
          <w:rFonts w:ascii="Arial" w:eastAsia="宋体" w:hAnsi="Arial" w:cs="Arial"/>
          <w:color w:val="000000"/>
          <w:sz w:val="17"/>
          <w:szCs w:val="17"/>
        </w:rPr>
        <w:t>rates, and uses derivatives to manage financial exposures that occur in the normal course of business. As of and for the nine months ended February 28, 2022, there have been no material changes to the Company's hedging program or strategy from what was dis</w:t>
      </w:r>
      <w:r>
        <w:rPr>
          <w:rFonts w:ascii="Arial" w:eastAsia="宋体" w:hAnsi="Arial" w:cs="Arial"/>
          <w:color w:val="000000"/>
          <w:sz w:val="17"/>
          <w:szCs w:val="17"/>
        </w:rPr>
        <w:t>closed within the Annual Report on Form 10-K. For additional information about the Company's derivatives and hedging policies refer to Note 1 — Summary of Significant Accounting Policies and Note 14 — Risk Management and Derivatives of the Annual Report on</w:t>
      </w:r>
      <w:r>
        <w:rPr>
          <w:rFonts w:ascii="Arial" w:eastAsia="宋体" w:hAnsi="Arial" w:cs="Arial"/>
          <w:color w:val="000000"/>
          <w:sz w:val="17"/>
          <w:szCs w:val="17"/>
        </w:rPr>
        <w:t xml:space="preserve"> Form 10-K for the fiscal year ended May 31, 2021.</w:t>
      </w:r>
    </w:p>
    <w:p w14:paraId="26E9CBF6" w14:textId="77777777" w:rsidR="008A3BAC" w:rsidRDefault="005C75B9">
      <w:pPr>
        <w:spacing w:before="120" w:after="120"/>
      </w:pPr>
      <w:r>
        <w:rPr>
          <w:rFonts w:ascii="Arial" w:eastAsia="宋体" w:hAnsi="Arial" w:cs="Arial"/>
          <w:color w:val="000000"/>
          <w:sz w:val="17"/>
          <w:szCs w:val="17"/>
        </w:rPr>
        <w:t>The majority of derivatives outstanding as of February 28, 2022, are designated as foreign currency cash flow hedges, primarily for Euro/U.S. Dollar, British Pound/Euro, Chinese Yuan/U.S. Dollar and Japane</w:t>
      </w:r>
      <w:r>
        <w:rPr>
          <w:rFonts w:ascii="Arial" w:eastAsia="宋体" w:hAnsi="Arial" w:cs="Arial"/>
          <w:color w:val="000000"/>
          <w:sz w:val="17"/>
          <w:szCs w:val="17"/>
        </w:rPr>
        <w:t>se Yen/U.S. Dollar currency pairs. All derivatives are recognized on the Unaudited Condensed Consolidated Balance Sheets at fair value and classified based on the instrument's maturity date.</w:t>
      </w:r>
    </w:p>
    <w:p w14:paraId="26E9CBF7" w14:textId="77777777" w:rsidR="008A3BAC" w:rsidRDefault="005C75B9">
      <w:pPr>
        <w:spacing w:before="120" w:after="120"/>
        <w:jc w:val="right"/>
      </w:pPr>
      <w:r>
        <w:rPr>
          <w:rFonts w:ascii="Arial" w:eastAsia="宋体" w:hAnsi="Arial" w:cs="Arial"/>
          <w:color w:val="E87722"/>
          <w:sz w:val="17"/>
          <w:szCs w:val="17"/>
        </w:rPr>
        <w:t>13</w:t>
      </w:r>
    </w:p>
    <w:p w14:paraId="26E9CBF8" w14:textId="77777777" w:rsidR="008A3BAC" w:rsidRDefault="005C75B9">
      <w:r>
        <w:pict w14:anchorId="26E9E854">
          <v:rect id="_x0000_i1039" style="width:415.3pt;height:1.5pt" o:hralign="center" o:hrstd="t" o:hr="t" fillcolor="#a0a0a0" stroked="f"/>
        </w:pict>
      </w:r>
    </w:p>
    <w:p w14:paraId="26E9CBF9" w14:textId="77777777" w:rsidR="008A3BAC" w:rsidRDefault="008A3BAC"/>
    <w:p w14:paraId="26E9CBFA" w14:textId="77777777" w:rsidR="008A3BAC" w:rsidRDefault="005C75B9">
      <w:hyperlink r:id="rId84" w:anchor="i46aba51c6a804f42b3595948c57d2023_7" w:history="1">
        <w:r>
          <w:rPr>
            <w:rStyle w:val="a5"/>
            <w:rFonts w:ascii="sans-serif" w:eastAsia="sans-serif" w:hAnsi="sans-serif" w:cs="sans-serif"/>
            <w:sz w:val="17"/>
            <w:szCs w:val="17"/>
          </w:rPr>
          <w:t>Table of Contents</w:t>
        </w:r>
      </w:hyperlink>
    </w:p>
    <w:p w14:paraId="26E9CBFB" w14:textId="77777777" w:rsidR="008A3BAC" w:rsidRDefault="008A3BAC"/>
    <w:p w14:paraId="26E9CBFC" w14:textId="77777777" w:rsidR="008A3BAC" w:rsidRDefault="005C75B9">
      <w:pPr>
        <w:spacing w:before="120" w:after="120"/>
      </w:pPr>
      <w:r>
        <w:rPr>
          <w:rFonts w:ascii="Arial" w:eastAsia="宋体" w:hAnsi="Arial" w:cs="Arial"/>
          <w:color w:val="000000"/>
          <w:sz w:val="17"/>
          <w:szCs w:val="17"/>
        </w:rPr>
        <w:t>The following tables present the fair values of derivative instruments included withi</w:t>
      </w:r>
      <w:r>
        <w:rPr>
          <w:rFonts w:ascii="Arial" w:eastAsia="宋体" w:hAnsi="Arial" w:cs="Arial"/>
          <w:color w:val="000000"/>
          <w:sz w:val="17"/>
          <w:szCs w:val="17"/>
        </w:rPr>
        <w:t>n the Unaudited Condensed Consolidated Balance Sheets:    </w:t>
      </w:r>
    </w:p>
    <w:tbl>
      <w:tblPr>
        <w:tblW w:w="4992" w:type="pct"/>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6"/>
        <w:gridCol w:w="916"/>
        <w:gridCol w:w="36"/>
        <w:gridCol w:w="36"/>
        <w:gridCol w:w="36"/>
        <w:gridCol w:w="36"/>
        <w:gridCol w:w="115"/>
        <w:gridCol w:w="895"/>
        <w:gridCol w:w="36"/>
      </w:tblGrid>
      <w:tr w:rsidR="008A3BAC" w14:paraId="26E9CC0C" w14:textId="77777777">
        <w:tc>
          <w:tcPr>
            <w:tcW w:w="50" w:type="pct"/>
            <w:shd w:val="clear" w:color="auto" w:fill="auto"/>
            <w:vAlign w:val="bottom"/>
          </w:tcPr>
          <w:p w14:paraId="26E9CBFD" w14:textId="77777777" w:rsidR="008A3BAC" w:rsidRDefault="008A3BAC">
            <w:pPr>
              <w:rPr>
                <w:rFonts w:ascii="宋体"/>
              </w:rPr>
            </w:pPr>
          </w:p>
        </w:tc>
        <w:tc>
          <w:tcPr>
            <w:tcW w:w="1900" w:type="pct"/>
            <w:shd w:val="clear" w:color="auto" w:fill="auto"/>
            <w:vAlign w:val="bottom"/>
          </w:tcPr>
          <w:p w14:paraId="26E9CBFE" w14:textId="77777777" w:rsidR="008A3BAC" w:rsidRDefault="008A3BAC">
            <w:pPr>
              <w:rPr>
                <w:rFonts w:ascii="宋体"/>
              </w:rPr>
            </w:pPr>
          </w:p>
        </w:tc>
        <w:tc>
          <w:tcPr>
            <w:tcW w:w="5" w:type="pct"/>
            <w:shd w:val="clear" w:color="auto" w:fill="auto"/>
            <w:vAlign w:val="bottom"/>
          </w:tcPr>
          <w:p w14:paraId="26E9CBFF" w14:textId="77777777" w:rsidR="008A3BAC" w:rsidRDefault="008A3BAC">
            <w:pPr>
              <w:rPr>
                <w:rFonts w:ascii="宋体"/>
              </w:rPr>
            </w:pPr>
          </w:p>
        </w:tc>
        <w:tc>
          <w:tcPr>
            <w:tcW w:w="50" w:type="pct"/>
            <w:shd w:val="clear" w:color="auto" w:fill="auto"/>
            <w:vAlign w:val="bottom"/>
          </w:tcPr>
          <w:p w14:paraId="26E9CC00" w14:textId="77777777" w:rsidR="008A3BAC" w:rsidRDefault="008A3BAC">
            <w:pPr>
              <w:rPr>
                <w:rFonts w:ascii="宋体"/>
              </w:rPr>
            </w:pPr>
          </w:p>
        </w:tc>
        <w:tc>
          <w:tcPr>
            <w:tcW w:w="1699" w:type="pct"/>
            <w:shd w:val="clear" w:color="auto" w:fill="auto"/>
            <w:vAlign w:val="bottom"/>
          </w:tcPr>
          <w:p w14:paraId="26E9CC01" w14:textId="77777777" w:rsidR="008A3BAC" w:rsidRDefault="008A3BAC">
            <w:pPr>
              <w:rPr>
                <w:rFonts w:ascii="宋体"/>
              </w:rPr>
            </w:pPr>
          </w:p>
        </w:tc>
        <w:tc>
          <w:tcPr>
            <w:tcW w:w="5" w:type="pct"/>
            <w:shd w:val="clear" w:color="auto" w:fill="auto"/>
            <w:vAlign w:val="bottom"/>
          </w:tcPr>
          <w:p w14:paraId="26E9CC02" w14:textId="77777777" w:rsidR="008A3BAC" w:rsidRDefault="008A3BAC">
            <w:pPr>
              <w:rPr>
                <w:rFonts w:ascii="宋体"/>
              </w:rPr>
            </w:pPr>
          </w:p>
        </w:tc>
        <w:tc>
          <w:tcPr>
            <w:tcW w:w="50" w:type="pct"/>
            <w:shd w:val="clear" w:color="auto" w:fill="auto"/>
            <w:vAlign w:val="bottom"/>
          </w:tcPr>
          <w:p w14:paraId="26E9CC03" w14:textId="77777777" w:rsidR="008A3BAC" w:rsidRDefault="008A3BAC">
            <w:pPr>
              <w:rPr>
                <w:rFonts w:ascii="宋体"/>
              </w:rPr>
            </w:pPr>
          </w:p>
        </w:tc>
        <w:tc>
          <w:tcPr>
            <w:tcW w:w="570" w:type="pct"/>
            <w:shd w:val="clear" w:color="auto" w:fill="auto"/>
            <w:vAlign w:val="bottom"/>
          </w:tcPr>
          <w:p w14:paraId="26E9CC04" w14:textId="77777777" w:rsidR="008A3BAC" w:rsidRDefault="008A3BAC">
            <w:pPr>
              <w:rPr>
                <w:rFonts w:ascii="宋体"/>
              </w:rPr>
            </w:pPr>
          </w:p>
        </w:tc>
        <w:tc>
          <w:tcPr>
            <w:tcW w:w="5" w:type="pct"/>
            <w:shd w:val="clear" w:color="auto" w:fill="auto"/>
            <w:vAlign w:val="bottom"/>
          </w:tcPr>
          <w:p w14:paraId="26E9CC05" w14:textId="77777777" w:rsidR="008A3BAC" w:rsidRDefault="008A3BAC">
            <w:pPr>
              <w:rPr>
                <w:rFonts w:ascii="宋体"/>
              </w:rPr>
            </w:pPr>
          </w:p>
        </w:tc>
        <w:tc>
          <w:tcPr>
            <w:tcW w:w="5" w:type="pct"/>
            <w:shd w:val="clear" w:color="auto" w:fill="auto"/>
            <w:vAlign w:val="bottom"/>
          </w:tcPr>
          <w:p w14:paraId="26E9CC06" w14:textId="77777777" w:rsidR="008A3BAC" w:rsidRDefault="008A3BAC">
            <w:pPr>
              <w:rPr>
                <w:rFonts w:ascii="宋体"/>
              </w:rPr>
            </w:pPr>
          </w:p>
        </w:tc>
        <w:tc>
          <w:tcPr>
            <w:tcW w:w="28" w:type="pct"/>
            <w:shd w:val="clear" w:color="auto" w:fill="auto"/>
            <w:vAlign w:val="bottom"/>
          </w:tcPr>
          <w:p w14:paraId="26E9CC07" w14:textId="77777777" w:rsidR="008A3BAC" w:rsidRDefault="008A3BAC">
            <w:pPr>
              <w:rPr>
                <w:rFonts w:ascii="宋体"/>
              </w:rPr>
            </w:pPr>
          </w:p>
        </w:tc>
        <w:tc>
          <w:tcPr>
            <w:tcW w:w="5" w:type="pct"/>
            <w:shd w:val="clear" w:color="auto" w:fill="auto"/>
            <w:vAlign w:val="bottom"/>
          </w:tcPr>
          <w:p w14:paraId="26E9CC08" w14:textId="77777777" w:rsidR="008A3BAC" w:rsidRDefault="008A3BAC">
            <w:pPr>
              <w:rPr>
                <w:rFonts w:ascii="宋体"/>
              </w:rPr>
            </w:pPr>
          </w:p>
        </w:tc>
        <w:tc>
          <w:tcPr>
            <w:tcW w:w="50" w:type="pct"/>
            <w:shd w:val="clear" w:color="auto" w:fill="auto"/>
            <w:vAlign w:val="bottom"/>
          </w:tcPr>
          <w:p w14:paraId="26E9CC09" w14:textId="77777777" w:rsidR="008A3BAC" w:rsidRDefault="008A3BAC">
            <w:pPr>
              <w:rPr>
                <w:rFonts w:ascii="宋体"/>
              </w:rPr>
            </w:pPr>
          </w:p>
        </w:tc>
        <w:tc>
          <w:tcPr>
            <w:tcW w:w="571" w:type="pct"/>
            <w:shd w:val="clear" w:color="auto" w:fill="auto"/>
            <w:vAlign w:val="bottom"/>
          </w:tcPr>
          <w:p w14:paraId="26E9CC0A" w14:textId="77777777" w:rsidR="008A3BAC" w:rsidRDefault="008A3BAC">
            <w:pPr>
              <w:rPr>
                <w:rFonts w:ascii="宋体"/>
              </w:rPr>
            </w:pPr>
          </w:p>
        </w:tc>
        <w:tc>
          <w:tcPr>
            <w:tcW w:w="5" w:type="pct"/>
            <w:shd w:val="clear" w:color="auto" w:fill="auto"/>
            <w:vAlign w:val="bottom"/>
          </w:tcPr>
          <w:p w14:paraId="26E9CC0B" w14:textId="77777777" w:rsidR="008A3BAC" w:rsidRDefault="008A3BAC">
            <w:pPr>
              <w:rPr>
                <w:rFonts w:ascii="宋体"/>
              </w:rPr>
            </w:pPr>
          </w:p>
        </w:tc>
      </w:tr>
      <w:tr w:rsidR="008A3BAC" w14:paraId="26E9CC0F" w14:textId="77777777">
        <w:tc>
          <w:tcPr>
            <w:tcW w:w="0" w:type="auto"/>
            <w:gridSpan w:val="3"/>
            <w:shd w:val="clear" w:color="auto" w:fill="auto"/>
            <w:tcMar>
              <w:top w:w="40" w:type="dxa"/>
              <w:left w:w="20" w:type="dxa"/>
              <w:bottom w:w="40" w:type="dxa"/>
              <w:right w:w="20" w:type="dxa"/>
            </w:tcMar>
            <w:vAlign w:val="bottom"/>
          </w:tcPr>
          <w:p w14:paraId="26E9CC0D" w14:textId="77777777" w:rsidR="008A3BAC" w:rsidRDefault="005C75B9">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26E9CC0E" w14:textId="77777777" w:rsidR="008A3BAC" w:rsidRDefault="005C75B9">
            <w:pPr>
              <w:jc w:val="center"/>
              <w:textAlignment w:val="bottom"/>
            </w:pPr>
            <w:r>
              <w:rPr>
                <w:rFonts w:ascii="sans-serif" w:eastAsia="sans-serif" w:hAnsi="sans-serif" w:cs="sans-serif"/>
                <w:b/>
                <w:bCs/>
                <w:color w:val="000000"/>
                <w:sz w:val="17"/>
                <w:szCs w:val="17"/>
              </w:rPr>
              <w:t>DERIVATIVE ASSETS</w:t>
            </w:r>
          </w:p>
        </w:tc>
      </w:tr>
      <w:tr w:rsidR="008A3BAC" w14:paraId="26E9CC15" w14:textId="77777777">
        <w:trPr>
          <w:trHeight w:val="240"/>
        </w:trPr>
        <w:tc>
          <w:tcPr>
            <w:tcW w:w="0" w:type="auto"/>
            <w:gridSpan w:val="3"/>
            <w:shd w:val="clear" w:color="auto" w:fill="auto"/>
            <w:tcMar>
              <w:top w:w="0" w:type="dxa"/>
              <w:left w:w="20" w:type="dxa"/>
              <w:bottom w:w="0" w:type="dxa"/>
              <w:right w:w="20" w:type="dxa"/>
            </w:tcMar>
            <w:vAlign w:val="bottom"/>
          </w:tcPr>
          <w:p w14:paraId="26E9CC10" w14:textId="77777777" w:rsidR="008A3BAC" w:rsidRDefault="008A3BA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6E9CC11" w14:textId="77777777" w:rsidR="008A3BAC" w:rsidRDefault="005C75B9">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12"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1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14"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CC1B" w14:textId="77777777">
        <w:trPr>
          <w:trHeight w:val="240"/>
        </w:trPr>
        <w:tc>
          <w:tcPr>
            <w:tcW w:w="0" w:type="auto"/>
            <w:gridSpan w:val="3"/>
            <w:shd w:val="clear" w:color="auto" w:fill="auto"/>
            <w:tcMar>
              <w:top w:w="40" w:type="dxa"/>
              <w:left w:w="20" w:type="dxa"/>
              <w:bottom w:w="40" w:type="dxa"/>
              <w:right w:w="20" w:type="dxa"/>
            </w:tcMar>
            <w:vAlign w:val="bottom"/>
          </w:tcPr>
          <w:p w14:paraId="26E9CC16"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6E9CC17" w14:textId="77777777" w:rsidR="008A3BAC" w:rsidRDefault="008A3BA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18"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CC19"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1A"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C2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1C" w14:textId="77777777" w:rsidR="008A3BAC" w:rsidRDefault="005C75B9">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1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C1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1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20" w14:textId="77777777" w:rsidR="008A3BAC" w:rsidRDefault="008A3BAC">
            <w:pPr>
              <w:rPr>
                <w:rFonts w:ascii="宋体"/>
              </w:rPr>
            </w:pPr>
          </w:p>
        </w:tc>
      </w:tr>
      <w:tr w:rsidR="008A3BAC" w14:paraId="26E9CC2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22" w14:textId="77777777" w:rsidR="008A3BAC" w:rsidRDefault="005C75B9">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23" w14:textId="77777777" w:rsidR="008A3BAC" w:rsidRDefault="005C75B9">
            <w:pPr>
              <w:jc w:val="right"/>
              <w:textAlignment w:val="bottom"/>
            </w:pPr>
            <w:r>
              <w:rPr>
                <w:rFonts w:ascii="Arial" w:eastAsia="宋体" w:hAnsi="Arial" w:cs="Arial"/>
                <w:color w:val="000000"/>
                <w:sz w:val="17"/>
                <w:szCs w:val="17"/>
              </w:rPr>
              <w:t>Prepaid 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C2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C25" w14:textId="77777777" w:rsidR="008A3BAC" w:rsidRDefault="005C75B9">
            <w:pPr>
              <w:jc w:val="right"/>
              <w:textAlignment w:val="bottom"/>
            </w:pPr>
            <w:r>
              <w:rPr>
                <w:rFonts w:ascii="Arial" w:eastAsia="宋体" w:hAnsi="Arial" w:cs="Arial"/>
                <w:color w:val="000000"/>
                <w:sz w:val="17"/>
                <w:szCs w:val="17"/>
              </w:rPr>
              <w:t>393 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2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27"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C2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C29" w14:textId="77777777" w:rsidR="008A3BAC" w:rsidRDefault="005C75B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2A" w14:textId="77777777" w:rsidR="008A3BAC" w:rsidRDefault="008A3BAC">
            <w:pPr>
              <w:jc w:val="right"/>
              <w:rPr>
                <w:rFonts w:ascii="宋体"/>
              </w:rPr>
            </w:pPr>
          </w:p>
        </w:tc>
      </w:tr>
      <w:tr w:rsidR="008A3BAC" w14:paraId="26E9CC3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2C"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2D" w14:textId="77777777" w:rsidR="008A3BAC" w:rsidRDefault="005C75B9">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2E" w14:textId="77777777" w:rsidR="008A3BAC" w:rsidRDefault="005C75B9">
            <w:pPr>
              <w:jc w:val="right"/>
              <w:textAlignment w:val="bottom"/>
            </w:pPr>
            <w:r>
              <w:rPr>
                <w:rFonts w:ascii="Arial" w:eastAsia="宋体" w:hAnsi="Arial" w:cs="Arial"/>
                <w:color w:val="000000"/>
                <w:sz w:val="17"/>
                <w:szCs w:val="17"/>
              </w:rPr>
              <w:t>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2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3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31"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32" w14:textId="77777777" w:rsidR="008A3BAC" w:rsidRDefault="008A3BAC">
            <w:pPr>
              <w:jc w:val="right"/>
              <w:rPr>
                <w:rFonts w:ascii="宋体"/>
              </w:rPr>
            </w:pPr>
          </w:p>
        </w:tc>
      </w:tr>
      <w:tr w:rsidR="008A3BAC" w14:paraId="26E9CC3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34" w14:textId="77777777" w:rsidR="008A3BAC" w:rsidRDefault="005C75B9">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35"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C36" w14:textId="77777777" w:rsidR="008A3BAC" w:rsidRDefault="005C75B9">
            <w:pPr>
              <w:jc w:val="right"/>
              <w:textAlignment w:val="bottom"/>
            </w:pPr>
            <w:r>
              <w:rPr>
                <w:rFonts w:ascii="Arial" w:eastAsia="宋体" w:hAnsi="Arial" w:cs="Arial"/>
                <w:color w:val="000000"/>
                <w:sz w:val="17"/>
                <w:szCs w:val="17"/>
              </w:rPr>
              <w:t>461 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37"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38"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C39" w14:textId="77777777" w:rsidR="008A3BAC" w:rsidRDefault="005C75B9">
            <w:pPr>
              <w:jc w:val="right"/>
              <w:textAlignment w:val="bottom"/>
            </w:pPr>
            <w:r>
              <w:rPr>
                <w:rFonts w:ascii="Arial" w:eastAsia="宋体" w:hAnsi="Arial" w:cs="Arial"/>
                <w:color w:val="000000"/>
                <w:sz w:val="17"/>
                <w:szCs w:val="17"/>
              </w:rPr>
              <w:t>58 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C3A" w14:textId="77777777" w:rsidR="008A3BAC" w:rsidRDefault="008A3BAC">
            <w:pPr>
              <w:jc w:val="right"/>
              <w:rPr>
                <w:rFonts w:ascii="宋体"/>
              </w:rPr>
            </w:pPr>
          </w:p>
        </w:tc>
      </w:tr>
      <w:tr w:rsidR="008A3BAC" w14:paraId="26E9CC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3C" w14:textId="77777777" w:rsidR="008A3BAC" w:rsidRDefault="005C75B9">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3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C3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3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40" w14:textId="77777777" w:rsidR="008A3BAC" w:rsidRDefault="008A3BAC">
            <w:pPr>
              <w:rPr>
                <w:rFonts w:ascii="宋体"/>
              </w:rPr>
            </w:pPr>
          </w:p>
        </w:tc>
      </w:tr>
      <w:tr w:rsidR="008A3BAC" w14:paraId="26E9CC4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42"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43" w14:textId="77777777" w:rsidR="008A3BAC" w:rsidRDefault="005C75B9">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44"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4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4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47" w14:textId="77777777" w:rsidR="008A3BAC" w:rsidRDefault="005C75B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48" w14:textId="77777777" w:rsidR="008A3BAC" w:rsidRDefault="008A3BAC">
            <w:pPr>
              <w:jc w:val="right"/>
              <w:rPr>
                <w:rFonts w:ascii="宋体"/>
              </w:rPr>
            </w:pPr>
          </w:p>
        </w:tc>
      </w:tr>
      <w:tr w:rsidR="008A3BAC" w14:paraId="26E9CC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4A" w14:textId="77777777" w:rsidR="008A3BAC" w:rsidRDefault="005C75B9">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4B" w14:textId="77777777" w:rsidR="008A3BAC" w:rsidRDefault="005C75B9">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4C"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4D"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4E"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4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50" w14:textId="77777777" w:rsidR="008A3BAC" w:rsidRDefault="008A3BAC">
            <w:pPr>
              <w:jc w:val="right"/>
              <w:rPr>
                <w:rFonts w:ascii="宋体"/>
              </w:rPr>
            </w:pPr>
          </w:p>
        </w:tc>
      </w:tr>
      <w:tr w:rsidR="008A3BAC" w14:paraId="26E9CC57" w14:textId="77777777">
        <w:trPr>
          <w:hidden/>
        </w:trPr>
        <w:tc>
          <w:tcPr>
            <w:tcW w:w="0" w:type="auto"/>
            <w:gridSpan w:val="3"/>
            <w:shd w:val="clear" w:color="auto" w:fill="auto"/>
            <w:vAlign w:val="bottom"/>
          </w:tcPr>
          <w:p w14:paraId="26E9CC52" w14:textId="77777777" w:rsidR="008A3BAC" w:rsidRDefault="008A3BAC">
            <w:pPr>
              <w:rPr>
                <w:rFonts w:ascii="宋体"/>
                <w:vanish/>
              </w:rPr>
            </w:pPr>
          </w:p>
        </w:tc>
        <w:tc>
          <w:tcPr>
            <w:tcW w:w="0" w:type="auto"/>
            <w:gridSpan w:val="3"/>
            <w:shd w:val="clear" w:color="auto" w:fill="auto"/>
            <w:vAlign w:val="bottom"/>
          </w:tcPr>
          <w:p w14:paraId="26E9CC53" w14:textId="77777777" w:rsidR="008A3BAC" w:rsidRDefault="008A3BAC">
            <w:pPr>
              <w:rPr>
                <w:rFonts w:ascii="宋体"/>
                <w:vanish/>
              </w:rPr>
            </w:pPr>
          </w:p>
        </w:tc>
        <w:tc>
          <w:tcPr>
            <w:tcW w:w="0" w:type="auto"/>
            <w:gridSpan w:val="3"/>
            <w:shd w:val="clear" w:color="auto" w:fill="auto"/>
            <w:vAlign w:val="bottom"/>
          </w:tcPr>
          <w:p w14:paraId="26E9CC54" w14:textId="77777777" w:rsidR="008A3BAC" w:rsidRDefault="008A3BAC">
            <w:pPr>
              <w:rPr>
                <w:rFonts w:ascii="宋体"/>
                <w:vanish/>
              </w:rPr>
            </w:pPr>
          </w:p>
        </w:tc>
        <w:tc>
          <w:tcPr>
            <w:tcW w:w="0" w:type="auto"/>
            <w:gridSpan w:val="3"/>
            <w:shd w:val="clear" w:color="auto" w:fill="auto"/>
            <w:vAlign w:val="bottom"/>
          </w:tcPr>
          <w:p w14:paraId="26E9CC55" w14:textId="77777777" w:rsidR="008A3BAC" w:rsidRDefault="008A3BAC">
            <w:pPr>
              <w:rPr>
                <w:rFonts w:ascii="宋体"/>
                <w:vanish/>
              </w:rPr>
            </w:pPr>
          </w:p>
        </w:tc>
        <w:tc>
          <w:tcPr>
            <w:tcW w:w="0" w:type="auto"/>
            <w:gridSpan w:val="3"/>
            <w:shd w:val="clear" w:color="auto" w:fill="auto"/>
            <w:vAlign w:val="bottom"/>
          </w:tcPr>
          <w:p w14:paraId="26E9CC56" w14:textId="77777777" w:rsidR="008A3BAC" w:rsidRDefault="008A3BAC">
            <w:pPr>
              <w:rPr>
                <w:rFonts w:ascii="宋体"/>
                <w:vanish/>
              </w:rPr>
            </w:pPr>
          </w:p>
        </w:tc>
      </w:tr>
      <w:tr w:rsidR="008A3BAC" w14:paraId="26E9CC5D" w14:textId="77777777">
        <w:trPr>
          <w:hidden/>
        </w:trPr>
        <w:tc>
          <w:tcPr>
            <w:tcW w:w="0" w:type="auto"/>
            <w:gridSpan w:val="3"/>
            <w:shd w:val="clear" w:color="auto" w:fill="auto"/>
            <w:vAlign w:val="bottom"/>
          </w:tcPr>
          <w:p w14:paraId="26E9CC58" w14:textId="77777777" w:rsidR="008A3BAC" w:rsidRDefault="008A3BAC">
            <w:pPr>
              <w:rPr>
                <w:rFonts w:ascii="宋体"/>
                <w:vanish/>
              </w:rPr>
            </w:pPr>
          </w:p>
        </w:tc>
        <w:tc>
          <w:tcPr>
            <w:tcW w:w="0" w:type="auto"/>
            <w:gridSpan w:val="3"/>
            <w:shd w:val="clear" w:color="auto" w:fill="auto"/>
            <w:vAlign w:val="bottom"/>
          </w:tcPr>
          <w:p w14:paraId="26E9CC59" w14:textId="77777777" w:rsidR="008A3BAC" w:rsidRDefault="008A3BAC">
            <w:pPr>
              <w:rPr>
                <w:rFonts w:ascii="宋体"/>
                <w:vanish/>
              </w:rPr>
            </w:pPr>
          </w:p>
        </w:tc>
        <w:tc>
          <w:tcPr>
            <w:tcW w:w="0" w:type="auto"/>
            <w:gridSpan w:val="3"/>
            <w:shd w:val="clear" w:color="auto" w:fill="auto"/>
            <w:vAlign w:val="bottom"/>
          </w:tcPr>
          <w:p w14:paraId="26E9CC5A" w14:textId="77777777" w:rsidR="008A3BAC" w:rsidRDefault="008A3BAC">
            <w:pPr>
              <w:rPr>
                <w:rFonts w:ascii="宋体"/>
                <w:vanish/>
              </w:rPr>
            </w:pPr>
          </w:p>
        </w:tc>
        <w:tc>
          <w:tcPr>
            <w:tcW w:w="0" w:type="auto"/>
            <w:gridSpan w:val="3"/>
            <w:shd w:val="clear" w:color="auto" w:fill="auto"/>
            <w:vAlign w:val="bottom"/>
          </w:tcPr>
          <w:p w14:paraId="26E9CC5B" w14:textId="77777777" w:rsidR="008A3BAC" w:rsidRDefault="008A3BAC">
            <w:pPr>
              <w:rPr>
                <w:rFonts w:ascii="宋体"/>
                <w:vanish/>
              </w:rPr>
            </w:pPr>
          </w:p>
        </w:tc>
        <w:tc>
          <w:tcPr>
            <w:tcW w:w="0" w:type="auto"/>
            <w:gridSpan w:val="3"/>
            <w:shd w:val="clear" w:color="auto" w:fill="auto"/>
            <w:vAlign w:val="bottom"/>
          </w:tcPr>
          <w:p w14:paraId="26E9CC5C" w14:textId="77777777" w:rsidR="008A3BAC" w:rsidRDefault="008A3BAC">
            <w:pPr>
              <w:rPr>
                <w:rFonts w:ascii="宋体"/>
                <w:vanish/>
              </w:rPr>
            </w:pPr>
          </w:p>
        </w:tc>
      </w:tr>
      <w:tr w:rsidR="008A3BAC" w14:paraId="26E9CC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5E" w14:textId="77777777" w:rsidR="008A3BAC" w:rsidRDefault="005C75B9">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5F"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C60" w14:textId="77777777" w:rsidR="008A3BAC" w:rsidRDefault="005C75B9">
            <w:pPr>
              <w:jc w:val="right"/>
              <w:textAlignment w:val="bottom"/>
            </w:pPr>
            <w:r>
              <w:rPr>
                <w:rFonts w:ascii="Arial" w:eastAsia="宋体" w:hAnsi="Arial" w:cs="Arial"/>
                <w:color w:val="000000"/>
                <w:sz w:val="17"/>
                <w:szCs w:val="17"/>
              </w:rPr>
              <w:t>23 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61"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62"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C63" w14:textId="77777777" w:rsidR="008A3BAC" w:rsidRDefault="005C75B9">
            <w:pPr>
              <w:jc w:val="right"/>
              <w:textAlignment w:val="bottom"/>
            </w:pPr>
            <w:r>
              <w:rPr>
                <w:rFonts w:ascii="Arial" w:eastAsia="宋体" w:hAnsi="Arial" w:cs="Arial"/>
                <w:color w:val="000000"/>
                <w:sz w:val="17"/>
                <w:szCs w:val="17"/>
              </w:rPr>
              <w:t>34 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C64" w14:textId="77777777" w:rsidR="008A3BAC" w:rsidRDefault="008A3BAC">
            <w:pPr>
              <w:jc w:val="right"/>
              <w:rPr>
                <w:rFonts w:ascii="宋体"/>
              </w:rPr>
            </w:pPr>
          </w:p>
        </w:tc>
      </w:tr>
      <w:tr w:rsidR="008A3BAC" w14:paraId="26E9CC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66" w14:textId="77777777" w:rsidR="008A3BAC" w:rsidRDefault="005C75B9">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67"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C6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C69" w14:textId="77777777" w:rsidR="008A3BAC" w:rsidRDefault="005C75B9">
            <w:pPr>
              <w:jc w:val="right"/>
              <w:textAlignment w:val="bottom"/>
            </w:pPr>
            <w:r>
              <w:rPr>
                <w:rFonts w:ascii="Arial" w:eastAsia="宋体" w:hAnsi="Arial" w:cs="Arial"/>
                <w:b/>
                <w:bCs/>
                <w:color w:val="000000"/>
                <w:sz w:val="17"/>
                <w:szCs w:val="17"/>
              </w:rPr>
              <w:t>484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6A"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6B"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C6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C6D" w14:textId="77777777" w:rsidR="008A3BAC" w:rsidRDefault="005C75B9">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C6E" w14:textId="77777777" w:rsidR="008A3BAC" w:rsidRDefault="008A3BAC">
            <w:pPr>
              <w:jc w:val="right"/>
              <w:rPr>
                <w:rFonts w:ascii="宋体"/>
              </w:rPr>
            </w:pPr>
          </w:p>
        </w:tc>
      </w:tr>
      <w:tr w:rsidR="008A3BAC" w14:paraId="26E9CC75"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4" w14:textId="77777777" w:rsidR="008A3BAC" w:rsidRDefault="008A3BAC">
            <w:pPr>
              <w:rPr>
                <w:rFonts w:ascii="宋体"/>
              </w:rPr>
            </w:pPr>
          </w:p>
        </w:tc>
      </w:tr>
      <w:tr w:rsidR="008A3BAC" w14:paraId="26E9CC78" w14:textId="77777777">
        <w:tc>
          <w:tcPr>
            <w:tcW w:w="0" w:type="auto"/>
            <w:gridSpan w:val="3"/>
            <w:shd w:val="clear" w:color="auto" w:fill="auto"/>
            <w:tcMar>
              <w:top w:w="0" w:type="dxa"/>
              <w:left w:w="20" w:type="dxa"/>
              <w:bottom w:w="0" w:type="dxa"/>
              <w:right w:w="20" w:type="dxa"/>
            </w:tcMar>
            <w:vAlign w:val="bottom"/>
          </w:tcPr>
          <w:p w14:paraId="26E9CC76"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CC77" w14:textId="77777777" w:rsidR="008A3BAC" w:rsidRDefault="005C75B9">
            <w:pPr>
              <w:jc w:val="center"/>
              <w:textAlignment w:val="bottom"/>
            </w:pPr>
            <w:r>
              <w:rPr>
                <w:rFonts w:ascii="sans-serif" w:eastAsia="sans-serif" w:hAnsi="sans-serif" w:cs="sans-serif"/>
                <w:b/>
                <w:bCs/>
                <w:color w:val="000000"/>
                <w:sz w:val="17"/>
                <w:szCs w:val="17"/>
              </w:rPr>
              <w:t>DERIVATIVE LIABILITIES</w:t>
            </w:r>
          </w:p>
        </w:tc>
      </w:tr>
      <w:tr w:rsidR="008A3BAC" w14:paraId="26E9CC7E" w14:textId="77777777">
        <w:trPr>
          <w:trHeight w:val="240"/>
        </w:trPr>
        <w:tc>
          <w:tcPr>
            <w:tcW w:w="0" w:type="auto"/>
            <w:gridSpan w:val="3"/>
            <w:shd w:val="clear" w:color="auto" w:fill="auto"/>
            <w:tcMar>
              <w:top w:w="0" w:type="dxa"/>
              <w:left w:w="20" w:type="dxa"/>
              <w:bottom w:w="0" w:type="dxa"/>
              <w:right w:w="20" w:type="dxa"/>
            </w:tcMar>
            <w:vAlign w:val="bottom"/>
          </w:tcPr>
          <w:p w14:paraId="26E9CC79" w14:textId="77777777" w:rsidR="008A3BAC" w:rsidRDefault="008A3BA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6E9CC7A" w14:textId="77777777" w:rsidR="008A3BAC" w:rsidRDefault="005C75B9">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7B"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7C"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7D"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CC84" w14:textId="77777777">
        <w:trPr>
          <w:trHeight w:val="240"/>
        </w:trPr>
        <w:tc>
          <w:tcPr>
            <w:tcW w:w="0" w:type="auto"/>
            <w:gridSpan w:val="3"/>
            <w:shd w:val="clear" w:color="auto" w:fill="auto"/>
            <w:tcMar>
              <w:top w:w="40" w:type="dxa"/>
              <w:left w:w="20" w:type="dxa"/>
              <w:bottom w:w="40" w:type="dxa"/>
              <w:right w:w="20" w:type="dxa"/>
            </w:tcMar>
            <w:vAlign w:val="bottom"/>
          </w:tcPr>
          <w:p w14:paraId="26E9CC7F"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6E9CC80" w14:textId="77777777" w:rsidR="008A3BAC" w:rsidRDefault="008A3BA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81"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CC82"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83"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C8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85" w14:textId="77777777" w:rsidR="008A3BAC" w:rsidRDefault="005C75B9">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86"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C8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8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89" w14:textId="77777777" w:rsidR="008A3BAC" w:rsidRDefault="008A3BAC">
            <w:pPr>
              <w:rPr>
                <w:rFonts w:ascii="宋体"/>
              </w:rPr>
            </w:pPr>
          </w:p>
        </w:tc>
      </w:tr>
      <w:tr w:rsidR="008A3BAC" w14:paraId="26E9CC9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8B"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8C" w14:textId="77777777" w:rsidR="008A3BAC" w:rsidRDefault="005C75B9">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C8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C8E" w14:textId="77777777" w:rsidR="008A3BAC" w:rsidRDefault="005C75B9">
            <w:pPr>
              <w:jc w:val="right"/>
              <w:textAlignment w:val="bottom"/>
            </w:pPr>
            <w:r>
              <w:rPr>
                <w:rFonts w:ascii="Arial" w:eastAsia="宋体" w:hAnsi="Arial" w:cs="Arial"/>
                <w:color w:val="000000"/>
                <w:sz w:val="17"/>
                <w:szCs w:val="17"/>
              </w:rPr>
              <w:t>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8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90"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C9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C92" w14:textId="77777777" w:rsidR="008A3BAC" w:rsidRDefault="005C75B9">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93" w14:textId="77777777" w:rsidR="008A3BAC" w:rsidRDefault="008A3BAC">
            <w:pPr>
              <w:jc w:val="right"/>
              <w:rPr>
                <w:rFonts w:ascii="宋体"/>
              </w:rPr>
            </w:pPr>
          </w:p>
        </w:tc>
      </w:tr>
      <w:tr w:rsidR="008A3BAC" w14:paraId="26E9CC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95"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96" w14:textId="77777777" w:rsidR="008A3BAC" w:rsidRDefault="005C75B9">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97"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9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9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9A"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9B" w14:textId="77777777" w:rsidR="008A3BAC" w:rsidRDefault="008A3BAC">
            <w:pPr>
              <w:jc w:val="right"/>
              <w:rPr>
                <w:rFonts w:ascii="宋体"/>
              </w:rPr>
            </w:pPr>
          </w:p>
        </w:tc>
      </w:tr>
      <w:tr w:rsidR="008A3BAC" w14:paraId="26E9CC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9D" w14:textId="77777777" w:rsidR="008A3BAC" w:rsidRDefault="005C75B9">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9E"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C9F" w14:textId="77777777" w:rsidR="008A3BAC" w:rsidRDefault="005C75B9">
            <w:pPr>
              <w:jc w:val="right"/>
              <w:textAlignment w:val="bottom"/>
            </w:pPr>
            <w:r>
              <w:rPr>
                <w:rFonts w:ascii="Arial" w:eastAsia="宋体" w:hAnsi="Arial" w:cs="Arial"/>
                <w:color w:val="000000"/>
                <w:sz w:val="17"/>
                <w:szCs w:val="17"/>
              </w:rPr>
              <w:t>87 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A0"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A1"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CA2" w14:textId="77777777" w:rsidR="008A3BAC" w:rsidRDefault="005C75B9">
            <w:pPr>
              <w:jc w:val="right"/>
              <w:textAlignment w:val="bottom"/>
            </w:pPr>
            <w:r>
              <w:rPr>
                <w:rFonts w:ascii="Arial" w:eastAsia="宋体" w:hAnsi="Arial" w:cs="Arial"/>
                <w:color w:val="000000"/>
                <w:sz w:val="17"/>
                <w:szCs w:val="17"/>
              </w:rPr>
              <w:t>426 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CA3" w14:textId="77777777" w:rsidR="008A3BAC" w:rsidRDefault="008A3BAC">
            <w:pPr>
              <w:jc w:val="right"/>
              <w:rPr>
                <w:rFonts w:ascii="宋体"/>
              </w:rPr>
            </w:pPr>
          </w:p>
        </w:tc>
      </w:tr>
      <w:tr w:rsidR="008A3BAC" w14:paraId="26E9CCA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A5" w14:textId="77777777" w:rsidR="008A3BAC" w:rsidRDefault="005C75B9">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A6"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CA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A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A9" w14:textId="77777777" w:rsidR="008A3BAC" w:rsidRDefault="008A3BAC">
            <w:pPr>
              <w:rPr>
                <w:rFonts w:ascii="宋体"/>
              </w:rPr>
            </w:pPr>
          </w:p>
        </w:tc>
      </w:tr>
      <w:tr w:rsidR="008A3BAC" w14:paraId="26E9CCB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AB"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AC" w14:textId="77777777" w:rsidR="008A3BAC" w:rsidRDefault="005C75B9">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AD" w14:textId="77777777" w:rsidR="008A3BAC" w:rsidRDefault="005C75B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AE"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AF"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B0" w14:textId="77777777" w:rsidR="008A3BAC" w:rsidRDefault="005C75B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B1" w14:textId="77777777" w:rsidR="008A3BAC" w:rsidRDefault="008A3BAC">
            <w:pPr>
              <w:jc w:val="right"/>
              <w:rPr>
                <w:rFonts w:ascii="宋体"/>
              </w:rPr>
            </w:pPr>
          </w:p>
        </w:tc>
      </w:tr>
      <w:tr w:rsidR="008A3BAC" w14:paraId="26E9CCB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CB3" w14:textId="77777777" w:rsidR="008A3BAC" w:rsidRDefault="005C75B9">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CB4" w14:textId="77777777" w:rsidR="008A3BAC" w:rsidRDefault="005C75B9">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CB5"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CB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CB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CB8"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CB9" w14:textId="77777777" w:rsidR="008A3BAC" w:rsidRDefault="008A3BAC">
            <w:pPr>
              <w:jc w:val="right"/>
              <w:rPr>
                <w:rFonts w:ascii="宋体"/>
              </w:rPr>
            </w:pPr>
          </w:p>
        </w:tc>
      </w:tr>
      <w:tr w:rsidR="008A3BAC" w14:paraId="26E9CCC0" w14:textId="77777777">
        <w:trPr>
          <w:hidden/>
        </w:trPr>
        <w:tc>
          <w:tcPr>
            <w:tcW w:w="0" w:type="auto"/>
            <w:gridSpan w:val="3"/>
            <w:shd w:val="clear" w:color="auto" w:fill="auto"/>
            <w:vAlign w:val="bottom"/>
          </w:tcPr>
          <w:p w14:paraId="26E9CCBB" w14:textId="77777777" w:rsidR="008A3BAC" w:rsidRDefault="008A3BAC">
            <w:pPr>
              <w:rPr>
                <w:rFonts w:ascii="宋体"/>
                <w:vanish/>
              </w:rPr>
            </w:pPr>
          </w:p>
        </w:tc>
        <w:tc>
          <w:tcPr>
            <w:tcW w:w="0" w:type="auto"/>
            <w:gridSpan w:val="3"/>
            <w:shd w:val="clear" w:color="auto" w:fill="auto"/>
            <w:vAlign w:val="bottom"/>
          </w:tcPr>
          <w:p w14:paraId="26E9CCBC" w14:textId="77777777" w:rsidR="008A3BAC" w:rsidRDefault="008A3BAC">
            <w:pPr>
              <w:rPr>
                <w:rFonts w:ascii="宋体"/>
                <w:vanish/>
              </w:rPr>
            </w:pPr>
          </w:p>
        </w:tc>
        <w:tc>
          <w:tcPr>
            <w:tcW w:w="0" w:type="auto"/>
            <w:gridSpan w:val="3"/>
            <w:shd w:val="clear" w:color="auto" w:fill="auto"/>
            <w:vAlign w:val="bottom"/>
          </w:tcPr>
          <w:p w14:paraId="26E9CCBD" w14:textId="77777777" w:rsidR="008A3BAC" w:rsidRDefault="008A3BAC">
            <w:pPr>
              <w:rPr>
                <w:rFonts w:ascii="宋体"/>
                <w:vanish/>
              </w:rPr>
            </w:pPr>
          </w:p>
        </w:tc>
        <w:tc>
          <w:tcPr>
            <w:tcW w:w="0" w:type="auto"/>
            <w:gridSpan w:val="3"/>
            <w:shd w:val="clear" w:color="auto" w:fill="auto"/>
            <w:vAlign w:val="bottom"/>
          </w:tcPr>
          <w:p w14:paraId="26E9CCBE" w14:textId="77777777" w:rsidR="008A3BAC" w:rsidRDefault="008A3BAC">
            <w:pPr>
              <w:rPr>
                <w:rFonts w:ascii="宋体"/>
                <w:vanish/>
              </w:rPr>
            </w:pPr>
          </w:p>
        </w:tc>
        <w:tc>
          <w:tcPr>
            <w:tcW w:w="0" w:type="auto"/>
            <w:gridSpan w:val="3"/>
            <w:shd w:val="clear" w:color="auto" w:fill="auto"/>
            <w:vAlign w:val="bottom"/>
          </w:tcPr>
          <w:p w14:paraId="26E9CCBF" w14:textId="77777777" w:rsidR="008A3BAC" w:rsidRDefault="008A3BAC">
            <w:pPr>
              <w:rPr>
                <w:rFonts w:ascii="宋体"/>
                <w:vanish/>
              </w:rPr>
            </w:pPr>
          </w:p>
        </w:tc>
      </w:tr>
      <w:tr w:rsidR="008A3BAC" w14:paraId="26E9CCC6" w14:textId="77777777">
        <w:trPr>
          <w:hidden/>
        </w:trPr>
        <w:tc>
          <w:tcPr>
            <w:tcW w:w="0" w:type="auto"/>
            <w:gridSpan w:val="3"/>
            <w:shd w:val="clear" w:color="auto" w:fill="auto"/>
            <w:vAlign w:val="bottom"/>
          </w:tcPr>
          <w:p w14:paraId="26E9CCC1" w14:textId="77777777" w:rsidR="008A3BAC" w:rsidRDefault="008A3BAC">
            <w:pPr>
              <w:rPr>
                <w:rFonts w:ascii="宋体"/>
                <w:vanish/>
              </w:rPr>
            </w:pPr>
          </w:p>
        </w:tc>
        <w:tc>
          <w:tcPr>
            <w:tcW w:w="0" w:type="auto"/>
            <w:gridSpan w:val="3"/>
            <w:shd w:val="clear" w:color="auto" w:fill="auto"/>
            <w:vAlign w:val="bottom"/>
          </w:tcPr>
          <w:p w14:paraId="26E9CCC2" w14:textId="77777777" w:rsidR="008A3BAC" w:rsidRDefault="008A3BAC">
            <w:pPr>
              <w:rPr>
                <w:rFonts w:ascii="宋体"/>
                <w:vanish/>
              </w:rPr>
            </w:pPr>
          </w:p>
        </w:tc>
        <w:tc>
          <w:tcPr>
            <w:tcW w:w="0" w:type="auto"/>
            <w:gridSpan w:val="3"/>
            <w:shd w:val="clear" w:color="auto" w:fill="auto"/>
            <w:vAlign w:val="bottom"/>
          </w:tcPr>
          <w:p w14:paraId="26E9CCC3" w14:textId="77777777" w:rsidR="008A3BAC" w:rsidRDefault="008A3BAC">
            <w:pPr>
              <w:rPr>
                <w:rFonts w:ascii="宋体"/>
                <w:vanish/>
              </w:rPr>
            </w:pPr>
          </w:p>
        </w:tc>
        <w:tc>
          <w:tcPr>
            <w:tcW w:w="0" w:type="auto"/>
            <w:gridSpan w:val="3"/>
            <w:shd w:val="clear" w:color="auto" w:fill="auto"/>
            <w:vAlign w:val="bottom"/>
          </w:tcPr>
          <w:p w14:paraId="26E9CCC4" w14:textId="77777777" w:rsidR="008A3BAC" w:rsidRDefault="008A3BAC">
            <w:pPr>
              <w:rPr>
                <w:rFonts w:ascii="宋体"/>
                <w:vanish/>
              </w:rPr>
            </w:pPr>
          </w:p>
        </w:tc>
        <w:tc>
          <w:tcPr>
            <w:tcW w:w="0" w:type="auto"/>
            <w:gridSpan w:val="3"/>
            <w:shd w:val="clear" w:color="auto" w:fill="auto"/>
            <w:vAlign w:val="bottom"/>
          </w:tcPr>
          <w:p w14:paraId="26E9CCC5" w14:textId="77777777" w:rsidR="008A3BAC" w:rsidRDefault="008A3BAC">
            <w:pPr>
              <w:rPr>
                <w:rFonts w:ascii="宋体"/>
                <w:vanish/>
              </w:rPr>
            </w:pPr>
          </w:p>
        </w:tc>
      </w:tr>
      <w:tr w:rsidR="008A3BAC" w14:paraId="26E9CCC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C7" w14:textId="77777777" w:rsidR="008A3BAC" w:rsidRDefault="005C75B9">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C8"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CC9"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CA"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CB"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CCC" w14:textId="77777777" w:rsidR="008A3BAC" w:rsidRDefault="005C75B9">
            <w:pPr>
              <w:jc w:val="right"/>
              <w:textAlignment w:val="bottom"/>
            </w:pPr>
            <w:r>
              <w:rPr>
                <w:rFonts w:ascii="Arial" w:eastAsia="宋体" w:hAnsi="Arial" w:cs="Arial"/>
                <w:color w:val="000000"/>
                <w:sz w:val="17"/>
                <w:szCs w:val="17"/>
              </w:rPr>
              <w:t>31 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CCD" w14:textId="77777777" w:rsidR="008A3BAC" w:rsidRDefault="008A3BAC">
            <w:pPr>
              <w:jc w:val="right"/>
              <w:rPr>
                <w:rFonts w:ascii="宋体"/>
              </w:rPr>
            </w:pPr>
          </w:p>
        </w:tc>
      </w:tr>
      <w:tr w:rsidR="008A3BAC" w14:paraId="26E9CCD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CCF" w14:textId="77777777" w:rsidR="008A3BAC" w:rsidRDefault="005C75B9">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CD0"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CD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CD2" w14:textId="77777777" w:rsidR="008A3BAC" w:rsidRDefault="005C75B9">
            <w:pPr>
              <w:jc w:val="right"/>
              <w:textAlignment w:val="bottom"/>
            </w:pPr>
            <w:r>
              <w:rPr>
                <w:rFonts w:ascii="Arial" w:eastAsia="宋体" w:hAnsi="Arial" w:cs="Arial"/>
                <w:b/>
                <w:bCs/>
                <w:color w:val="000000"/>
                <w:sz w:val="17"/>
                <w:szCs w:val="17"/>
              </w:rPr>
              <w:t>108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CD3"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CD4"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CD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CD6" w14:textId="77777777" w:rsidR="008A3BAC" w:rsidRDefault="005C75B9">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CD7" w14:textId="77777777" w:rsidR="008A3BAC" w:rsidRDefault="008A3BAC">
            <w:pPr>
              <w:jc w:val="right"/>
              <w:rPr>
                <w:rFonts w:ascii="宋体"/>
              </w:rPr>
            </w:pPr>
          </w:p>
        </w:tc>
      </w:tr>
    </w:tbl>
    <w:p w14:paraId="26E9CCD9" w14:textId="77777777" w:rsidR="008A3BAC" w:rsidRDefault="005C75B9">
      <w:pPr>
        <w:spacing w:before="120" w:after="120"/>
      </w:pPr>
      <w:r>
        <w:rPr>
          <w:rFonts w:ascii="Arial" w:eastAsia="宋体" w:hAnsi="Arial" w:cs="Arial"/>
          <w:color w:val="000000"/>
          <w:sz w:val="17"/>
          <w:szCs w:val="17"/>
        </w:rPr>
        <w:t xml:space="preserve">The following tables present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8A3BAC" w14:paraId="26E9CCEC" w14:textId="77777777">
        <w:tc>
          <w:tcPr>
            <w:tcW w:w="50" w:type="pct"/>
            <w:shd w:val="clear" w:color="auto" w:fill="auto"/>
            <w:vAlign w:val="bottom"/>
          </w:tcPr>
          <w:p w14:paraId="26E9CCDA" w14:textId="77777777" w:rsidR="008A3BAC" w:rsidRDefault="008A3BAC">
            <w:pPr>
              <w:rPr>
                <w:rFonts w:ascii="宋体"/>
              </w:rPr>
            </w:pPr>
          </w:p>
        </w:tc>
        <w:tc>
          <w:tcPr>
            <w:tcW w:w="2398" w:type="pct"/>
            <w:shd w:val="clear" w:color="auto" w:fill="auto"/>
            <w:vAlign w:val="bottom"/>
          </w:tcPr>
          <w:p w14:paraId="26E9CCDB" w14:textId="77777777" w:rsidR="008A3BAC" w:rsidRDefault="008A3BAC">
            <w:pPr>
              <w:rPr>
                <w:rFonts w:ascii="宋体"/>
              </w:rPr>
            </w:pPr>
          </w:p>
        </w:tc>
        <w:tc>
          <w:tcPr>
            <w:tcW w:w="5" w:type="pct"/>
            <w:shd w:val="clear" w:color="auto" w:fill="auto"/>
            <w:vAlign w:val="bottom"/>
          </w:tcPr>
          <w:p w14:paraId="26E9CCDC" w14:textId="77777777" w:rsidR="008A3BAC" w:rsidRDefault="008A3BAC">
            <w:pPr>
              <w:rPr>
                <w:rFonts w:ascii="宋体"/>
              </w:rPr>
            </w:pPr>
          </w:p>
        </w:tc>
        <w:tc>
          <w:tcPr>
            <w:tcW w:w="50" w:type="pct"/>
            <w:shd w:val="clear" w:color="auto" w:fill="auto"/>
            <w:vAlign w:val="bottom"/>
          </w:tcPr>
          <w:p w14:paraId="26E9CCDD" w14:textId="77777777" w:rsidR="008A3BAC" w:rsidRDefault="008A3BAC">
            <w:pPr>
              <w:rPr>
                <w:rFonts w:ascii="宋体"/>
              </w:rPr>
            </w:pPr>
          </w:p>
        </w:tc>
        <w:tc>
          <w:tcPr>
            <w:tcW w:w="571" w:type="pct"/>
            <w:shd w:val="clear" w:color="auto" w:fill="auto"/>
            <w:vAlign w:val="bottom"/>
          </w:tcPr>
          <w:p w14:paraId="26E9CCDE" w14:textId="77777777" w:rsidR="008A3BAC" w:rsidRDefault="008A3BAC">
            <w:pPr>
              <w:rPr>
                <w:rFonts w:ascii="宋体"/>
              </w:rPr>
            </w:pPr>
          </w:p>
        </w:tc>
        <w:tc>
          <w:tcPr>
            <w:tcW w:w="5" w:type="pct"/>
            <w:shd w:val="clear" w:color="auto" w:fill="auto"/>
            <w:vAlign w:val="bottom"/>
          </w:tcPr>
          <w:p w14:paraId="26E9CCDF" w14:textId="77777777" w:rsidR="008A3BAC" w:rsidRDefault="008A3BAC">
            <w:pPr>
              <w:rPr>
                <w:rFonts w:ascii="宋体"/>
              </w:rPr>
            </w:pPr>
          </w:p>
        </w:tc>
        <w:tc>
          <w:tcPr>
            <w:tcW w:w="50" w:type="pct"/>
            <w:shd w:val="clear" w:color="auto" w:fill="auto"/>
            <w:vAlign w:val="bottom"/>
          </w:tcPr>
          <w:p w14:paraId="26E9CCE0" w14:textId="77777777" w:rsidR="008A3BAC" w:rsidRDefault="008A3BAC">
            <w:pPr>
              <w:rPr>
                <w:rFonts w:ascii="宋体"/>
              </w:rPr>
            </w:pPr>
          </w:p>
        </w:tc>
        <w:tc>
          <w:tcPr>
            <w:tcW w:w="571" w:type="pct"/>
            <w:shd w:val="clear" w:color="auto" w:fill="auto"/>
            <w:vAlign w:val="bottom"/>
          </w:tcPr>
          <w:p w14:paraId="26E9CCE1" w14:textId="77777777" w:rsidR="008A3BAC" w:rsidRDefault="008A3BAC">
            <w:pPr>
              <w:rPr>
                <w:rFonts w:ascii="宋体"/>
              </w:rPr>
            </w:pPr>
          </w:p>
        </w:tc>
        <w:tc>
          <w:tcPr>
            <w:tcW w:w="5" w:type="pct"/>
            <w:shd w:val="clear" w:color="auto" w:fill="auto"/>
            <w:vAlign w:val="bottom"/>
          </w:tcPr>
          <w:p w14:paraId="26E9CCE2" w14:textId="77777777" w:rsidR="008A3BAC" w:rsidRDefault="008A3BAC">
            <w:pPr>
              <w:rPr>
                <w:rFonts w:ascii="宋体"/>
              </w:rPr>
            </w:pPr>
          </w:p>
        </w:tc>
        <w:tc>
          <w:tcPr>
            <w:tcW w:w="5" w:type="pct"/>
            <w:shd w:val="clear" w:color="auto" w:fill="auto"/>
            <w:vAlign w:val="bottom"/>
          </w:tcPr>
          <w:p w14:paraId="26E9CCE3" w14:textId="77777777" w:rsidR="008A3BAC" w:rsidRDefault="008A3BAC">
            <w:pPr>
              <w:rPr>
                <w:rFonts w:ascii="宋体"/>
              </w:rPr>
            </w:pPr>
          </w:p>
        </w:tc>
        <w:tc>
          <w:tcPr>
            <w:tcW w:w="28" w:type="pct"/>
            <w:shd w:val="clear" w:color="auto" w:fill="auto"/>
            <w:vAlign w:val="bottom"/>
          </w:tcPr>
          <w:p w14:paraId="26E9CCE4" w14:textId="77777777" w:rsidR="008A3BAC" w:rsidRDefault="008A3BAC">
            <w:pPr>
              <w:rPr>
                <w:rFonts w:ascii="宋体"/>
              </w:rPr>
            </w:pPr>
          </w:p>
        </w:tc>
        <w:tc>
          <w:tcPr>
            <w:tcW w:w="5" w:type="pct"/>
            <w:shd w:val="clear" w:color="auto" w:fill="auto"/>
            <w:vAlign w:val="bottom"/>
          </w:tcPr>
          <w:p w14:paraId="26E9CCE5" w14:textId="77777777" w:rsidR="008A3BAC" w:rsidRDefault="008A3BAC">
            <w:pPr>
              <w:rPr>
                <w:rFonts w:ascii="宋体"/>
              </w:rPr>
            </w:pPr>
          </w:p>
        </w:tc>
        <w:tc>
          <w:tcPr>
            <w:tcW w:w="50" w:type="pct"/>
            <w:shd w:val="clear" w:color="auto" w:fill="auto"/>
            <w:vAlign w:val="bottom"/>
          </w:tcPr>
          <w:p w14:paraId="26E9CCE6" w14:textId="77777777" w:rsidR="008A3BAC" w:rsidRDefault="008A3BAC">
            <w:pPr>
              <w:rPr>
                <w:rFonts w:ascii="宋体"/>
              </w:rPr>
            </w:pPr>
          </w:p>
        </w:tc>
        <w:tc>
          <w:tcPr>
            <w:tcW w:w="571" w:type="pct"/>
            <w:shd w:val="clear" w:color="auto" w:fill="auto"/>
            <w:vAlign w:val="bottom"/>
          </w:tcPr>
          <w:p w14:paraId="26E9CCE7" w14:textId="77777777" w:rsidR="008A3BAC" w:rsidRDefault="008A3BAC">
            <w:pPr>
              <w:rPr>
                <w:rFonts w:ascii="宋体"/>
              </w:rPr>
            </w:pPr>
          </w:p>
        </w:tc>
        <w:tc>
          <w:tcPr>
            <w:tcW w:w="5" w:type="pct"/>
            <w:shd w:val="clear" w:color="auto" w:fill="auto"/>
            <w:vAlign w:val="bottom"/>
          </w:tcPr>
          <w:p w14:paraId="26E9CCE8" w14:textId="77777777" w:rsidR="008A3BAC" w:rsidRDefault="008A3BAC">
            <w:pPr>
              <w:rPr>
                <w:rFonts w:ascii="宋体"/>
              </w:rPr>
            </w:pPr>
          </w:p>
        </w:tc>
        <w:tc>
          <w:tcPr>
            <w:tcW w:w="50" w:type="pct"/>
            <w:shd w:val="clear" w:color="auto" w:fill="auto"/>
            <w:vAlign w:val="bottom"/>
          </w:tcPr>
          <w:p w14:paraId="26E9CCE9" w14:textId="77777777" w:rsidR="008A3BAC" w:rsidRDefault="008A3BAC">
            <w:pPr>
              <w:rPr>
                <w:rFonts w:ascii="宋体"/>
              </w:rPr>
            </w:pPr>
          </w:p>
        </w:tc>
        <w:tc>
          <w:tcPr>
            <w:tcW w:w="572" w:type="pct"/>
            <w:shd w:val="clear" w:color="auto" w:fill="auto"/>
            <w:vAlign w:val="bottom"/>
          </w:tcPr>
          <w:p w14:paraId="26E9CCEA" w14:textId="77777777" w:rsidR="008A3BAC" w:rsidRDefault="008A3BAC">
            <w:pPr>
              <w:rPr>
                <w:rFonts w:ascii="宋体"/>
              </w:rPr>
            </w:pPr>
          </w:p>
        </w:tc>
        <w:tc>
          <w:tcPr>
            <w:tcW w:w="5" w:type="pct"/>
            <w:shd w:val="clear" w:color="auto" w:fill="auto"/>
            <w:vAlign w:val="bottom"/>
          </w:tcPr>
          <w:p w14:paraId="26E9CCEB" w14:textId="77777777" w:rsidR="008A3BAC" w:rsidRDefault="008A3BAC">
            <w:pPr>
              <w:rPr>
                <w:rFonts w:ascii="宋体"/>
              </w:rPr>
            </w:pPr>
          </w:p>
        </w:tc>
      </w:tr>
      <w:tr w:rsidR="008A3BAC" w14:paraId="26E9CCEF" w14:textId="77777777">
        <w:tc>
          <w:tcPr>
            <w:tcW w:w="0" w:type="auto"/>
            <w:gridSpan w:val="3"/>
            <w:shd w:val="clear" w:color="auto" w:fill="auto"/>
            <w:tcMar>
              <w:top w:w="0" w:type="dxa"/>
              <w:left w:w="20" w:type="dxa"/>
              <w:bottom w:w="0" w:type="dxa"/>
              <w:right w:w="20" w:type="dxa"/>
            </w:tcMar>
            <w:vAlign w:val="bottom"/>
          </w:tcPr>
          <w:p w14:paraId="26E9CCED"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CEE" w14:textId="77777777" w:rsidR="008A3BAC" w:rsidRDefault="005C75B9">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FEBRUARY 28,</w:t>
            </w:r>
          </w:p>
        </w:tc>
      </w:tr>
      <w:tr w:rsidR="008A3BAC" w14:paraId="26E9CCF4" w14:textId="77777777">
        <w:tc>
          <w:tcPr>
            <w:tcW w:w="0" w:type="auto"/>
            <w:gridSpan w:val="3"/>
            <w:shd w:val="clear" w:color="auto" w:fill="auto"/>
            <w:tcMar>
              <w:top w:w="0" w:type="dxa"/>
              <w:left w:w="20" w:type="dxa"/>
              <w:bottom w:w="0" w:type="dxa"/>
              <w:right w:w="20" w:type="dxa"/>
            </w:tcMar>
            <w:vAlign w:val="bottom"/>
          </w:tcPr>
          <w:p w14:paraId="26E9CCF0"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CF1"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CF2"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CF3"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CFB" w14:textId="77777777">
        <w:tc>
          <w:tcPr>
            <w:tcW w:w="0" w:type="auto"/>
            <w:gridSpan w:val="3"/>
            <w:shd w:val="clear" w:color="auto" w:fill="auto"/>
            <w:tcMar>
              <w:top w:w="40" w:type="dxa"/>
              <w:left w:w="20" w:type="dxa"/>
              <w:bottom w:w="40" w:type="dxa"/>
              <w:right w:w="20" w:type="dxa"/>
            </w:tcMar>
            <w:vAlign w:val="bottom"/>
          </w:tcPr>
          <w:p w14:paraId="26E9CCF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F6" w14:textId="77777777" w:rsidR="008A3BAC" w:rsidRDefault="005C75B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F7" w14:textId="77777777" w:rsidR="008A3BAC" w:rsidRDefault="005C75B9">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6E9CCF8"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F9" w14:textId="77777777" w:rsidR="008A3BAC" w:rsidRDefault="005C75B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FA" w14:textId="77777777" w:rsidR="008A3BAC" w:rsidRDefault="005C75B9">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8A3BAC" w14:paraId="26E9CD0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CFC"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CF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CFE" w14:textId="77777777" w:rsidR="008A3BAC" w:rsidRDefault="005C75B9">
            <w:pPr>
              <w:jc w:val="right"/>
              <w:textAlignment w:val="bottom"/>
            </w:pPr>
            <w:r>
              <w:rPr>
                <w:rFonts w:ascii="Arial" w:eastAsia="宋体" w:hAnsi="Arial" w:cs="Arial"/>
                <w:color w:val="000000"/>
                <w:sz w:val="17"/>
                <w:szCs w:val="17"/>
              </w:rPr>
              <w:t>10,871 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CFF"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D00"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D01"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D0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03"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D0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D05" w14:textId="77777777" w:rsidR="008A3BAC" w:rsidRDefault="005C75B9">
            <w:pPr>
              <w:jc w:val="right"/>
              <w:textAlignment w:val="bottom"/>
            </w:pPr>
            <w:r>
              <w:rPr>
                <w:rFonts w:ascii="Arial" w:eastAsia="宋体" w:hAnsi="Arial" w:cs="Arial"/>
                <w:color w:val="000000"/>
                <w:sz w:val="17"/>
                <w:szCs w:val="17"/>
              </w:rPr>
              <w:t>10,357 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D0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D0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D08"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D09" w14:textId="77777777" w:rsidR="008A3BAC" w:rsidRDefault="008A3BAC">
            <w:pPr>
              <w:jc w:val="right"/>
              <w:rPr>
                <w:rFonts w:ascii="宋体"/>
              </w:rPr>
            </w:pPr>
          </w:p>
        </w:tc>
      </w:tr>
      <w:tr w:rsidR="008A3BAC" w14:paraId="26E9CD1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0B" w14:textId="77777777" w:rsidR="008A3BAC" w:rsidRDefault="005C75B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0C" w14:textId="77777777" w:rsidR="008A3BAC" w:rsidRDefault="005C75B9">
            <w:pPr>
              <w:jc w:val="right"/>
              <w:textAlignment w:val="bottom"/>
            </w:pPr>
            <w:r>
              <w:rPr>
                <w:rFonts w:ascii="Arial" w:eastAsia="宋体" w:hAnsi="Arial" w:cs="Arial"/>
                <w:color w:val="000000"/>
                <w:sz w:val="17"/>
                <w:szCs w:val="17"/>
              </w:rPr>
              <w:t>5,804 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0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0E"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0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1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11" w14:textId="77777777" w:rsidR="008A3BAC" w:rsidRDefault="005C75B9">
            <w:pPr>
              <w:jc w:val="right"/>
              <w:textAlignment w:val="bottom"/>
            </w:pPr>
            <w:r>
              <w:rPr>
                <w:rFonts w:ascii="Arial" w:eastAsia="宋体" w:hAnsi="Arial" w:cs="Arial"/>
                <w:color w:val="000000"/>
                <w:sz w:val="17"/>
                <w:szCs w:val="17"/>
              </w:rPr>
              <w:t>5,638 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1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13" w14:textId="77777777" w:rsidR="008A3BAC" w:rsidRDefault="005C75B9">
            <w:pPr>
              <w:jc w:val="right"/>
              <w:textAlignment w:val="bottom"/>
            </w:pPr>
            <w:r>
              <w:rPr>
                <w:rFonts w:ascii="Arial" w:eastAsia="宋体" w:hAnsi="Arial" w:cs="Arial"/>
                <w:color w:val="000000"/>
                <w:sz w:val="17"/>
                <w:szCs w:val="17"/>
              </w:rPr>
              <w:t>(35)</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14" w14:textId="77777777" w:rsidR="008A3BAC" w:rsidRDefault="008A3BAC">
            <w:pPr>
              <w:jc w:val="right"/>
              <w:rPr>
                <w:rFonts w:ascii="宋体"/>
              </w:rPr>
            </w:pPr>
          </w:p>
        </w:tc>
      </w:tr>
      <w:tr w:rsidR="008A3BAC" w14:paraId="26E9CD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16" w14:textId="77777777" w:rsidR="008A3BAC" w:rsidRDefault="005C75B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17" w14:textId="77777777" w:rsidR="008A3BAC" w:rsidRDefault="005C75B9">
            <w:pPr>
              <w:jc w:val="right"/>
              <w:textAlignment w:val="bottom"/>
            </w:pPr>
            <w:r>
              <w:rPr>
                <w:rFonts w:ascii="Arial" w:eastAsia="宋体" w:hAnsi="Arial" w:cs="Arial"/>
                <w:color w:val="000000"/>
                <w:sz w:val="17"/>
                <w:szCs w:val="17"/>
              </w:rPr>
              <w:t>854 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1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1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1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1B"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1C" w14:textId="77777777" w:rsidR="008A3BAC" w:rsidRDefault="005C75B9">
            <w:pPr>
              <w:jc w:val="right"/>
              <w:textAlignment w:val="bottom"/>
            </w:pPr>
            <w:r>
              <w:rPr>
                <w:rFonts w:ascii="Arial" w:eastAsia="宋体" w:hAnsi="Arial" w:cs="Arial"/>
                <w:color w:val="000000"/>
                <w:sz w:val="17"/>
                <w:szCs w:val="17"/>
              </w:rPr>
              <w:t>711 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1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1E"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1F" w14:textId="77777777" w:rsidR="008A3BAC" w:rsidRDefault="008A3BAC">
            <w:pPr>
              <w:jc w:val="right"/>
              <w:rPr>
                <w:rFonts w:ascii="宋体"/>
              </w:rPr>
            </w:pPr>
          </w:p>
        </w:tc>
      </w:tr>
      <w:tr w:rsidR="008A3BAC" w14:paraId="26E9CD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21" w14:textId="77777777" w:rsidR="008A3BAC" w:rsidRDefault="005C75B9">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22" w14:textId="77777777" w:rsidR="008A3BAC" w:rsidRDefault="005C75B9">
            <w:pPr>
              <w:jc w:val="right"/>
              <w:textAlignment w:val="bottom"/>
            </w:pPr>
            <w:r>
              <w:rPr>
                <w:rFonts w:ascii="Arial" w:eastAsia="宋体" w:hAnsi="Arial" w:cs="Arial"/>
                <w:color w:val="000000"/>
                <w:sz w:val="17"/>
                <w:szCs w:val="17"/>
              </w:rPr>
              <w:t>(94)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2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24" w14:textId="77777777" w:rsidR="008A3BAC" w:rsidRDefault="005C75B9">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2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2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27"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2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29" w14:textId="77777777" w:rsidR="008A3BAC" w:rsidRDefault="005C75B9">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2A" w14:textId="77777777" w:rsidR="008A3BAC" w:rsidRDefault="008A3BAC">
            <w:pPr>
              <w:jc w:val="right"/>
              <w:rPr>
                <w:rFonts w:ascii="宋体"/>
              </w:rPr>
            </w:pPr>
          </w:p>
        </w:tc>
      </w:tr>
      <w:tr w:rsidR="008A3BAC" w14:paraId="26E9CD36"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D2C" w14:textId="77777777" w:rsidR="008A3BAC" w:rsidRDefault="005C75B9">
            <w:pPr>
              <w:textAlignment w:val="bottom"/>
            </w:pPr>
            <w:r>
              <w:rPr>
                <w:rFonts w:ascii="Arial" w:eastAsia="宋体" w:hAnsi="Arial" w:cs="Arial"/>
                <w:color w:val="000000"/>
                <w:sz w:val="17"/>
                <w:szCs w:val="17"/>
              </w:rPr>
              <w:t>Intere</w:t>
            </w:r>
            <w:r>
              <w:rPr>
                <w:rFonts w:ascii="Arial" w:eastAsia="宋体" w:hAnsi="Arial" w:cs="Arial"/>
                <w:color w:val="000000"/>
                <w:sz w:val="17"/>
                <w:szCs w:val="17"/>
              </w:rPr>
              <w:t>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D2D"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D2E"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D2F"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D30"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D31"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D32" w14:textId="77777777" w:rsidR="008A3BAC" w:rsidRDefault="005C75B9">
            <w:pPr>
              <w:jc w:val="right"/>
              <w:textAlignment w:val="bottom"/>
            </w:pPr>
            <w:r>
              <w:rPr>
                <w:rFonts w:ascii="Arial" w:eastAsia="宋体" w:hAnsi="Arial" w:cs="Arial"/>
                <w:color w:val="000000"/>
                <w:sz w:val="17"/>
                <w:szCs w:val="17"/>
              </w:rPr>
              <w:t>64 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D33"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D34"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D35" w14:textId="77777777" w:rsidR="008A3BAC" w:rsidRDefault="008A3BAC">
            <w:pPr>
              <w:jc w:val="right"/>
              <w:rPr>
                <w:rFonts w:ascii="宋体"/>
              </w:rPr>
            </w:pPr>
          </w:p>
        </w:tc>
      </w:tr>
    </w:tbl>
    <w:p w14:paraId="26E9CD37" w14:textId="77777777" w:rsidR="008A3BAC" w:rsidRDefault="005C75B9">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26E9CD38" w14:textId="77777777" w:rsidR="008A3BAC" w:rsidRDefault="005C75B9">
      <w:r>
        <w:pict w14:anchorId="26E9E855">
          <v:rect id="_x0000_i1040" style="width:415.3pt;height:1.5pt" o:hralign="center" o:hrstd="t" o:hr="t" fillcolor="#a0a0a0" stroked="f"/>
        </w:pict>
      </w:r>
    </w:p>
    <w:p w14:paraId="26E9CD39" w14:textId="77777777" w:rsidR="008A3BAC" w:rsidRDefault="008A3BAC"/>
    <w:p w14:paraId="26E9CD3A" w14:textId="77777777" w:rsidR="008A3BAC" w:rsidRDefault="005C75B9">
      <w:hyperlink r:id="rId85" w:anchor="i46aba51c6a804f42b3595948c57d2023_7" w:history="1">
        <w:r>
          <w:rPr>
            <w:rStyle w:val="a5"/>
            <w:rFonts w:ascii="sans-serif" w:eastAsia="sans-serif" w:hAnsi="sans-serif" w:cs="sans-serif"/>
            <w:sz w:val="17"/>
            <w:szCs w:val="17"/>
          </w:rPr>
          <w:t>Table of Contents</w:t>
        </w:r>
      </w:hyperlink>
    </w:p>
    <w:p w14:paraId="26E9CD3B" w14:textId="77777777" w:rsidR="008A3BAC" w:rsidRDefault="008A3BAC"/>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8A3BAC" w14:paraId="26E9CD4E" w14:textId="77777777">
        <w:tc>
          <w:tcPr>
            <w:tcW w:w="50" w:type="pct"/>
            <w:shd w:val="clear" w:color="auto" w:fill="auto"/>
            <w:vAlign w:val="bottom"/>
          </w:tcPr>
          <w:p w14:paraId="26E9CD3C" w14:textId="77777777" w:rsidR="008A3BAC" w:rsidRDefault="008A3BAC">
            <w:pPr>
              <w:rPr>
                <w:rFonts w:ascii="宋体"/>
              </w:rPr>
            </w:pPr>
          </w:p>
        </w:tc>
        <w:tc>
          <w:tcPr>
            <w:tcW w:w="2398" w:type="pct"/>
            <w:shd w:val="clear" w:color="auto" w:fill="auto"/>
            <w:vAlign w:val="bottom"/>
          </w:tcPr>
          <w:p w14:paraId="26E9CD3D" w14:textId="77777777" w:rsidR="008A3BAC" w:rsidRDefault="008A3BAC">
            <w:pPr>
              <w:rPr>
                <w:rFonts w:ascii="宋体"/>
              </w:rPr>
            </w:pPr>
          </w:p>
        </w:tc>
        <w:tc>
          <w:tcPr>
            <w:tcW w:w="5" w:type="pct"/>
            <w:shd w:val="clear" w:color="auto" w:fill="auto"/>
            <w:vAlign w:val="bottom"/>
          </w:tcPr>
          <w:p w14:paraId="26E9CD3E" w14:textId="77777777" w:rsidR="008A3BAC" w:rsidRDefault="008A3BAC">
            <w:pPr>
              <w:rPr>
                <w:rFonts w:ascii="宋体"/>
              </w:rPr>
            </w:pPr>
          </w:p>
        </w:tc>
        <w:tc>
          <w:tcPr>
            <w:tcW w:w="50" w:type="pct"/>
            <w:shd w:val="clear" w:color="auto" w:fill="auto"/>
            <w:vAlign w:val="bottom"/>
          </w:tcPr>
          <w:p w14:paraId="26E9CD3F" w14:textId="77777777" w:rsidR="008A3BAC" w:rsidRDefault="008A3BAC">
            <w:pPr>
              <w:rPr>
                <w:rFonts w:ascii="宋体"/>
              </w:rPr>
            </w:pPr>
          </w:p>
        </w:tc>
        <w:tc>
          <w:tcPr>
            <w:tcW w:w="571" w:type="pct"/>
            <w:shd w:val="clear" w:color="auto" w:fill="auto"/>
            <w:vAlign w:val="bottom"/>
          </w:tcPr>
          <w:p w14:paraId="26E9CD40" w14:textId="77777777" w:rsidR="008A3BAC" w:rsidRDefault="008A3BAC">
            <w:pPr>
              <w:rPr>
                <w:rFonts w:ascii="宋体"/>
              </w:rPr>
            </w:pPr>
          </w:p>
        </w:tc>
        <w:tc>
          <w:tcPr>
            <w:tcW w:w="5" w:type="pct"/>
            <w:shd w:val="clear" w:color="auto" w:fill="auto"/>
            <w:vAlign w:val="bottom"/>
          </w:tcPr>
          <w:p w14:paraId="26E9CD41" w14:textId="77777777" w:rsidR="008A3BAC" w:rsidRDefault="008A3BAC">
            <w:pPr>
              <w:rPr>
                <w:rFonts w:ascii="宋体"/>
              </w:rPr>
            </w:pPr>
          </w:p>
        </w:tc>
        <w:tc>
          <w:tcPr>
            <w:tcW w:w="50" w:type="pct"/>
            <w:shd w:val="clear" w:color="auto" w:fill="auto"/>
            <w:vAlign w:val="bottom"/>
          </w:tcPr>
          <w:p w14:paraId="26E9CD42" w14:textId="77777777" w:rsidR="008A3BAC" w:rsidRDefault="008A3BAC">
            <w:pPr>
              <w:rPr>
                <w:rFonts w:ascii="宋体"/>
              </w:rPr>
            </w:pPr>
          </w:p>
        </w:tc>
        <w:tc>
          <w:tcPr>
            <w:tcW w:w="571" w:type="pct"/>
            <w:shd w:val="clear" w:color="auto" w:fill="auto"/>
            <w:vAlign w:val="bottom"/>
          </w:tcPr>
          <w:p w14:paraId="26E9CD43" w14:textId="77777777" w:rsidR="008A3BAC" w:rsidRDefault="008A3BAC">
            <w:pPr>
              <w:rPr>
                <w:rFonts w:ascii="宋体"/>
              </w:rPr>
            </w:pPr>
          </w:p>
        </w:tc>
        <w:tc>
          <w:tcPr>
            <w:tcW w:w="5" w:type="pct"/>
            <w:shd w:val="clear" w:color="auto" w:fill="auto"/>
            <w:vAlign w:val="bottom"/>
          </w:tcPr>
          <w:p w14:paraId="26E9CD44" w14:textId="77777777" w:rsidR="008A3BAC" w:rsidRDefault="008A3BAC">
            <w:pPr>
              <w:rPr>
                <w:rFonts w:ascii="宋体"/>
              </w:rPr>
            </w:pPr>
          </w:p>
        </w:tc>
        <w:tc>
          <w:tcPr>
            <w:tcW w:w="5" w:type="pct"/>
            <w:shd w:val="clear" w:color="auto" w:fill="auto"/>
            <w:vAlign w:val="bottom"/>
          </w:tcPr>
          <w:p w14:paraId="26E9CD45" w14:textId="77777777" w:rsidR="008A3BAC" w:rsidRDefault="008A3BAC">
            <w:pPr>
              <w:rPr>
                <w:rFonts w:ascii="宋体"/>
              </w:rPr>
            </w:pPr>
          </w:p>
        </w:tc>
        <w:tc>
          <w:tcPr>
            <w:tcW w:w="28" w:type="pct"/>
            <w:shd w:val="clear" w:color="auto" w:fill="auto"/>
            <w:vAlign w:val="bottom"/>
          </w:tcPr>
          <w:p w14:paraId="26E9CD46" w14:textId="77777777" w:rsidR="008A3BAC" w:rsidRDefault="008A3BAC">
            <w:pPr>
              <w:rPr>
                <w:rFonts w:ascii="宋体"/>
              </w:rPr>
            </w:pPr>
          </w:p>
        </w:tc>
        <w:tc>
          <w:tcPr>
            <w:tcW w:w="5" w:type="pct"/>
            <w:shd w:val="clear" w:color="auto" w:fill="auto"/>
            <w:vAlign w:val="bottom"/>
          </w:tcPr>
          <w:p w14:paraId="26E9CD47" w14:textId="77777777" w:rsidR="008A3BAC" w:rsidRDefault="008A3BAC">
            <w:pPr>
              <w:rPr>
                <w:rFonts w:ascii="宋体"/>
              </w:rPr>
            </w:pPr>
          </w:p>
        </w:tc>
        <w:tc>
          <w:tcPr>
            <w:tcW w:w="50" w:type="pct"/>
            <w:shd w:val="clear" w:color="auto" w:fill="auto"/>
            <w:vAlign w:val="bottom"/>
          </w:tcPr>
          <w:p w14:paraId="26E9CD48" w14:textId="77777777" w:rsidR="008A3BAC" w:rsidRDefault="008A3BAC">
            <w:pPr>
              <w:rPr>
                <w:rFonts w:ascii="宋体"/>
              </w:rPr>
            </w:pPr>
          </w:p>
        </w:tc>
        <w:tc>
          <w:tcPr>
            <w:tcW w:w="571" w:type="pct"/>
            <w:shd w:val="clear" w:color="auto" w:fill="auto"/>
            <w:vAlign w:val="bottom"/>
          </w:tcPr>
          <w:p w14:paraId="26E9CD49" w14:textId="77777777" w:rsidR="008A3BAC" w:rsidRDefault="008A3BAC">
            <w:pPr>
              <w:rPr>
                <w:rFonts w:ascii="宋体"/>
              </w:rPr>
            </w:pPr>
          </w:p>
        </w:tc>
        <w:tc>
          <w:tcPr>
            <w:tcW w:w="5" w:type="pct"/>
            <w:shd w:val="clear" w:color="auto" w:fill="auto"/>
            <w:vAlign w:val="bottom"/>
          </w:tcPr>
          <w:p w14:paraId="26E9CD4A" w14:textId="77777777" w:rsidR="008A3BAC" w:rsidRDefault="008A3BAC">
            <w:pPr>
              <w:rPr>
                <w:rFonts w:ascii="宋体"/>
              </w:rPr>
            </w:pPr>
          </w:p>
        </w:tc>
        <w:tc>
          <w:tcPr>
            <w:tcW w:w="50" w:type="pct"/>
            <w:shd w:val="clear" w:color="auto" w:fill="auto"/>
            <w:vAlign w:val="bottom"/>
          </w:tcPr>
          <w:p w14:paraId="26E9CD4B" w14:textId="77777777" w:rsidR="008A3BAC" w:rsidRDefault="008A3BAC">
            <w:pPr>
              <w:rPr>
                <w:rFonts w:ascii="宋体"/>
              </w:rPr>
            </w:pPr>
          </w:p>
        </w:tc>
        <w:tc>
          <w:tcPr>
            <w:tcW w:w="572" w:type="pct"/>
            <w:shd w:val="clear" w:color="auto" w:fill="auto"/>
            <w:vAlign w:val="bottom"/>
          </w:tcPr>
          <w:p w14:paraId="26E9CD4C" w14:textId="77777777" w:rsidR="008A3BAC" w:rsidRDefault="008A3BAC">
            <w:pPr>
              <w:rPr>
                <w:rFonts w:ascii="宋体"/>
              </w:rPr>
            </w:pPr>
          </w:p>
        </w:tc>
        <w:tc>
          <w:tcPr>
            <w:tcW w:w="5" w:type="pct"/>
            <w:shd w:val="clear" w:color="auto" w:fill="auto"/>
            <w:vAlign w:val="bottom"/>
          </w:tcPr>
          <w:p w14:paraId="26E9CD4D" w14:textId="77777777" w:rsidR="008A3BAC" w:rsidRDefault="008A3BAC">
            <w:pPr>
              <w:rPr>
                <w:rFonts w:ascii="宋体"/>
              </w:rPr>
            </w:pPr>
          </w:p>
        </w:tc>
      </w:tr>
      <w:tr w:rsidR="008A3BAC" w14:paraId="26E9CD51" w14:textId="77777777">
        <w:tc>
          <w:tcPr>
            <w:tcW w:w="0" w:type="auto"/>
            <w:gridSpan w:val="3"/>
            <w:shd w:val="clear" w:color="auto" w:fill="auto"/>
            <w:tcMar>
              <w:top w:w="0" w:type="dxa"/>
              <w:left w:w="20" w:type="dxa"/>
              <w:bottom w:w="0" w:type="dxa"/>
              <w:right w:w="20" w:type="dxa"/>
            </w:tcMar>
            <w:vAlign w:val="bottom"/>
          </w:tcPr>
          <w:p w14:paraId="26E9CD4F"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D50"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D56" w14:textId="77777777">
        <w:tc>
          <w:tcPr>
            <w:tcW w:w="0" w:type="auto"/>
            <w:gridSpan w:val="3"/>
            <w:shd w:val="clear" w:color="auto" w:fill="auto"/>
            <w:tcMar>
              <w:top w:w="0" w:type="dxa"/>
              <w:left w:w="20" w:type="dxa"/>
              <w:bottom w:w="0" w:type="dxa"/>
              <w:right w:w="20" w:type="dxa"/>
            </w:tcMar>
            <w:vAlign w:val="bottom"/>
          </w:tcPr>
          <w:p w14:paraId="26E9CD52"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D53"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54"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D55"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D5D" w14:textId="77777777">
        <w:tc>
          <w:tcPr>
            <w:tcW w:w="0" w:type="auto"/>
            <w:gridSpan w:val="3"/>
            <w:shd w:val="clear" w:color="auto" w:fill="auto"/>
            <w:tcMar>
              <w:top w:w="40" w:type="dxa"/>
              <w:left w:w="20" w:type="dxa"/>
              <w:bottom w:w="40" w:type="dxa"/>
              <w:right w:w="20" w:type="dxa"/>
            </w:tcMar>
            <w:vAlign w:val="bottom"/>
          </w:tcPr>
          <w:p w14:paraId="26E9CD57"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58" w14:textId="77777777" w:rsidR="008A3BAC" w:rsidRDefault="005C75B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59" w14:textId="77777777" w:rsidR="008A3BAC" w:rsidRDefault="005C75B9">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6E9CD5A"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5B" w14:textId="77777777" w:rsidR="008A3BAC" w:rsidRDefault="005C75B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5C" w14:textId="77777777" w:rsidR="008A3BAC" w:rsidRDefault="005C75B9">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8A3BAC" w14:paraId="26E9CD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5E"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CD5F"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D60" w14:textId="77777777" w:rsidR="008A3BAC" w:rsidRDefault="005C75B9">
            <w:pPr>
              <w:jc w:val="right"/>
              <w:textAlignment w:val="bottom"/>
            </w:pPr>
            <w:r>
              <w:rPr>
                <w:rFonts w:ascii="Arial" w:eastAsia="宋体" w:hAnsi="Arial" w:cs="Arial"/>
                <w:color w:val="000000"/>
                <w:sz w:val="17"/>
                <w:szCs w:val="17"/>
              </w:rPr>
              <w:t>34,476 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D61"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CD62"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CD63" w14:textId="77777777" w:rsidR="008A3BAC" w:rsidRDefault="005C75B9">
            <w:pPr>
              <w:jc w:val="right"/>
              <w:textAlignment w:val="bottom"/>
            </w:pPr>
            <w:r>
              <w:rPr>
                <w:rFonts w:ascii="Arial" w:eastAsia="宋体" w:hAnsi="Arial" w:cs="Arial"/>
                <w:color w:val="000000"/>
                <w:sz w:val="17"/>
                <w:szCs w:val="17"/>
              </w:rPr>
              <w:t>(63)</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D64"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65"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D66"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D67" w14:textId="77777777" w:rsidR="008A3BAC" w:rsidRDefault="005C75B9">
            <w:pPr>
              <w:jc w:val="right"/>
              <w:textAlignment w:val="bottom"/>
            </w:pPr>
            <w:r>
              <w:rPr>
                <w:rFonts w:ascii="Arial" w:eastAsia="宋体" w:hAnsi="Arial" w:cs="Arial"/>
                <w:color w:val="000000"/>
                <w:sz w:val="17"/>
                <w:szCs w:val="17"/>
              </w:rPr>
              <w:t>32,194 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D6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D69"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D6A"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D6B" w14:textId="77777777" w:rsidR="008A3BAC" w:rsidRDefault="008A3BAC">
            <w:pPr>
              <w:jc w:val="right"/>
              <w:rPr>
                <w:rFonts w:ascii="宋体"/>
              </w:rPr>
            </w:pPr>
          </w:p>
        </w:tc>
      </w:tr>
      <w:tr w:rsidR="008A3BAC" w14:paraId="26E9CD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6D" w14:textId="77777777" w:rsidR="008A3BAC" w:rsidRDefault="005C75B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6E" w14:textId="77777777" w:rsidR="008A3BAC" w:rsidRDefault="005C75B9">
            <w:pPr>
              <w:jc w:val="right"/>
              <w:textAlignment w:val="bottom"/>
            </w:pPr>
            <w:r>
              <w:rPr>
                <w:rFonts w:ascii="Arial" w:eastAsia="宋体" w:hAnsi="Arial" w:cs="Arial"/>
                <w:color w:val="000000"/>
                <w:sz w:val="17"/>
                <w:szCs w:val="17"/>
              </w:rPr>
              <w:t>18,500 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6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70" w14:textId="77777777" w:rsidR="008A3BAC" w:rsidRDefault="005C75B9">
            <w:pPr>
              <w:jc w:val="right"/>
              <w:textAlignment w:val="bottom"/>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71"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72"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73" w14:textId="77777777" w:rsidR="008A3BAC" w:rsidRDefault="005C75B9">
            <w:pPr>
              <w:jc w:val="right"/>
              <w:textAlignment w:val="bottom"/>
            </w:pPr>
            <w:r>
              <w:rPr>
                <w:rFonts w:ascii="Arial" w:eastAsia="宋体" w:hAnsi="Arial" w:cs="Arial"/>
                <w:color w:val="000000"/>
                <w:sz w:val="17"/>
                <w:szCs w:val="17"/>
              </w:rPr>
              <w:t>17,887 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7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75" w14:textId="77777777" w:rsidR="008A3BAC" w:rsidRDefault="005C75B9">
            <w:pPr>
              <w:jc w:val="right"/>
              <w:textAlignment w:val="bottom"/>
            </w:pPr>
            <w:r>
              <w:rPr>
                <w:rFonts w:ascii="Arial" w:eastAsia="宋体" w:hAnsi="Arial" w:cs="Arial"/>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76" w14:textId="77777777" w:rsidR="008A3BAC" w:rsidRDefault="008A3BAC">
            <w:pPr>
              <w:jc w:val="right"/>
              <w:rPr>
                <w:rFonts w:ascii="宋体"/>
              </w:rPr>
            </w:pPr>
          </w:p>
        </w:tc>
      </w:tr>
      <w:tr w:rsidR="008A3BAC" w14:paraId="26E9CD8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78" w14:textId="77777777" w:rsidR="008A3BAC" w:rsidRDefault="005C75B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79" w14:textId="77777777" w:rsidR="008A3BAC" w:rsidRDefault="005C75B9">
            <w:pPr>
              <w:jc w:val="right"/>
              <w:textAlignment w:val="bottom"/>
            </w:pPr>
            <w:r>
              <w:rPr>
                <w:rFonts w:ascii="Arial" w:eastAsia="宋体" w:hAnsi="Arial" w:cs="Arial"/>
                <w:color w:val="000000"/>
                <w:sz w:val="17"/>
                <w:szCs w:val="17"/>
              </w:rPr>
              <w:t>2,789 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7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7B"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7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7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7E" w14:textId="77777777" w:rsidR="008A3BAC" w:rsidRDefault="005C75B9">
            <w:pPr>
              <w:jc w:val="right"/>
              <w:textAlignment w:val="bottom"/>
            </w:pPr>
            <w:r>
              <w:rPr>
                <w:rFonts w:ascii="Arial" w:eastAsia="宋体" w:hAnsi="Arial" w:cs="Arial"/>
                <w:color w:val="000000"/>
                <w:sz w:val="17"/>
                <w:szCs w:val="17"/>
              </w:rPr>
              <w:t>2,117 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7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80"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81" w14:textId="77777777" w:rsidR="008A3BAC" w:rsidRDefault="008A3BAC">
            <w:pPr>
              <w:jc w:val="right"/>
              <w:rPr>
                <w:rFonts w:ascii="宋体"/>
              </w:rPr>
            </w:pPr>
          </w:p>
        </w:tc>
      </w:tr>
      <w:tr w:rsidR="008A3BAC" w14:paraId="26E9CD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83" w14:textId="77777777" w:rsidR="008A3BAC" w:rsidRDefault="005C75B9">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84" w14:textId="77777777" w:rsidR="008A3BAC" w:rsidRDefault="005C75B9">
            <w:pPr>
              <w:jc w:val="right"/>
              <w:textAlignment w:val="bottom"/>
            </w:pPr>
            <w:r>
              <w:rPr>
                <w:rFonts w:ascii="Arial" w:eastAsia="宋体" w:hAnsi="Arial" w:cs="Arial"/>
                <w:color w:val="000000"/>
                <w:sz w:val="17"/>
                <w:szCs w:val="17"/>
              </w:rPr>
              <w:t>(235)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8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86"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8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88"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89"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8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8B" w14:textId="77777777" w:rsidR="008A3BAC" w:rsidRDefault="005C75B9">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8C" w14:textId="77777777" w:rsidR="008A3BAC" w:rsidRDefault="008A3BAC">
            <w:pPr>
              <w:jc w:val="right"/>
              <w:rPr>
                <w:rFonts w:ascii="宋体"/>
              </w:rPr>
            </w:pPr>
          </w:p>
        </w:tc>
      </w:tr>
      <w:tr w:rsidR="008A3BAC" w14:paraId="26E9CD9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D8E" w14:textId="77777777" w:rsidR="008A3BAC" w:rsidRDefault="005C75B9">
            <w:pPr>
              <w:textAlignment w:val="bottom"/>
            </w:pPr>
            <w:r>
              <w:rPr>
                <w:rFonts w:ascii="Arial" w:eastAsia="宋体" w:hAnsi="Arial" w:cs="Arial"/>
                <w:color w:val="000000"/>
                <w:sz w:val="17"/>
                <w:szCs w:val="17"/>
              </w:rPr>
              <w:t>Intere</w:t>
            </w:r>
            <w:r>
              <w:rPr>
                <w:rFonts w:ascii="Arial" w:eastAsia="宋体" w:hAnsi="Arial" w:cs="Arial"/>
                <w:color w:val="000000"/>
                <w:sz w:val="17"/>
                <w:szCs w:val="17"/>
              </w:rPr>
              <w:t>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D8F" w14:textId="77777777" w:rsidR="008A3BAC" w:rsidRDefault="005C75B9">
            <w:pPr>
              <w:jc w:val="right"/>
              <w:textAlignment w:val="bottom"/>
            </w:pPr>
            <w:r>
              <w:rPr>
                <w:rFonts w:ascii="Arial" w:eastAsia="宋体" w:hAnsi="Arial" w:cs="Arial"/>
                <w:color w:val="000000"/>
                <w:sz w:val="17"/>
                <w:szCs w:val="17"/>
              </w:rPr>
              <w:t>165 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D90"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D91"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D92"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D93"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D94" w14:textId="77777777" w:rsidR="008A3BAC" w:rsidRDefault="005C75B9">
            <w:pPr>
              <w:jc w:val="right"/>
              <w:textAlignment w:val="bottom"/>
            </w:pPr>
            <w:r>
              <w:rPr>
                <w:rFonts w:ascii="Arial" w:eastAsia="宋体" w:hAnsi="Arial" w:cs="Arial"/>
                <w:color w:val="000000"/>
                <w:sz w:val="17"/>
                <w:szCs w:val="17"/>
              </w:rPr>
              <w:t>199 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D95"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D96"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D97" w14:textId="77777777" w:rsidR="008A3BAC" w:rsidRDefault="008A3BAC">
            <w:pPr>
              <w:jc w:val="right"/>
              <w:rPr>
                <w:rFonts w:ascii="宋体"/>
              </w:rPr>
            </w:pPr>
          </w:p>
        </w:tc>
      </w:tr>
    </w:tbl>
    <w:p w14:paraId="26E9CD99" w14:textId="77777777" w:rsidR="008A3BAC" w:rsidRDefault="005C75B9">
      <w:pPr>
        <w:spacing w:before="120" w:after="120"/>
      </w:pPr>
      <w:r>
        <w:rPr>
          <w:rFonts w:ascii="Arial" w:eastAsia="宋体" w:hAnsi="Arial" w:cs="Arial"/>
          <w:color w:val="000000"/>
          <w:sz w:val="17"/>
          <w:szCs w:val="17"/>
        </w:rPr>
        <w:t>The following tables present the amounts affecting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8A3BAC" w14:paraId="26E9CDB2" w14:textId="77777777">
        <w:tc>
          <w:tcPr>
            <w:tcW w:w="50" w:type="pct"/>
            <w:shd w:val="clear" w:color="auto" w:fill="auto"/>
            <w:vAlign w:val="bottom"/>
          </w:tcPr>
          <w:p w14:paraId="26E9CD9A" w14:textId="77777777" w:rsidR="008A3BAC" w:rsidRDefault="008A3BAC">
            <w:pPr>
              <w:rPr>
                <w:rFonts w:ascii="宋体"/>
              </w:rPr>
            </w:pPr>
          </w:p>
        </w:tc>
        <w:tc>
          <w:tcPr>
            <w:tcW w:w="1210" w:type="pct"/>
            <w:shd w:val="clear" w:color="auto" w:fill="auto"/>
            <w:vAlign w:val="bottom"/>
          </w:tcPr>
          <w:p w14:paraId="26E9CD9B" w14:textId="77777777" w:rsidR="008A3BAC" w:rsidRDefault="008A3BAC">
            <w:pPr>
              <w:rPr>
                <w:rFonts w:ascii="宋体"/>
              </w:rPr>
            </w:pPr>
          </w:p>
        </w:tc>
        <w:tc>
          <w:tcPr>
            <w:tcW w:w="5" w:type="pct"/>
            <w:shd w:val="clear" w:color="auto" w:fill="auto"/>
            <w:vAlign w:val="bottom"/>
          </w:tcPr>
          <w:p w14:paraId="26E9CD9C" w14:textId="77777777" w:rsidR="008A3BAC" w:rsidRDefault="008A3BAC">
            <w:pPr>
              <w:rPr>
                <w:rFonts w:ascii="宋体"/>
              </w:rPr>
            </w:pPr>
          </w:p>
        </w:tc>
        <w:tc>
          <w:tcPr>
            <w:tcW w:w="50" w:type="pct"/>
            <w:shd w:val="clear" w:color="auto" w:fill="auto"/>
            <w:vAlign w:val="bottom"/>
          </w:tcPr>
          <w:p w14:paraId="26E9CD9D" w14:textId="77777777" w:rsidR="008A3BAC" w:rsidRDefault="008A3BAC">
            <w:pPr>
              <w:rPr>
                <w:rFonts w:ascii="宋体"/>
              </w:rPr>
            </w:pPr>
          </w:p>
        </w:tc>
        <w:tc>
          <w:tcPr>
            <w:tcW w:w="492" w:type="pct"/>
            <w:shd w:val="clear" w:color="auto" w:fill="auto"/>
            <w:vAlign w:val="bottom"/>
          </w:tcPr>
          <w:p w14:paraId="26E9CD9E" w14:textId="77777777" w:rsidR="008A3BAC" w:rsidRDefault="008A3BAC">
            <w:pPr>
              <w:rPr>
                <w:rFonts w:ascii="宋体"/>
              </w:rPr>
            </w:pPr>
          </w:p>
        </w:tc>
        <w:tc>
          <w:tcPr>
            <w:tcW w:w="5" w:type="pct"/>
            <w:shd w:val="clear" w:color="auto" w:fill="auto"/>
            <w:vAlign w:val="bottom"/>
          </w:tcPr>
          <w:p w14:paraId="26E9CD9F" w14:textId="77777777" w:rsidR="008A3BAC" w:rsidRDefault="008A3BAC">
            <w:pPr>
              <w:rPr>
                <w:rFonts w:ascii="宋体"/>
              </w:rPr>
            </w:pPr>
          </w:p>
        </w:tc>
        <w:tc>
          <w:tcPr>
            <w:tcW w:w="50" w:type="pct"/>
            <w:shd w:val="clear" w:color="auto" w:fill="auto"/>
            <w:vAlign w:val="bottom"/>
          </w:tcPr>
          <w:p w14:paraId="26E9CDA0" w14:textId="77777777" w:rsidR="008A3BAC" w:rsidRDefault="008A3BAC">
            <w:pPr>
              <w:rPr>
                <w:rFonts w:ascii="宋体"/>
              </w:rPr>
            </w:pPr>
          </w:p>
        </w:tc>
        <w:tc>
          <w:tcPr>
            <w:tcW w:w="492" w:type="pct"/>
            <w:shd w:val="clear" w:color="auto" w:fill="auto"/>
            <w:vAlign w:val="bottom"/>
          </w:tcPr>
          <w:p w14:paraId="26E9CDA1" w14:textId="77777777" w:rsidR="008A3BAC" w:rsidRDefault="008A3BAC">
            <w:pPr>
              <w:rPr>
                <w:rFonts w:ascii="宋体"/>
              </w:rPr>
            </w:pPr>
          </w:p>
        </w:tc>
        <w:tc>
          <w:tcPr>
            <w:tcW w:w="5" w:type="pct"/>
            <w:shd w:val="clear" w:color="auto" w:fill="auto"/>
            <w:vAlign w:val="bottom"/>
          </w:tcPr>
          <w:p w14:paraId="26E9CDA2" w14:textId="77777777" w:rsidR="008A3BAC" w:rsidRDefault="008A3BAC">
            <w:pPr>
              <w:rPr>
                <w:rFonts w:ascii="宋体"/>
              </w:rPr>
            </w:pPr>
          </w:p>
        </w:tc>
        <w:tc>
          <w:tcPr>
            <w:tcW w:w="5" w:type="pct"/>
            <w:shd w:val="clear" w:color="auto" w:fill="auto"/>
            <w:vAlign w:val="bottom"/>
          </w:tcPr>
          <w:p w14:paraId="26E9CDA3" w14:textId="77777777" w:rsidR="008A3BAC" w:rsidRDefault="008A3BAC">
            <w:pPr>
              <w:rPr>
                <w:rFonts w:ascii="宋体"/>
              </w:rPr>
            </w:pPr>
          </w:p>
        </w:tc>
        <w:tc>
          <w:tcPr>
            <w:tcW w:w="28" w:type="pct"/>
            <w:shd w:val="clear" w:color="auto" w:fill="auto"/>
            <w:vAlign w:val="bottom"/>
          </w:tcPr>
          <w:p w14:paraId="26E9CDA4" w14:textId="77777777" w:rsidR="008A3BAC" w:rsidRDefault="008A3BAC">
            <w:pPr>
              <w:rPr>
                <w:rFonts w:ascii="宋体"/>
              </w:rPr>
            </w:pPr>
          </w:p>
        </w:tc>
        <w:tc>
          <w:tcPr>
            <w:tcW w:w="5" w:type="pct"/>
            <w:shd w:val="clear" w:color="auto" w:fill="auto"/>
            <w:vAlign w:val="bottom"/>
          </w:tcPr>
          <w:p w14:paraId="26E9CDA5" w14:textId="77777777" w:rsidR="008A3BAC" w:rsidRDefault="008A3BAC">
            <w:pPr>
              <w:rPr>
                <w:rFonts w:ascii="宋体"/>
              </w:rPr>
            </w:pPr>
          </w:p>
        </w:tc>
        <w:tc>
          <w:tcPr>
            <w:tcW w:w="50" w:type="pct"/>
            <w:shd w:val="clear" w:color="auto" w:fill="auto"/>
            <w:vAlign w:val="bottom"/>
          </w:tcPr>
          <w:p w14:paraId="26E9CDA6" w14:textId="77777777" w:rsidR="008A3BAC" w:rsidRDefault="008A3BAC">
            <w:pPr>
              <w:rPr>
                <w:rFonts w:ascii="宋体"/>
              </w:rPr>
            </w:pPr>
          </w:p>
        </w:tc>
        <w:tc>
          <w:tcPr>
            <w:tcW w:w="1411" w:type="pct"/>
            <w:shd w:val="clear" w:color="auto" w:fill="auto"/>
            <w:vAlign w:val="bottom"/>
          </w:tcPr>
          <w:p w14:paraId="26E9CDA7" w14:textId="77777777" w:rsidR="008A3BAC" w:rsidRDefault="008A3BAC">
            <w:pPr>
              <w:rPr>
                <w:rFonts w:ascii="宋体"/>
              </w:rPr>
            </w:pPr>
          </w:p>
        </w:tc>
        <w:tc>
          <w:tcPr>
            <w:tcW w:w="5" w:type="pct"/>
            <w:shd w:val="clear" w:color="auto" w:fill="auto"/>
            <w:vAlign w:val="bottom"/>
          </w:tcPr>
          <w:p w14:paraId="26E9CDA8" w14:textId="77777777" w:rsidR="008A3BAC" w:rsidRDefault="008A3BAC">
            <w:pPr>
              <w:rPr>
                <w:rFonts w:ascii="宋体"/>
              </w:rPr>
            </w:pPr>
          </w:p>
        </w:tc>
        <w:tc>
          <w:tcPr>
            <w:tcW w:w="5" w:type="pct"/>
            <w:shd w:val="clear" w:color="auto" w:fill="auto"/>
            <w:vAlign w:val="bottom"/>
          </w:tcPr>
          <w:p w14:paraId="26E9CDA9" w14:textId="77777777" w:rsidR="008A3BAC" w:rsidRDefault="008A3BAC">
            <w:pPr>
              <w:rPr>
                <w:rFonts w:ascii="宋体"/>
              </w:rPr>
            </w:pPr>
          </w:p>
        </w:tc>
        <w:tc>
          <w:tcPr>
            <w:tcW w:w="28" w:type="pct"/>
            <w:shd w:val="clear" w:color="auto" w:fill="auto"/>
            <w:vAlign w:val="bottom"/>
          </w:tcPr>
          <w:p w14:paraId="26E9CDAA" w14:textId="77777777" w:rsidR="008A3BAC" w:rsidRDefault="008A3BAC">
            <w:pPr>
              <w:rPr>
                <w:rFonts w:ascii="宋体"/>
              </w:rPr>
            </w:pPr>
          </w:p>
        </w:tc>
        <w:tc>
          <w:tcPr>
            <w:tcW w:w="5" w:type="pct"/>
            <w:shd w:val="clear" w:color="auto" w:fill="auto"/>
            <w:vAlign w:val="bottom"/>
          </w:tcPr>
          <w:p w14:paraId="26E9CDAB" w14:textId="77777777" w:rsidR="008A3BAC" w:rsidRDefault="008A3BAC">
            <w:pPr>
              <w:rPr>
                <w:rFonts w:ascii="宋体"/>
              </w:rPr>
            </w:pPr>
          </w:p>
        </w:tc>
        <w:tc>
          <w:tcPr>
            <w:tcW w:w="50" w:type="pct"/>
            <w:shd w:val="clear" w:color="auto" w:fill="auto"/>
            <w:vAlign w:val="bottom"/>
          </w:tcPr>
          <w:p w14:paraId="26E9CDAC" w14:textId="77777777" w:rsidR="008A3BAC" w:rsidRDefault="008A3BAC">
            <w:pPr>
              <w:rPr>
                <w:rFonts w:ascii="宋体"/>
              </w:rPr>
            </w:pPr>
          </w:p>
        </w:tc>
        <w:tc>
          <w:tcPr>
            <w:tcW w:w="492" w:type="pct"/>
            <w:shd w:val="clear" w:color="auto" w:fill="auto"/>
            <w:vAlign w:val="bottom"/>
          </w:tcPr>
          <w:p w14:paraId="26E9CDAD" w14:textId="77777777" w:rsidR="008A3BAC" w:rsidRDefault="008A3BAC">
            <w:pPr>
              <w:rPr>
                <w:rFonts w:ascii="宋体"/>
              </w:rPr>
            </w:pPr>
          </w:p>
        </w:tc>
        <w:tc>
          <w:tcPr>
            <w:tcW w:w="5" w:type="pct"/>
            <w:shd w:val="clear" w:color="auto" w:fill="auto"/>
            <w:vAlign w:val="bottom"/>
          </w:tcPr>
          <w:p w14:paraId="26E9CDAE" w14:textId="77777777" w:rsidR="008A3BAC" w:rsidRDefault="008A3BAC">
            <w:pPr>
              <w:rPr>
                <w:rFonts w:ascii="宋体"/>
              </w:rPr>
            </w:pPr>
          </w:p>
        </w:tc>
        <w:tc>
          <w:tcPr>
            <w:tcW w:w="50" w:type="pct"/>
            <w:shd w:val="clear" w:color="auto" w:fill="auto"/>
            <w:vAlign w:val="bottom"/>
          </w:tcPr>
          <w:p w14:paraId="26E9CDAF" w14:textId="77777777" w:rsidR="008A3BAC" w:rsidRDefault="008A3BAC">
            <w:pPr>
              <w:rPr>
                <w:rFonts w:ascii="宋体"/>
              </w:rPr>
            </w:pPr>
          </w:p>
        </w:tc>
        <w:tc>
          <w:tcPr>
            <w:tcW w:w="493" w:type="pct"/>
            <w:shd w:val="clear" w:color="auto" w:fill="auto"/>
            <w:vAlign w:val="bottom"/>
          </w:tcPr>
          <w:p w14:paraId="26E9CDB0" w14:textId="77777777" w:rsidR="008A3BAC" w:rsidRDefault="008A3BAC">
            <w:pPr>
              <w:rPr>
                <w:rFonts w:ascii="宋体"/>
              </w:rPr>
            </w:pPr>
          </w:p>
        </w:tc>
        <w:tc>
          <w:tcPr>
            <w:tcW w:w="5" w:type="pct"/>
            <w:shd w:val="clear" w:color="auto" w:fill="auto"/>
            <w:vAlign w:val="bottom"/>
          </w:tcPr>
          <w:p w14:paraId="26E9CDB1" w14:textId="77777777" w:rsidR="008A3BAC" w:rsidRDefault="008A3BAC">
            <w:pPr>
              <w:rPr>
                <w:rFonts w:ascii="宋体"/>
              </w:rPr>
            </w:pPr>
          </w:p>
        </w:tc>
      </w:tr>
      <w:tr w:rsidR="008A3BAC" w14:paraId="26E9CDBB"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6E9CDB3" w14:textId="77777777" w:rsidR="008A3BAC" w:rsidRDefault="008A3BAC">
            <w:pPr>
              <w:textAlignment w:val="bottom"/>
            </w:pPr>
          </w:p>
          <w:p w14:paraId="26E9CDB4"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6E9CDB5" w14:textId="77777777" w:rsidR="008A3BAC" w:rsidRDefault="005C75B9">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6E9CDB6" w14:textId="77777777" w:rsidR="008A3BAC" w:rsidRDefault="008A3BAC">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6E9CDB7" w14:textId="77777777" w:rsidR="008A3BAC" w:rsidRDefault="005C75B9">
            <w:pPr>
              <w:jc w:val="center"/>
              <w:textAlignment w:val="bottom"/>
            </w:pPr>
            <w:r>
              <w:rPr>
                <w:rFonts w:ascii="sans-serif" w:eastAsia="sans-serif" w:hAnsi="sans-serif" w:cs="sans-serif"/>
                <w:b/>
                <w:bCs/>
                <w:color w:val="000000"/>
                <w:sz w:val="17"/>
                <w:szCs w:val="17"/>
              </w:rPr>
              <w:t xml:space="preserve">AMOUNT OF GAIN (LOSS) </w:t>
            </w:r>
          </w:p>
          <w:p w14:paraId="26E9CDB8" w14:textId="77777777" w:rsidR="008A3BAC" w:rsidRDefault="005C75B9">
            <w:pPr>
              <w:jc w:val="center"/>
              <w:textAlignment w:val="bottom"/>
            </w:pPr>
            <w:r>
              <w:rPr>
                <w:rFonts w:ascii="sans-serif" w:eastAsia="sans-serif" w:hAnsi="sans-serif" w:cs="sans-serif"/>
                <w:b/>
                <w:bCs/>
                <w:color w:val="000000"/>
                <w:sz w:val="17"/>
                <w:szCs w:val="17"/>
              </w:rPr>
              <w:t xml:space="preserve">RECLASSIFIED FROM ACCUMULATED </w:t>
            </w:r>
          </w:p>
          <w:p w14:paraId="26E9CDB9" w14:textId="77777777" w:rsidR="008A3BAC" w:rsidRDefault="005C75B9">
            <w:pPr>
              <w:jc w:val="center"/>
              <w:textAlignment w:val="bottom"/>
            </w:pPr>
            <w:r>
              <w:rPr>
                <w:rFonts w:ascii="sans-serif" w:eastAsia="sans-serif" w:hAnsi="sans-serif" w:cs="sans-serif"/>
                <w:b/>
                <w:bCs/>
                <w:color w:val="000000"/>
                <w:sz w:val="17"/>
                <w:szCs w:val="17"/>
              </w:rPr>
              <w:t xml:space="preserve">OTHER COMPREHENSIVE </w:t>
            </w:r>
          </w:p>
          <w:p w14:paraId="26E9CDBA" w14:textId="77777777" w:rsidR="008A3BAC" w:rsidRDefault="005C75B9">
            <w:pPr>
              <w:jc w:val="center"/>
              <w:textAlignment w:val="bottom"/>
            </w:pPr>
            <w:r>
              <w:rPr>
                <w:rFonts w:ascii="sans-serif" w:eastAsia="sans-serif" w:hAnsi="sans-serif" w:cs="sans-serif"/>
                <w:b/>
                <w:bCs/>
                <w:color w:val="000000"/>
                <w:sz w:val="17"/>
                <w:szCs w:val="17"/>
              </w:rPr>
              <w:t>INCOME (LOSS) INTO INCOM</w:t>
            </w:r>
            <w:r>
              <w:rPr>
                <w:rFonts w:ascii="sans-serif" w:eastAsia="sans-serif" w:hAnsi="sans-serif" w:cs="sans-serif"/>
                <w:b/>
                <w:bCs/>
                <w:color w:val="000000"/>
                <w:sz w:val="17"/>
                <w:szCs w:val="17"/>
              </w:rPr>
              <w:t>E</w:t>
            </w:r>
            <w:r>
              <w:rPr>
                <w:rFonts w:ascii="sans-serif" w:eastAsia="sans-serif" w:hAnsi="sans-serif" w:cs="sans-serif"/>
                <w:b/>
                <w:bCs/>
                <w:color w:val="000000"/>
                <w:sz w:val="11"/>
                <w:szCs w:val="11"/>
              </w:rPr>
              <w:t>(1)</w:t>
            </w:r>
          </w:p>
        </w:tc>
      </w:tr>
      <w:tr w:rsidR="008A3BAC" w14:paraId="26E9CDC2" w14:textId="77777777">
        <w:trPr>
          <w:trHeight w:val="520"/>
        </w:trPr>
        <w:tc>
          <w:tcPr>
            <w:tcW w:w="0" w:type="auto"/>
            <w:gridSpan w:val="3"/>
            <w:vMerge/>
            <w:shd w:val="clear" w:color="auto" w:fill="auto"/>
            <w:tcMar>
              <w:top w:w="40" w:type="dxa"/>
              <w:left w:w="20" w:type="dxa"/>
              <w:bottom w:w="40" w:type="dxa"/>
              <w:right w:w="20" w:type="dxa"/>
            </w:tcMar>
            <w:vAlign w:val="bottom"/>
          </w:tcPr>
          <w:p w14:paraId="26E9CDBC"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DBD"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CDBE" w14:textId="77777777" w:rsidR="008A3BAC" w:rsidRDefault="008A3BA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6E9CDBF" w14:textId="77777777" w:rsidR="008A3BAC" w:rsidRDefault="005C75B9">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C0"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DC1"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r>
      <w:tr w:rsidR="008A3BAC" w14:paraId="26E9CDCB" w14:textId="77777777">
        <w:trPr>
          <w:trHeight w:val="240"/>
        </w:trPr>
        <w:tc>
          <w:tcPr>
            <w:tcW w:w="0" w:type="auto"/>
            <w:gridSpan w:val="3"/>
            <w:vMerge/>
            <w:shd w:val="clear" w:color="auto" w:fill="auto"/>
            <w:tcMar>
              <w:top w:w="40" w:type="dxa"/>
              <w:left w:w="20" w:type="dxa"/>
              <w:bottom w:w="40" w:type="dxa"/>
              <w:right w:w="20" w:type="dxa"/>
            </w:tcMar>
            <w:vAlign w:val="bottom"/>
          </w:tcPr>
          <w:p w14:paraId="26E9CDC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C4"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C5"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DC6" w14:textId="77777777" w:rsidR="008A3BAC" w:rsidRDefault="008A3BAC">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6E9CDC7" w14:textId="77777777" w:rsidR="008A3BAC" w:rsidRDefault="008A3BAC">
            <w:pPr>
              <w:jc w:val="right"/>
              <w:rPr>
                <w:rFonts w:ascii="宋体"/>
              </w:rPr>
            </w:pPr>
          </w:p>
        </w:tc>
        <w:tc>
          <w:tcPr>
            <w:tcW w:w="0" w:type="auto"/>
            <w:gridSpan w:val="3"/>
            <w:shd w:val="clear" w:color="auto" w:fill="auto"/>
            <w:tcMar>
              <w:top w:w="0" w:type="dxa"/>
              <w:left w:w="20" w:type="dxa"/>
              <w:bottom w:w="0" w:type="dxa"/>
              <w:right w:w="20" w:type="dxa"/>
            </w:tcMar>
            <w:vAlign w:val="bottom"/>
          </w:tcPr>
          <w:p w14:paraId="26E9CDC8"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C9"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CA"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DD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DCC" w14:textId="77777777" w:rsidR="008A3BAC" w:rsidRDefault="005C75B9">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DC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C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C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D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D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DD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DD3" w14:textId="77777777" w:rsidR="008A3BAC" w:rsidRDefault="008A3BAC">
            <w:pPr>
              <w:rPr>
                <w:rFonts w:ascii="宋体"/>
              </w:rPr>
            </w:pPr>
          </w:p>
        </w:tc>
      </w:tr>
      <w:tr w:rsidR="008A3BAC" w14:paraId="26E9CDE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D5" w14:textId="77777777" w:rsidR="008A3BAC" w:rsidRDefault="005C75B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DD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DD7" w14:textId="77777777" w:rsidR="008A3BAC" w:rsidRDefault="005C75B9">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D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DD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DDA" w14:textId="77777777" w:rsidR="008A3BAC" w:rsidRDefault="005C75B9">
            <w:pPr>
              <w:jc w:val="right"/>
              <w:textAlignment w:val="bottom"/>
            </w:pPr>
            <w:r>
              <w:rPr>
                <w:rFonts w:ascii="Arial" w:eastAsia="宋体" w:hAnsi="Arial" w:cs="Arial"/>
                <w:color w:val="000000"/>
                <w:sz w:val="17"/>
                <w:szCs w:val="17"/>
              </w:rPr>
              <w:t>(38)</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DB"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DC"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DD" w14:textId="77777777" w:rsidR="008A3BAC" w:rsidRDefault="005C75B9">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DE"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DD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DE0"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E1"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DE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DE3"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E4" w14:textId="77777777" w:rsidR="008A3BAC" w:rsidRDefault="008A3BAC">
            <w:pPr>
              <w:jc w:val="right"/>
              <w:rPr>
                <w:rFonts w:ascii="宋体"/>
              </w:rPr>
            </w:pPr>
          </w:p>
        </w:tc>
      </w:tr>
      <w:tr w:rsidR="008A3BAC" w14:paraId="26E9CDF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E6" w14:textId="77777777" w:rsidR="008A3BAC" w:rsidRDefault="005C75B9">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E7"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E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E9" w14:textId="77777777" w:rsidR="008A3BAC" w:rsidRDefault="005C75B9">
            <w:pPr>
              <w:jc w:val="right"/>
              <w:textAlignment w:val="bottom"/>
            </w:pPr>
            <w:r>
              <w:rPr>
                <w:rFonts w:ascii="Arial" w:eastAsia="宋体" w:hAnsi="Arial" w:cs="Arial"/>
                <w:color w:val="000000"/>
                <w:sz w:val="17"/>
                <w:szCs w:val="17"/>
              </w:rPr>
              <w:t>(99)</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E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EB"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EC" w14:textId="77777777" w:rsidR="008A3BAC" w:rsidRDefault="005C75B9">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E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EE"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E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F0" w14:textId="77777777" w:rsidR="008A3BAC" w:rsidRDefault="005C75B9">
            <w:pPr>
              <w:jc w:val="right"/>
              <w:textAlignment w:val="bottom"/>
            </w:pPr>
            <w:r>
              <w:rPr>
                <w:rFonts w:ascii="Arial" w:eastAsia="宋体" w:hAnsi="Arial" w:cs="Arial"/>
                <w:color w:val="000000"/>
                <w:sz w:val="17"/>
                <w:szCs w:val="17"/>
              </w:rPr>
              <w:t>(35)</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F1" w14:textId="77777777" w:rsidR="008A3BAC" w:rsidRDefault="008A3BAC">
            <w:pPr>
              <w:jc w:val="right"/>
              <w:rPr>
                <w:rFonts w:ascii="宋体"/>
              </w:rPr>
            </w:pPr>
          </w:p>
        </w:tc>
      </w:tr>
      <w:tr w:rsidR="008A3BAC" w14:paraId="26E9CDFF"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DF3" w14:textId="77777777" w:rsidR="008A3BAC" w:rsidRDefault="005C75B9">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F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F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F6"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F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F8"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DF9" w14:textId="77777777" w:rsidR="008A3BAC" w:rsidRDefault="005C75B9">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DF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DF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DF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DFD"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DFE" w14:textId="77777777" w:rsidR="008A3BAC" w:rsidRDefault="008A3BAC">
            <w:pPr>
              <w:jc w:val="right"/>
              <w:rPr>
                <w:rFonts w:ascii="宋体"/>
              </w:rPr>
            </w:pPr>
          </w:p>
        </w:tc>
      </w:tr>
      <w:tr w:rsidR="008A3BAC" w14:paraId="26E9CE0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00" w14:textId="77777777" w:rsidR="008A3BAC" w:rsidRDefault="005C75B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01" w14:textId="77777777" w:rsidR="008A3BAC" w:rsidRDefault="005C75B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0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03" w14:textId="77777777" w:rsidR="008A3BAC" w:rsidRDefault="005C75B9">
            <w:pPr>
              <w:jc w:val="right"/>
              <w:textAlignment w:val="bottom"/>
            </w:pPr>
            <w:r>
              <w:rPr>
                <w:rFonts w:ascii="Arial" w:eastAsia="宋体" w:hAnsi="Arial" w:cs="Arial"/>
                <w:color w:val="000000"/>
                <w:sz w:val="17"/>
                <w:szCs w:val="17"/>
              </w:rPr>
              <w:t>(24)</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0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05"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06" w14:textId="77777777" w:rsidR="008A3BAC" w:rsidRDefault="005C75B9">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07"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08" w14:textId="77777777" w:rsidR="008A3BAC" w:rsidRDefault="005C75B9">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0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0A" w14:textId="77777777" w:rsidR="008A3BAC" w:rsidRDefault="005C75B9">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0B" w14:textId="77777777" w:rsidR="008A3BAC" w:rsidRDefault="008A3BAC">
            <w:pPr>
              <w:jc w:val="right"/>
              <w:rPr>
                <w:rFonts w:ascii="宋体"/>
              </w:rPr>
            </w:pPr>
          </w:p>
        </w:tc>
      </w:tr>
      <w:tr w:rsidR="008A3BAC" w14:paraId="26E9CE1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0D" w14:textId="77777777" w:rsidR="008A3BAC" w:rsidRDefault="005C75B9">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0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0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1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11"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12"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13" w14:textId="77777777" w:rsidR="008A3BAC" w:rsidRDefault="005C75B9">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14"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15"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1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17"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18" w14:textId="77777777" w:rsidR="008A3BAC" w:rsidRDefault="008A3BAC">
            <w:pPr>
              <w:jc w:val="right"/>
              <w:rPr>
                <w:rFonts w:ascii="宋体"/>
              </w:rPr>
            </w:pPr>
          </w:p>
        </w:tc>
      </w:tr>
      <w:tr w:rsidR="008A3BAC" w14:paraId="26E9CE2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E1A" w14:textId="77777777" w:rsidR="008A3BAC" w:rsidRDefault="005C75B9">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E1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E1C" w14:textId="77777777" w:rsidR="008A3BAC" w:rsidRDefault="005C75B9">
            <w:pPr>
              <w:jc w:val="right"/>
              <w:textAlignment w:val="bottom"/>
            </w:pPr>
            <w:r>
              <w:rPr>
                <w:rFonts w:ascii="Arial" w:eastAsia="宋体" w:hAnsi="Arial" w:cs="Arial"/>
                <w:b/>
                <w:bCs/>
                <w:color w:val="000000"/>
                <w:sz w:val="17"/>
                <w:szCs w:val="17"/>
              </w:rPr>
              <w:t>(2)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E1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E1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E1F" w14:textId="77777777" w:rsidR="008A3BAC" w:rsidRDefault="005C75B9">
            <w:pPr>
              <w:jc w:val="right"/>
              <w:textAlignment w:val="bottom"/>
            </w:pPr>
            <w:r>
              <w:rPr>
                <w:rFonts w:ascii="Arial" w:eastAsia="宋体" w:hAnsi="Arial" w:cs="Arial"/>
                <w:b/>
                <w:bCs/>
                <w:color w:val="000000"/>
                <w:sz w:val="17"/>
                <w:szCs w:val="17"/>
              </w:rPr>
              <w:t>(160)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E20"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21"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22"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23"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E2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E25" w14:textId="77777777" w:rsidR="008A3BAC" w:rsidRDefault="005C75B9">
            <w:pPr>
              <w:jc w:val="right"/>
              <w:textAlignment w:val="bottom"/>
            </w:pPr>
            <w:r>
              <w:rPr>
                <w:rFonts w:ascii="Arial" w:eastAsia="宋体" w:hAnsi="Arial" w:cs="Arial"/>
                <w:b/>
                <w:bCs/>
                <w:color w:val="000000"/>
                <w:sz w:val="17"/>
                <w:szCs w:val="17"/>
              </w:rPr>
              <w:t>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E2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E2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E28" w14:textId="77777777" w:rsidR="008A3BAC" w:rsidRDefault="005C75B9">
            <w:pPr>
              <w:jc w:val="right"/>
              <w:textAlignment w:val="bottom"/>
            </w:pPr>
            <w:r>
              <w:rPr>
                <w:rFonts w:ascii="Arial" w:eastAsia="宋体" w:hAnsi="Arial" w:cs="Arial"/>
                <w:b/>
                <w:bCs/>
                <w:color w:val="000000"/>
                <w:sz w:val="17"/>
                <w:szCs w:val="17"/>
              </w:rPr>
              <w:t>(46)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E29" w14:textId="77777777" w:rsidR="008A3BAC" w:rsidRDefault="008A3BAC">
            <w:pPr>
              <w:jc w:val="right"/>
              <w:rPr>
                <w:rFonts w:ascii="宋体"/>
              </w:rPr>
            </w:pPr>
          </w:p>
        </w:tc>
      </w:tr>
    </w:tbl>
    <w:p w14:paraId="26E9CE2B" w14:textId="77777777" w:rsidR="008A3BAC" w:rsidRDefault="005C75B9">
      <w:pPr>
        <w:spacing w:before="60" w:after="60"/>
        <w:ind w:hanging="360"/>
      </w:pPr>
      <w:r>
        <w:rPr>
          <w:rFonts w:ascii="Arial" w:eastAsia="宋体" w:hAnsi="Arial" w:cs="Arial"/>
          <w:i/>
          <w:iCs/>
          <w:color w:val="000000"/>
          <w:sz w:val="14"/>
          <w:szCs w:val="14"/>
        </w:rPr>
        <w:t>(1)For the three months ended February 28, 2022 and 2021, the amounts recorded in</w:t>
      </w:r>
      <w:r>
        <w:rPr>
          <w:rFonts w:ascii="Arial" w:eastAsia="宋体" w:hAnsi="Arial" w:cs="Arial"/>
          <w:i/>
          <w:iCs/>
          <w:color w:val="000000"/>
          <w:sz w:val="14"/>
          <w:szCs w:val="14"/>
        </w:rPr>
        <w:t xml:space="preserve"> Other (income) expense, net as a result of the discontinuance of cash flow hedges because the forecasted transactions were no longer probable of occurring were immaterial.</w:t>
      </w:r>
    </w:p>
    <w:p w14:paraId="26E9CE2C" w14:textId="77777777" w:rsidR="008A3BAC" w:rsidRDefault="005C75B9">
      <w:pPr>
        <w:spacing w:before="60" w:after="60"/>
        <w:ind w:hanging="360"/>
      </w:pPr>
      <w:r>
        <w:rPr>
          <w:rFonts w:ascii="Arial" w:eastAsia="宋体" w:hAnsi="Arial" w:cs="Arial"/>
          <w:i/>
          <w:iCs/>
          <w:color w:val="000000"/>
          <w:sz w:val="14"/>
          <w:szCs w:val="14"/>
        </w:rPr>
        <w:t xml:space="preserve">(2)Gains and losses associated with terminated interest rate swaps, which were </w:t>
      </w:r>
      <w:r>
        <w:rPr>
          <w:rFonts w:ascii="Arial" w:eastAsia="宋体" w:hAnsi="Arial" w:cs="Arial"/>
          <w:i/>
          <w:iCs/>
          <w:color w:val="000000"/>
          <w:sz w:val="14"/>
          <w:szCs w:val="14"/>
        </w:rPr>
        <w:t>previously designated as cash flow hedges and recorded in Accumulated other comprehensive income (loss), will be released through Interest expense (income), net over the term of the issued debt.</w:t>
      </w:r>
    </w:p>
    <w:p w14:paraId="26E9CE2D" w14:textId="77777777" w:rsidR="008A3BAC" w:rsidRDefault="005C75B9">
      <w:pPr>
        <w:spacing w:before="120" w:after="120"/>
        <w:jc w:val="right"/>
      </w:pPr>
      <w:r>
        <w:rPr>
          <w:rFonts w:ascii="Arial" w:eastAsia="宋体" w:hAnsi="Arial" w:cs="Arial"/>
          <w:color w:val="E87722"/>
          <w:sz w:val="17"/>
          <w:szCs w:val="17"/>
        </w:rPr>
        <w:t>15</w:t>
      </w:r>
    </w:p>
    <w:p w14:paraId="26E9CE2E" w14:textId="77777777" w:rsidR="008A3BAC" w:rsidRDefault="005C75B9">
      <w:r>
        <w:pict w14:anchorId="26E9E856">
          <v:rect id="_x0000_i1041" style="width:415.3pt;height:1.5pt" o:hralign="center" o:hrstd="t" o:hr="t" fillcolor="#a0a0a0" stroked="f"/>
        </w:pict>
      </w:r>
    </w:p>
    <w:p w14:paraId="26E9CE2F" w14:textId="77777777" w:rsidR="008A3BAC" w:rsidRDefault="008A3BAC"/>
    <w:p w14:paraId="26E9CE30" w14:textId="77777777" w:rsidR="008A3BAC" w:rsidRDefault="005C75B9">
      <w:hyperlink r:id="rId86" w:anchor="i46aba51c6a804f42b3595948c57d2023_7" w:history="1">
        <w:r>
          <w:rPr>
            <w:rStyle w:val="a5"/>
            <w:rFonts w:ascii="sans-serif" w:eastAsia="sans-serif" w:hAnsi="sans-serif" w:cs="sans-serif"/>
            <w:sz w:val="17"/>
            <w:szCs w:val="17"/>
          </w:rPr>
          <w:t>Table of Contents</w:t>
        </w:r>
      </w:hyperlink>
    </w:p>
    <w:p w14:paraId="26E9CE31" w14:textId="77777777" w:rsidR="008A3BAC" w:rsidRDefault="008A3BAC"/>
    <w:p w14:paraId="26E9CE32" w14:textId="77777777" w:rsidR="008A3BAC" w:rsidRDefault="008A3BAC">
      <w:pPr>
        <w:spacing w:before="100"/>
      </w:pP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8A3BAC" w14:paraId="26E9CE4B" w14:textId="77777777">
        <w:tc>
          <w:tcPr>
            <w:tcW w:w="50" w:type="pct"/>
            <w:shd w:val="clear" w:color="auto" w:fill="auto"/>
            <w:vAlign w:val="bottom"/>
          </w:tcPr>
          <w:p w14:paraId="26E9CE33" w14:textId="77777777" w:rsidR="008A3BAC" w:rsidRDefault="008A3BAC">
            <w:pPr>
              <w:rPr>
                <w:rFonts w:ascii="宋体"/>
              </w:rPr>
            </w:pPr>
          </w:p>
        </w:tc>
        <w:tc>
          <w:tcPr>
            <w:tcW w:w="1210" w:type="pct"/>
            <w:shd w:val="clear" w:color="auto" w:fill="auto"/>
            <w:vAlign w:val="bottom"/>
          </w:tcPr>
          <w:p w14:paraId="26E9CE34" w14:textId="77777777" w:rsidR="008A3BAC" w:rsidRDefault="008A3BAC">
            <w:pPr>
              <w:rPr>
                <w:rFonts w:ascii="宋体"/>
              </w:rPr>
            </w:pPr>
          </w:p>
        </w:tc>
        <w:tc>
          <w:tcPr>
            <w:tcW w:w="5" w:type="pct"/>
            <w:shd w:val="clear" w:color="auto" w:fill="auto"/>
            <w:vAlign w:val="bottom"/>
          </w:tcPr>
          <w:p w14:paraId="26E9CE35" w14:textId="77777777" w:rsidR="008A3BAC" w:rsidRDefault="008A3BAC">
            <w:pPr>
              <w:rPr>
                <w:rFonts w:ascii="宋体"/>
              </w:rPr>
            </w:pPr>
          </w:p>
        </w:tc>
        <w:tc>
          <w:tcPr>
            <w:tcW w:w="50" w:type="pct"/>
            <w:shd w:val="clear" w:color="auto" w:fill="auto"/>
            <w:vAlign w:val="bottom"/>
          </w:tcPr>
          <w:p w14:paraId="26E9CE36" w14:textId="77777777" w:rsidR="008A3BAC" w:rsidRDefault="008A3BAC">
            <w:pPr>
              <w:rPr>
                <w:rFonts w:ascii="宋体"/>
              </w:rPr>
            </w:pPr>
          </w:p>
        </w:tc>
        <w:tc>
          <w:tcPr>
            <w:tcW w:w="492" w:type="pct"/>
            <w:shd w:val="clear" w:color="auto" w:fill="auto"/>
            <w:vAlign w:val="bottom"/>
          </w:tcPr>
          <w:p w14:paraId="26E9CE37" w14:textId="77777777" w:rsidR="008A3BAC" w:rsidRDefault="008A3BAC">
            <w:pPr>
              <w:rPr>
                <w:rFonts w:ascii="宋体"/>
              </w:rPr>
            </w:pPr>
          </w:p>
        </w:tc>
        <w:tc>
          <w:tcPr>
            <w:tcW w:w="5" w:type="pct"/>
            <w:shd w:val="clear" w:color="auto" w:fill="auto"/>
            <w:vAlign w:val="bottom"/>
          </w:tcPr>
          <w:p w14:paraId="26E9CE38" w14:textId="77777777" w:rsidR="008A3BAC" w:rsidRDefault="008A3BAC">
            <w:pPr>
              <w:rPr>
                <w:rFonts w:ascii="宋体"/>
              </w:rPr>
            </w:pPr>
          </w:p>
        </w:tc>
        <w:tc>
          <w:tcPr>
            <w:tcW w:w="50" w:type="pct"/>
            <w:shd w:val="clear" w:color="auto" w:fill="auto"/>
            <w:vAlign w:val="bottom"/>
          </w:tcPr>
          <w:p w14:paraId="26E9CE39" w14:textId="77777777" w:rsidR="008A3BAC" w:rsidRDefault="008A3BAC">
            <w:pPr>
              <w:rPr>
                <w:rFonts w:ascii="宋体"/>
              </w:rPr>
            </w:pPr>
          </w:p>
        </w:tc>
        <w:tc>
          <w:tcPr>
            <w:tcW w:w="492" w:type="pct"/>
            <w:shd w:val="clear" w:color="auto" w:fill="auto"/>
            <w:vAlign w:val="bottom"/>
          </w:tcPr>
          <w:p w14:paraId="26E9CE3A" w14:textId="77777777" w:rsidR="008A3BAC" w:rsidRDefault="008A3BAC">
            <w:pPr>
              <w:rPr>
                <w:rFonts w:ascii="宋体"/>
              </w:rPr>
            </w:pPr>
          </w:p>
        </w:tc>
        <w:tc>
          <w:tcPr>
            <w:tcW w:w="5" w:type="pct"/>
            <w:shd w:val="clear" w:color="auto" w:fill="auto"/>
            <w:vAlign w:val="bottom"/>
          </w:tcPr>
          <w:p w14:paraId="26E9CE3B" w14:textId="77777777" w:rsidR="008A3BAC" w:rsidRDefault="008A3BAC">
            <w:pPr>
              <w:rPr>
                <w:rFonts w:ascii="宋体"/>
              </w:rPr>
            </w:pPr>
          </w:p>
        </w:tc>
        <w:tc>
          <w:tcPr>
            <w:tcW w:w="5" w:type="pct"/>
            <w:shd w:val="clear" w:color="auto" w:fill="auto"/>
            <w:vAlign w:val="bottom"/>
          </w:tcPr>
          <w:p w14:paraId="26E9CE3C" w14:textId="77777777" w:rsidR="008A3BAC" w:rsidRDefault="008A3BAC">
            <w:pPr>
              <w:rPr>
                <w:rFonts w:ascii="宋体"/>
              </w:rPr>
            </w:pPr>
          </w:p>
        </w:tc>
        <w:tc>
          <w:tcPr>
            <w:tcW w:w="28" w:type="pct"/>
            <w:shd w:val="clear" w:color="auto" w:fill="auto"/>
            <w:vAlign w:val="bottom"/>
          </w:tcPr>
          <w:p w14:paraId="26E9CE3D" w14:textId="77777777" w:rsidR="008A3BAC" w:rsidRDefault="008A3BAC">
            <w:pPr>
              <w:rPr>
                <w:rFonts w:ascii="宋体"/>
              </w:rPr>
            </w:pPr>
          </w:p>
        </w:tc>
        <w:tc>
          <w:tcPr>
            <w:tcW w:w="5" w:type="pct"/>
            <w:shd w:val="clear" w:color="auto" w:fill="auto"/>
            <w:vAlign w:val="bottom"/>
          </w:tcPr>
          <w:p w14:paraId="26E9CE3E" w14:textId="77777777" w:rsidR="008A3BAC" w:rsidRDefault="008A3BAC">
            <w:pPr>
              <w:rPr>
                <w:rFonts w:ascii="宋体"/>
              </w:rPr>
            </w:pPr>
          </w:p>
        </w:tc>
        <w:tc>
          <w:tcPr>
            <w:tcW w:w="50" w:type="pct"/>
            <w:shd w:val="clear" w:color="auto" w:fill="auto"/>
            <w:vAlign w:val="bottom"/>
          </w:tcPr>
          <w:p w14:paraId="26E9CE3F" w14:textId="77777777" w:rsidR="008A3BAC" w:rsidRDefault="008A3BAC">
            <w:pPr>
              <w:rPr>
                <w:rFonts w:ascii="宋体"/>
              </w:rPr>
            </w:pPr>
          </w:p>
        </w:tc>
        <w:tc>
          <w:tcPr>
            <w:tcW w:w="1411" w:type="pct"/>
            <w:shd w:val="clear" w:color="auto" w:fill="auto"/>
            <w:vAlign w:val="bottom"/>
          </w:tcPr>
          <w:p w14:paraId="26E9CE40" w14:textId="77777777" w:rsidR="008A3BAC" w:rsidRDefault="008A3BAC">
            <w:pPr>
              <w:rPr>
                <w:rFonts w:ascii="宋体"/>
              </w:rPr>
            </w:pPr>
          </w:p>
        </w:tc>
        <w:tc>
          <w:tcPr>
            <w:tcW w:w="5" w:type="pct"/>
            <w:shd w:val="clear" w:color="auto" w:fill="auto"/>
            <w:vAlign w:val="bottom"/>
          </w:tcPr>
          <w:p w14:paraId="26E9CE41" w14:textId="77777777" w:rsidR="008A3BAC" w:rsidRDefault="008A3BAC">
            <w:pPr>
              <w:rPr>
                <w:rFonts w:ascii="宋体"/>
              </w:rPr>
            </w:pPr>
          </w:p>
        </w:tc>
        <w:tc>
          <w:tcPr>
            <w:tcW w:w="5" w:type="pct"/>
            <w:shd w:val="clear" w:color="auto" w:fill="auto"/>
            <w:vAlign w:val="bottom"/>
          </w:tcPr>
          <w:p w14:paraId="26E9CE42" w14:textId="77777777" w:rsidR="008A3BAC" w:rsidRDefault="008A3BAC">
            <w:pPr>
              <w:rPr>
                <w:rFonts w:ascii="宋体"/>
              </w:rPr>
            </w:pPr>
          </w:p>
        </w:tc>
        <w:tc>
          <w:tcPr>
            <w:tcW w:w="28" w:type="pct"/>
            <w:shd w:val="clear" w:color="auto" w:fill="auto"/>
            <w:vAlign w:val="bottom"/>
          </w:tcPr>
          <w:p w14:paraId="26E9CE43" w14:textId="77777777" w:rsidR="008A3BAC" w:rsidRDefault="008A3BAC">
            <w:pPr>
              <w:rPr>
                <w:rFonts w:ascii="宋体"/>
              </w:rPr>
            </w:pPr>
          </w:p>
        </w:tc>
        <w:tc>
          <w:tcPr>
            <w:tcW w:w="5" w:type="pct"/>
            <w:shd w:val="clear" w:color="auto" w:fill="auto"/>
            <w:vAlign w:val="bottom"/>
          </w:tcPr>
          <w:p w14:paraId="26E9CE44" w14:textId="77777777" w:rsidR="008A3BAC" w:rsidRDefault="008A3BAC">
            <w:pPr>
              <w:rPr>
                <w:rFonts w:ascii="宋体"/>
              </w:rPr>
            </w:pPr>
          </w:p>
        </w:tc>
        <w:tc>
          <w:tcPr>
            <w:tcW w:w="50" w:type="pct"/>
            <w:shd w:val="clear" w:color="auto" w:fill="auto"/>
            <w:vAlign w:val="bottom"/>
          </w:tcPr>
          <w:p w14:paraId="26E9CE45" w14:textId="77777777" w:rsidR="008A3BAC" w:rsidRDefault="008A3BAC">
            <w:pPr>
              <w:rPr>
                <w:rFonts w:ascii="宋体"/>
              </w:rPr>
            </w:pPr>
          </w:p>
        </w:tc>
        <w:tc>
          <w:tcPr>
            <w:tcW w:w="492" w:type="pct"/>
            <w:shd w:val="clear" w:color="auto" w:fill="auto"/>
            <w:vAlign w:val="bottom"/>
          </w:tcPr>
          <w:p w14:paraId="26E9CE46" w14:textId="77777777" w:rsidR="008A3BAC" w:rsidRDefault="008A3BAC">
            <w:pPr>
              <w:rPr>
                <w:rFonts w:ascii="宋体"/>
              </w:rPr>
            </w:pPr>
          </w:p>
        </w:tc>
        <w:tc>
          <w:tcPr>
            <w:tcW w:w="5" w:type="pct"/>
            <w:shd w:val="clear" w:color="auto" w:fill="auto"/>
            <w:vAlign w:val="bottom"/>
          </w:tcPr>
          <w:p w14:paraId="26E9CE47" w14:textId="77777777" w:rsidR="008A3BAC" w:rsidRDefault="008A3BAC">
            <w:pPr>
              <w:rPr>
                <w:rFonts w:ascii="宋体"/>
              </w:rPr>
            </w:pPr>
          </w:p>
        </w:tc>
        <w:tc>
          <w:tcPr>
            <w:tcW w:w="50" w:type="pct"/>
            <w:shd w:val="clear" w:color="auto" w:fill="auto"/>
            <w:vAlign w:val="bottom"/>
          </w:tcPr>
          <w:p w14:paraId="26E9CE48" w14:textId="77777777" w:rsidR="008A3BAC" w:rsidRDefault="008A3BAC">
            <w:pPr>
              <w:rPr>
                <w:rFonts w:ascii="宋体"/>
              </w:rPr>
            </w:pPr>
          </w:p>
        </w:tc>
        <w:tc>
          <w:tcPr>
            <w:tcW w:w="493" w:type="pct"/>
            <w:shd w:val="clear" w:color="auto" w:fill="auto"/>
            <w:vAlign w:val="bottom"/>
          </w:tcPr>
          <w:p w14:paraId="26E9CE49" w14:textId="77777777" w:rsidR="008A3BAC" w:rsidRDefault="008A3BAC">
            <w:pPr>
              <w:rPr>
                <w:rFonts w:ascii="宋体"/>
              </w:rPr>
            </w:pPr>
          </w:p>
        </w:tc>
        <w:tc>
          <w:tcPr>
            <w:tcW w:w="5" w:type="pct"/>
            <w:shd w:val="clear" w:color="auto" w:fill="auto"/>
            <w:vAlign w:val="bottom"/>
          </w:tcPr>
          <w:p w14:paraId="26E9CE4A" w14:textId="77777777" w:rsidR="008A3BAC" w:rsidRDefault="008A3BAC">
            <w:pPr>
              <w:rPr>
                <w:rFonts w:ascii="宋体"/>
              </w:rPr>
            </w:pPr>
          </w:p>
        </w:tc>
      </w:tr>
      <w:tr w:rsidR="008A3BAC" w14:paraId="26E9CE54"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6E9CE4C" w14:textId="77777777" w:rsidR="008A3BAC" w:rsidRDefault="008A3BAC">
            <w:pPr>
              <w:textAlignment w:val="bottom"/>
            </w:pPr>
          </w:p>
          <w:p w14:paraId="26E9CE4D"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6E9CE4E" w14:textId="77777777" w:rsidR="008A3BAC" w:rsidRDefault="005C75B9">
            <w:pP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6E9CE4F" w14:textId="77777777" w:rsidR="008A3BAC" w:rsidRDefault="008A3BAC">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6E9CE50" w14:textId="77777777" w:rsidR="008A3BAC" w:rsidRDefault="005C75B9">
            <w:pPr>
              <w:jc w:val="center"/>
              <w:textAlignment w:val="bottom"/>
            </w:pPr>
            <w:r>
              <w:rPr>
                <w:rFonts w:ascii="sans-serif" w:eastAsia="sans-serif" w:hAnsi="sans-serif" w:cs="sans-serif"/>
                <w:b/>
                <w:bCs/>
                <w:color w:val="000000"/>
                <w:sz w:val="17"/>
                <w:szCs w:val="17"/>
              </w:rPr>
              <w:t xml:space="preserve">AMOUNT OF GAIN (LOSS) </w:t>
            </w:r>
          </w:p>
          <w:p w14:paraId="26E9CE51" w14:textId="77777777" w:rsidR="008A3BAC" w:rsidRDefault="005C75B9">
            <w:pPr>
              <w:jc w:val="center"/>
              <w:textAlignment w:val="bottom"/>
            </w:pPr>
            <w:r>
              <w:rPr>
                <w:rFonts w:ascii="sans-serif" w:eastAsia="sans-serif" w:hAnsi="sans-serif" w:cs="sans-serif"/>
                <w:b/>
                <w:bCs/>
                <w:color w:val="000000"/>
                <w:sz w:val="17"/>
                <w:szCs w:val="17"/>
              </w:rPr>
              <w:t xml:space="preserve">RECLASSIFIED FROM ACCUMULATED </w:t>
            </w:r>
          </w:p>
          <w:p w14:paraId="26E9CE52" w14:textId="77777777" w:rsidR="008A3BAC" w:rsidRDefault="005C75B9">
            <w:pPr>
              <w:jc w:val="center"/>
              <w:textAlignment w:val="bottom"/>
            </w:pPr>
            <w:r>
              <w:rPr>
                <w:rFonts w:ascii="sans-serif" w:eastAsia="sans-serif" w:hAnsi="sans-serif" w:cs="sans-serif"/>
                <w:b/>
                <w:bCs/>
                <w:color w:val="000000"/>
                <w:sz w:val="17"/>
                <w:szCs w:val="17"/>
              </w:rPr>
              <w:t xml:space="preserve">OTHER COMPREHENSIVE </w:t>
            </w:r>
          </w:p>
          <w:p w14:paraId="26E9CE53" w14:textId="77777777" w:rsidR="008A3BAC" w:rsidRDefault="005C75B9">
            <w:pP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8A3BAC" w14:paraId="26E9CE5B" w14:textId="77777777">
        <w:trPr>
          <w:trHeight w:val="520"/>
        </w:trPr>
        <w:tc>
          <w:tcPr>
            <w:tcW w:w="0" w:type="auto"/>
            <w:gridSpan w:val="3"/>
            <w:vMerge/>
            <w:shd w:val="clear" w:color="auto" w:fill="auto"/>
            <w:tcMar>
              <w:top w:w="40" w:type="dxa"/>
              <w:left w:w="20" w:type="dxa"/>
              <w:bottom w:w="40" w:type="dxa"/>
              <w:right w:w="20" w:type="dxa"/>
            </w:tcMar>
            <w:vAlign w:val="bottom"/>
          </w:tcPr>
          <w:p w14:paraId="26E9CE55"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E56"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gridSpan w:val="3"/>
            <w:shd w:val="clear" w:color="auto" w:fill="auto"/>
            <w:tcMar>
              <w:top w:w="0" w:type="dxa"/>
              <w:left w:w="20" w:type="dxa"/>
              <w:bottom w:w="0" w:type="dxa"/>
              <w:right w:w="20" w:type="dxa"/>
            </w:tcMar>
            <w:vAlign w:val="bottom"/>
          </w:tcPr>
          <w:p w14:paraId="26E9CE57" w14:textId="77777777" w:rsidR="008A3BAC" w:rsidRDefault="008A3BAC">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6E9CE58" w14:textId="77777777" w:rsidR="008A3BAC" w:rsidRDefault="005C75B9">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59"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E5A"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CE64" w14:textId="77777777">
        <w:trPr>
          <w:trHeight w:val="240"/>
        </w:trPr>
        <w:tc>
          <w:tcPr>
            <w:tcW w:w="0" w:type="auto"/>
            <w:gridSpan w:val="3"/>
            <w:vMerge/>
            <w:shd w:val="clear" w:color="auto" w:fill="auto"/>
            <w:tcMar>
              <w:top w:w="40" w:type="dxa"/>
              <w:left w:w="20" w:type="dxa"/>
              <w:bottom w:w="40" w:type="dxa"/>
              <w:right w:w="20" w:type="dxa"/>
            </w:tcMar>
            <w:vAlign w:val="bottom"/>
          </w:tcPr>
          <w:p w14:paraId="26E9CE5C"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5D"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5E"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E5F" w14:textId="77777777" w:rsidR="008A3BAC" w:rsidRDefault="008A3BAC">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6E9CE60" w14:textId="77777777" w:rsidR="008A3BAC" w:rsidRDefault="008A3BAC">
            <w:pPr>
              <w:jc w:val="right"/>
              <w:rPr>
                <w:rFonts w:ascii="宋体"/>
              </w:rPr>
            </w:pPr>
          </w:p>
        </w:tc>
        <w:tc>
          <w:tcPr>
            <w:tcW w:w="0" w:type="auto"/>
            <w:gridSpan w:val="3"/>
            <w:shd w:val="clear" w:color="auto" w:fill="auto"/>
            <w:tcMar>
              <w:top w:w="0" w:type="dxa"/>
              <w:left w:w="20" w:type="dxa"/>
              <w:bottom w:w="0" w:type="dxa"/>
              <w:right w:w="20" w:type="dxa"/>
            </w:tcMar>
            <w:vAlign w:val="bottom"/>
          </w:tcPr>
          <w:p w14:paraId="26E9CE61"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62"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63"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CE6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65" w14:textId="77777777" w:rsidR="008A3BAC" w:rsidRDefault="005C75B9">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E6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6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6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6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6A"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E6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6C" w14:textId="77777777" w:rsidR="008A3BAC" w:rsidRDefault="008A3BAC">
            <w:pPr>
              <w:rPr>
                <w:rFonts w:ascii="宋体"/>
              </w:rPr>
            </w:pPr>
          </w:p>
        </w:tc>
      </w:tr>
      <w:tr w:rsidR="008A3BAC" w14:paraId="26E9CE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6E" w14:textId="77777777" w:rsidR="008A3BAC" w:rsidRDefault="005C75B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E6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E70" w14:textId="77777777" w:rsidR="008A3BAC" w:rsidRDefault="005C75B9">
            <w:pPr>
              <w:jc w:val="right"/>
              <w:textAlignment w:val="bottom"/>
            </w:pPr>
            <w:r>
              <w:rPr>
                <w:rFonts w:ascii="Arial" w:eastAsia="宋体" w:hAnsi="Arial" w:cs="Arial"/>
                <w:color w:val="000000"/>
                <w:sz w:val="17"/>
                <w:szCs w:val="17"/>
              </w:rPr>
              <w:t>(74)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71"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E7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E73" w14:textId="77777777" w:rsidR="008A3BAC" w:rsidRDefault="005C75B9">
            <w:pPr>
              <w:jc w:val="right"/>
              <w:textAlignment w:val="bottom"/>
            </w:pPr>
            <w:r>
              <w:rPr>
                <w:rFonts w:ascii="Arial" w:eastAsia="宋体" w:hAnsi="Arial" w:cs="Arial"/>
                <w:color w:val="000000"/>
                <w:sz w:val="17"/>
                <w:szCs w:val="17"/>
              </w:rPr>
              <w:t>(32)</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7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75"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76" w14:textId="77777777" w:rsidR="008A3BAC" w:rsidRDefault="005C75B9">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7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E7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E79" w14:textId="77777777" w:rsidR="008A3BAC" w:rsidRDefault="005C75B9">
            <w:pPr>
              <w:jc w:val="right"/>
              <w:textAlignment w:val="bottom"/>
            </w:pPr>
            <w:r>
              <w:rPr>
                <w:rFonts w:ascii="Arial" w:eastAsia="宋体" w:hAnsi="Arial" w:cs="Arial"/>
                <w:color w:val="000000"/>
                <w:sz w:val="17"/>
                <w:szCs w:val="17"/>
              </w:rPr>
              <w:t>(63)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7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E7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E7C"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7D" w14:textId="77777777" w:rsidR="008A3BAC" w:rsidRDefault="008A3BAC">
            <w:pPr>
              <w:jc w:val="right"/>
              <w:rPr>
                <w:rFonts w:ascii="宋体"/>
              </w:rPr>
            </w:pPr>
          </w:p>
        </w:tc>
      </w:tr>
      <w:tr w:rsidR="008A3BAC" w14:paraId="26E9CE8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7F" w14:textId="77777777" w:rsidR="008A3BAC" w:rsidRDefault="005C75B9">
            <w:pP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80" w14:textId="77777777" w:rsidR="008A3BAC" w:rsidRDefault="005C75B9">
            <w:pPr>
              <w:jc w:val="right"/>
              <w:textAlignment w:val="bottom"/>
            </w:pPr>
            <w:r>
              <w:rPr>
                <w:rFonts w:ascii="Arial" w:eastAsia="宋体" w:hAnsi="Arial" w:cs="Arial"/>
                <w:color w:val="000000"/>
                <w:sz w:val="17"/>
                <w:szCs w:val="17"/>
              </w:rPr>
              <w:t>522 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8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82" w14:textId="77777777" w:rsidR="008A3BAC" w:rsidRDefault="005C75B9">
            <w:pPr>
              <w:jc w:val="right"/>
              <w:textAlignment w:val="bottom"/>
            </w:pPr>
            <w:r>
              <w:rPr>
                <w:rFonts w:ascii="Arial" w:eastAsia="宋体" w:hAnsi="Arial" w:cs="Arial"/>
                <w:color w:val="000000"/>
                <w:sz w:val="17"/>
                <w:szCs w:val="17"/>
              </w:rPr>
              <w:t>(539)</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83"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84"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85" w14:textId="77777777" w:rsidR="008A3BAC" w:rsidRDefault="005C75B9">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8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87" w14:textId="77777777" w:rsidR="008A3BAC" w:rsidRDefault="005C75B9">
            <w:pPr>
              <w:jc w:val="right"/>
              <w:textAlignment w:val="bottom"/>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8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89" w14:textId="77777777" w:rsidR="008A3BAC" w:rsidRDefault="005C75B9">
            <w:pPr>
              <w:jc w:val="right"/>
              <w:textAlignment w:val="bottom"/>
            </w:pPr>
            <w:r>
              <w:rPr>
                <w:rFonts w:ascii="Arial" w:eastAsia="宋体" w:hAnsi="Arial" w:cs="Arial"/>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8A" w14:textId="77777777" w:rsidR="008A3BAC" w:rsidRDefault="008A3BAC">
            <w:pPr>
              <w:jc w:val="right"/>
              <w:rPr>
                <w:rFonts w:ascii="宋体"/>
              </w:rPr>
            </w:pPr>
          </w:p>
        </w:tc>
      </w:tr>
      <w:tr w:rsidR="008A3BAC" w14:paraId="26E9CE98"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E8C" w14:textId="77777777" w:rsidR="008A3BAC" w:rsidRDefault="005C75B9">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8D" w14:textId="77777777" w:rsidR="008A3BAC" w:rsidRDefault="005C75B9">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8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8F"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9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91"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92" w14:textId="77777777" w:rsidR="008A3BAC" w:rsidRDefault="005C75B9">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9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94"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9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96"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97" w14:textId="77777777" w:rsidR="008A3BAC" w:rsidRDefault="008A3BAC">
            <w:pPr>
              <w:jc w:val="right"/>
              <w:rPr>
                <w:rFonts w:ascii="宋体"/>
              </w:rPr>
            </w:pPr>
          </w:p>
        </w:tc>
      </w:tr>
      <w:tr w:rsidR="008A3BAC" w14:paraId="26E9CEA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99" w14:textId="77777777" w:rsidR="008A3BAC" w:rsidRDefault="005C75B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9A" w14:textId="77777777" w:rsidR="008A3BAC" w:rsidRDefault="005C75B9">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9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9C" w14:textId="77777777" w:rsidR="008A3BAC" w:rsidRDefault="005C75B9">
            <w:pPr>
              <w:jc w:val="right"/>
              <w:textAlignment w:val="bottom"/>
            </w:pPr>
            <w:r>
              <w:rPr>
                <w:rFonts w:ascii="Arial" w:eastAsia="宋体" w:hAnsi="Arial" w:cs="Arial"/>
                <w:color w:val="000000"/>
                <w:sz w:val="17"/>
                <w:szCs w:val="17"/>
              </w:rPr>
              <w:t>(183)</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9D"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9E"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9F" w14:textId="77777777" w:rsidR="008A3BAC" w:rsidRDefault="005C75B9">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A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A1"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A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A3" w14:textId="77777777" w:rsidR="008A3BAC" w:rsidRDefault="005C75B9">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A4" w14:textId="77777777" w:rsidR="008A3BAC" w:rsidRDefault="008A3BAC">
            <w:pPr>
              <w:jc w:val="right"/>
              <w:rPr>
                <w:rFonts w:ascii="宋体"/>
              </w:rPr>
            </w:pPr>
          </w:p>
        </w:tc>
      </w:tr>
      <w:tr w:rsidR="008A3BAC" w14:paraId="26E9CEB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A6" w14:textId="77777777" w:rsidR="008A3BAC" w:rsidRDefault="005C75B9">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A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A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A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A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AB"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EAC" w14:textId="77777777" w:rsidR="008A3BAC" w:rsidRDefault="005C75B9">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EA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EAE"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EA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EB0"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6E9CEB1" w14:textId="77777777" w:rsidR="008A3BAC" w:rsidRDefault="008A3BAC">
            <w:pPr>
              <w:jc w:val="right"/>
              <w:rPr>
                <w:rFonts w:ascii="宋体"/>
              </w:rPr>
            </w:pPr>
          </w:p>
        </w:tc>
      </w:tr>
      <w:tr w:rsidR="008A3BAC" w14:paraId="26E9CEC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EB3" w14:textId="77777777" w:rsidR="008A3BAC" w:rsidRDefault="005C75B9">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EB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EB5" w14:textId="77777777" w:rsidR="008A3BAC" w:rsidRDefault="005C75B9">
            <w:pPr>
              <w:jc w:val="right"/>
              <w:textAlignment w:val="bottom"/>
            </w:pPr>
            <w:r>
              <w:rPr>
                <w:rFonts w:ascii="Arial" w:eastAsia="宋体" w:hAnsi="Arial" w:cs="Arial"/>
                <w:b/>
                <w:bCs/>
                <w:color w:val="000000"/>
                <w:sz w:val="17"/>
                <w:szCs w:val="17"/>
              </w:rPr>
              <w:t>749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EB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EB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EB8" w14:textId="77777777" w:rsidR="008A3BAC" w:rsidRDefault="005C75B9">
            <w:pPr>
              <w:jc w:val="right"/>
              <w:textAlignment w:val="bottom"/>
            </w:pPr>
            <w:r>
              <w:rPr>
                <w:rFonts w:ascii="Arial" w:eastAsia="宋体" w:hAnsi="Arial" w:cs="Arial"/>
                <w:b/>
                <w:bCs/>
                <w:color w:val="000000"/>
                <w:sz w:val="17"/>
                <w:szCs w:val="17"/>
              </w:rPr>
              <w:t>(750)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EB9"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BA"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BB"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CEBC"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EB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EBE" w14:textId="77777777" w:rsidR="008A3BAC" w:rsidRDefault="005C75B9">
            <w:pPr>
              <w:jc w:val="right"/>
              <w:textAlignment w:val="bottom"/>
            </w:pPr>
            <w:r>
              <w:rPr>
                <w:rFonts w:ascii="Arial" w:eastAsia="宋体" w:hAnsi="Arial" w:cs="Arial"/>
                <w:b/>
                <w:bCs/>
                <w:color w:val="000000"/>
                <w:sz w:val="17"/>
                <w:szCs w:val="17"/>
              </w:rPr>
              <w:t>(90)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EB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EC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CEC1" w14:textId="77777777" w:rsidR="008A3BAC" w:rsidRDefault="005C75B9">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CEC2" w14:textId="77777777" w:rsidR="008A3BAC" w:rsidRDefault="008A3BAC">
            <w:pPr>
              <w:jc w:val="right"/>
              <w:rPr>
                <w:rFonts w:ascii="宋体"/>
              </w:rPr>
            </w:pPr>
          </w:p>
        </w:tc>
      </w:tr>
    </w:tbl>
    <w:p w14:paraId="26E9CEC4" w14:textId="77777777" w:rsidR="008A3BAC" w:rsidRDefault="005C75B9">
      <w:pPr>
        <w:spacing w:before="60" w:after="60"/>
        <w:ind w:hanging="360"/>
      </w:pPr>
      <w:r>
        <w:rPr>
          <w:rFonts w:ascii="Arial" w:eastAsia="宋体" w:hAnsi="Arial" w:cs="Arial"/>
          <w:i/>
          <w:iCs/>
          <w:color w:val="000000"/>
          <w:sz w:val="14"/>
          <w:szCs w:val="14"/>
        </w:rPr>
        <w:t>(1)For the nine months ended February 28, 2022 and 2021, the amounts recorded in Other (income) expense, net as a result of the discontinuance of cash flow hedges because the for</w:t>
      </w:r>
      <w:r>
        <w:rPr>
          <w:rFonts w:ascii="Arial" w:eastAsia="宋体" w:hAnsi="Arial" w:cs="Arial"/>
          <w:i/>
          <w:iCs/>
          <w:color w:val="000000"/>
          <w:sz w:val="14"/>
          <w:szCs w:val="14"/>
        </w:rPr>
        <w:t>ecasted transactions were no longer probable of occurring were immaterial.</w:t>
      </w:r>
    </w:p>
    <w:p w14:paraId="26E9CEC5" w14:textId="77777777" w:rsidR="008A3BAC" w:rsidRDefault="005C75B9">
      <w:pPr>
        <w:spacing w:before="60" w:after="60"/>
        <w:ind w:hanging="360"/>
      </w:pPr>
      <w:r>
        <w:rPr>
          <w:rFonts w:ascii="Arial" w:eastAsia="宋体" w:hAnsi="Arial" w:cs="Arial"/>
          <w:i/>
          <w:iCs/>
          <w:color w:val="000000"/>
          <w:sz w:val="14"/>
          <w:szCs w:val="14"/>
        </w:rPr>
        <w:t xml:space="preserve">(2)Gains and losses associated with terminated interest rate swaps, which were previously designated as cash flow hedges and recorded in Accumulated other comprehensive income </w:t>
      </w:r>
      <w:r>
        <w:rPr>
          <w:rFonts w:ascii="Arial" w:eastAsia="宋体" w:hAnsi="Arial" w:cs="Arial"/>
          <w:i/>
          <w:iCs/>
          <w:color w:val="000000"/>
          <w:sz w:val="14"/>
          <w:szCs w:val="14"/>
        </w:rPr>
        <w:t>(loss),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44"/>
        <w:gridCol w:w="2790"/>
        <w:gridCol w:w="37"/>
        <w:gridCol w:w="115"/>
        <w:gridCol w:w="705"/>
        <w:gridCol w:w="36"/>
        <w:gridCol w:w="115"/>
        <w:gridCol w:w="705"/>
        <w:gridCol w:w="36"/>
        <w:gridCol w:w="36"/>
        <w:gridCol w:w="36"/>
        <w:gridCol w:w="36"/>
        <w:gridCol w:w="115"/>
        <w:gridCol w:w="678"/>
        <w:gridCol w:w="36"/>
        <w:gridCol w:w="115"/>
        <w:gridCol w:w="706"/>
        <w:gridCol w:w="36"/>
        <w:gridCol w:w="45"/>
        <w:gridCol w:w="1878"/>
        <w:gridCol w:w="36"/>
      </w:tblGrid>
      <w:tr w:rsidR="008A3BAC" w14:paraId="26E9CEDB" w14:textId="77777777">
        <w:tc>
          <w:tcPr>
            <w:tcW w:w="50" w:type="pct"/>
            <w:shd w:val="clear" w:color="auto" w:fill="auto"/>
            <w:vAlign w:val="bottom"/>
          </w:tcPr>
          <w:p w14:paraId="26E9CEC6" w14:textId="77777777" w:rsidR="008A3BAC" w:rsidRDefault="008A3BAC">
            <w:pPr>
              <w:rPr>
                <w:rFonts w:ascii="宋体"/>
              </w:rPr>
            </w:pPr>
          </w:p>
        </w:tc>
        <w:tc>
          <w:tcPr>
            <w:tcW w:w="1696" w:type="pct"/>
            <w:shd w:val="clear" w:color="auto" w:fill="auto"/>
            <w:vAlign w:val="bottom"/>
          </w:tcPr>
          <w:p w14:paraId="26E9CEC7" w14:textId="77777777" w:rsidR="008A3BAC" w:rsidRDefault="008A3BAC">
            <w:pPr>
              <w:rPr>
                <w:rFonts w:ascii="宋体"/>
              </w:rPr>
            </w:pPr>
          </w:p>
        </w:tc>
        <w:tc>
          <w:tcPr>
            <w:tcW w:w="5" w:type="pct"/>
            <w:shd w:val="clear" w:color="auto" w:fill="auto"/>
            <w:vAlign w:val="bottom"/>
          </w:tcPr>
          <w:p w14:paraId="26E9CEC8" w14:textId="77777777" w:rsidR="008A3BAC" w:rsidRDefault="008A3BAC">
            <w:pPr>
              <w:rPr>
                <w:rFonts w:ascii="宋体"/>
              </w:rPr>
            </w:pPr>
          </w:p>
        </w:tc>
        <w:tc>
          <w:tcPr>
            <w:tcW w:w="50" w:type="pct"/>
            <w:shd w:val="clear" w:color="auto" w:fill="auto"/>
            <w:vAlign w:val="bottom"/>
          </w:tcPr>
          <w:p w14:paraId="26E9CEC9" w14:textId="77777777" w:rsidR="008A3BAC" w:rsidRDefault="008A3BAC">
            <w:pPr>
              <w:rPr>
                <w:rFonts w:ascii="宋体"/>
              </w:rPr>
            </w:pPr>
          </w:p>
        </w:tc>
        <w:tc>
          <w:tcPr>
            <w:tcW w:w="446" w:type="pct"/>
            <w:shd w:val="clear" w:color="auto" w:fill="auto"/>
            <w:vAlign w:val="bottom"/>
          </w:tcPr>
          <w:p w14:paraId="26E9CECA" w14:textId="77777777" w:rsidR="008A3BAC" w:rsidRDefault="008A3BAC">
            <w:pPr>
              <w:rPr>
                <w:rFonts w:ascii="宋体"/>
              </w:rPr>
            </w:pPr>
          </w:p>
        </w:tc>
        <w:tc>
          <w:tcPr>
            <w:tcW w:w="5" w:type="pct"/>
            <w:shd w:val="clear" w:color="auto" w:fill="auto"/>
            <w:vAlign w:val="bottom"/>
          </w:tcPr>
          <w:p w14:paraId="26E9CECB" w14:textId="77777777" w:rsidR="008A3BAC" w:rsidRDefault="008A3BAC">
            <w:pPr>
              <w:rPr>
                <w:rFonts w:ascii="宋体"/>
              </w:rPr>
            </w:pPr>
          </w:p>
        </w:tc>
        <w:tc>
          <w:tcPr>
            <w:tcW w:w="50" w:type="pct"/>
            <w:shd w:val="clear" w:color="auto" w:fill="auto"/>
            <w:vAlign w:val="bottom"/>
          </w:tcPr>
          <w:p w14:paraId="26E9CECC" w14:textId="77777777" w:rsidR="008A3BAC" w:rsidRDefault="008A3BAC">
            <w:pPr>
              <w:rPr>
                <w:rFonts w:ascii="宋体"/>
              </w:rPr>
            </w:pPr>
          </w:p>
        </w:tc>
        <w:tc>
          <w:tcPr>
            <w:tcW w:w="446" w:type="pct"/>
            <w:shd w:val="clear" w:color="auto" w:fill="auto"/>
            <w:vAlign w:val="bottom"/>
          </w:tcPr>
          <w:p w14:paraId="26E9CECD" w14:textId="77777777" w:rsidR="008A3BAC" w:rsidRDefault="008A3BAC">
            <w:pPr>
              <w:rPr>
                <w:rFonts w:ascii="宋体"/>
              </w:rPr>
            </w:pPr>
          </w:p>
        </w:tc>
        <w:tc>
          <w:tcPr>
            <w:tcW w:w="5" w:type="pct"/>
            <w:shd w:val="clear" w:color="auto" w:fill="auto"/>
            <w:vAlign w:val="bottom"/>
          </w:tcPr>
          <w:p w14:paraId="26E9CECE" w14:textId="77777777" w:rsidR="008A3BAC" w:rsidRDefault="008A3BAC">
            <w:pPr>
              <w:rPr>
                <w:rFonts w:ascii="宋体"/>
              </w:rPr>
            </w:pPr>
          </w:p>
        </w:tc>
        <w:tc>
          <w:tcPr>
            <w:tcW w:w="5" w:type="pct"/>
            <w:shd w:val="clear" w:color="auto" w:fill="auto"/>
            <w:vAlign w:val="bottom"/>
          </w:tcPr>
          <w:p w14:paraId="26E9CECF" w14:textId="77777777" w:rsidR="008A3BAC" w:rsidRDefault="008A3BAC">
            <w:pPr>
              <w:rPr>
                <w:rFonts w:ascii="宋体"/>
              </w:rPr>
            </w:pPr>
          </w:p>
        </w:tc>
        <w:tc>
          <w:tcPr>
            <w:tcW w:w="28" w:type="pct"/>
            <w:shd w:val="clear" w:color="auto" w:fill="auto"/>
            <w:vAlign w:val="bottom"/>
          </w:tcPr>
          <w:p w14:paraId="26E9CED0" w14:textId="77777777" w:rsidR="008A3BAC" w:rsidRDefault="008A3BAC">
            <w:pPr>
              <w:rPr>
                <w:rFonts w:ascii="宋体"/>
              </w:rPr>
            </w:pPr>
          </w:p>
        </w:tc>
        <w:tc>
          <w:tcPr>
            <w:tcW w:w="5" w:type="pct"/>
            <w:shd w:val="clear" w:color="auto" w:fill="auto"/>
            <w:vAlign w:val="bottom"/>
          </w:tcPr>
          <w:p w14:paraId="26E9CED1" w14:textId="77777777" w:rsidR="008A3BAC" w:rsidRDefault="008A3BAC">
            <w:pPr>
              <w:rPr>
                <w:rFonts w:ascii="宋体"/>
              </w:rPr>
            </w:pPr>
          </w:p>
        </w:tc>
        <w:tc>
          <w:tcPr>
            <w:tcW w:w="50" w:type="pct"/>
            <w:shd w:val="clear" w:color="auto" w:fill="auto"/>
            <w:vAlign w:val="bottom"/>
          </w:tcPr>
          <w:p w14:paraId="26E9CED2" w14:textId="77777777" w:rsidR="008A3BAC" w:rsidRDefault="008A3BAC">
            <w:pPr>
              <w:rPr>
                <w:rFonts w:ascii="宋体"/>
              </w:rPr>
            </w:pPr>
          </w:p>
        </w:tc>
        <w:tc>
          <w:tcPr>
            <w:tcW w:w="446" w:type="pct"/>
            <w:shd w:val="clear" w:color="auto" w:fill="auto"/>
            <w:vAlign w:val="bottom"/>
          </w:tcPr>
          <w:p w14:paraId="26E9CED3" w14:textId="77777777" w:rsidR="008A3BAC" w:rsidRDefault="008A3BAC">
            <w:pPr>
              <w:rPr>
                <w:rFonts w:ascii="宋体"/>
              </w:rPr>
            </w:pPr>
          </w:p>
        </w:tc>
        <w:tc>
          <w:tcPr>
            <w:tcW w:w="5" w:type="pct"/>
            <w:shd w:val="clear" w:color="auto" w:fill="auto"/>
            <w:vAlign w:val="bottom"/>
          </w:tcPr>
          <w:p w14:paraId="26E9CED4" w14:textId="77777777" w:rsidR="008A3BAC" w:rsidRDefault="008A3BAC">
            <w:pPr>
              <w:rPr>
                <w:rFonts w:ascii="宋体"/>
              </w:rPr>
            </w:pPr>
          </w:p>
        </w:tc>
        <w:tc>
          <w:tcPr>
            <w:tcW w:w="50" w:type="pct"/>
            <w:shd w:val="clear" w:color="auto" w:fill="auto"/>
            <w:vAlign w:val="bottom"/>
          </w:tcPr>
          <w:p w14:paraId="26E9CED5" w14:textId="77777777" w:rsidR="008A3BAC" w:rsidRDefault="008A3BAC">
            <w:pPr>
              <w:rPr>
                <w:rFonts w:ascii="宋体"/>
              </w:rPr>
            </w:pPr>
          </w:p>
        </w:tc>
        <w:tc>
          <w:tcPr>
            <w:tcW w:w="446" w:type="pct"/>
            <w:shd w:val="clear" w:color="auto" w:fill="auto"/>
            <w:vAlign w:val="bottom"/>
          </w:tcPr>
          <w:p w14:paraId="26E9CED6" w14:textId="77777777" w:rsidR="008A3BAC" w:rsidRDefault="008A3BAC">
            <w:pPr>
              <w:rPr>
                <w:rFonts w:ascii="宋体"/>
              </w:rPr>
            </w:pPr>
          </w:p>
        </w:tc>
        <w:tc>
          <w:tcPr>
            <w:tcW w:w="5" w:type="pct"/>
            <w:shd w:val="clear" w:color="auto" w:fill="auto"/>
            <w:vAlign w:val="bottom"/>
          </w:tcPr>
          <w:p w14:paraId="26E9CED7" w14:textId="77777777" w:rsidR="008A3BAC" w:rsidRDefault="008A3BAC">
            <w:pPr>
              <w:rPr>
                <w:rFonts w:ascii="宋体"/>
              </w:rPr>
            </w:pPr>
          </w:p>
        </w:tc>
        <w:tc>
          <w:tcPr>
            <w:tcW w:w="50" w:type="pct"/>
            <w:shd w:val="clear" w:color="auto" w:fill="auto"/>
            <w:vAlign w:val="bottom"/>
          </w:tcPr>
          <w:p w14:paraId="26E9CED8" w14:textId="77777777" w:rsidR="008A3BAC" w:rsidRDefault="008A3BAC">
            <w:pPr>
              <w:rPr>
                <w:rFonts w:ascii="宋体"/>
              </w:rPr>
            </w:pPr>
          </w:p>
        </w:tc>
        <w:tc>
          <w:tcPr>
            <w:tcW w:w="1148" w:type="pct"/>
            <w:shd w:val="clear" w:color="auto" w:fill="auto"/>
            <w:vAlign w:val="bottom"/>
          </w:tcPr>
          <w:p w14:paraId="26E9CED9" w14:textId="77777777" w:rsidR="008A3BAC" w:rsidRDefault="008A3BAC">
            <w:pPr>
              <w:rPr>
                <w:rFonts w:ascii="宋体"/>
              </w:rPr>
            </w:pPr>
          </w:p>
        </w:tc>
        <w:tc>
          <w:tcPr>
            <w:tcW w:w="5" w:type="pct"/>
            <w:shd w:val="clear" w:color="auto" w:fill="auto"/>
            <w:vAlign w:val="bottom"/>
          </w:tcPr>
          <w:p w14:paraId="26E9CEDA" w14:textId="77777777" w:rsidR="008A3BAC" w:rsidRDefault="008A3BAC">
            <w:pPr>
              <w:rPr>
                <w:rFonts w:ascii="宋体"/>
              </w:rPr>
            </w:pPr>
          </w:p>
        </w:tc>
      </w:tr>
      <w:tr w:rsidR="008A3BAC" w14:paraId="26E9CEDF" w14:textId="77777777">
        <w:trPr>
          <w:trHeight w:val="420"/>
        </w:trPr>
        <w:tc>
          <w:tcPr>
            <w:tcW w:w="0" w:type="auto"/>
            <w:gridSpan w:val="3"/>
            <w:shd w:val="clear" w:color="auto" w:fill="auto"/>
            <w:tcMar>
              <w:top w:w="0" w:type="dxa"/>
              <w:left w:w="20" w:type="dxa"/>
              <w:bottom w:w="0" w:type="dxa"/>
              <w:right w:w="20" w:type="dxa"/>
            </w:tcMar>
            <w:vAlign w:val="bottom"/>
          </w:tcPr>
          <w:p w14:paraId="26E9CEDC"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CEDD" w14:textId="77777777" w:rsidR="008A3BAC" w:rsidRDefault="005C75B9">
            <w:pPr>
              <w:jc w:val="center"/>
              <w:textAlignment w:val="bottom"/>
            </w:pPr>
            <w:r>
              <w:rPr>
                <w:rFonts w:ascii="sans-serif" w:eastAsia="sans-serif" w:hAnsi="sans-serif" w:cs="sans-serif"/>
                <w:b/>
                <w:bCs/>
                <w:color w:val="000000"/>
                <w:sz w:val="17"/>
                <w:szCs w:val="17"/>
              </w:rPr>
              <w:t xml:space="preserve">AMOUNT OF GAIN (LOSS) RECOGNIZED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26E9CEDE" w14:textId="77777777" w:rsidR="008A3BAC" w:rsidRDefault="005C75B9">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 xml:space="preserve">ON </w:t>
            </w:r>
            <w:r>
              <w:rPr>
                <w:rFonts w:ascii="sans-serif" w:eastAsia="sans-serif" w:hAnsi="sans-serif" w:cs="sans-serif"/>
                <w:b/>
                <w:bCs/>
                <w:color w:val="000000"/>
                <w:sz w:val="17"/>
                <w:szCs w:val="17"/>
              </w:rPr>
              <w:t>DERIVATIVES</w:t>
            </w:r>
          </w:p>
        </w:tc>
      </w:tr>
      <w:tr w:rsidR="008A3BAC" w14:paraId="26E9CEE5" w14:textId="77777777">
        <w:trPr>
          <w:trHeight w:val="420"/>
        </w:trPr>
        <w:tc>
          <w:tcPr>
            <w:tcW w:w="0" w:type="auto"/>
            <w:gridSpan w:val="3"/>
            <w:shd w:val="clear" w:color="auto" w:fill="auto"/>
            <w:tcMar>
              <w:top w:w="0" w:type="dxa"/>
              <w:left w:w="20" w:type="dxa"/>
              <w:bottom w:w="0" w:type="dxa"/>
              <w:right w:w="20" w:type="dxa"/>
            </w:tcMar>
            <w:vAlign w:val="bottom"/>
          </w:tcPr>
          <w:p w14:paraId="26E9CEE0"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EE1"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EE2"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CEE3"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gridSpan w:val="3"/>
            <w:vMerge/>
            <w:shd w:val="clear" w:color="auto" w:fill="auto"/>
            <w:tcMar>
              <w:top w:w="40" w:type="dxa"/>
              <w:left w:w="20" w:type="dxa"/>
              <w:bottom w:w="40" w:type="dxa"/>
              <w:right w:w="20" w:type="dxa"/>
            </w:tcMar>
            <w:vAlign w:val="bottom"/>
          </w:tcPr>
          <w:p w14:paraId="26E9CEE4" w14:textId="77777777" w:rsidR="008A3BAC" w:rsidRDefault="008A3BAC">
            <w:pPr>
              <w:jc w:val="right"/>
              <w:rPr>
                <w:rFonts w:ascii="宋体"/>
              </w:rPr>
            </w:pPr>
          </w:p>
        </w:tc>
      </w:tr>
      <w:tr w:rsidR="008A3BAC" w14:paraId="26E9CEED" w14:textId="77777777">
        <w:trPr>
          <w:trHeight w:val="240"/>
        </w:trPr>
        <w:tc>
          <w:tcPr>
            <w:tcW w:w="0" w:type="auto"/>
            <w:gridSpan w:val="3"/>
            <w:shd w:val="clear" w:color="auto" w:fill="auto"/>
            <w:tcMar>
              <w:top w:w="40" w:type="dxa"/>
              <w:left w:w="20" w:type="dxa"/>
              <w:bottom w:w="40" w:type="dxa"/>
              <w:right w:w="20" w:type="dxa"/>
            </w:tcMar>
            <w:vAlign w:val="bottom"/>
          </w:tcPr>
          <w:p w14:paraId="26E9CEE6"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E7"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E8"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CEE9"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EA"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EB"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26E9CEEC" w14:textId="77777777" w:rsidR="008A3BAC" w:rsidRDefault="008A3BAC">
            <w:pPr>
              <w:jc w:val="right"/>
              <w:rPr>
                <w:rFonts w:ascii="宋体"/>
              </w:rPr>
            </w:pPr>
          </w:p>
        </w:tc>
      </w:tr>
      <w:tr w:rsidR="008A3BAC" w14:paraId="26E9CEF5" w14:textId="77777777">
        <w:trPr>
          <w:hidden/>
        </w:trPr>
        <w:tc>
          <w:tcPr>
            <w:tcW w:w="0" w:type="auto"/>
            <w:gridSpan w:val="3"/>
            <w:shd w:val="clear" w:color="auto" w:fill="auto"/>
            <w:vAlign w:val="bottom"/>
          </w:tcPr>
          <w:p w14:paraId="26E9CEEE" w14:textId="77777777" w:rsidR="008A3BAC" w:rsidRDefault="008A3BAC">
            <w:pPr>
              <w:rPr>
                <w:rFonts w:ascii="宋体"/>
                <w:vanish/>
              </w:rPr>
            </w:pPr>
          </w:p>
        </w:tc>
        <w:tc>
          <w:tcPr>
            <w:tcW w:w="0" w:type="auto"/>
            <w:gridSpan w:val="3"/>
            <w:shd w:val="clear" w:color="auto" w:fill="auto"/>
            <w:vAlign w:val="bottom"/>
          </w:tcPr>
          <w:p w14:paraId="26E9CEEF" w14:textId="77777777" w:rsidR="008A3BAC" w:rsidRDefault="008A3BAC">
            <w:pPr>
              <w:rPr>
                <w:rFonts w:ascii="宋体"/>
                <w:vanish/>
              </w:rPr>
            </w:pPr>
          </w:p>
        </w:tc>
        <w:tc>
          <w:tcPr>
            <w:tcW w:w="0" w:type="auto"/>
            <w:gridSpan w:val="3"/>
            <w:shd w:val="clear" w:color="auto" w:fill="auto"/>
            <w:vAlign w:val="bottom"/>
          </w:tcPr>
          <w:p w14:paraId="26E9CEF0" w14:textId="77777777" w:rsidR="008A3BAC" w:rsidRDefault="008A3BAC">
            <w:pPr>
              <w:rPr>
                <w:rFonts w:ascii="宋体"/>
                <w:vanish/>
              </w:rPr>
            </w:pPr>
          </w:p>
        </w:tc>
        <w:tc>
          <w:tcPr>
            <w:tcW w:w="0" w:type="auto"/>
            <w:gridSpan w:val="3"/>
            <w:shd w:val="clear" w:color="auto" w:fill="auto"/>
            <w:vAlign w:val="bottom"/>
          </w:tcPr>
          <w:p w14:paraId="26E9CEF1" w14:textId="77777777" w:rsidR="008A3BAC" w:rsidRDefault="008A3BAC">
            <w:pPr>
              <w:rPr>
                <w:rFonts w:ascii="宋体"/>
                <w:vanish/>
              </w:rPr>
            </w:pPr>
          </w:p>
        </w:tc>
        <w:tc>
          <w:tcPr>
            <w:tcW w:w="0" w:type="auto"/>
            <w:gridSpan w:val="3"/>
            <w:shd w:val="clear" w:color="auto" w:fill="auto"/>
            <w:vAlign w:val="bottom"/>
          </w:tcPr>
          <w:p w14:paraId="26E9CEF2" w14:textId="77777777" w:rsidR="008A3BAC" w:rsidRDefault="008A3BAC">
            <w:pPr>
              <w:rPr>
                <w:rFonts w:ascii="宋体"/>
                <w:vanish/>
              </w:rPr>
            </w:pPr>
          </w:p>
        </w:tc>
        <w:tc>
          <w:tcPr>
            <w:tcW w:w="0" w:type="auto"/>
            <w:gridSpan w:val="3"/>
            <w:shd w:val="clear" w:color="auto" w:fill="auto"/>
            <w:vAlign w:val="bottom"/>
          </w:tcPr>
          <w:p w14:paraId="26E9CEF3" w14:textId="77777777" w:rsidR="008A3BAC" w:rsidRDefault="008A3BAC">
            <w:pPr>
              <w:rPr>
                <w:rFonts w:ascii="宋体"/>
                <w:vanish/>
              </w:rPr>
            </w:pPr>
          </w:p>
        </w:tc>
        <w:tc>
          <w:tcPr>
            <w:tcW w:w="0" w:type="auto"/>
            <w:gridSpan w:val="3"/>
            <w:shd w:val="clear" w:color="auto" w:fill="auto"/>
            <w:vAlign w:val="bottom"/>
          </w:tcPr>
          <w:p w14:paraId="26E9CEF4" w14:textId="77777777" w:rsidR="008A3BAC" w:rsidRDefault="008A3BAC">
            <w:pPr>
              <w:rPr>
                <w:rFonts w:ascii="宋体"/>
                <w:vanish/>
              </w:rPr>
            </w:pPr>
          </w:p>
        </w:tc>
      </w:tr>
      <w:tr w:rsidR="008A3BAC" w14:paraId="26E9CEFD" w14:textId="77777777">
        <w:trPr>
          <w:hidden/>
        </w:trPr>
        <w:tc>
          <w:tcPr>
            <w:tcW w:w="0" w:type="auto"/>
            <w:gridSpan w:val="3"/>
            <w:shd w:val="clear" w:color="auto" w:fill="auto"/>
            <w:vAlign w:val="bottom"/>
          </w:tcPr>
          <w:p w14:paraId="26E9CEF6" w14:textId="77777777" w:rsidR="008A3BAC" w:rsidRDefault="008A3BAC">
            <w:pPr>
              <w:rPr>
                <w:rFonts w:ascii="宋体"/>
                <w:vanish/>
              </w:rPr>
            </w:pPr>
          </w:p>
        </w:tc>
        <w:tc>
          <w:tcPr>
            <w:tcW w:w="0" w:type="auto"/>
            <w:gridSpan w:val="3"/>
            <w:shd w:val="clear" w:color="auto" w:fill="auto"/>
            <w:vAlign w:val="bottom"/>
          </w:tcPr>
          <w:p w14:paraId="26E9CEF7" w14:textId="77777777" w:rsidR="008A3BAC" w:rsidRDefault="008A3BAC">
            <w:pPr>
              <w:rPr>
                <w:rFonts w:ascii="宋体"/>
                <w:vanish/>
              </w:rPr>
            </w:pPr>
          </w:p>
        </w:tc>
        <w:tc>
          <w:tcPr>
            <w:tcW w:w="0" w:type="auto"/>
            <w:gridSpan w:val="3"/>
            <w:shd w:val="clear" w:color="auto" w:fill="auto"/>
            <w:vAlign w:val="bottom"/>
          </w:tcPr>
          <w:p w14:paraId="26E9CEF8" w14:textId="77777777" w:rsidR="008A3BAC" w:rsidRDefault="008A3BAC">
            <w:pPr>
              <w:rPr>
                <w:rFonts w:ascii="宋体"/>
                <w:vanish/>
              </w:rPr>
            </w:pPr>
          </w:p>
        </w:tc>
        <w:tc>
          <w:tcPr>
            <w:tcW w:w="0" w:type="auto"/>
            <w:gridSpan w:val="3"/>
            <w:shd w:val="clear" w:color="auto" w:fill="auto"/>
            <w:vAlign w:val="bottom"/>
          </w:tcPr>
          <w:p w14:paraId="26E9CEF9" w14:textId="77777777" w:rsidR="008A3BAC" w:rsidRDefault="008A3BAC">
            <w:pPr>
              <w:rPr>
                <w:rFonts w:ascii="宋体"/>
                <w:vanish/>
              </w:rPr>
            </w:pPr>
          </w:p>
        </w:tc>
        <w:tc>
          <w:tcPr>
            <w:tcW w:w="0" w:type="auto"/>
            <w:gridSpan w:val="3"/>
            <w:shd w:val="clear" w:color="auto" w:fill="auto"/>
            <w:vAlign w:val="bottom"/>
          </w:tcPr>
          <w:p w14:paraId="26E9CEFA" w14:textId="77777777" w:rsidR="008A3BAC" w:rsidRDefault="008A3BAC">
            <w:pPr>
              <w:rPr>
                <w:rFonts w:ascii="宋体"/>
                <w:vanish/>
              </w:rPr>
            </w:pPr>
          </w:p>
        </w:tc>
        <w:tc>
          <w:tcPr>
            <w:tcW w:w="0" w:type="auto"/>
            <w:gridSpan w:val="3"/>
            <w:shd w:val="clear" w:color="auto" w:fill="auto"/>
            <w:vAlign w:val="bottom"/>
          </w:tcPr>
          <w:p w14:paraId="26E9CEFB" w14:textId="77777777" w:rsidR="008A3BAC" w:rsidRDefault="008A3BAC">
            <w:pPr>
              <w:rPr>
                <w:rFonts w:ascii="宋体"/>
                <w:vanish/>
              </w:rPr>
            </w:pPr>
          </w:p>
        </w:tc>
        <w:tc>
          <w:tcPr>
            <w:tcW w:w="0" w:type="auto"/>
            <w:gridSpan w:val="3"/>
            <w:shd w:val="clear" w:color="auto" w:fill="auto"/>
            <w:vAlign w:val="bottom"/>
          </w:tcPr>
          <w:p w14:paraId="26E9CEFC" w14:textId="77777777" w:rsidR="008A3BAC" w:rsidRDefault="008A3BAC">
            <w:pPr>
              <w:rPr>
                <w:rFonts w:ascii="宋体"/>
                <w:vanish/>
              </w:rPr>
            </w:pPr>
          </w:p>
        </w:tc>
      </w:tr>
      <w:tr w:rsidR="008A3BAC" w14:paraId="26E9CF0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EFE" w14:textId="77777777" w:rsidR="008A3BAC" w:rsidRDefault="005C75B9">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EF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0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0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0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0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04" w14:textId="77777777" w:rsidR="008A3BAC" w:rsidRDefault="008A3BAC">
            <w:pPr>
              <w:rPr>
                <w:rFonts w:ascii="宋体"/>
              </w:rPr>
            </w:pPr>
          </w:p>
        </w:tc>
      </w:tr>
      <w:tr w:rsidR="008A3BAC" w14:paraId="26E9CF1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CF06"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CF0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F08" w14:textId="77777777" w:rsidR="008A3BAC" w:rsidRDefault="005C75B9">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0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F0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F0B" w14:textId="77777777" w:rsidR="008A3BAC" w:rsidRDefault="005C75B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0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CF0D"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CF0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CF0F"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10"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CF1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CF12" w14:textId="77777777" w:rsidR="008A3BAC" w:rsidRDefault="005C75B9">
            <w:pPr>
              <w:jc w:val="right"/>
              <w:textAlignment w:val="bottom"/>
            </w:pPr>
            <w:r>
              <w:rPr>
                <w:rFonts w:ascii="Arial" w:eastAsia="宋体" w:hAnsi="Arial" w:cs="Arial"/>
                <w:color w:val="000000"/>
                <w:sz w:val="17"/>
                <w:szCs w:val="17"/>
              </w:rPr>
              <w:t>(98)</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13"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CF14" w14:textId="77777777" w:rsidR="008A3BAC" w:rsidRDefault="005C75B9">
            <w:pPr>
              <w:jc w:val="right"/>
              <w:textAlignment w:val="bottom"/>
            </w:pPr>
            <w:r>
              <w:rPr>
                <w:rFonts w:ascii="Arial" w:eastAsia="宋体" w:hAnsi="Arial" w:cs="Arial"/>
                <w:color w:val="000000"/>
                <w:sz w:val="17"/>
                <w:szCs w:val="17"/>
              </w:rPr>
              <w:t>Other (income) expense, net</w:t>
            </w:r>
          </w:p>
        </w:tc>
      </w:tr>
      <w:tr w:rsidR="008A3BAC" w14:paraId="26E9CF21"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6E9CF16" w14:textId="77777777" w:rsidR="008A3BAC" w:rsidRDefault="005C75B9">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F1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F18"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F19" w14:textId="77777777" w:rsidR="008A3BAC" w:rsidRDefault="005C75B9">
            <w:pPr>
              <w:jc w:val="right"/>
              <w:textAlignment w:val="bottom"/>
            </w:pPr>
            <w:r>
              <w:rPr>
                <w:rFonts w:ascii="Arial" w:eastAsia="宋体" w:hAnsi="Arial" w:cs="Arial"/>
                <w:color w:val="000000"/>
                <w:sz w:val="17"/>
                <w:szCs w:val="17"/>
              </w:rPr>
              <w:t>(4)</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F1A"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CF1B"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CF1C" w14:textId="77777777" w:rsidR="008A3BAC" w:rsidRDefault="005C75B9">
            <w:pPr>
              <w:jc w:val="right"/>
              <w:textAlignment w:val="bottom"/>
            </w:pPr>
            <w:r>
              <w:rPr>
                <w:rFonts w:ascii="Arial" w:eastAsia="宋体" w:hAnsi="Arial" w:cs="Arial"/>
                <w:color w:val="000000"/>
                <w:sz w:val="17"/>
                <w:szCs w:val="17"/>
              </w:rPr>
              <w:t>(9)</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CF1D"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CF1E" w14:textId="77777777" w:rsidR="008A3BAC" w:rsidRDefault="005C75B9">
            <w:pPr>
              <w:jc w:val="right"/>
              <w:textAlignment w:val="bottom"/>
            </w:pPr>
            <w:r>
              <w:rPr>
                <w:rFonts w:ascii="Arial" w:eastAsia="宋体" w:hAnsi="Arial" w:cs="Arial"/>
                <w:color w:val="000000"/>
                <w:sz w:val="17"/>
                <w:szCs w:val="17"/>
              </w:rPr>
              <w:t>(17)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CF1F" w14:textId="77777777" w:rsidR="008A3BAC" w:rsidRDefault="008A3BAC">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CF20" w14:textId="77777777" w:rsidR="008A3BAC" w:rsidRDefault="005C75B9">
            <w:pPr>
              <w:jc w:val="right"/>
              <w:textAlignment w:val="bottom"/>
            </w:pPr>
            <w:r>
              <w:rPr>
                <w:rFonts w:ascii="Arial" w:eastAsia="宋体" w:hAnsi="Arial" w:cs="Arial"/>
                <w:color w:val="000000"/>
                <w:sz w:val="17"/>
                <w:szCs w:val="17"/>
              </w:rPr>
              <w:t>Other (income) expense, net</w:t>
            </w:r>
          </w:p>
        </w:tc>
      </w:tr>
    </w:tbl>
    <w:p w14:paraId="26E9CF22" w14:textId="77777777" w:rsidR="008A3BAC" w:rsidRDefault="005C75B9">
      <w:pPr>
        <w:spacing w:before="240" w:after="120"/>
      </w:pPr>
      <w:r>
        <w:rPr>
          <w:rFonts w:ascii="sans-serif" w:eastAsia="sans-serif" w:hAnsi="sans-serif" w:cs="sans-serif"/>
          <w:b/>
          <w:bCs/>
          <w:color w:val="000000"/>
          <w:sz w:val="28"/>
          <w:szCs w:val="28"/>
        </w:rPr>
        <w:t>CASH FLOW HEDGES</w:t>
      </w:r>
    </w:p>
    <w:p w14:paraId="26E9CF23" w14:textId="77777777" w:rsidR="008A3BAC" w:rsidRDefault="005C75B9">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Unaudited Condensed Consolidated Statements of Income in the same manner as the underlying exposure. When it is no longer probable the forecasted hedged transaction will occur in the initially identified time period, hedge accountin</w:t>
      </w:r>
      <w:r>
        <w:rPr>
          <w:rFonts w:ascii="Arial" w:eastAsia="宋体" w:hAnsi="Arial" w:cs="Arial"/>
          <w:color w:val="000000"/>
          <w:sz w:val="17"/>
          <w:szCs w:val="17"/>
        </w:rPr>
        <w:t>g is discontinued and the Company accounts for the associated derivative as an undesignated instrument as discussed below. Additionally, the gains and losses associated with derivatives no longer designated as cash flow hedge instruments in Accumulated oth</w:t>
      </w:r>
      <w:r>
        <w:rPr>
          <w:rFonts w:ascii="Arial" w:eastAsia="宋体" w:hAnsi="Arial" w:cs="Arial"/>
          <w:color w:val="000000"/>
          <w:sz w:val="17"/>
          <w:szCs w:val="17"/>
        </w:rPr>
        <w:t>er comprehensive income (loss) are recognized immediately in Other (income) expense, net, if it is probable the forecasted hedged transaction will not occur by the end of the initially identified time period or within an additional two-month period thereaf</w:t>
      </w:r>
      <w:r>
        <w:rPr>
          <w:rFonts w:ascii="Arial" w:eastAsia="宋体" w:hAnsi="Arial" w:cs="Arial"/>
          <w:color w:val="000000"/>
          <w:sz w:val="17"/>
          <w:szCs w:val="17"/>
        </w:rPr>
        <w:t xml:space="preserve">ter. In rare circumstances, the additional period of time may exceed two months due to extenuating circumstances related to the nature of the forecasted transaction that are outside the control or influence of the Company. </w:t>
      </w:r>
    </w:p>
    <w:p w14:paraId="26E9CF24" w14:textId="77777777" w:rsidR="008A3BAC" w:rsidRDefault="005C75B9">
      <w:pPr>
        <w:spacing w:before="120" w:after="120"/>
      </w:pPr>
      <w:r>
        <w:rPr>
          <w:rFonts w:ascii="Arial" w:eastAsia="宋体" w:hAnsi="Arial" w:cs="Arial"/>
          <w:color w:val="000000"/>
          <w:sz w:val="17"/>
          <w:szCs w:val="17"/>
        </w:rPr>
        <w:t>The total notional amount of out</w:t>
      </w:r>
      <w:r>
        <w:rPr>
          <w:rFonts w:ascii="Arial" w:eastAsia="宋体" w:hAnsi="Arial" w:cs="Arial"/>
          <w:color w:val="000000"/>
          <w:sz w:val="17"/>
          <w:szCs w:val="17"/>
        </w:rPr>
        <w:t>standing foreign currency derivatives designated as cash flow hedges was approximately $17.2 billion as of February 28, 2022. Approximately $305 million of deferred net gains (net of tax) on both outstanding and matured derivatives in Accumulated other com</w:t>
      </w:r>
      <w:r>
        <w:rPr>
          <w:rFonts w:ascii="Arial" w:eastAsia="宋体" w:hAnsi="Arial" w:cs="Arial"/>
          <w:color w:val="000000"/>
          <w:sz w:val="17"/>
          <w:szCs w:val="17"/>
        </w:rPr>
        <w:t>prehensive income (loss) as of February 28, 2022, are expected to be reclassified to Net income during the next 12 months concurrent with the underlying hedged transactions also being recorded in Net income. Actual amounts ultimately reclassified to Net in</w:t>
      </w:r>
      <w:r>
        <w:rPr>
          <w:rFonts w:ascii="Arial" w:eastAsia="宋体" w:hAnsi="Arial" w:cs="Arial"/>
          <w:color w:val="000000"/>
          <w:sz w:val="17"/>
          <w:szCs w:val="17"/>
        </w:rPr>
        <w:t>come are dependent on the exchange rates in effect when derivative contracts currently outstanding mature. As of February 28, 2022, the maximum term over which the Company hedges exposures to the variability of cash flows for its forecasted transactions wa</w:t>
      </w:r>
      <w:r>
        <w:rPr>
          <w:rFonts w:ascii="Arial" w:eastAsia="宋体" w:hAnsi="Arial" w:cs="Arial"/>
          <w:color w:val="000000"/>
          <w:sz w:val="17"/>
          <w:szCs w:val="17"/>
        </w:rPr>
        <w:t xml:space="preserve">s 27 months. </w:t>
      </w:r>
    </w:p>
    <w:p w14:paraId="26E9CF25" w14:textId="77777777" w:rsidR="008A3BAC" w:rsidRDefault="005C75B9">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26E9CF26" w14:textId="77777777" w:rsidR="008A3BAC" w:rsidRDefault="005C75B9">
      <w:r>
        <w:pict w14:anchorId="26E9E857">
          <v:rect id="_x0000_i1042" style="width:415.3pt;height:1.5pt" o:hralign="center" o:hrstd="t" o:hr="t" fillcolor="#a0a0a0" stroked="f"/>
        </w:pict>
      </w:r>
    </w:p>
    <w:p w14:paraId="26E9CF27" w14:textId="77777777" w:rsidR="008A3BAC" w:rsidRDefault="008A3BAC"/>
    <w:p w14:paraId="26E9CF28" w14:textId="77777777" w:rsidR="008A3BAC" w:rsidRDefault="005C75B9">
      <w:hyperlink r:id="rId87" w:anchor="i46aba51c6a804f42b3595948c57d2023_7" w:history="1">
        <w:r>
          <w:rPr>
            <w:rStyle w:val="a5"/>
            <w:rFonts w:ascii="sans-serif" w:eastAsia="sans-serif" w:hAnsi="sans-serif" w:cs="sans-serif"/>
            <w:sz w:val="17"/>
            <w:szCs w:val="17"/>
          </w:rPr>
          <w:t>Table of Contents</w:t>
        </w:r>
      </w:hyperlink>
    </w:p>
    <w:p w14:paraId="26E9CF29" w14:textId="77777777" w:rsidR="008A3BAC" w:rsidRDefault="008A3BAC"/>
    <w:p w14:paraId="26E9CF2A" w14:textId="77777777" w:rsidR="008A3BAC" w:rsidRDefault="005C75B9">
      <w:pPr>
        <w:spacing w:before="240" w:after="120"/>
      </w:pPr>
      <w:r>
        <w:rPr>
          <w:rFonts w:ascii="sans-serif" w:eastAsia="sans-serif" w:hAnsi="sans-serif" w:cs="sans-serif"/>
          <w:b/>
          <w:bCs/>
          <w:color w:val="000000"/>
          <w:sz w:val="28"/>
          <w:szCs w:val="28"/>
        </w:rPr>
        <w:t>UNDESIGNATED DERIVATIVE INSTRUMENTS</w:t>
      </w:r>
    </w:p>
    <w:p w14:paraId="26E9CF2B" w14:textId="77777777" w:rsidR="008A3BAC" w:rsidRDefault="005C75B9">
      <w:pPr>
        <w:spacing w:before="120" w:after="120"/>
      </w:pPr>
      <w:r>
        <w:rPr>
          <w:rFonts w:ascii="Arial" w:eastAsia="宋体" w:hAnsi="Arial" w:cs="Arial"/>
          <w:color w:val="000000"/>
          <w:sz w:val="17"/>
          <w:szCs w:val="17"/>
        </w:rPr>
        <w:t>The Company may elect to enter into foreign excha</w:t>
      </w:r>
      <w:r>
        <w:rPr>
          <w:rFonts w:ascii="Arial" w:eastAsia="宋体" w:hAnsi="Arial" w:cs="Arial"/>
          <w:color w:val="000000"/>
          <w:sz w:val="17"/>
          <w:szCs w:val="17"/>
        </w:rPr>
        <w:t>nge forwards to mitigate the change in fair value of specific assets and liabilities on the Unaudited Condensed Consolidated Balance Sheets and/or embedded derivative contracts. These undesignated instruments are recorded at fair value as a derivative asse</w:t>
      </w:r>
      <w:r>
        <w:rPr>
          <w:rFonts w:ascii="Arial" w:eastAsia="宋体" w:hAnsi="Arial" w:cs="Arial"/>
          <w:color w:val="000000"/>
          <w:sz w:val="17"/>
          <w:szCs w:val="17"/>
        </w:rPr>
        <w:t>t or liability on the Unaudited Condensed Consolidated Balance Sheets with their corresponding change in fair value recognized in Other (income) expense, net, together with the remeasurement gain or loss from the hedged balance sheet position and/or embedd</w:t>
      </w:r>
      <w:r>
        <w:rPr>
          <w:rFonts w:ascii="Arial" w:eastAsia="宋体" w:hAnsi="Arial" w:cs="Arial"/>
          <w:color w:val="000000"/>
          <w:sz w:val="17"/>
          <w:szCs w:val="17"/>
        </w:rPr>
        <w:t>ed derivative contract. The total notional amount of outstanding undesignated derivative instruments was $3.2 billion as of February 28, 2022.</w:t>
      </w:r>
    </w:p>
    <w:p w14:paraId="26E9CF2C" w14:textId="77777777" w:rsidR="008A3BAC" w:rsidRDefault="005C75B9">
      <w:pPr>
        <w:spacing w:before="240" w:after="120"/>
      </w:pPr>
      <w:r>
        <w:rPr>
          <w:rFonts w:ascii="sans-serif" w:eastAsia="sans-serif" w:hAnsi="sans-serif" w:cs="sans-serif"/>
          <w:b/>
          <w:bCs/>
          <w:color w:val="000000"/>
          <w:sz w:val="28"/>
          <w:szCs w:val="28"/>
        </w:rPr>
        <w:t>EMBEDDED DERIVATIVES</w:t>
      </w:r>
    </w:p>
    <w:p w14:paraId="26E9CF2D" w14:textId="77777777" w:rsidR="008A3BAC" w:rsidRDefault="005C75B9">
      <w:pPr>
        <w:spacing w:before="120" w:after="120"/>
      </w:pPr>
      <w:r>
        <w:rPr>
          <w:rFonts w:ascii="Arial" w:eastAsia="宋体" w:hAnsi="Arial" w:cs="Arial"/>
          <w:color w:val="000000"/>
          <w:sz w:val="17"/>
          <w:szCs w:val="17"/>
        </w:rPr>
        <w:t>Embedded derivative contracts are treated as foreign currency forward contracts that are bif</w:t>
      </w:r>
      <w:r>
        <w:rPr>
          <w:rFonts w:ascii="Arial" w:eastAsia="宋体" w:hAnsi="Arial" w:cs="Arial"/>
          <w:color w:val="000000"/>
          <w:sz w:val="17"/>
          <w:szCs w:val="17"/>
        </w:rPr>
        <w:t>urcated from the related contract and recorded at fair value as a derivative asset or liability on the Unaudited Condensed Consolidated Balance Sheets with their corresponding change in fair value recognized in Other (income) expense, net, through the date</w:t>
      </w:r>
      <w:r>
        <w:rPr>
          <w:rFonts w:ascii="Arial" w:eastAsia="宋体" w:hAnsi="Arial" w:cs="Arial"/>
          <w:color w:val="000000"/>
          <w:sz w:val="17"/>
          <w:szCs w:val="17"/>
        </w:rPr>
        <w:t xml:space="preserve"> the foreign currency fluctuations cease to exist. </w:t>
      </w:r>
    </w:p>
    <w:p w14:paraId="26E9CF2E" w14:textId="77777777" w:rsidR="008A3BAC" w:rsidRDefault="005C75B9">
      <w:pPr>
        <w:spacing w:before="120" w:after="120"/>
      </w:pPr>
      <w:r>
        <w:rPr>
          <w:rFonts w:ascii="Arial" w:eastAsia="宋体" w:hAnsi="Arial" w:cs="Arial"/>
          <w:color w:val="000000"/>
          <w:sz w:val="17"/>
          <w:szCs w:val="17"/>
        </w:rPr>
        <w:t>As of February 28, 2022, the total notional amount of embedded derivatives outstanding was approximately $589 million.</w:t>
      </w:r>
    </w:p>
    <w:p w14:paraId="26E9CF2F" w14:textId="77777777" w:rsidR="008A3BAC" w:rsidRDefault="005C75B9">
      <w:pPr>
        <w:spacing w:before="240" w:after="120"/>
      </w:pPr>
      <w:r>
        <w:rPr>
          <w:rFonts w:ascii="sans-serif" w:eastAsia="sans-serif" w:hAnsi="sans-serif" w:cs="sans-serif"/>
          <w:b/>
          <w:bCs/>
          <w:color w:val="000000"/>
          <w:sz w:val="28"/>
          <w:szCs w:val="28"/>
        </w:rPr>
        <w:t>CREDIT RISK</w:t>
      </w:r>
    </w:p>
    <w:p w14:paraId="26E9CF30" w14:textId="77777777" w:rsidR="008A3BAC" w:rsidRDefault="005C75B9">
      <w:pPr>
        <w:spacing w:before="120" w:after="120"/>
      </w:pPr>
      <w:r>
        <w:rPr>
          <w:rFonts w:ascii="Arial" w:eastAsia="宋体" w:hAnsi="Arial" w:cs="Arial"/>
          <w:color w:val="000000"/>
          <w:sz w:val="17"/>
          <w:szCs w:val="17"/>
        </w:rPr>
        <w:t>The Company's bilateral credit-related contingent features generally requ</w:t>
      </w:r>
      <w:r>
        <w:rPr>
          <w:rFonts w:ascii="Arial" w:eastAsia="宋体" w:hAnsi="Arial" w:cs="Arial"/>
          <w:color w:val="000000"/>
          <w:sz w:val="17"/>
          <w:szCs w:val="17"/>
        </w:rPr>
        <w:t>ire the owing entity, either the Company or the derivative counterparty, to post collateral for the portion of the fair value in excess of $50 million should the fair value of outstanding derivatives per counterparty be greater than $50 million. Additional</w:t>
      </w:r>
      <w:r>
        <w:rPr>
          <w:rFonts w:ascii="Arial" w:eastAsia="宋体" w:hAnsi="Arial" w:cs="Arial"/>
          <w:color w:val="000000"/>
          <w:sz w:val="17"/>
          <w:szCs w:val="17"/>
        </w:rPr>
        <w:t>ly, a certain level of decline in credit rating of either the Company or the counterparty could trigger collateral requirements. As of February 28, 2022, the Company was in compliance with all credit risk-related contingent features, and derivative instrum</w:t>
      </w:r>
      <w:r>
        <w:rPr>
          <w:rFonts w:ascii="Arial" w:eastAsia="宋体" w:hAnsi="Arial" w:cs="Arial"/>
          <w:color w:val="000000"/>
          <w:sz w:val="17"/>
          <w:szCs w:val="17"/>
        </w:rPr>
        <w:t>ents with such features were in a net asset position of approximately $375 million. Accordingly, the Company was not required to post cash collateral as a result of these contingent features. Further, $62 million of collateral was received on the Company's</w:t>
      </w:r>
      <w:r>
        <w:rPr>
          <w:rFonts w:ascii="Arial" w:eastAsia="宋体" w:hAnsi="Arial" w:cs="Arial"/>
          <w:color w:val="000000"/>
          <w:sz w:val="17"/>
          <w:szCs w:val="17"/>
        </w:rPr>
        <w:t xml:space="preserve"> derivative asset balance as of February 28, 2022. The Company considers the impact of the risk of counterparty default to be immaterial.</w:t>
      </w:r>
    </w:p>
    <w:p w14:paraId="26E9CF31" w14:textId="77777777" w:rsidR="008A3BAC" w:rsidRDefault="005C75B9">
      <w:pPr>
        <w:spacing w:before="120" w:after="120"/>
      </w:pPr>
      <w:r>
        <w:rPr>
          <w:rFonts w:ascii="Arial" w:eastAsia="宋体" w:hAnsi="Arial" w:cs="Arial"/>
          <w:color w:val="000000"/>
          <w:sz w:val="17"/>
          <w:szCs w:val="17"/>
        </w:rPr>
        <w:t>For additional information related to the Company's derivative financial instruments and collateral, refer to Note 4 —</w:t>
      </w:r>
      <w:r>
        <w:rPr>
          <w:rFonts w:ascii="Arial" w:eastAsia="宋体" w:hAnsi="Arial" w:cs="Arial"/>
          <w:color w:val="000000"/>
          <w:sz w:val="17"/>
          <w:szCs w:val="17"/>
        </w:rPr>
        <w:t xml:space="preserve"> Fair Value Measurements.</w:t>
      </w:r>
    </w:p>
    <w:p w14:paraId="26E9CF32" w14:textId="77777777" w:rsidR="008A3BAC" w:rsidRDefault="005C75B9">
      <w:pPr>
        <w:spacing w:before="120" w:after="120"/>
        <w:jc w:val="right"/>
      </w:pPr>
      <w:r>
        <w:rPr>
          <w:rFonts w:ascii="Arial" w:eastAsia="宋体" w:hAnsi="Arial" w:cs="Arial"/>
          <w:color w:val="E87722"/>
          <w:sz w:val="17"/>
          <w:szCs w:val="17"/>
        </w:rPr>
        <w:t>17</w:t>
      </w:r>
    </w:p>
    <w:p w14:paraId="26E9CF33" w14:textId="77777777" w:rsidR="008A3BAC" w:rsidRDefault="005C75B9">
      <w:r>
        <w:pict w14:anchorId="26E9E858">
          <v:rect id="_x0000_i1043" style="width:415.3pt;height:1.5pt" o:hralign="center" o:hrstd="t" o:hr="t" fillcolor="#a0a0a0" stroked="f"/>
        </w:pict>
      </w:r>
    </w:p>
    <w:p w14:paraId="26E9CF34" w14:textId="77777777" w:rsidR="008A3BAC" w:rsidRDefault="008A3BAC"/>
    <w:p w14:paraId="26E9CF35" w14:textId="77777777" w:rsidR="008A3BAC" w:rsidRDefault="005C75B9">
      <w:hyperlink r:id="rId88" w:anchor="i46aba51c6a804f42b3595948c57d2023_7" w:history="1">
        <w:r>
          <w:rPr>
            <w:rStyle w:val="a5"/>
            <w:rFonts w:ascii="sans-serif" w:eastAsia="sans-serif" w:hAnsi="sans-serif" w:cs="sans-serif"/>
            <w:sz w:val="17"/>
            <w:szCs w:val="17"/>
          </w:rPr>
          <w:t>Table of Contents</w:t>
        </w:r>
      </w:hyperlink>
    </w:p>
    <w:p w14:paraId="26E9CF36" w14:textId="77777777" w:rsidR="008A3BAC" w:rsidRDefault="008A3BAC"/>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8A3BAC" w14:paraId="26E9CF3A" w14:textId="77777777">
        <w:tc>
          <w:tcPr>
            <w:tcW w:w="50" w:type="pct"/>
            <w:shd w:val="clear" w:color="auto" w:fill="auto"/>
            <w:vAlign w:val="bottom"/>
          </w:tcPr>
          <w:p w14:paraId="26E9CF37" w14:textId="77777777" w:rsidR="008A3BAC" w:rsidRDefault="008A3BAC">
            <w:pPr>
              <w:rPr>
                <w:rFonts w:ascii="宋体"/>
              </w:rPr>
            </w:pPr>
          </w:p>
        </w:tc>
        <w:tc>
          <w:tcPr>
            <w:tcW w:w="4945" w:type="pct"/>
            <w:shd w:val="clear" w:color="auto" w:fill="auto"/>
            <w:vAlign w:val="bottom"/>
          </w:tcPr>
          <w:p w14:paraId="26E9CF38" w14:textId="77777777" w:rsidR="008A3BAC" w:rsidRDefault="008A3BAC">
            <w:pPr>
              <w:rPr>
                <w:rFonts w:ascii="宋体"/>
              </w:rPr>
            </w:pPr>
          </w:p>
        </w:tc>
        <w:tc>
          <w:tcPr>
            <w:tcW w:w="5" w:type="pct"/>
            <w:shd w:val="clear" w:color="auto" w:fill="auto"/>
            <w:vAlign w:val="bottom"/>
          </w:tcPr>
          <w:p w14:paraId="26E9CF39" w14:textId="77777777" w:rsidR="008A3BAC" w:rsidRDefault="008A3BAC">
            <w:pPr>
              <w:rPr>
                <w:rFonts w:ascii="宋体"/>
              </w:rPr>
            </w:pPr>
          </w:p>
        </w:tc>
      </w:tr>
      <w:tr w:rsidR="008A3BAC" w14:paraId="26E9CF3C" w14:textId="77777777">
        <w:tc>
          <w:tcPr>
            <w:tcW w:w="0" w:type="auto"/>
            <w:gridSpan w:val="3"/>
            <w:shd w:val="clear" w:color="auto" w:fill="auto"/>
            <w:tcMar>
              <w:top w:w="40" w:type="dxa"/>
              <w:left w:w="20" w:type="dxa"/>
              <w:bottom w:w="40" w:type="dxa"/>
              <w:right w:w="20" w:type="dxa"/>
            </w:tcMar>
            <w:vAlign w:val="bottom"/>
          </w:tcPr>
          <w:p w14:paraId="26E9CF3B" w14:textId="77777777" w:rsidR="008A3BAC" w:rsidRDefault="005C75B9">
            <w:pPr>
              <w:textAlignment w:val="bottom"/>
            </w:pPr>
            <w:r>
              <w:rPr>
                <w:rFonts w:ascii="sans-serif" w:eastAsia="sans-serif" w:hAnsi="sans-serif" w:cs="sans-serif"/>
                <w:b/>
                <w:bCs/>
                <w:color w:val="E87722"/>
                <w:sz w:val="36"/>
                <w:szCs w:val="36"/>
              </w:rPr>
              <w:t xml:space="preserve">NOTE 10 — ACCUMULATED OTHER </w:t>
            </w:r>
            <w:r>
              <w:rPr>
                <w:rFonts w:ascii="sans-serif" w:eastAsia="sans-serif" w:hAnsi="sans-serif" w:cs="sans-serif"/>
                <w:b/>
                <w:bCs/>
                <w:color w:val="E87722"/>
                <w:sz w:val="36"/>
                <w:szCs w:val="36"/>
              </w:rPr>
              <w:t>COMPREHENSIVE INCOME (LOSS)</w:t>
            </w:r>
          </w:p>
        </w:tc>
      </w:tr>
    </w:tbl>
    <w:p w14:paraId="26E9CF3D" w14:textId="77777777" w:rsidR="008A3BAC" w:rsidRDefault="005C75B9">
      <w:pPr>
        <w:spacing w:before="120" w:after="120"/>
      </w:pPr>
      <w:r>
        <w:rPr>
          <w:rFonts w:ascii="Arial" w:eastAsia="宋体" w:hAnsi="Arial" w:cs="Arial"/>
          <w:color w:val="000000"/>
          <w:sz w:val="17"/>
          <w:szCs w:val="17"/>
        </w:rPr>
        <w:t>The changes in 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1"/>
        <w:gridCol w:w="39"/>
        <w:gridCol w:w="116"/>
        <w:gridCol w:w="1030"/>
        <w:gridCol w:w="36"/>
        <w:gridCol w:w="116"/>
        <w:gridCol w:w="633"/>
        <w:gridCol w:w="36"/>
        <w:gridCol w:w="116"/>
        <w:gridCol w:w="867"/>
        <w:gridCol w:w="36"/>
        <w:gridCol w:w="116"/>
        <w:gridCol w:w="633"/>
        <w:gridCol w:w="36"/>
        <w:gridCol w:w="116"/>
        <w:gridCol w:w="633"/>
        <w:gridCol w:w="36"/>
      </w:tblGrid>
      <w:tr w:rsidR="008A3BAC" w14:paraId="26E9CF50" w14:textId="77777777">
        <w:tc>
          <w:tcPr>
            <w:tcW w:w="50" w:type="pct"/>
            <w:shd w:val="clear" w:color="auto" w:fill="auto"/>
            <w:vAlign w:val="bottom"/>
          </w:tcPr>
          <w:p w14:paraId="26E9CF3E" w14:textId="77777777" w:rsidR="008A3BAC" w:rsidRDefault="008A3BAC">
            <w:pPr>
              <w:rPr>
                <w:rFonts w:ascii="宋体"/>
              </w:rPr>
            </w:pPr>
          </w:p>
        </w:tc>
        <w:tc>
          <w:tcPr>
            <w:tcW w:w="2332" w:type="pct"/>
            <w:shd w:val="clear" w:color="auto" w:fill="auto"/>
            <w:vAlign w:val="bottom"/>
          </w:tcPr>
          <w:p w14:paraId="26E9CF3F" w14:textId="77777777" w:rsidR="008A3BAC" w:rsidRDefault="008A3BAC">
            <w:pPr>
              <w:rPr>
                <w:rFonts w:ascii="宋体"/>
              </w:rPr>
            </w:pPr>
          </w:p>
        </w:tc>
        <w:tc>
          <w:tcPr>
            <w:tcW w:w="5" w:type="pct"/>
            <w:shd w:val="clear" w:color="auto" w:fill="auto"/>
            <w:vAlign w:val="bottom"/>
          </w:tcPr>
          <w:p w14:paraId="26E9CF40" w14:textId="77777777" w:rsidR="008A3BAC" w:rsidRDefault="008A3BAC">
            <w:pPr>
              <w:rPr>
                <w:rFonts w:ascii="宋体"/>
              </w:rPr>
            </w:pPr>
          </w:p>
        </w:tc>
        <w:tc>
          <w:tcPr>
            <w:tcW w:w="50" w:type="pct"/>
            <w:shd w:val="clear" w:color="auto" w:fill="auto"/>
            <w:vAlign w:val="bottom"/>
          </w:tcPr>
          <w:p w14:paraId="26E9CF41" w14:textId="77777777" w:rsidR="008A3BAC" w:rsidRDefault="008A3BAC">
            <w:pPr>
              <w:rPr>
                <w:rFonts w:ascii="宋体"/>
              </w:rPr>
            </w:pPr>
          </w:p>
        </w:tc>
        <w:tc>
          <w:tcPr>
            <w:tcW w:w="545" w:type="pct"/>
            <w:shd w:val="clear" w:color="auto" w:fill="auto"/>
            <w:vAlign w:val="bottom"/>
          </w:tcPr>
          <w:p w14:paraId="26E9CF42" w14:textId="77777777" w:rsidR="008A3BAC" w:rsidRDefault="008A3BAC">
            <w:pPr>
              <w:rPr>
                <w:rFonts w:ascii="宋体"/>
              </w:rPr>
            </w:pPr>
          </w:p>
        </w:tc>
        <w:tc>
          <w:tcPr>
            <w:tcW w:w="5" w:type="pct"/>
            <w:shd w:val="clear" w:color="auto" w:fill="auto"/>
            <w:vAlign w:val="bottom"/>
          </w:tcPr>
          <w:p w14:paraId="26E9CF43" w14:textId="77777777" w:rsidR="008A3BAC" w:rsidRDefault="008A3BAC">
            <w:pPr>
              <w:rPr>
                <w:rFonts w:ascii="宋体"/>
              </w:rPr>
            </w:pPr>
          </w:p>
        </w:tc>
        <w:tc>
          <w:tcPr>
            <w:tcW w:w="50" w:type="pct"/>
            <w:shd w:val="clear" w:color="auto" w:fill="auto"/>
            <w:vAlign w:val="bottom"/>
          </w:tcPr>
          <w:p w14:paraId="26E9CF44" w14:textId="77777777" w:rsidR="008A3BAC" w:rsidRDefault="008A3BAC">
            <w:pPr>
              <w:rPr>
                <w:rFonts w:ascii="宋体"/>
              </w:rPr>
            </w:pPr>
          </w:p>
        </w:tc>
        <w:tc>
          <w:tcPr>
            <w:tcW w:w="448" w:type="pct"/>
            <w:shd w:val="clear" w:color="auto" w:fill="auto"/>
            <w:vAlign w:val="bottom"/>
          </w:tcPr>
          <w:p w14:paraId="26E9CF45" w14:textId="77777777" w:rsidR="008A3BAC" w:rsidRDefault="008A3BAC">
            <w:pPr>
              <w:rPr>
                <w:rFonts w:ascii="宋体"/>
              </w:rPr>
            </w:pPr>
          </w:p>
        </w:tc>
        <w:tc>
          <w:tcPr>
            <w:tcW w:w="5" w:type="pct"/>
            <w:shd w:val="clear" w:color="auto" w:fill="auto"/>
            <w:vAlign w:val="bottom"/>
          </w:tcPr>
          <w:p w14:paraId="26E9CF46" w14:textId="77777777" w:rsidR="008A3BAC" w:rsidRDefault="008A3BAC">
            <w:pPr>
              <w:rPr>
                <w:rFonts w:ascii="宋体"/>
              </w:rPr>
            </w:pPr>
          </w:p>
        </w:tc>
        <w:tc>
          <w:tcPr>
            <w:tcW w:w="50" w:type="pct"/>
            <w:shd w:val="clear" w:color="auto" w:fill="auto"/>
            <w:vAlign w:val="bottom"/>
          </w:tcPr>
          <w:p w14:paraId="26E9CF47" w14:textId="77777777" w:rsidR="008A3BAC" w:rsidRDefault="008A3BAC">
            <w:pPr>
              <w:rPr>
                <w:rFonts w:ascii="宋体"/>
              </w:rPr>
            </w:pPr>
          </w:p>
        </w:tc>
        <w:tc>
          <w:tcPr>
            <w:tcW w:w="448" w:type="pct"/>
            <w:shd w:val="clear" w:color="auto" w:fill="auto"/>
            <w:vAlign w:val="bottom"/>
          </w:tcPr>
          <w:p w14:paraId="26E9CF48" w14:textId="77777777" w:rsidR="008A3BAC" w:rsidRDefault="008A3BAC">
            <w:pPr>
              <w:rPr>
                <w:rFonts w:ascii="宋体"/>
              </w:rPr>
            </w:pPr>
          </w:p>
        </w:tc>
        <w:tc>
          <w:tcPr>
            <w:tcW w:w="5" w:type="pct"/>
            <w:shd w:val="clear" w:color="auto" w:fill="auto"/>
            <w:vAlign w:val="bottom"/>
          </w:tcPr>
          <w:p w14:paraId="26E9CF49" w14:textId="77777777" w:rsidR="008A3BAC" w:rsidRDefault="008A3BAC">
            <w:pPr>
              <w:rPr>
                <w:rFonts w:ascii="宋体"/>
              </w:rPr>
            </w:pPr>
          </w:p>
        </w:tc>
        <w:tc>
          <w:tcPr>
            <w:tcW w:w="50" w:type="pct"/>
            <w:shd w:val="clear" w:color="auto" w:fill="auto"/>
            <w:vAlign w:val="bottom"/>
          </w:tcPr>
          <w:p w14:paraId="26E9CF4A" w14:textId="77777777" w:rsidR="008A3BAC" w:rsidRDefault="008A3BAC">
            <w:pPr>
              <w:rPr>
                <w:rFonts w:ascii="宋体"/>
              </w:rPr>
            </w:pPr>
          </w:p>
        </w:tc>
        <w:tc>
          <w:tcPr>
            <w:tcW w:w="448" w:type="pct"/>
            <w:shd w:val="clear" w:color="auto" w:fill="auto"/>
            <w:vAlign w:val="bottom"/>
          </w:tcPr>
          <w:p w14:paraId="26E9CF4B" w14:textId="77777777" w:rsidR="008A3BAC" w:rsidRDefault="008A3BAC">
            <w:pPr>
              <w:rPr>
                <w:rFonts w:ascii="宋体"/>
              </w:rPr>
            </w:pPr>
          </w:p>
        </w:tc>
        <w:tc>
          <w:tcPr>
            <w:tcW w:w="5" w:type="pct"/>
            <w:shd w:val="clear" w:color="auto" w:fill="auto"/>
            <w:vAlign w:val="bottom"/>
          </w:tcPr>
          <w:p w14:paraId="26E9CF4C" w14:textId="77777777" w:rsidR="008A3BAC" w:rsidRDefault="008A3BAC">
            <w:pPr>
              <w:rPr>
                <w:rFonts w:ascii="宋体"/>
              </w:rPr>
            </w:pPr>
          </w:p>
        </w:tc>
        <w:tc>
          <w:tcPr>
            <w:tcW w:w="50" w:type="pct"/>
            <w:shd w:val="clear" w:color="auto" w:fill="auto"/>
            <w:vAlign w:val="bottom"/>
          </w:tcPr>
          <w:p w14:paraId="26E9CF4D" w14:textId="77777777" w:rsidR="008A3BAC" w:rsidRDefault="008A3BAC">
            <w:pPr>
              <w:rPr>
                <w:rFonts w:ascii="宋体"/>
              </w:rPr>
            </w:pPr>
          </w:p>
        </w:tc>
        <w:tc>
          <w:tcPr>
            <w:tcW w:w="448" w:type="pct"/>
            <w:shd w:val="clear" w:color="auto" w:fill="auto"/>
            <w:vAlign w:val="bottom"/>
          </w:tcPr>
          <w:p w14:paraId="26E9CF4E" w14:textId="77777777" w:rsidR="008A3BAC" w:rsidRDefault="008A3BAC">
            <w:pPr>
              <w:rPr>
                <w:rFonts w:ascii="宋体"/>
              </w:rPr>
            </w:pPr>
          </w:p>
        </w:tc>
        <w:tc>
          <w:tcPr>
            <w:tcW w:w="5" w:type="pct"/>
            <w:shd w:val="clear" w:color="auto" w:fill="auto"/>
            <w:vAlign w:val="bottom"/>
          </w:tcPr>
          <w:p w14:paraId="26E9CF4F" w14:textId="77777777" w:rsidR="008A3BAC" w:rsidRDefault="008A3BAC">
            <w:pPr>
              <w:rPr>
                <w:rFonts w:ascii="宋体"/>
              </w:rPr>
            </w:pPr>
          </w:p>
        </w:tc>
      </w:tr>
      <w:tr w:rsidR="008A3BAC" w14:paraId="26E9CF57" w14:textId="77777777">
        <w:tc>
          <w:tcPr>
            <w:tcW w:w="0" w:type="auto"/>
            <w:gridSpan w:val="3"/>
            <w:shd w:val="clear" w:color="auto" w:fill="auto"/>
            <w:tcMar>
              <w:top w:w="40" w:type="dxa"/>
              <w:left w:w="20" w:type="dxa"/>
              <w:bottom w:w="40" w:type="dxa"/>
              <w:right w:w="20" w:type="dxa"/>
            </w:tcMar>
            <w:vAlign w:val="bottom"/>
          </w:tcPr>
          <w:p w14:paraId="26E9CF51" w14:textId="77777777" w:rsidR="008A3BAC" w:rsidRDefault="005C75B9">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6E9CF52" w14:textId="77777777" w:rsidR="008A3BAC" w:rsidRDefault="005C75B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CF53" w14:textId="77777777" w:rsidR="008A3BAC" w:rsidRDefault="005C75B9">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6E9CF54" w14:textId="77777777" w:rsidR="008A3BAC" w:rsidRDefault="005C75B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CF55" w14:textId="77777777" w:rsidR="008A3BAC" w:rsidRDefault="005C75B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6E9CF56"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F6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F58" w14:textId="77777777" w:rsidR="008A3BAC" w:rsidRDefault="005C75B9">
            <w:pPr>
              <w:textAlignment w:val="bottom"/>
            </w:pPr>
            <w:r>
              <w:rPr>
                <w:rFonts w:ascii="Arial" w:eastAsia="宋体" w:hAnsi="Arial" w:cs="Arial"/>
                <w:b/>
                <w:bCs/>
                <w:color w:val="000000"/>
                <w:sz w:val="17"/>
                <w:szCs w:val="17"/>
              </w:rPr>
              <w:t>Balance at November 30,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6E9CF5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5A" w14:textId="77777777" w:rsidR="008A3BAC" w:rsidRDefault="005C75B9">
            <w:pPr>
              <w:jc w:val="right"/>
              <w:textAlignment w:val="bottom"/>
            </w:pPr>
            <w:r>
              <w:rPr>
                <w:rFonts w:ascii="Arial" w:eastAsia="宋体" w:hAnsi="Arial" w:cs="Arial"/>
                <w:b/>
                <w:bCs/>
                <w:color w:val="000000"/>
                <w:sz w:val="17"/>
                <w:szCs w:val="17"/>
              </w:rPr>
              <w:t>(281)</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5B"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5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5D" w14:textId="77777777" w:rsidR="008A3BAC" w:rsidRDefault="005C75B9">
            <w:pPr>
              <w:jc w:val="right"/>
              <w:textAlignment w:val="bottom"/>
            </w:pPr>
            <w:r>
              <w:rPr>
                <w:rFonts w:ascii="Arial" w:eastAsia="宋体" w:hAnsi="Arial" w:cs="Arial"/>
                <w:b/>
                <w:bCs/>
                <w:color w:val="000000"/>
                <w:sz w:val="17"/>
                <w:szCs w:val="17"/>
              </w:rPr>
              <w:t>369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5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5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60"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6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6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63" w14:textId="77777777" w:rsidR="008A3BAC" w:rsidRDefault="005C75B9">
            <w:pPr>
              <w:jc w:val="right"/>
              <w:textAlignment w:val="bottom"/>
            </w:pPr>
            <w:r>
              <w:rPr>
                <w:rFonts w:ascii="Arial" w:eastAsia="宋体" w:hAnsi="Arial" w:cs="Arial"/>
                <w:b/>
                <w:bCs/>
                <w:color w:val="000000"/>
                <w:sz w:val="17"/>
                <w:szCs w:val="17"/>
              </w:rPr>
              <w:t>(58)</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6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6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66" w14:textId="77777777" w:rsidR="008A3BAC" w:rsidRDefault="005C75B9">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67" w14:textId="77777777" w:rsidR="008A3BAC" w:rsidRDefault="008A3BAC">
            <w:pPr>
              <w:jc w:val="right"/>
              <w:rPr>
                <w:rFonts w:ascii="宋体"/>
              </w:rPr>
            </w:pPr>
          </w:p>
        </w:tc>
      </w:tr>
      <w:tr w:rsidR="008A3BAC" w14:paraId="26E9CF6F"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6E9CF69" w14:textId="77777777" w:rsidR="008A3BAC" w:rsidRDefault="005C75B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6A"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6B"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6C"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6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CF6E" w14:textId="77777777" w:rsidR="008A3BAC" w:rsidRDefault="008A3BAC">
            <w:pPr>
              <w:rPr>
                <w:rFonts w:ascii="宋体"/>
              </w:rPr>
            </w:pPr>
          </w:p>
        </w:tc>
      </w:tr>
      <w:tr w:rsidR="008A3BAC" w14:paraId="26E9CF7B"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F70" w14:textId="77777777" w:rsidR="008A3BAC" w:rsidRDefault="005C75B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1"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3"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7" w14:textId="77777777" w:rsidR="008A3BAC" w:rsidRDefault="005C75B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9" w14:textId="77777777" w:rsidR="008A3BAC" w:rsidRDefault="005C75B9">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A" w14:textId="77777777" w:rsidR="008A3BAC" w:rsidRDefault="008A3BAC">
            <w:pPr>
              <w:jc w:val="right"/>
              <w:rPr>
                <w:rFonts w:ascii="宋体"/>
              </w:rPr>
            </w:pPr>
          </w:p>
        </w:tc>
      </w:tr>
      <w:tr w:rsidR="008A3BAC" w14:paraId="26E9CF87"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F7C" w14:textId="77777777" w:rsidR="008A3BAC" w:rsidRDefault="005C75B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7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7F" w14:textId="77777777" w:rsidR="008A3BAC" w:rsidRDefault="005C75B9">
            <w:pPr>
              <w:jc w:val="right"/>
              <w:textAlignment w:val="bottom"/>
            </w:pPr>
            <w:r>
              <w:rPr>
                <w:rFonts w:ascii="Arial" w:eastAsia="宋体" w:hAnsi="Arial" w:cs="Arial"/>
                <w:color w:val="000000"/>
                <w:sz w:val="17"/>
                <w:szCs w:val="17"/>
              </w:rPr>
              <w:t>(33)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8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8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8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83" w14:textId="77777777" w:rsidR="008A3BAC" w:rsidRDefault="005C75B9">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8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CF85" w14:textId="77777777" w:rsidR="008A3BAC" w:rsidRDefault="005C75B9">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CF86" w14:textId="77777777" w:rsidR="008A3BAC" w:rsidRDefault="008A3BAC">
            <w:pPr>
              <w:jc w:val="right"/>
              <w:rPr>
                <w:rFonts w:ascii="宋体"/>
              </w:rPr>
            </w:pPr>
          </w:p>
        </w:tc>
      </w:tr>
      <w:tr w:rsidR="008A3BAC" w14:paraId="26E9CF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F88" w14:textId="77777777" w:rsidR="008A3BAC" w:rsidRDefault="005C75B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F89"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F8A"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F8B" w14:textId="77777777" w:rsidR="008A3BAC" w:rsidRDefault="005C75B9">
            <w:pPr>
              <w:jc w:val="right"/>
              <w:textAlignment w:val="bottom"/>
            </w:pPr>
            <w:r>
              <w:rPr>
                <w:rFonts w:ascii="Arial" w:eastAsia="宋体" w:hAnsi="Arial" w:cs="Arial"/>
                <w:color w:val="000000"/>
                <w:sz w:val="17"/>
                <w:szCs w:val="17"/>
              </w:rPr>
              <w:t>(29)</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F8C"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F8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F8E"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F8F" w14:textId="77777777" w:rsidR="008A3BAC" w:rsidRDefault="005C75B9">
            <w:pPr>
              <w:jc w:val="right"/>
              <w:textAlignment w:val="bottom"/>
            </w:pPr>
            <w:r>
              <w:rPr>
                <w:rFonts w:ascii="Arial" w:eastAsia="宋体" w:hAnsi="Arial" w:cs="Arial"/>
                <w:color w:val="000000"/>
                <w:sz w:val="17"/>
                <w:szCs w:val="17"/>
              </w:rPr>
              <w:t>(11)</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F90"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CF91" w14:textId="77777777" w:rsidR="008A3BAC" w:rsidRDefault="005C75B9">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CF92" w14:textId="77777777" w:rsidR="008A3BAC" w:rsidRDefault="008A3BAC">
            <w:pPr>
              <w:jc w:val="right"/>
              <w:rPr>
                <w:rFonts w:ascii="宋体"/>
              </w:rPr>
            </w:pPr>
          </w:p>
        </w:tc>
      </w:tr>
      <w:tr w:rsidR="008A3BAC" w14:paraId="26E9CFA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F94" w14:textId="77777777" w:rsidR="008A3BAC" w:rsidRDefault="005C75B9">
            <w:pPr>
              <w:textAlignment w:val="bottom"/>
            </w:pPr>
            <w:r>
              <w:rPr>
                <w:rFonts w:ascii="Arial" w:eastAsia="宋体" w:hAnsi="Arial" w:cs="Arial"/>
                <w:b/>
                <w:bCs/>
                <w:color w:val="000000"/>
                <w:sz w:val="17"/>
                <w:szCs w:val="17"/>
              </w:rPr>
              <w:t>Balance at February 28,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F9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F96" w14:textId="77777777" w:rsidR="008A3BAC" w:rsidRDefault="005C75B9">
            <w:pPr>
              <w:jc w:val="right"/>
              <w:textAlignment w:val="bottom"/>
            </w:pPr>
            <w:r>
              <w:rPr>
                <w:rFonts w:ascii="Arial" w:eastAsia="宋体" w:hAnsi="Arial" w:cs="Arial"/>
                <w:b/>
                <w:bCs/>
                <w:color w:val="000000"/>
                <w:sz w:val="17"/>
                <w:szCs w:val="17"/>
              </w:rPr>
              <w:t>(287)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F9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F9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F99" w14:textId="77777777" w:rsidR="008A3BAC" w:rsidRDefault="005C75B9">
            <w:pPr>
              <w:jc w:val="right"/>
              <w:textAlignment w:val="bottom"/>
            </w:pPr>
            <w:r>
              <w:rPr>
                <w:rFonts w:ascii="Arial" w:eastAsia="宋体" w:hAnsi="Arial" w:cs="Arial"/>
                <w:b/>
                <w:bCs/>
                <w:color w:val="000000"/>
                <w:sz w:val="17"/>
                <w:szCs w:val="17"/>
              </w:rPr>
              <w:t>340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F9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F9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F9C"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F9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F9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F9F" w14:textId="77777777" w:rsidR="008A3BAC" w:rsidRDefault="005C75B9">
            <w:pPr>
              <w:jc w:val="right"/>
              <w:textAlignment w:val="bottom"/>
            </w:pPr>
            <w:r>
              <w:rPr>
                <w:rFonts w:ascii="Arial" w:eastAsia="宋体" w:hAnsi="Arial" w:cs="Arial"/>
                <w:b/>
                <w:bCs/>
                <w:color w:val="000000"/>
                <w:sz w:val="17"/>
                <w:szCs w:val="17"/>
              </w:rPr>
              <w:t>(69)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FA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CFA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CFA2" w14:textId="77777777" w:rsidR="008A3BAC" w:rsidRDefault="005C75B9">
            <w:pPr>
              <w:jc w:val="right"/>
              <w:textAlignment w:val="bottom"/>
            </w:pPr>
            <w:r>
              <w:rPr>
                <w:rFonts w:ascii="Arial" w:eastAsia="宋体" w:hAnsi="Arial" w:cs="Arial"/>
                <w:b/>
                <w:bCs/>
                <w:color w:val="000000"/>
                <w:sz w:val="17"/>
                <w:szCs w:val="17"/>
              </w:rPr>
              <w:t>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CFA3" w14:textId="77777777" w:rsidR="008A3BAC" w:rsidRDefault="008A3BAC">
            <w:pPr>
              <w:jc w:val="right"/>
              <w:rPr>
                <w:rFonts w:ascii="宋体"/>
              </w:rPr>
            </w:pPr>
          </w:p>
        </w:tc>
      </w:tr>
    </w:tbl>
    <w:p w14:paraId="26E9CFA5" w14:textId="77777777" w:rsidR="008A3BAC" w:rsidRDefault="005C75B9">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6E9CFA6" w14:textId="77777777" w:rsidR="008A3BAC" w:rsidRDefault="005C75B9">
      <w:pPr>
        <w:spacing w:before="60" w:after="60"/>
        <w:ind w:hanging="360"/>
      </w:pPr>
      <w:r>
        <w:rPr>
          <w:rFonts w:ascii="Arial" w:eastAsia="宋体" w:hAnsi="Arial" w:cs="Arial"/>
          <w:i/>
          <w:iCs/>
          <w:color w:val="000000"/>
          <w:sz w:val="14"/>
          <w:szCs w:val="14"/>
        </w:rPr>
        <w:t>(2)Net of tax benefit (expense) of $0 million, $6 million, $0 million, $2 million and $8 million, respectively.</w:t>
      </w:r>
    </w:p>
    <w:p w14:paraId="26E9CFA7" w14:textId="77777777" w:rsidR="008A3BAC" w:rsidRDefault="005C75B9">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$5 million, $0 million, $1 million and $6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8A3BAC" w14:paraId="26E9CFBA" w14:textId="77777777">
        <w:tc>
          <w:tcPr>
            <w:tcW w:w="50" w:type="pct"/>
            <w:shd w:val="clear" w:color="auto" w:fill="auto"/>
            <w:vAlign w:val="bottom"/>
          </w:tcPr>
          <w:p w14:paraId="26E9CFA8" w14:textId="77777777" w:rsidR="008A3BAC" w:rsidRDefault="008A3BAC">
            <w:pPr>
              <w:rPr>
                <w:rFonts w:ascii="宋体"/>
              </w:rPr>
            </w:pPr>
          </w:p>
        </w:tc>
        <w:tc>
          <w:tcPr>
            <w:tcW w:w="2332" w:type="pct"/>
            <w:shd w:val="clear" w:color="auto" w:fill="auto"/>
            <w:vAlign w:val="bottom"/>
          </w:tcPr>
          <w:p w14:paraId="26E9CFA9" w14:textId="77777777" w:rsidR="008A3BAC" w:rsidRDefault="008A3BAC">
            <w:pPr>
              <w:rPr>
                <w:rFonts w:ascii="宋体"/>
              </w:rPr>
            </w:pPr>
          </w:p>
        </w:tc>
        <w:tc>
          <w:tcPr>
            <w:tcW w:w="5" w:type="pct"/>
            <w:shd w:val="clear" w:color="auto" w:fill="auto"/>
            <w:vAlign w:val="bottom"/>
          </w:tcPr>
          <w:p w14:paraId="26E9CFAA" w14:textId="77777777" w:rsidR="008A3BAC" w:rsidRDefault="008A3BAC">
            <w:pPr>
              <w:rPr>
                <w:rFonts w:ascii="宋体"/>
              </w:rPr>
            </w:pPr>
          </w:p>
        </w:tc>
        <w:tc>
          <w:tcPr>
            <w:tcW w:w="50" w:type="pct"/>
            <w:shd w:val="clear" w:color="auto" w:fill="auto"/>
            <w:vAlign w:val="bottom"/>
          </w:tcPr>
          <w:p w14:paraId="26E9CFAB" w14:textId="77777777" w:rsidR="008A3BAC" w:rsidRDefault="008A3BAC">
            <w:pPr>
              <w:rPr>
                <w:rFonts w:ascii="宋体"/>
              </w:rPr>
            </w:pPr>
          </w:p>
        </w:tc>
        <w:tc>
          <w:tcPr>
            <w:tcW w:w="545" w:type="pct"/>
            <w:shd w:val="clear" w:color="auto" w:fill="auto"/>
            <w:vAlign w:val="bottom"/>
          </w:tcPr>
          <w:p w14:paraId="26E9CFAC" w14:textId="77777777" w:rsidR="008A3BAC" w:rsidRDefault="008A3BAC">
            <w:pPr>
              <w:rPr>
                <w:rFonts w:ascii="宋体"/>
              </w:rPr>
            </w:pPr>
          </w:p>
        </w:tc>
        <w:tc>
          <w:tcPr>
            <w:tcW w:w="5" w:type="pct"/>
            <w:shd w:val="clear" w:color="auto" w:fill="auto"/>
            <w:vAlign w:val="bottom"/>
          </w:tcPr>
          <w:p w14:paraId="26E9CFAD" w14:textId="77777777" w:rsidR="008A3BAC" w:rsidRDefault="008A3BAC">
            <w:pPr>
              <w:rPr>
                <w:rFonts w:ascii="宋体"/>
              </w:rPr>
            </w:pPr>
          </w:p>
        </w:tc>
        <w:tc>
          <w:tcPr>
            <w:tcW w:w="50" w:type="pct"/>
            <w:shd w:val="clear" w:color="auto" w:fill="auto"/>
            <w:vAlign w:val="bottom"/>
          </w:tcPr>
          <w:p w14:paraId="26E9CFAE" w14:textId="77777777" w:rsidR="008A3BAC" w:rsidRDefault="008A3BAC">
            <w:pPr>
              <w:rPr>
                <w:rFonts w:ascii="宋体"/>
              </w:rPr>
            </w:pPr>
          </w:p>
        </w:tc>
        <w:tc>
          <w:tcPr>
            <w:tcW w:w="448" w:type="pct"/>
            <w:shd w:val="clear" w:color="auto" w:fill="auto"/>
            <w:vAlign w:val="bottom"/>
          </w:tcPr>
          <w:p w14:paraId="26E9CFAF" w14:textId="77777777" w:rsidR="008A3BAC" w:rsidRDefault="008A3BAC">
            <w:pPr>
              <w:rPr>
                <w:rFonts w:ascii="宋体"/>
              </w:rPr>
            </w:pPr>
          </w:p>
        </w:tc>
        <w:tc>
          <w:tcPr>
            <w:tcW w:w="5" w:type="pct"/>
            <w:shd w:val="clear" w:color="auto" w:fill="auto"/>
            <w:vAlign w:val="bottom"/>
          </w:tcPr>
          <w:p w14:paraId="26E9CFB0" w14:textId="77777777" w:rsidR="008A3BAC" w:rsidRDefault="008A3BAC">
            <w:pPr>
              <w:rPr>
                <w:rFonts w:ascii="宋体"/>
              </w:rPr>
            </w:pPr>
          </w:p>
        </w:tc>
        <w:tc>
          <w:tcPr>
            <w:tcW w:w="50" w:type="pct"/>
            <w:shd w:val="clear" w:color="auto" w:fill="auto"/>
            <w:vAlign w:val="bottom"/>
          </w:tcPr>
          <w:p w14:paraId="26E9CFB1" w14:textId="77777777" w:rsidR="008A3BAC" w:rsidRDefault="008A3BAC">
            <w:pPr>
              <w:rPr>
                <w:rFonts w:ascii="宋体"/>
              </w:rPr>
            </w:pPr>
          </w:p>
        </w:tc>
        <w:tc>
          <w:tcPr>
            <w:tcW w:w="448" w:type="pct"/>
            <w:shd w:val="clear" w:color="auto" w:fill="auto"/>
            <w:vAlign w:val="bottom"/>
          </w:tcPr>
          <w:p w14:paraId="26E9CFB2" w14:textId="77777777" w:rsidR="008A3BAC" w:rsidRDefault="008A3BAC">
            <w:pPr>
              <w:rPr>
                <w:rFonts w:ascii="宋体"/>
              </w:rPr>
            </w:pPr>
          </w:p>
        </w:tc>
        <w:tc>
          <w:tcPr>
            <w:tcW w:w="5" w:type="pct"/>
            <w:shd w:val="clear" w:color="auto" w:fill="auto"/>
            <w:vAlign w:val="bottom"/>
          </w:tcPr>
          <w:p w14:paraId="26E9CFB3" w14:textId="77777777" w:rsidR="008A3BAC" w:rsidRDefault="008A3BAC">
            <w:pPr>
              <w:rPr>
                <w:rFonts w:ascii="宋体"/>
              </w:rPr>
            </w:pPr>
          </w:p>
        </w:tc>
        <w:tc>
          <w:tcPr>
            <w:tcW w:w="50" w:type="pct"/>
            <w:shd w:val="clear" w:color="auto" w:fill="auto"/>
            <w:vAlign w:val="bottom"/>
          </w:tcPr>
          <w:p w14:paraId="26E9CFB4" w14:textId="77777777" w:rsidR="008A3BAC" w:rsidRDefault="008A3BAC">
            <w:pPr>
              <w:rPr>
                <w:rFonts w:ascii="宋体"/>
              </w:rPr>
            </w:pPr>
          </w:p>
        </w:tc>
        <w:tc>
          <w:tcPr>
            <w:tcW w:w="448" w:type="pct"/>
            <w:shd w:val="clear" w:color="auto" w:fill="auto"/>
            <w:vAlign w:val="bottom"/>
          </w:tcPr>
          <w:p w14:paraId="26E9CFB5" w14:textId="77777777" w:rsidR="008A3BAC" w:rsidRDefault="008A3BAC">
            <w:pPr>
              <w:rPr>
                <w:rFonts w:ascii="宋体"/>
              </w:rPr>
            </w:pPr>
          </w:p>
        </w:tc>
        <w:tc>
          <w:tcPr>
            <w:tcW w:w="5" w:type="pct"/>
            <w:shd w:val="clear" w:color="auto" w:fill="auto"/>
            <w:vAlign w:val="bottom"/>
          </w:tcPr>
          <w:p w14:paraId="26E9CFB6" w14:textId="77777777" w:rsidR="008A3BAC" w:rsidRDefault="008A3BAC">
            <w:pPr>
              <w:rPr>
                <w:rFonts w:ascii="宋体"/>
              </w:rPr>
            </w:pPr>
          </w:p>
        </w:tc>
        <w:tc>
          <w:tcPr>
            <w:tcW w:w="50" w:type="pct"/>
            <w:shd w:val="clear" w:color="auto" w:fill="auto"/>
            <w:vAlign w:val="bottom"/>
          </w:tcPr>
          <w:p w14:paraId="26E9CFB7" w14:textId="77777777" w:rsidR="008A3BAC" w:rsidRDefault="008A3BAC">
            <w:pPr>
              <w:rPr>
                <w:rFonts w:ascii="宋体"/>
              </w:rPr>
            </w:pPr>
          </w:p>
        </w:tc>
        <w:tc>
          <w:tcPr>
            <w:tcW w:w="448" w:type="pct"/>
            <w:shd w:val="clear" w:color="auto" w:fill="auto"/>
            <w:vAlign w:val="bottom"/>
          </w:tcPr>
          <w:p w14:paraId="26E9CFB8" w14:textId="77777777" w:rsidR="008A3BAC" w:rsidRDefault="008A3BAC">
            <w:pPr>
              <w:rPr>
                <w:rFonts w:ascii="宋体"/>
              </w:rPr>
            </w:pPr>
          </w:p>
        </w:tc>
        <w:tc>
          <w:tcPr>
            <w:tcW w:w="5" w:type="pct"/>
            <w:shd w:val="clear" w:color="auto" w:fill="auto"/>
            <w:vAlign w:val="bottom"/>
          </w:tcPr>
          <w:p w14:paraId="26E9CFB9" w14:textId="77777777" w:rsidR="008A3BAC" w:rsidRDefault="008A3BAC">
            <w:pPr>
              <w:rPr>
                <w:rFonts w:ascii="宋体"/>
              </w:rPr>
            </w:pPr>
          </w:p>
        </w:tc>
      </w:tr>
      <w:tr w:rsidR="008A3BAC" w14:paraId="26E9CFC1" w14:textId="77777777">
        <w:tc>
          <w:tcPr>
            <w:tcW w:w="0" w:type="auto"/>
            <w:gridSpan w:val="3"/>
            <w:shd w:val="clear" w:color="auto" w:fill="auto"/>
            <w:tcMar>
              <w:top w:w="40" w:type="dxa"/>
              <w:left w:w="20" w:type="dxa"/>
              <w:bottom w:w="40" w:type="dxa"/>
              <w:right w:w="20" w:type="dxa"/>
            </w:tcMar>
            <w:vAlign w:val="bottom"/>
          </w:tcPr>
          <w:p w14:paraId="26E9CFBB"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6E9CFBC" w14:textId="77777777" w:rsidR="008A3BAC" w:rsidRDefault="005C75B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CFBD" w14:textId="77777777" w:rsidR="008A3BAC" w:rsidRDefault="005C75B9">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6E9CFBE" w14:textId="77777777" w:rsidR="008A3BAC" w:rsidRDefault="005C75B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CFBF" w14:textId="77777777" w:rsidR="008A3BAC" w:rsidRDefault="005C75B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6E9CFC0"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CFD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FC2" w14:textId="77777777" w:rsidR="008A3BAC" w:rsidRDefault="005C75B9">
            <w:pPr>
              <w:textAlignment w:val="bottom"/>
            </w:pPr>
            <w:r>
              <w:rPr>
                <w:rFonts w:ascii="Arial" w:eastAsia="宋体" w:hAnsi="Arial" w:cs="Arial"/>
                <w:b/>
                <w:bCs/>
                <w:color w:val="000000"/>
                <w:sz w:val="17"/>
                <w:szCs w:val="17"/>
              </w:rPr>
              <w:t xml:space="preserve">Balance at November 30, </w:t>
            </w:r>
            <w:r>
              <w:rPr>
                <w:rFonts w:ascii="Arial" w:eastAsia="宋体" w:hAnsi="Arial" w:cs="Arial"/>
                <w:b/>
                <w:bCs/>
                <w:color w:val="000000"/>
                <w:sz w:val="17"/>
                <w:szCs w:val="17"/>
              </w:rPr>
              <w:t>2020</w:t>
            </w:r>
          </w:p>
        </w:tc>
        <w:tc>
          <w:tcPr>
            <w:tcW w:w="0" w:type="auto"/>
            <w:tcBorders>
              <w:top w:val="single" w:sz="8" w:space="0" w:color="E87722"/>
            </w:tcBorders>
            <w:shd w:val="clear" w:color="auto" w:fill="auto"/>
            <w:tcMar>
              <w:top w:w="40" w:type="dxa"/>
              <w:left w:w="20" w:type="dxa"/>
              <w:bottom w:w="40" w:type="dxa"/>
              <w:right w:w="0" w:type="dxa"/>
            </w:tcMar>
            <w:vAlign w:val="bottom"/>
          </w:tcPr>
          <w:p w14:paraId="26E9CFC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C4" w14:textId="77777777" w:rsidR="008A3BAC" w:rsidRDefault="005C75B9">
            <w:pPr>
              <w:jc w:val="right"/>
              <w:textAlignment w:val="bottom"/>
            </w:pPr>
            <w:r>
              <w:rPr>
                <w:rFonts w:ascii="Arial" w:eastAsia="宋体" w:hAnsi="Arial" w:cs="Arial"/>
                <w:b/>
                <w:bCs/>
                <w:color w:val="000000"/>
                <w:sz w:val="17"/>
                <w:szCs w:val="17"/>
              </w:rPr>
              <w:t>(98)</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C5"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C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C7" w14:textId="77777777" w:rsidR="008A3BAC" w:rsidRDefault="005C75B9">
            <w:pPr>
              <w:jc w:val="right"/>
              <w:textAlignment w:val="bottom"/>
            </w:pPr>
            <w:r>
              <w:rPr>
                <w:rFonts w:ascii="Arial" w:eastAsia="宋体" w:hAnsi="Arial" w:cs="Arial"/>
                <w:b/>
                <w:bCs/>
                <w:color w:val="000000"/>
                <w:sz w:val="17"/>
                <w:szCs w:val="17"/>
              </w:rPr>
              <w:t>(371)</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C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C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CA"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CB"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C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CD" w14:textId="77777777" w:rsidR="008A3BAC" w:rsidRDefault="005C75B9">
            <w:pPr>
              <w:jc w:val="right"/>
              <w:textAlignment w:val="bottom"/>
            </w:pPr>
            <w:r>
              <w:rPr>
                <w:rFonts w:ascii="Arial" w:eastAsia="宋体" w:hAnsi="Arial" w:cs="Arial"/>
                <w:b/>
                <w:bCs/>
                <w:color w:val="000000"/>
                <w:sz w:val="17"/>
                <w:szCs w:val="17"/>
              </w:rPr>
              <w:t>(75)</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C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CFC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CFD0" w14:textId="77777777" w:rsidR="008A3BAC" w:rsidRDefault="005C75B9">
            <w:pPr>
              <w:jc w:val="right"/>
              <w:textAlignment w:val="bottom"/>
            </w:pPr>
            <w:r>
              <w:rPr>
                <w:rFonts w:ascii="Arial" w:eastAsia="宋体" w:hAnsi="Arial" w:cs="Arial"/>
                <w:b/>
                <w:bCs/>
                <w:color w:val="000000"/>
                <w:sz w:val="17"/>
                <w:szCs w:val="17"/>
              </w:rPr>
              <w:t>(429)</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D1" w14:textId="77777777" w:rsidR="008A3BAC" w:rsidRDefault="008A3BAC">
            <w:pPr>
              <w:jc w:val="right"/>
              <w:rPr>
                <w:rFonts w:ascii="宋体"/>
              </w:rPr>
            </w:pPr>
          </w:p>
        </w:tc>
      </w:tr>
      <w:tr w:rsidR="008A3BAC" w14:paraId="26E9CFD9"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6E9CFD3" w14:textId="77777777" w:rsidR="008A3BAC" w:rsidRDefault="005C75B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D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D5"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D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D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CFD8" w14:textId="77777777" w:rsidR="008A3BAC" w:rsidRDefault="008A3BAC">
            <w:pPr>
              <w:rPr>
                <w:rFonts w:ascii="宋体"/>
              </w:rPr>
            </w:pPr>
          </w:p>
        </w:tc>
      </w:tr>
      <w:tr w:rsidR="008A3BAC" w14:paraId="26E9CFE5"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FDA" w14:textId="77777777" w:rsidR="008A3BAC" w:rsidRDefault="005C75B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DB" w14:textId="77777777" w:rsidR="008A3BAC" w:rsidRDefault="005C75B9">
            <w:pPr>
              <w:jc w:val="right"/>
              <w:textAlignment w:val="bottom"/>
            </w:pPr>
            <w:r>
              <w:rPr>
                <w:rFonts w:ascii="Arial" w:eastAsia="宋体" w:hAnsi="Arial" w:cs="Arial"/>
                <w:color w:val="000000"/>
                <w:sz w:val="17"/>
                <w:szCs w:val="17"/>
              </w:rPr>
              <w:t>99 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D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DD" w14:textId="77777777" w:rsidR="008A3BAC" w:rsidRDefault="005C75B9">
            <w:pPr>
              <w:jc w:val="right"/>
              <w:textAlignment w:val="bottom"/>
            </w:pPr>
            <w:r>
              <w:rPr>
                <w:rFonts w:ascii="Arial" w:eastAsia="宋体" w:hAnsi="Arial" w:cs="Arial"/>
                <w:color w:val="000000"/>
                <w:sz w:val="17"/>
                <w:szCs w:val="17"/>
              </w:rPr>
              <w:t>(163)</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D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D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1"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3" w14:textId="77777777" w:rsidR="008A3BAC" w:rsidRDefault="005C75B9">
            <w:pPr>
              <w:jc w:val="right"/>
              <w:textAlignment w:val="bottom"/>
            </w:pPr>
            <w:r>
              <w:rPr>
                <w:rFonts w:ascii="Arial" w:eastAsia="宋体" w:hAnsi="Arial" w:cs="Arial"/>
                <w:color w:val="000000"/>
                <w:sz w:val="17"/>
                <w:szCs w:val="17"/>
              </w:rPr>
              <w:t>(70)</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4" w14:textId="77777777" w:rsidR="008A3BAC" w:rsidRDefault="008A3BAC">
            <w:pPr>
              <w:jc w:val="right"/>
              <w:rPr>
                <w:rFonts w:ascii="宋体"/>
              </w:rPr>
            </w:pPr>
          </w:p>
        </w:tc>
      </w:tr>
      <w:tr w:rsidR="008A3BAC" w14:paraId="26E9CFF1"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CFE6" w14:textId="77777777" w:rsidR="008A3BAC" w:rsidRDefault="005C75B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7" w14:textId="77777777" w:rsidR="008A3BAC" w:rsidRDefault="005C75B9">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9" w14:textId="77777777" w:rsidR="008A3BAC" w:rsidRDefault="005C75B9">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D"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E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CFEF"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CFF0" w14:textId="77777777" w:rsidR="008A3BAC" w:rsidRDefault="008A3BAC">
            <w:pPr>
              <w:jc w:val="right"/>
              <w:rPr>
                <w:rFonts w:ascii="宋体"/>
              </w:rPr>
            </w:pPr>
          </w:p>
        </w:tc>
      </w:tr>
      <w:tr w:rsidR="008A3BAC" w14:paraId="26E9CF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CFF2" w14:textId="77777777" w:rsidR="008A3BAC" w:rsidRDefault="005C75B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FF3" w14:textId="77777777" w:rsidR="008A3BAC" w:rsidRDefault="005C75B9">
            <w:pPr>
              <w:jc w:val="right"/>
              <w:textAlignment w:val="bottom"/>
            </w:pPr>
            <w:r>
              <w:rPr>
                <w:rFonts w:ascii="Arial" w:eastAsia="宋体" w:hAnsi="Arial" w:cs="Arial"/>
                <w:color w:val="000000"/>
                <w:sz w:val="17"/>
                <w:szCs w:val="17"/>
              </w:rPr>
              <w:t>98 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F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FF5" w14:textId="77777777" w:rsidR="008A3BAC" w:rsidRDefault="005C75B9">
            <w:pPr>
              <w:jc w:val="right"/>
              <w:textAlignment w:val="bottom"/>
            </w:pPr>
            <w:r>
              <w:rPr>
                <w:rFonts w:ascii="Arial" w:eastAsia="宋体" w:hAnsi="Arial" w:cs="Arial"/>
                <w:color w:val="000000"/>
                <w:sz w:val="17"/>
                <w:szCs w:val="17"/>
              </w:rPr>
              <w:t>(117)</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F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FF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F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FF9"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F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CFFB" w14:textId="77777777" w:rsidR="008A3BAC" w:rsidRDefault="005C75B9">
            <w:pPr>
              <w:jc w:val="right"/>
              <w:textAlignment w:val="bottom"/>
            </w:pPr>
            <w:r>
              <w:rPr>
                <w:rFonts w:ascii="Arial" w:eastAsia="宋体" w:hAnsi="Arial" w:cs="Arial"/>
                <w:color w:val="000000"/>
                <w:sz w:val="17"/>
                <w:szCs w:val="17"/>
              </w:rPr>
              <w:t>(17)</w:t>
            </w:r>
          </w:p>
        </w:tc>
        <w:tc>
          <w:tcPr>
            <w:tcW w:w="0" w:type="auto"/>
            <w:tcBorders>
              <w:top w:val="single" w:sz="8" w:space="0" w:color="E87722"/>
            </w:tcBorders>
            <w:shd w:val="clear" w:color="auto" w:fill="auto"/>
            <w:tcMar>
              <w:top w:w="40" w:type="dxa"/>
              <w:left w:w="0" w:type="dxa"/>
              <w:bottom w:w="40" w:type="dxa"/>
              <w:right w:w="20" w:type="dxa"/>
            </w:tcMar>
            <w:vAlign w:val="bottom"/>
          </w:tcPr>
          <w:p w14:paraId="26E9CFFC" w14:textId="77777777" w:rsidR="008A3BAC" w:rsidRDefault="008A3BAC">
            <w:pPr>
              <w:jc w:val="right"/>
              <w:rPr>
                <w:rFonts w:ascii="宋体"/>
              </w:rPr>
            </w:pPr>
          </w:p>
        </w:tc>
      </w:tr>
      <w:tr w:rsidR="008A3BAC" w14:paraId="26E9D00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CFFE" w14:textId="77777777" w:rsidR="008A3BAC" w:rsidRDefault="005C75B9">
            <w:pPr>
              <w:textAlignment w:val="bottom"/>
            </w:pPr>
            <w:r>
              <w:rPr>
                <w:rFonts w:ascii="Arial" w:eastAsia="宋体" w:hAnsi="Arial" w:cs="Arial"/>
                <w:b/>
                <w:bCs/>
                <w:color w:val="000000"/>
                <w:sz w:val="17"/>
                <w:szCs w:val="17"/>
              </w:rPr>
              <w:t>Balance at February 28,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CFF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00"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0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0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03" w14:textId="77777777" w:rsidR="008A3BAC" w:rsidRDefault="005C75B9">
            <w:pPr>
              <w:jc w:val="right"/>
              <w:textAlignment w:val="bottom"/>
            </w:pPr>
            <w:r>
              <w:rPr>
                <w:rFonts w:ascii="Arial" w:eastAsia="宋体" w:hAnsi="Arial" w:cs="Arial"/>
                <w:b/>
                <w:bCs/>
                <w:color w:val="000000"/>
                <w:sz w:val="17"/>
                <w:szCs w:val="17"/>
              </w:rPr>
              <w:t>(488)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0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0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06"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0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0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09" w14:textId="77777777" w:rsidR="008A3BAC" w:rsidRDefault="005C75B9">
            <w:pPr>
              <w:jc w:val="right"/>
              <w:textAlignment w:val="bottom"/>
            </w:pPr>
            <w:r>
              <w:rPr>
                <w:rFonts w:ascii="Arial" w:eastAsia="宋体" w:hAnsi="Arial" w:cs="Arial"/>
                <w:b/>
                <w:bCs/>
                <w:color w:val="000000"/>
                <w:sz w:val="17"/>
                <w:szCs w:val="17"/>
              </w:rPr>
              <w:t>(73)</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0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0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0C" w14:textId="77777777" w:rsidR="008A3BAC" w:rsidRDefault="005C75B9">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0D" w14:textId="77777777" w:rsidR="008A3BAC" w:rsidRDefault="008A3BAC">
            <w:pPr>
              <w:jc w:val="right"/>
              <w:rPr>
                <w:rFonts w:ascii="宋体"/>
              </w:rPr>
            </w:pPr>
          </w:p>
        </w:tc>
      </w:tr>
    </w:tbl>
    <w:p w14:paraId="26E9D00F" w14:textId="77777777" w:rsidR="008A3BAC" w:rsidRDefault="005C75B9">
      <w:pP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6E9D010" w14:textId="77777777" w:rsidR="008A3BAC" w:rsidRDefault="005C75B9">
      <w:pPr>
        <w:spacing w:before="60" w:after="60"/>
        <w:ind w:hanging="360"/>
      </w:pPr>
      <w:r>
        <w:rPr>
          <w:rFonts w:ascii="Arial" w:eastAsia="宋体" w:hAnsi="Arial" w:cs="Arial"/>
          <w:i/>
          <w:iCs/>
          <w:color w:val="000000"/>
          <w:sz w:val="14"/>
          <w:szCs w:val="14"/>
        </w:rPr>
        <w:t>(2)Net of tax benefit (expense) of $0 million, $(3) million, $0 million, $1 million and $(2) million, respectively.</w:t>
      </w:r>
    </w:p>
    <w:p w14:paraId="26E9D011" w14:textId="77777777" w:rsidR="008A3BAC" w:rsidRDefault="005C75B9">
      <w:pP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$0 million, $0 million, $0 million and $0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8A3BAC" w14:paraId="26E9D024" w14:textId="77777777">
        <w:tc>
          <w:tcPr>
            <w:tcW w:w="50" w:type="pct"/>
            <w:shd w:val="clear" w:color="auto" w:fill="auto"/>
            <w:vAlign w:val="bottom"/>
          </w:tcPr>
          <w:p w14:paraId="26E9D012" w14:textId="77777777" w:rsidR="008A3BAC" w:rsidRDefault="008A3BAC">
            <w:pPr>
              <w:rPr>
                <w:rFonts w:ascii="宋体"/>
              </w:rPr>
            </w:pPr>
          </w:p>
        </w:tc>
        <w:tc>
          <w:tcPr>
            <w:tcW w:w="2332" w:type="pct"/>
            <w:shd w:val="clear" w:color="auto" w:fill="auto"/>
            <w:vAlign w:val="bottom"/>
          </w:tcPr>
          <w:p w14:paraId="26E9D013" w14:textId="77777777" w:rsidR="008A3BAC" w:rsidRDefault="008A3BAC">
            <w:pPr>
              <w:rPr>
                <w:rFonts w:ascii="宋体"/>
              </w:rPr>
            </w:pPr>
          </w:p>
        </w:tc>
        <w:tc>
          <w:tcPr>
            <w:tcW w:w="5" w:type="pct"/>
            <w:shd w:val="clear" w:color="auto" w:fill="auto"/>
            <w:vAlign w:val="bottom"/>
          </w:tcPr>
          <w:p w14:paraId="26E9D014" w14:textId="77777777" w:rsidR="008A3BAC" w:rsidRDefault="008A3BAC">
            <w:pPr>
              <w:rPr>
                <w:rFonts w:ascii="宋体"/>
              </w:rPr>
            </w:pPr>
          </w:p>
        </w:tc>
        <w:tc>
          <w:tcPr>
            <w:tcW w:w="50" w:type="pct"/>
            <w:shd w:val="clear" w:color="auto" w:fill="auto"/>
            <w:vAlign w:val="bottom"/>
          </w:tcPr>
          <w:p w14:paraId="26E9D015" w14:textId="77777777" w:rsidR="008A3BAC" w:rsidRDefault="008A3BAC">
            <w:pPr>
              <w:rPr>
                <w:rFonts w:ascii="宋体"/>
              </w:rPr>
            </w:pPr>
          </w:p>
        </w:tc>
        <w:tc>
          <w:tcPr>
            <w:tcW w:w="545" w:type="pct"/>
            <w:shd w:val="clear" w:color="auto" w:fill="auto"/>
            <w:vAlign w:val="bottom"/>
          </w:tcPr>
          <w:p w14:paraId="26E9D016" w14:textId="77777777" w:rsidR="008A3BAC" w:rsidRDefault="008A3BAC">
            <w:pPr>
              <w:rPr>
                <w:rFonts w:ascii="宋体"/>
              </w:rPr>
            </w:pPr>
          </w:p>
        </w:tc>
        <w:tc>
          <w:tcPr>
            <w:tcW w:w="5" w:type="pct"/>
            <w:shd w:val="clear" w:color="auto" w:fill="auto"/>
            <w:vAlign w:val="bottom"/>
          </w:tcPr>
          <w:p w14:paraId="26E9D017" w14:textId="77777777" w:rsidR="008A3BAC" w:rsidRDefault="008A3BAC">
            <w:pPr>
              <w:rPr>
                <w:rFonts w:ascii="宋体"/>
              </w:rPr>
            </w:pPr>
          </w:p>
        </w:tc>
        <w:tc>
          <w:tcPr>
            <w:tcW w:w="50" w:type="pct"/>
            <w:shd w:val="clear" w:color="auto" w:fill="auto"/>
            <w:vAlign w:val="bottom"/>
          </w:tcPr>
          <w:p w14:paraId="26E9D018" w14:textId="77777777" w:rsidR="008A3BAC" w:rsidRDefault="008A3BAC">
            <w:pPr>
              <w:rPr>
                <w:rFonts w:ascii="宋体"/>
              </w:rPr>
            </w:pPr>
          </w:p>
        </w:tc>
        <w:tc>
          <w:tcPr>
            <w:tcW w:w="448" w:type="pct"/>
            <w:shd w:val="clear" w:color="auto" w:fill="auto"/>
            <w:vAlign w:val="bottom"/>
          </w:tcPr>
          <w:p w14:paraId="26E9D019" w14:textId="77777777" w:rsidR="008A3BAC" w:rsidRDefault="008A3BAC">
            <w:pPr>
              <w:rPr>
                <w:rFonts w:ascii="宋体"/>
              </w:rPr>
            </w:pPr>
          </w:p>
        </w:tc>
        <w:tc>
          <w:tcPr>
            <w:tcW w:w="5" w:type="pct"/>
            <w:shd w:val="clear" w:color="auto" w:fill="auto"/>
            <w:vAlign w:val="bottom"/>
          </w:tcPr>
          <w:p w14:paraId="26E9D01A" w14:textId="77777777" w:rsidR="008A3BAC" w:rsidRDefault="008A3BAC">
            <w:pPr>
              <w:rPr>
                <w:rFonts w:ascii="宋体"/>
              </w:rPr>
            </w:pPr>
          </w:p>
        </w:tc>
        <w:tc>
          <w:tcPr>
            <w:tcW w:w="50" w:type="pct"/>
            <w:shd w:val="clear" w:color="auto" w:fill="auto"/>
            <w:vAlign w:val="bottom"/>
          </w:tcPr>
          <w:p w14:paraId="26E9D01B" w14:textId="77777777" w:rsidR="008A3BAC" w:rsidRDefault="008A3BAC">
            <w:pPr>
              <w:rPr>
                <w:rFonts w:ascii="宋体"/>
              </w:rPr>
            </w:pPr>
          </w:p>
        </w:tc>
        <w:tc>
          <w:tcPr>
            <w:tcW w:w="448" w:type="pct"/>
            <w:shd w:val="clear" w:color="auto" w:fill="auto"/>
            <w:vAlign w:val="bottom"/>
          </w:tcPr>
          <w:p w14:paraId="26E9D01C" w14:textId="77777777" w:rsidR="008A3BAC" w:rsidRDefault="008A3BAC">
            <w:pPr>
              <w:rPr>
                <w:rFonts w:ascii="宋体"/>
              </w:rPr>
            </w:pPr>
          </w:p>
        </w:tc>
        <w:tc>
          <w:tcPr>
            <w:tcW w:w="5" w:type="pct"/>
            <w:shd w:val="clear" w:color="auto" w:fill="auto"/>
            <w:vAlign w:val="bottom"/>
          </w:tcPr>
          <w:p w14:paraId="26E9D01D" w14:textId="77777777" w:rsidR="008A3BAC" w:rsidRDefault="008A3BAC">
            <w:pPr>
              <w:rPr>
                <w:rFonts w:ascii="宋体"/>
              </w:rPr>
            </w:pPr>
          </w:p>
        </w:tc>
        <w:tc>
          <w:tcPr>
            <w:tcW w:w="50" w:type="pct"/>
            <w:shd w:val="clear" w:color="auto" w:fill="auto"/>
            <w:vAlign w:val="bottom"/>
          </w:tcPr>
          <w:p w14:paraId="26E9D01E" w14:textId="77777777" w:rsidR="008A3BAC" w:rsidRDefault="008A3BAC">
            <w:pPr>
              <w:rPr>
                <w:rFonts w:ascii="宋体"/>
              </w:rPr>
            </w:pPr>
          </w:p>
        </w:tc>
        <w:tc>
          <w:tcPr>
            <w:tcW w:w="448" w:type="pct"/>
            <w:shd w:val="clear" w:color="auto" w:fill="auto"/>
            <w:vAlign w:val="bottom"/>
          </w:tcPr>
          <w:p w14:paraId="26E9D01F" w14:textId="77777777" w:rsidR="008A3BAC" w:rsidRDefault="008A3BAC">
            <w:pPr>
              <w:rPr>
                <w:rFonts w:ascii="宋体"/>
              </w:rPr>
            </w:pPr>
          </w:p>
        </w:tc>
        <w:tc>
          <w:tcPr>
            <w:tcW w:w="5" w:type="pct"/>
            <w:shd w:val="clear" w:color="auto" w:fill="auto"/>
            <w:vAlign w:val="bottom"/>
          </w:tcPr>
          <w:p w14:paraId="26E9D020" w14:textId="77777777" w:rsidR="008A3BAC" w:rsidRDefault="008A3BAC">
            <w:pPr>
              <w:rPr>
                <w:rFonts w:ascii="宋体"/>
              </w:rPr>
            </w:pPr>
          </w:p>
        </w:tc>
        <w:tc>
          <w:tcPr>
            <w:tcW w:w="50" w:type="pct"/>
            <w:shd w:val="clear" w:color="auto" w:fill="auto"/>
            <w:vAlign w:val="bottom"/>
          </w:tcPr>
          <w:p w14:paraId="26E9D021" w14:textId="77777777" w:rsidR="008A3BAC" w:rsidRDefault="008A3BAC">
            <w:pPr>
              <w:rPr>
                <w:rFonts w:ascii="宋体"/>
              </w:rPr>
            </w:pPr>
          </w:p>
        </w:tc>
        <w:tc>
          <w:tcPr>
            <w:tcW w:w="448" w:type="pct"/>
            <w:shd w:val="clear" w:color="auto" w:fill="auto"/>
            <w:vAlign w:val="bottom"/>
          </w:tcPr>
          <w:p w14:paraId="26E9D022" w14:textId="77777777" w:rsidR="008A3BAC" w:rsidRDefault="008A3BAC">
            <w:pPr>
              <w:rPr>
                <w:rFonts w:ascii="宋体"/>
              </w:rPr>
            </w:pPr>
          </w:p>
        </w:tc>
        <w:tc>
          <w:tcPr>
            <w:tcW w:w="5" w:type="pct"/>
            <w:shd w:val="clear" w:color="auto" w:fill="auto"/>
            <w:vAlign w:val="bottom"/>
          </w:tcPr>
          <w:p w14:paraId="26E9D023" w14:textId="77777777" w:rsidR="008A3BAC" w:rsidRDefault="008A3BAC">
            <w:pPr>
              <w:rPr>
                <w:rFonts w:ascii="宋体"/>
              </w:rPr>
            </w:pPr>
          </w:p>
        </w:tc>
      </w:tr>
      <w:tr w:rsidR="008A3BAC" w14:paraId="26E9D02B" w14:textId="77777777">
        <w:tc>
          <w:tcPr>
            <w:tcW w:w="0" w:type="auto"/>
            <w:gridSpan w:val="3"/>
            <w:shd w:val="clear" w:color="auto" w:fill="auto"/>
            <w:tcMar>
              <w:top w:w="40" w:type="dxa"/>
              <w:left w:w="20" w:type="dxa"/>
              <w:bottom w:w="40" w:type="dxa"/>
              <w:right w:w="20" w:type="dxa"/>
            </w:tcMar>
            <w:vAlign w:val="bottom"/>
          </w:tcPr>
          <w:p w14:paraId="26E9D02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6E9D026" w14:textId="77777777" w:rsidR="008A3BAC" w:rsidRDefault="005C75B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D027" w14:textId="77777777" w:rsidR="008A3BAC" w:rsidRDefault="005C75B9">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6E9D028" w14:textId="77777777" w:rsidR="008A3BAC" w:rsidRDefault="005C75B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D029" w14:textId="77777777" w:rsidR="008A3BAC" w:rsidRDefault="005C75B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6E9D02A"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D03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02C" w14:textId="77777777" w:rsidR="008A3BAC" w:rsidRDefault="005C75B9">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6E9D02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2E"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2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3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31" w14:textId="77777777" w:rsidR="008A3BAC" w:rsidRDefault="005C75B9">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3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3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34"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35"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3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37" w14:textId="77777777" w:rsidR="008A3BAC" w:rsidRDefault="005C75B9">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3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3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3A" w14:textId="77777777" w:rsidR="008A3BAC" w:rsidRDefault="005C75B9">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3B" w14:textId="77777777" w:rsidR="008A3BAC" w:rsidRDefault="008A3BAC">
            <w:pPr>
              <w:jc w:val="right"/>
              <w:rPr>
                <w:rFonts w:ascii="宋体"/>
              </w:rPr>
            </w:pPr>
          </w:p>
        </w:tc>
      </w:tr>
      <w:tr w:rsidR="008A3BAC" w14:paraId="26E9D043"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6E9D03D" w14:textId="77777777" w:rsidR="008A3BAC" w:rsidRDefault="005C75B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03E"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03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04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04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042" w14:textId="77777777" w:rsidR="008A3BAC" w:rsidRDefault="008A3BAC">
            <w:pPr>
              <w:rPr>
                <w:rFonts w:ascii="宋体"/>
              </w:rPr>
            </w:pPr>
          </w:p>
        </w:tc>
      </w:tr>
      <w:tr w:rsidR="008A3BAC" w14:paraId="26E9D04F"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D044" w14:textId="77777777" w:rsidR="008A3BAC" w:rsidRDefault="005C75B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45" w14:textId="77777777" w:rsidR="008A3BAC" w:rsidRDefault="005C75B9">
            <w:pPr>
              <w:jc w:val="right"/>
              <w:textAlignment w:val="bottom"/>
            </w:pPr>
            <w:r>
              <w:rPr>
                <w:rFonts w:ascii="Arial" w:eastAsia="宋体" w:hAnsi="Arial" w:cs="Arial"/>
                <w:color w:val="000000"/>
                <w:sz w:val="17"/>
                <w:szCs w:val="17"/>
              </w:rPr>
              <w:t>(289)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4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47" w14:textId="77777777" w:rsidR="008A3BAC" w:rsidRDefault="005C75B9">
            <w:pPr>
              <w:jc w:val="right"/>
              <w:textAlignment w:val="bottom"/>
            </w:pPr>
            <w:r>
              <w:rPr>
                <w:rFonts w:ascii="Arial" w:eastAsia="宋体" w:hAnsi="Arial" w:cs="Arial"/>
                <w:color w:val="000000"/>
                <w:sz w:val="17"/>
                <w:szCs w:val="17"/>
              </w:rPr>
              <w:t>689 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4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4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4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4B"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4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4D" w14:textId="77777777" w:rsidR="008A3BAC" w:rsidRDefault="005C75B9">
            <w:pPr>
              <w:jc w:val="right"/>
              <w:textAlignment w:val="bottom"/>
            </w:pPr>
            <w:r>
              <w:rPr>
                <w:rFonts w:ascii="Arial" w:eastAsia="宋体" w:hAnsi="Arial" w:cs="Arial"/>
                <w:color w:val="000000"/>
                <w:sz w:val="17"/>
                <w:szCs w:val="17"/>
              </w:rPr>
              <w:t>407 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4E" w14:textId="77777777" w:rsidR="008A3BAC" w:rsidRDefault="008A3BAC">
            <w:pPr>
              <w:jc w:val="right"/>
              <w:rPr>
                <w:rFonts w:ascii="宋体"/>
              </w:rPr>
            </w:pPr>
          </w:p>
        </w:tc>
      </w:tr>
      <w:tr w:rsidR="008A3BAC" w14:paraId="26E9D05B"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D050" w14:textId="77777777" w:rsidR="008A3BAC" w:rsidRDefault="005C75B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5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5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53" w14:textId="77777777" w:rsidR="008A3BAC" w:rsidRDefault="005C75B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5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5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5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57" w14:textId="77777777" w:rsidR="008A3BAC" w:rsidRDefault="005C75B9">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5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059" w14:textId="77777777" w:rsidR="008A3BAC" w:rsidRDefault="005C75B9">
            <w:pPr>
              <w:jc w:val="right"/>
              <w:textAlignment w:val="bottom"/>
            </w:pPr>
            <w:r>
              <w:rPr>
                <w:rFonts w:ascii="Arial" w:eastAsia="宋体" w:hAnsi="Arial" w:cs="Arial"/>
                <w:color w:val="000000"/>
                <w:sz w:val="17"/>
                <w:szCs w:val="17"/>
              </w:rPr>
              <w:t>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05A" w14:textId="77777777" w:rsidR="008A3BAC" w:rsidRDefault="008A3BAC">
            <w:pPr>
              <w:jc w:val="right"/>
              <w:rPr>
                <w:rFonts w:ascii="宋体"/>
              </w:rPr>
            </w:pPr>
          </w:p>
        </w:tc>
      </w:tr>
      <w:tr w:rsidR="008A3BAC" w14:paraId="26E9D06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05C" w14:textId="77777777" w:rsidR="008A3BAC" w:rsidRDefault="005C75B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05D" w14:textId="77777777" w:rsidR="008A3BAC" w:rsidRDefault="005C75B9">
            <w:pPr>
              <w:jc w:val="right"/>
              <w:textAlignment w:val="bottom"/>
            </w:pPr>
            <w:r>
              <w:rPr>
                <w:rFonts w:ascii="Arial" w:eastAsia="宋体" w:hAnsi="Arial" w:cs="Arial"/>
                <w:color w:val="000000"/>
                <w:sz w:val="17"/>
                <w:szCs w:val="17"/>
              </w:rPr>
              <w:t>(289)</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05E"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05F" w14:textId="77777777" w:rsidR="008A3BAC" w:rsidRDefault="005C75B9">
            <w:pPr>
              <w:jc w:val="right"/>
              <w:textAlignment w:val="bottom"/>
            </w:pPr>
            <w:r>
              <w:rPr>
                <w:rFonts w:ascii="Arial" w:eastAsia="宋体" w:hAnsi="Arial" w:cs="Arial"/>
                <w:color w:val="000000"/>
                <w:sz w:val="17"/>
                <w:szCs w:val="17"/>
              </w:rPr>
              <w:t>775 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060"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06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062"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063" w14:textId="77777777" w:rsidR="008A3BAC" w:rsidRDefault="005C75B9">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064" w14:textId="77777777" w:rsidR="008A3BAC" w:rsidRDefault="008A3BAC">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065" w14:textId="77777777" w:rsidR="008A3BAC" w:rsidRDefault="005C75B9">
            <w:pPr>
              <w:jc w:val="right"/>
              <w:textAlignment w:val="bottom"/>
            </w:pPr>
            <w:r>
              <w:rPr>
                <w:rFonts w:ascii="Arial" w:eastAsia="宋体" w:hAnsi="Arial" w:cs="Arial"/>
                <w:color w:val="000000"/>
                <w:sz w:val="17"/>
                <w:szCs w:val="17"/>
              </w:rPr>
              <w:t>479 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066" w14:textId="77777777" w:rsidR="008A3BAC" w:rsidRDefault="008A3BAC">
            <w:pPr>
              <w:jc w:val="right"/>
              <w:rPr>
                <w:rFonts w:ascii="宋体"/>
              </w:rPr>
            </w:pPr>
          </w:p>
        </w:tc>
      </w:tr>
      <w:tr w:rsidR="008A3BAC" w14:paraId="26E9D07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068" w14:textId="77777777" w:rsidR="008A3BAC" w:rsidRDefault="005C75B9">
            <w:pPr>
              <w:textAlignment w:val="bottom"/>
            </w:pPr>
            <w:r>
              <w:rPr>
                <w:rFonts w:ascii="Arial" w:eastAsia="宋体" w:hAnsi="Arial" w:cs="Arial"/>
                <w:b/>
                <w:bCs/>
                <w:color w:val="000000"/>
                <w:sz w:val="17"/>
                <w:szCs w:val="17"/>
              </w:rPr>
              <w:t>Balance at February 28, 2022</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06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06A" w14:textId="77777777" w:rsidR="008A3BAC" w:rsidRDefault="005C75B9">
            <w:pPr>
              <w:jc w:val="right"/>
              <w:textAlignment w:val="bottom"/>
            </w:pPr>
            <w:r>
              <w:rPr>
                <w:rFonts w:ascii="Arial" w:eastAsia="宋体" w:hAnsi="Arial" w:cs="Arial"/>
                <w:b/>
                <w:bCs/>
                <w:color w:val="000000"/>
                <w:sz w:val="17"/>
                <w:szCs w:val="17"/>
              </w:rPr>
              <w:t>(287)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06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06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06D" w14:textId="77777777" w:rsidR="008A3BAC" w:rsidRDefault="005C75B9">
            <w:pPr>
              <w:jc w:val="right"/>
              <w:textAlignment w:val="bottom"/>
            </w:pPr>
            <w:r>
              <w:rPr>
                <w:rFonts w:ascii="Arial" w:eastAsia="宋体" w:hAnsi="Arial" w:cs="Arial"/>
                <w:b/>
                <w:bCs/>
                <w:color w:val="000000"/>
                <w:sz w:val="17"/>
                <w:szCs w:val="17"/>
              </w:rPr>
              <w:t>340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06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06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070"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07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07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073" w14:textId="77777777" w:rsidR="008A3BAC" w:rsidRDefault="005C75B9">
            <w:pPr>
              <w:jc w:val="right"/>
              <w:textAlignment w:val="bottom"/>
            </w:pPr>
            <w:r>
              <w:rPr>
                <w:rFonts w:ascii="Arial" w:eastAsia="宋体" w:hAnsi="Arial" w:cs="Arial"/>
                <w:b/>
                <w:bCs/>
                <w:color w:val="000000"/>
                <w:sz w:val="17"/>
                <w:szCs w:val="17"/>
              </w:rPr>
              <w:t>(69)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07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07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076" w14:textId="77777777" w:rsidR="008A3BAC" w:rsidRDefault="005C75B9">
            <w:pPr>
              <w:jc w:val="right"/>
              <w:textAlignment w:val="bottom"/>
            </w:pPr>
            <w:r>
              <w:rPr>
                <w:rFonts w:ascii="Arial" w:eastAsia="宋体" w:hAnsi="Arial" w:cs="Arial"/>
                <w:b/>
                <w:bCs/>
                <w:color w:val="000000"/>
                <w:sz w:val="17"/>
                <w:szCs w:val="17"/>
              </w:rPr>
              <w:t>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077" w14:textId="77777777" w:rsidR="008A3BAC" w:rsidRDefault="008A3BAC">
            <w:pPr>
              <w:jc w:val="right"/>
              <w:rPr>
                <w:rFonts w:ascii="宋体"/>
              </w:rPr>
            </w:pPr>
          </w:p>
        </w:tc>
      </w:tr>
    </w:tbl>
    <w:p w14:paraId="26E9D079" w14:textId="77777777" w:rsidR="008A3BAC" w:rsidRDefault="005C75B9">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26E9D07A" w14:textId="77777777" w:rsidR="008A3BAC" w:rsidRDefault="005C75B9">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$(60) million, $0 million, $(2) million and $(62) million, respectively.</w:t>
      </w:r>
    </w:p>
    <w:p w14:paraId="26E9D07B" w14:textId="77777777" w:rsidR="008A3BAC" w:rsidRDefault="005C75B9">
      <w:pPr>
        <w:spacing w:before="60" w:after="60"/>
        <w:ind w:hanging="360"/>
      </w:pPr>
      <w:r>
        <w:rPr>
          <w:rFonts w:ascii="Arial" w:eastAsia="宋体" w:hAnsi="Arial" w:cs="Arial"/>
          <w:i/>
          <w:iCs/>
          <w:color w:val="000000"/>
          <w:sz w:val="14"/>
          <w:szCs w:val="14"/>
        </w:rPr>
        <w:t>(3)Net of tax (benefit) expense of $0 million, $(4) million, $0 million, $5 million and $1 million, respectively.</w:t>
      </w:r>
    </w:p>
    <w:p w14:paraId="26E9D07C" w14:textId="77777777" w:rsidR="008A3BAC" w:rsidRDefault="005C75B9">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26E9D07D" w14:textId="77777777" w:rsidR="008A3BAC" w:rsidRDefault="005C75B9">
      <w:r>
        <w:pict w14:anchorId="26E9E859">
          <v:rect id="_x0000_i1044" style="width:415.3pt;height:1.5pt" o:hralign="center" o:hrstd="t" o:hr="t" fillcolor="#a0a0a0" stroked="f"/>
        </w:pict>
      </w:r>
    </w:p>
    <w:p w14:paraId="26E9D07E" w14:textId="77777777" w:rsidR="008A3BAC" w:rsidRDefault="008A3BAC"/>
    <w:p w14:paraId="26E9D07F" w14:textId="77777777" w:rsidR="008A3BAC" w:rsidRDefault="005C75B9">
      <w:hyperlink r:id="rId89" w:anchor="i46aba51c6a804f42b3595948c57d2023_7" w:history="1">
        <w:r>
          <w:rPr>
            <w:rStyle w:val="a5"/>
            <w:rFonts w:ascii="sans-serif" w:eastAsia="sans-serif" w:hAnsi="sans-serif" w:cs="sans-serif"/>
            <w:sz w:val="17"/>
            <w:szCs w:val="17"/>
          </w:rPr>
          <w:t>Table of Contents</w:t>
        </w:r>
      </w:hyperlink>
    </w:p>
    <w:p w14:paraId="26E9D080"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8A3BAC" w14:paraId="26E9D093" w14:textId="77777777">
        <w:tc>
          <w:tcPr>
            <w:tcW w:w="50" w:type="pct"/>
            <w:shd w:val="clear" w:color="auto" w:fill="auto"/>
            <w:vAlign w:val="bottom"/>
          </w:tcPr>
          <w:p w14:paraId="26E9D081" w14:textId="77777777" w:rsidR="008A3BAC" w:rsidRDefault="008A3BAC">
            <w:pPr>
              <w:rPr>
                <w:rFonts w:ascii="宋体"/>
              </w:rPr>
            </w:pPr>
          </w:p>
        </w:tc>
        <w:tc>
          <w:tcPr>
            <w:tcW w:w="2332" w:type="pct"/>
            <w:shd w:val="clear" w:color="auto" w:fill="auto"/>
            <w:vAlign w:val="bottom"/>
          </w:tcPr>
          <w:p w14:paraId="26E9D082" w14:textId="77777777" w:rsidR="008A3BAC" w:rsidRDefault="008A3BAC">
            <w:pPr>
              <w:rPr>
                <w:rFonts w:ascii="宋体"/>
              </w:rPr>
            </w:pPr>
          </w:p>
        </w:tc>
        <w:tc>
          <w:tcPr>
            <w:tcW w:w="5" w:type="pct"/>
            <w:shd w:val="clear" w:color="auto" w:fill="auto"/>
            <w:vAlign w:val="bottom"/>
          </w:tcPr>
          <w:p w14:paraId="26E9D083" w14:textId="77777777" w:rsidR="008A3BAC" w:rsidRDefault="008A3BAC">
            <w:pPr>
              <w:rPr>
                <w:rFonts w:ascii="宋体"/>
              </w:rPr>
            </w:pPr>
          </w:p>
        </w:tc>
        <w:tc>
          <w:tcPr>
            <w:tcW w:w="50" w:type="pct"/>
            <w:shd w:val="clear" w:color="auto" w:fill="auto"/>
            <w:vAlign w:val="bottom"/>
          </w:tcPr>
          <w:p w14:paraId="26E9D084" w14:textId="77777777" w:rsidR="008A3BAC" w:rsidRDefault="008A3BAC">
            <w:pPr>
              <w:rPr>
                <w:rFonts w:ascii="宋体"/>
              </w:rPr>
            </w:pPr>
          </w:p>
        </w:tc>
        <w:tc>
          <w:tcPr>
            <w:tcW w:w="545" w:type="pct"/>
            <w:shd w:val="clear" w:color="auto" w:fill="auto"/>
            <w:vAlign w:val="bottom"/>
          </w:tcPr>
          <w:p w14:paraId="26E9D085" w14:textId="77777777" w:rsidR="008A3BAC" w:rsidRDefault="008A3BAC">
            <w:pPr>
              <w:rPr>
                <w:rFonts w:ascii="宋体"/>
              </w:rPr>
            </w:pPr>
          </w:p>
        </w:tc>
        <w:tc>
          <w:tcPr>
            <w:tcW w:w="5" w:type="pct"/>
            <w:shd w:val="clear" w:color="auto" w:fill="auto"/>
            <w:vAlign w:val="bottom"/>
          </w:tcPr>
          <w:p w14:paraId="26E9D086" w14:textId="77777777" w:rsidR="008A3BAC" w:rsidRDefault="008A3BAC">
            <w:pPr>
              <w:rPr>
                <w:rFonts w:ascii="宋体"/>
              </w:rPr>
            </w:pPr>
          </w:p>
        </w:tc>
        <w:tc>
          <w:tcPr>
            <w:tcW w:w="50" w:type="pct"/>
            <w:shd w:val="clear" w:color="auto" w:fill="auto"/>
            <w:vAlign w:val="bottom"/>
          </w:tcPr>
          <w:p w14:paraId="26E9D087" w14:textId="77777777" w:rsidR="008A3BAC" w:rsidRDefault="008A3BAC">
            <w:pPr>
              <w:rPr>
                <w:rFonts w:ascii="宋体"/>
              </w:rPr>
            </w:pPr>
          </w:p>
        </w:tc>
        <w:tc>
          <w:tcPr>
            <w:tcW w:w="448" w:type="pct"/>
            <w:shd w:val="clear" w:color="auto" w:fill="auto"/>
            <w:vAlign w:val="bottom"/>
          </w:tcPr>
          <w:p w14:paraId="26E9D088" w14:textId="77777777" w:rsidR="008A3BAC" w:rsidRDefault="008A3BAC">
            <w:pPr>
              <w:rPr>
                <w:rFonts w:ascii="宋体"/>
              </w:rPr>
            </w:pPr>
          </w:p>
        </w:tc>
        <w:tc>
          <w:tcPr>
            <w:tcW w:w="5" w:type="pct"/>
            <w:shd w:val="clear" w:color="auto" w:fill="auto"/>
            <w:vAlign w:val="bottom"/>
          </w:tcPr>
          <w:p w14:paraId="26E9D089" w14:textId="77777777" w:rsidR="008A3BAC" w:rsidRDefault="008A3BAC">
            <w:pPr>
              <w:rPr>
                <w:rFonts w:ascii="宋体"/>
              </w:rPr>
            </w:pPr>
          </w:p>
        </w:tc>
        <w:tc>
          <w:tcPr>
            <w:tcW w:w="50" w:type="pct"/>
            <w:shd w:val="clear" w:color="auto" w:fill="auto"/>
            <w:vAlign w:val="bottom"/>
          </w:tcPr>
          <w:p w14:paraId="26E9D08A" w14:textId="77777777" w:rsidR="008A3BAC" w:rsidRDefault="008A3BAC">
            <w:pPr>
              <w:rPr>
                <w:rFonts w:ascii="宋体"/>
              </w:rPr>
            </w:pPr>
          </w:p>
        </w:tc>
        <w:tc>
          <w:tcPr>
            <w:tcW w:w="448" w:type="pct"/>
            <w:shd w:val="clear" w:color="auto" w:fill="auto"/>
            <w:vAlign w:val="bottom"/>
          </w:tcPr>
          <w:p w14:paraId="26E9D08B" w14:textId="77777777" w:rsidR="008A3BAC" w:rsidRDefault="008A3BAC">
            <w:pPr>
              <w:rPr>
                <w:rFonts w:ascii="宋体"/>
              </w:rPr>
            </w:pPr>
          </w:p>
        </w:tc>
        <w:tc>
          <w:tcPr>
            <w:tcW w:w="5" w:type="pct"/>
            <w:shd w:val="clear" w:color="auto" w:fill="auto"/>
            <w:vAlign w:val="bottom"/>
          </w:tcPr>
          <w:p w14:paraId="26E9D08C" w14:textId="77777777" w:rsidR="008A3BAC" w:rsidRDefault="008A3BAC">
            <w:pPr>
              <w:rPr>
                <w:rFonts w:ascii="宋体"/>
              </w:rPr>
            </w:pPr>
          </w:p>
        </w:tc>
        <w:tc>
          <w:tcPr>
            <w:tcW w:w="50" w:type="pct"/>
            <w:shd w:val="clear" w:color="auto" w:fill="auto"/>
            <w:vAlign w:val="bottom"/>
          </w:tcPr>
          <w:p w14:paraId="26E9D08D" w14:textId="77777777" w:rsidR="008A3BAC" w:rsidRDefault="008A3BAC">
            <w:pPr>
              <w:rPr>
                <w:rFonts w:ascii="宋体"/>
              </w:rPr>
            </w:pPr>
          </w:p>
        </w:tc>
        <w:tc>
          <w:tcPr>
            <w:tcW w:w="448" w:type="pct"/>
            <w:shd w:val="clear" w:color="auto" w:fill="auto"/>
            <w:vAlign w:val="bottom"/>
          </w:tcPr>
          <w:p w14:paraId="26E9D08E" w14:textId="77777777" w:rsidR="008A3BAC" w:rsidRDefault="008A3BAC">
            <w:pPr>
              <w:rPr>
                <w:rFonts w:ascii="宋体"/>
              </w:rPr>
            </w:pPr>
          </w:p>
        </w:tc>
        <w:tc>
          <w:tcPr>
            <w:tcW w:w="5" w:type="pct"/>
            <w:shd w:val="clear" w:color="auto" w:fill="auto"/>
            <w:vAlign w:val="bottom"/>
          </w:tcPr>
          <w:p w14:paraId="26E9D08F" w14:textId="77777777" w:rsidR="008A3BAC" w:rsidRDefault="008A3BAC">
            <w:pPr>
              <w:rPr>
                <w:rFonts w:ascii="宋体"/>
              </w:rPr>
            </w:pPr>
          </w:p>
        </w:tc>
        <w:tc>
          <w:tcPr>
            <w:tcW w:w="50" w:type="pct"/>
            <w:shd w:val="clear" w:color="auto" w:fill="auto"/>
            <w:vAlign w:val="bottom"/>
          </w:tcPr>
          <w:p w14:paraId="26E9D090" w14:textId="77777777" w:rsidR="008A3BAC" w:rsidRDefault="008A3BAC">
            <w:pPr>
              <w:rPr>
                <w:rFonts w:ascii="宋体"/>
              </w:rPr>
            </w:pPr>
          </w:p>
        </w:tc>
        <w:tc>
          <w:tcPr>
            <w:tcW w:w="448" w:type="pct"/>
            <w:shd w:val="clear" w:color="auto" w:fill="auto"/>
            <w:vAlign w:val="bottom"/>
          </w:tcPr>
          <w:p w14:paraId="26E9D091" w14:textId="77777777" w:rsidR="008A3BAC" w:rsidRDefault="008A3BAC">
            <w:pPr>
              <w:rPr>
                <w:rFonts w:ascii="宋体"/>
              </w:rPr>
            </w:pPr>
          </w:p>
        </w:tc>
        <w:tc>
          <w:tcPr>
            <w:tcW w:w="5" w:type="pct"/>
            <w:shd w:val="clear" w:color="auto" w:fill="auto"/>
            <w:vAlign w:val="bottom"/>
          </w:tcPr>
          <w:p w14:paraId="26E9D092" w14:textId="77777777" w:rsidR="008A3BAC" w:rsidRDefault="008A3BAC">
            <w:pPr>
              <w:rPr>
                <w:rFonts w:ascii="宋体"/>
              </w:rPr>
            </w:pPr>
          </w:p>
        </w:tc>
      </w:tr>
      <w:tr w:rsidR="008A3BAC" w14:paraId="26E9D09A" w14:textId="77777777">
        <w:tc>
          <w:tcPr>
            <w:tcW w:w="0" w:type="auto"/>
            <w:gridSpan w:val="3"/>
            <w:shd w:val="clear" w:color="auto" w:fill="auto"/>
            <w:tcMar>
              <w:top w:w="40" w:type="dxa"/>
              <w:left w:w="20" w:type="dxa"/>
              <w:bottom w:w="40" w:type="dxa"/>
              <w:right w:w="20" w:type="dxa"/>
            </w:tcMar>
            <w:vAlign w:val="bottom"/>
          </w:tcPr>
          <w:p w14:paraId="26E9D094"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26E9D095" w14:textId="77777777" w:rsidR="008A3BAC" w:rsidRDefault="005C75B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D096" w14:textId="77777777" w:rsidR="008A3BAC" w:rsidRDefault="005C75B9">
            <w:pPr>
              <w:jc w:val="right"/>
              <w:textAlignment w:val="bottom"/>
            </w:pPr>
            <w:r>
              <w:rPr>
                <w:rFonts w:ascii="sans-serif" w:eastAsia="sans-serif" w:hAnsi="sans-serif" w:cs="sans-serif"/>
                <w:b/>
                <w:bCs/>
                <w:color w:val="000000"/>
                <w:sz w:val="17"/>
                <w:szCs w:val="17"/>
              </w:rPr>
              <w:t xml:space="preserve">CASH </w:t>
            </w:r>
            <w:r>
              <w:rPr>
                <w:rFonts w:ascii="sans-serif" w:eastAsia="sans-serif" w:hAnsi="sans-serif" w:cs="sans-serif"/>
                <w:b/>
                <w:bCs/>
                <w:color w:val="000000"/>
                <w:sz w:val="17"/>
                <w:szCs w:val="17"/>
              </w:rPr>
              <w:t>FLOW HEDGES</w:t>
            </w:r>
          </w:p>
        </w:tc>
        <w:tc>
          <w:tcPr>
            <w:tcW w:w="0" w:type="auto"/>
            <w:gridSpan w:val="3"/>
            <w:shd w:val="clear" w:color="auto" w:fill="auto"/>
            <w:tcMar>
              <w:top w:w="40" w:type="dxa"/>
              <w:left w:w="20" w:type="dxa"/>
              <w:bottom w:w="40" w:type="dxa"/>
              <w:right w:w="20" w:type="dxa"/>
            </w:tcMar>
            <w:vAlign w:val="bottom"/>
          </w:tcPr>
          <w:p w14:paraId="26E9D097" w14:textId="77777777" w:rsidR="008A3BAC" w:rsidRDefault="005C75B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6E9D098" w14:textId="77777777" w:rsidR="008A3BAC" w:rsidRDefault="005C75B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6E9D099" w14:textId="77777777" w:rsidR="008A3BAC" w:rsidRDefault="005C75B9">
            <w:pPr>
              <w:jc w:val="right"/>
              <w:textAlignment w:val="bottom"/>
            </w:pPr>
            <w:r>
              <w:rPr>
                <w:rFonts w:ascii="sans-serif" w:eastAsia="sans-serif" w:hAnsi="sans-serif" w:cs="sans-serif"/>
                <w:b/>
                <w:bCs/>
                <w:color w:val="000000"/>
                <w:sz w:val="17"/>
                <w:szCs w:val="17"/>
              </w:rPr>
              <w:t>TOTAL</w:t>
            </w:r>
          </w:p>
        </w:tc>
      </w:tr>
      <w:tr w:rsidR="008A3BAC" w14:paraId="26E9D0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09B" w14:textId="77777777" w:rsidR="008A3BAC" w:rsidRDefault="005C75B9">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26E9D09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9D" w14:textId="77777777" w:rsidR="008A3BAC" w:rsidRDefault="005C75B9">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9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9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A0" w14:textId="77777777" w:rsidR="008A3BAC" w:rsidRDefault="005C75B9">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A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A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A3"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A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A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A6" w14:textId="77777777" w:rsidR="008A3BAC" w:rsidRDefault="005C75B9">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A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0A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0A9" w14:textId="77777777" w:rsidR="008A3BAC" w:rsidRDefault="005C75B9">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AA" w14:textId="77777777" w:rsidR="008A3BAC" w:rsidRDefault="008A3BAC">
            <w:pPr>
              <w:jc w:val="right"/>
              <w:rPr>
                <w:rFonts w:ascii="宋体"/>
              </w:rPr>
            </w:pPr>
          </w:p>
        </w:tc>
      </w:tr>
      <w:tr w:rsidR="008A3BAC" w14:paraId="26E9D0B2"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6E9D0AC" w14:textId="77777777" w:rsidR="008A3BAC" w:rsidRDefault="005C75B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0A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0A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0A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0B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0B1" w14:textId="77777777" w:rsidR="008A3BAC" w:rsidRDefault="008A3BAC">
            <w:pPr>
              <w:rPr>
                <w:rFonts w:ascii="宋体"/>
              </w:rPr>
            </w:pPr>
          </w:p>
        </w:tc>
      </w:tr>
      <w:tr w:rsidR="008A3BAC" w14:paraId="26E9D0BE"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D0B3" w14:textId="77777777" w:rsidR="008A3BAC" w:rsidRDefault="005C75B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B4" w14:textId="77777777" w:rsidR="008A3BAC" w:rsidRDefault="005C75B9">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B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B6" w14:textId="77777777" w:rsidR="008A3BAC" w:rsidRDefault="005C75B9">
            <w:pPr>
              <w:jc w:val="right"/>
              <w:textAlignment w:val="bottom"/>
            </w:pPr>
            <w:r>
              <w:rPr>
                <w:rFonts w:ascii="Arial" w:eastAsia="宋体" w:hAnsi="Arial" w:cs="Arial"/>
                <w:color w:val="000000"/>
                <w:sz w:val="17"/>
                <w:szCs w:val="17"/>
              </w:rPr>
              <w:t>(753)</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B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B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B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BA" w14:textId="77777777" w:rsidR="008A3BAC" w:rsidRDefault="005C75B9">
            <w:pPr>
              <w:jc w:val="right"/>
              <w:textAlignment w:val="bottom"/>
            </w:pPr>
            <w:r>
              <w:rPr>
                <w:rFonts w:ascii="Arial" w:eastAsia="宋体" w:hAnsi="Arial" w:cs="Arial"/>
                <w:color w:val="000000"/>
                <w:sz w:val="17"/>
                <w:szCs w:val="17"/>
              </w:rPr>
              <w:t>(21)</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B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BC" w14:textId="77777777" w:rsidR="008A3BAC" w:rsidRDefault="005C75B9">
            <w:pPr>
              <w:jc w:val="right"/>
              <w:textAlignment w:val="bottom"/>
            </w:pPr>
            <w:r>
              <w:rPr>
                <w:rFonts w:ascii="Arial" w:eastAsia="宋体" w:hAnsi="Arial" w:cs="Arial"/>
                <w:color w:val="000000"/>
                <w:sz w:val="17"/>
                <w:szCs w:val="17"/>
              </w:rPr>
              <w:t>(278)</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BD" w14:textId="77777777" w:rsidR="008A3BAC" w:rsidRDefault="008A3BAC">
            <w:pPr>
              <w:jc w:val="right"/>
              <w:rPr>
                <w:rFonts w:ascii="宋体"/>
              </w:rPr>
            </w:pPr>
          </w:p>
        </w:tc>
      </w:tr>
      <w:tr w:rsidR="008A3BAC" w14:paraId="26E9D0CA"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6E9D0BF" w14:textId="77777777" w:rsidR="008A3BAC" w:rsidRDefault="005C75B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C0"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C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C2" w14:textId="77777777" w:rsidR="008A3BAC" w:rsidRDefault="005C75B9">
            <w:pPr>
              <w:jc w:val="right"/>
              <w:textAlignment w:val="bottom"/>
            </w:pPr>
            <w:r>
              <w:rPr>
                <w:rFonts w:ascii="Arial" w:eastAsia="宋体" w:hAnsi="Arial" w:cs="Arial"/>
                <w:color w:val="000000"/>
                <w:sz w:val="17"/>
                <w:szCs w:val="17"/>
              </w:rPr>
              <w:t>(125)</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C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C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C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C6"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C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0C8" w14:textId="77777777" w:rsidR="008A3BAC" w:rsidRDefault="005C75B9">
            <w:pPr>
              <w:jc w:val="right"/>
              <w:textAlignment w:val="bottom"/>
            </w:pPr>
            <w:r>
              <w:rPr>
                <w:rFonts w:ascii="Arial" w:eastAsia="宋体" w:hAnsi="Arial" w:cs="Arial"/>
                <w:color w:val="000000"/>
                <w:sz w:val="17"/>
                <w:szCs w:val="17"/>
              </w:rPr>
              <w:t>(112)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0C9" w14:textId="77777777" w:rsidR="008A3BAC" w:rsidRDefault="008A3BAC">
            <w:pPr>
              <w:jc w:val="right"/>
              <w:rPr>
                <w:rFonts w:ascii="宋体"/>
              </w:rPr>
            </w:pPr>
          </w:p>
        </w:tc>
      </w:tr>
      <w:tr w:rsidR="008A3BAC" w14:paraId="26E9D0D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0CB" w14:textId="77777777" w:rsidR="008A3BAC" w:rsidRDefault="005C75B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0CC" w14:textId="77777777" w:rsidR="008A3BAC" w:rsidRDefault="005C75B9">
            <w:pPr>
              <w:jc w:val="right"/>
              <w:textAlignment w:val="bottom"/>
            </w:pPr>
            <w:r>
              <w:rPr>
                <w:rFonts w:ascii="Arial" w:eastAsia="宋体" w:hAnsi="Arial" w:cs="Arial"/>
                <w:color w:val="000000"/>
                <w:sz w:val="17"/>
                <w:szCs w:val="17"/>
              </w:rPr>
              <w:t>494 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C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0CE" w14:textId="77777777" w:rsidR="008A3BAC" w:rsidRDefault="005C75B9">
            <w:pPr>
              <w:jc w:val="right"/>
              <w:textAlignment w:val="bottom"/>
            </w:pPr>
            <w:r>
              <w:rPr>
                <w:rFonts w:ascii="Arial" w:eastAsia="宋体" w:hAnsi="Arial" w:cs="Arial"/>
                <w:color w:val="000000"/>
                <w:sz w:val="17"/>
                <w:szCs w:val="17"/>
              </w:rPr>
              <w:t>(878)</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C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0D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D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0D2" w14:textId="77777777" w:rsidR="008A3BAC" w:rsidRDefault="005C75B9">
            <w:pPr>
              <w:jc w:val="right"/>
              <w:textAlignment w:val="bottom"/>
            </w:pPr>
            <w:r>
              <w:rPr>
                <w:rFonts w:ascii="Arial" w:eastAsia="宋体" w:hAnsi="Arial" w:cs="Arial"/>
                <w:color w:val="000000"/>
                <w:sz w:val="17"/>
                <w:szCs w:val="17"/>
              </w:rPr>
              <w:t>(6)</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D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0D4" w14:textId="77777777" w:rsidR="008A3BAC" w:rsidRDefault="005C75B9">
            <w:pPr>
              <w:jc w:val="right"/>
              <w:textAlignment w:val="bottom"/>
            </w:pPr>
            <w:r>
              <w:rPr>
                <w:rFonts w:ascii="Arial" w:eastAsia="宋体" w:hAnsi="Arial" w:cs="Arial"/>
                <w:color w:val="000000"/>
                <w:sz w:val="17"/>
                <w:szCs w:val="17"/>
              </w:rPr>
              <w:t>(390)</w:t>
            </w:r>
          </w:p>
        </w:tc>
        <w:tc>
          <w:tcPr>
            <w:tcW w:w="0" w:type="auto"/>
            <w:tcBorders>
              <w:top w:val="single" w:sz="8" w:space="0" w:color="E87722"/>
            </w:tcBorders>
            <w:shd w:val="clear" w:color="auto" w:fill="auto"/>
            <w:tcMar>
              <w:top w:w="40" w:type="dxa"/>
              <w:left w:w="0" w:type="dxa"/>
              <w:bottom w:w="40" w:type="dxa"/>
              <w:right w:w="20" w:type="dxa"/>
            </w:tcMar>
            <w:vAlign w:val="bottom"/>
          </w:tcPr>
          <w:p w14:paraId="26E9D0D5" w14:textId="77777777" w:rsidR="008A3BAC" w:rsidRDefault="008A3BAC">
            <w:pPr>
              <w:jc w:val="right"/>
              <w:rPr>
                <w:rFonts w:ascii="宋体"/>
              </w:rPr>
            </w:pPr>
          </w:p>
        </w:tc>
      </w:tr>
      <w:tr w:rsidR="008A3BAC" w14:paraId="26E9D0E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0D7" w14:textId="77777777" w:rsidR="008A3BAC" w:rsidRDefault="005C75B9">
            <w:pPr>
              <w:textAlignment w:val="bottom"/>
            </w:pPr>
            <w:r>
              <w:rPr>
                <w:rFonts w:ascii="Arial" w:eastAsia="宋体" w:hAnsi="Arial" w:cs="Arial"/>
                <w:b/>
                <w:bCs/>
                <w:color w:val="000000"/>
                <w:sz w:val="17"/>
                <w:szCs w:val="17"/>
              </w:rPr>
              <w:t>Balance at February 28, 2021</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D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D9"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D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D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DC" w14:textId="77777777" w:rsidR="008A3BAC" w:rsidRDefault="005C75B9">
            <w:pPr>
              <w:jc w:val="right"/>
              <w:textAlignment w:val="bottom"/>
            </w:pPr>
            <w:r>
              <w:rPr>
                <w:rFonts w:ascii="Arial" w:eastAsia="宋体" w:hAnsi="Arial" w:cs="Arial"/>
                <w:b/>
                <w:bCs/>
                <w:color w:val="000000"/>
                <w:sz w:val="17"/>
                <w:szCs w:val="17"/>
              </w:rPr>
              <w:t>(488)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D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D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DF" w14:textId="77777777" w:rsidR="008A3BAC" w:rsidRDefault="005C75B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E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E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E2" w14:textId="77777777" w:rsidR="008A3BAC" w:rsidRDefault="005C75B9">
            <w:pPr>
              <w:jc w:val="right"/>
              <w:textAlignment w:val="bottom"/>
            </w:pPr>
            <w:r>
              <w:rPr>
                <w:rFonts w:ascii="Arial" w:eastAsia="宋体" w:hAnsi="Arial" w:cs="Arial"/>
                <w:b/>
                <w:bCs/>
                <w:color w:val="000000"/>
                <w:sz w:val="17"/>
                <w:szCs w:val="17"/>
              </w:rPr>
              <w:t>(73)</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E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0E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0E5" w14:textId="77777777" w:rsidR="008A3BAC" w:rsidRDefault="005C75B9">
            <w:pPr>
              <w:jc w:val="right"/>
              <w:textAlignment w:val="bottom"/>
            </w:pPr>
            <w:r>
              <w:rPr>
                <w:rFonts w:ascii="Arial" w:eastAsia="宋体" w:hAnsi="Arial" w:cs="Arial"/>
                <w:b/>
                <w:bCs/>
                <w:color w:val="000000"/>
                <w:sz w:val="17"/>
                <w:szCs w:val="17"/>
              </w:rPr>
              <w:t>(446)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0E6" w14:textId="77777777" w:rsidR="008A3BAC" w:rsidRDefault="008A3BAC">
            <w:pPr>
              <w:jc w:val="right"/>
              <w:rPr>
                <w:rFonts w:ascii="宋体"/>
              </w:rPr>
            </w:pPr>
          </w:p>
        </w:tc>
      </w:tr>
    </w:tbl>
    <w:p w14:paraId="26E9D0E8" w14:textId="77777777" w:rsidR="008A3BAC" w:rsidRDefault="005C75B9">
      <w:pPr>
        <w:spacing w:before="60" w:after="60"/>
        <w:ind w:hanging="360"/>
      </w:pPr>
      <w:r>
        <w:rPr>
          <w:rFonts w:ascii="Arial" w:eastAsia="宋体" w:hAnsi="Arial" w:cs="Arial"/>
          <w:i/>
          <w:iCs/>
          <w:color w:val="000000"/>
          <w:sz w:val="14"/>
          <w:szCs w:val="14"/>
        </w:rPr>
        <w:t>(1)The accumulated foreign currency translation adjustment and</w:t>
      </w:r>
      <w:r>
        <w:rPr>
          <w:rFonts w:ascii="Arial" w:eastAsia="宋体" w:hAnsi="Arial" w:cs="Arial"/>
          <w:i/>
          <w:iCs/>
          <w:color w:val="000000"/>
          <w:sz w:val="14"/>
          <w:szCs w:val="14"/>
        </w:rPr>
        <w:t xml:space="preserve"> net investment hedge gains/losses related to an investment in a foreign subsidiary are reclassified to Net income upon sale or upon complete or substantially complete liquidation of the respective entity.</w:t>
      </w:r>
    </w:p>
    <w:p w14:paraId="26E9D0E9" w14:textId="77777777" w:rsidR="008A3BAC" w:rsidRDefault="005C75B9">
      <w:pPr>
        <w:spacing w:before="60" w:after="60"/>
        <w:ind w:hanging="360"/>
      </w:pPr>
      <w:r>
        <w:rPr>
          <w:rFonts w:ascii="Arial" w:eastAsia="宋体" w:hAnsi="Arial" w:cs="Arial"/>
          <w:i/>
          <w:iCs/>
          <w:color w:val="000000"/>
          <w:sz w:val="14"/>
          <w:szCs w:val="14"/>
        </w:rPr>
        <w:t xml:space="preserve">(2)Net of tax benefit (expense) of $0 </w:t>
      </w:r>
      <w:r>
        <w:rPr>
          <w:rFonts w:ascii="Arial" w:eastAsia="宋体" w:hAnsi="Arial" w:cs="Arial"/>
          <w:i/>
          <w:iCs/>
          <w:color w:val="000000"/>
          <w:sz w:val="14"/>
          <w:szCs w:val="14"/>
        </w:rPr>
        <w:t>million, $(3) million, $0 million, $2 million and $(1) million, respectively.</w:t>
      </w:r>
    </w:p>
    <w:p w14:paraId="26E9D0EA" w14:textId="77777777" w:rsidR="008A3BAC" w:rsidRDefault="005C75B9">
      <w:pPr>
        <w:spacing w:before="60" w:after="60"/>
        <w:ind w:hanging="360"/>
      </w:pPr>
      <w:r>
        <w:rPr>
          <w:rFonts w:ascii="Arial" w:eastAsia="宋体" w:hAnsi="Arial" w:cs="Arial"/>
          <w:i/>
          <w:iCs/>
          <w:color w:val="000000"/>
          <w:sz w:val="14"/>
          <w:szCs w:val="14"/>
        </w:rPr>
        <w:t>(3)Net of tax (benefit) expense of $0 million, $7 million, $0 million, $0 million and $7 million, respectively.</w:t>
      </w:r>
    </w:p>
    <w:p w14:paraId="26E9D0EB" w14:textId="77777777" w:rsidR="008A3BAC" w:rsidRDefault="005C75B9">
      <w:pPr>
        <w:spacing w:before="120" w:after="120"/>
      </w:pPr>
      <w:r>
        <w:rPr>
          <w:rFonts w:ascii="Arial" w:eastAsia="宋体" w:hAnsi="Arial" w:cs="Arial"/>
          <w:color w:val="000000"/>
          <w:sz w:val="17"/>
          <w:szCs w:val="17"/>
        </w:rPr>
        <w:t>The following table summarizes the reclassifications from Accumula</w:t>
      </w:r>
      <w:r>
        <w:rPr>
          <w:rFonts w:ascii="Arial" w:eastAsia="宋体" w:hAnsi="Arial" w:cs="Arial"/>
          <w:color w:val="000000"/>
          <w:sz w:val="17"/>
          <w:szCs w:val="17"/>
        </w:rPr>
        <w:t>ted other comprehensive income (loss) to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4"/>
        <w:gridCol w:w="2689"/>
        <w:gridCol w:w="38"/>
        <w:gridCol w:w="115"/>
        <w:gridCol w:w="781"/>
        <w:gridCol w:w="36"/>
        <w:gridCol w:w="115"/>
        <w:gridCol w:w="782"/>
        <w:gridCol w:w="36"/>
        <w:gridCol w:w="36"/>
        <w:gridCol w:w="36"/>
        <w:gridCol w:w="36"/>
        <w:gridCol w:w="115"/>
        <w:gridCol w:w="753"/>
        <w:gridCol w:w="36"/>
        <w:gridCol w:w="115"/>
        <w:gridCol w:w="782"/>
        <w:gridCol w:w="36"/>
        <w:gridCol w:w="59"/>
        <w:gridCol w:w="1660"/>
        <w:gridCol w:w="36"/>
      </w:tblGrid>
      <w:tr w:rsidR="008A3BAC" w14:paraId="26E9D101" w14:textId="77777777">
        <w:tc>
          <w:tcPr>
            <w:tcW w:w="50" w:type="pct"/>
            <w:shd w:val="clear" w:color="auto" w:fill="auto"/>
            <w:vAlign w:val="bottom"/>
          </w:tcPr>
          <w:p w14:paraId="26E9D0EC" w14:textId="77777777" w:rsidR="008A3BAC" w:rsidRDefault="008A3BAC">
            <w:pPr>
              <w:rPr>
                <w:rFonts w:ascii="宋体"/>
              </w:rPr>
            </w:pPr>
          </w:p>
        </w:tc>
        <w:tc>
          <w:tcPr>
            <w:tcW w:w="1634" w:type="pct"/>
            <w:shd w:val="clear" w:color="auto" w:fill="auto"/>
            <w:vAlign w:val="bottom"/>
          </w:tcPr>
          <w:p w14:paraId="26E9D0ED" w14:textId="77777777" w:rsidR="008A3BAC" w:rsidRDefault="008A3BAC">
            <w:pPr>
              <w:rPr>
                <w:rFonts w:ascii="宋体"/>
              </w:rPr>
            </w:pPr>
          </w:p>
        </w:tc>
        <w:tc>
          <w:tcPr>
            <w:tcW w:w="5" w:type="pct"/>
            <w:shd w:val="clear" w:color="auto" w:fill="auto"/>
            <w:vAlign w:val="bottom"/>
          </w:tcPr>
          <w:p w14:paraId="26E9D0EE" w14:textId="77777777" w:rsidR="008A3BAC" w:rsidRDefault="008A3BAC">
            <w:pPr>
              <w:rPr>
                <w:rFonts w:ascii="宋体"/>
              </w:rPr>
            </w:pPr>
          </w:p>
        </w:tc>
        <w:tc>
          <w:tcPr>
            <w:tcW w:w="50" w:type="pct"/>
            <w:shd w:val="clear" w:color="auto" w:fill="auto"/>
            <w:vAlign w:val="bottom"/>
          </w:tcPr>
          <w:p w14:paraId="26E9D0EF" w14:textId="77777777" w:rsidR="008A3BAC" w:rsidRDefault="008A3BAC">
            <w:pPr>
              <w:rPr>
                <w:rFonts w:ascii="宋体"/>
              </w:rPr>
            </w:pPr>
          </w:p>
        </w:tc>
        <w:tc>
          <w:tcPr>
            <w:tcW w:w="492" w:type="pct"/>
            <w:shd w:val="clear" w:color="auto" w:fill="auto"/>
            <w:vAlign w:val="bottom"/>
          </w:tcPr>
          <w:p w14:paraId="26E9D0F0" w14:textId="77777777" w:rsidR="008A3BAC" w:rsidRDefault="008A3BAC">
            <w:pPr>
              <w:rPr>
                <w:rFonts w:ascii="宋体"/>
              </w:rPr>
            </w:pPr>
          </w:p>
        </w:tc>
        <w:tc>
          <w:tcPr>
            <w:tcW w:w="5" w:type="pct"/>
            <w:shd w:val="clear" w:color="auto" w:fill="auto"/>
            <w:vAlign w:val="bottom"/>
          </w:tcPr>
          <w:p w14:paraId="26E9D0F1" w14:textId="77777777" w:rsidR="008A3BAC" w:rsidRDefault="008A3BAC">
            <w:pPr>
              <w:rPr>
                <w:rFonts w:ascii="宋体"/>
              </w:rPr>
            </w:pPr>
          </w:p>
        </w:tc>
        <w:tc>
          <w:tcPr>
            <w:tcW w:w="50" w:type="pct"/>
            <w:shd w:val="clear" w:color="auto" w:fill="auto"/>
            <w:vAlign w:val="bottom"/>
          </w:tcPr>
          <w:p w14:paraId="26E9D0F2" w14:textId="77777777" w:rsidR="008A3BAC" w:rsidRDefault="008A3BAC">
            <w:pPr>
              <w:rPr>
                <w:rFonts w:ascii="宋体"/>
              </w:rPr>
            </w:pPr>
          </w:p>
        </w:tc>
        <w:tc>
          <w:tcPr>
            <w:tcW w:w="492" w:type="pct"/>
            <w:shd w:val="clear" w:color="auto" w:fill="auto"/>
            <w:vAlign w:val="bottom"/>
          </w:tcPr>
          <w:p w14:paraId="26E9D0F3" w14:textId="77777777" w:rsidR="008A3BAC" w:rsidRDefault="008A3BAC">
            <w:pPr>
              <w:rPr>
                <w:rFonts w:ascii="宋体"/>
              </w:rPr>
            </w:pPr>
          </w:p>
        </w:tc>
        <w:tc>
          <w:tcPr>
            <w:tcW w:w="5" w:type="pct"/>
            <w:shd w:val="clear" w:color="auto" w:fill="auto"/>
            <w:vAlign w:val="bottom"/>
          </w:tcPr>
          <w:p w14:paraId="26E9D0F4" w14:textId="77777777" w:rsidR="008A3BAC" w:rsidRDefault="008A3BAC">
            <w:pPr>
              <w:rPr>
                <w:rFonts w:ascii="宋体"/>
              </w:rPr>
            </w:pPr>
          </w:p>
        </w:tc>
        <w:tc>
          <w:tcPr>
            <w:tcW w:w="5" w:type="pct"/>
            <w:shd w:val="clear" w:color="auto" w:fill="auto"/>
            <w:vAlign w:val="bottom"/>
          </w:tcPr>
          <w:p w14:paraId="26E9D0F5" w14:textId="77777777" w:rsidR="008A3BAC" w:rsidRDefault="008A3BAC">
            <w:pPr>
              <w:rPr>
                <w:rFonts w:ascii="宋体"/>
              </w:rPr>
            </w:pPr>
          </w:p>
        </w:tc>
        <w:tc>
          <w:tcPr>
            <w:tcW w:w="27" w:type="pct"/>
            <w:shd w:val="clear" w:color="auto" w:fill="auto"/>
            <w:vAlign w:val="bottom"/>
          </w:tcPr>
          <w:p w14:paraId="26E9D0F6" w14:textId="77777777" w:rsidR="008A3BAC" w:rsidRDefault="008A3BAC">
            <w:pPr>
              <w:rPr>
                <w:rFonts w:ascii="宋体"/>
              </w:rPr>
            </w:pPr>
          </w:p>
        </w:tc>
        <w:tc>
          <w:tcPr>
            <w:tcW w:w="5" w:type="pct"/>
            <w:shd w:val="clear" w:color="auto" w:fill="auto"/>
            <w:vAlign w:val="bottom"/>
          </w:tcPr>
          <w:p w14:paraId="26E9D0F7" w14:textId="77777777" w:rsidR="008A3BAC" w:rsidRDefault="008A3BAC">
            <w:pPr>
              <w:rPr>
                <w:rFonts w:ascii="宋体"/>
              </w:rPr>
            </w:pPr>
          </w:p>
        </w:tc>
        <w:tc>
          <w:tcPr>
            <w:tcW w:w="50" w:type="pct"/>
            <w:shd w:val="clear" w:color="auto" w:fill="auto"/>
            <w:vAlign w:val="bottom"/>
          </w:tcPr>
          <w:p w14:paraId="26E9D0F8" w14:textId="77777777" w:rsidR="008A3BAC" w:rsidRDefault="008A3BAC">
            <w:pPr>
              <w:rPr>
                <w:rFonts w:ascii="宋体"/>
              </w:rPr>
            </w:pPr>
          </w:p>
        </w:tc>
        <w:tc>
          <w:tcPr>
            <w:tcW w:w="492" w:type="pct"/>
            <w:shd w:val="clear" w:color="auto" w:fill="auto"/>
            <w:vAlign w:val="bottom"/>
          </w:tcPr>
          <w:p w14:paraId="26E9D0F9" w14:textId="77777777" w:rsidR="008A3BAC" w:rsidRDefault="008A3BAC">
            <w:pPr>
              <w:rPr>
                <w:rFonts w:ascii="宋体"/>
              </w:rPr>
            </w:pPr>
          </w:p>
        </w:tc>
        <w:tc>
          <w:tcPr>
            <w:tcW w:w="5" w:type="pct"/>
            <w:shd w:val="clear" w:color="auto" w:fill="auto"/>
            <w:vAlign w:val="bottom"/>
          </w:tcPr>
          <w:p w14:paraId="26E9D0FA" w14:textId="77777777" w:rsidR="008A3BAC" w:rsidRDefault="008A3BAC">
            <w:pPr>
              <w:rPr>
                <w:rFonts w:ascii="宋体"/>
              </w:rPr>
            </w:pPr>
          </w:p>
        </w:tc>
        <w:tc>
          <w:tcPr>
            <w:tcW w:w="50" w:type="pct"/>
            <w:shd w:val="clear" w:color="auto" w:fill="auto"/>
            <w:vAlign w:val="bottom"/>
          </w:tcPr>
          <w:p w14:paraId="26E9D0FB" w14:textId="77777777" w:rsidR="008A3BAC" w:rsidRDefault="008A3BAC">
            <w:pPr>
              <w:rPr>
                <w:rFonts w:ascii="宋体"/>
              </w:rPr>
            </w:pPr>
          </w:p>
        </w:tc>
        <w:tc>
          <w:tcPr>
            <w:tcW w:w="492" w:type="pct"/>
            <w:shd w:val="clear" w:color="auto" w:fill="auto"/>
            <w:vAlign w:val="bottom"/>
          </w:tcPr>
          <w:p w14:paraId="26E9D0FC" w14:textId="77777777" w:rsidR="008A3BAC" w:rsidRDefault="008A3BAC">
            <w:pPr>
              <w:rPr>
                <w:rFonts w:ascii="宋体"/>
              </w:rPr>
            </w:pPr>
          </w:p>
        </w:tc>
        <w:tc>
          <w:tcPr>
            <w:tcW w:w="5" w:type="pct"/>
            <w:shd w:val="clear" w:color="auto" w:fill="auto"/>
            <w:vAlign w:val="bottom"/>
          </w:tcPr>
          <w:p w14:paraId="26E9D0FD" w14:textId="77777777" w:rsidR="008A3BAC" w:rsidRDefault="008A3BAC">
            <w:pPr>
              <w:rPr>
                <w:rFonts w:ascii="宋体"/>
              </w:rPr>
            </w:pPr>
          </w:p>
        </w:tc>
        <w:tc>
          <w:tcPr>
            <w:tcW w:w="50" w:type="pct"/>
            <w:shd w:val="clear" w:color="auto" w:fill="auto"/>
            <w:vAlign w:val="bottom"/>
          </w:tcPr>
          <w:p w14:paraId="26E9D0FE" w14:textId="77777777" w:rsidR="008A3BAC" w:rsidRDefault="008A3BAC">
            <w:pPr>
              <w:rPr>
                <w:rFonts w:ascii="宋体"/>
              </w:rPr>
            </w:pPr>
          </w:p>
        </w:tc>
        <w:tc>
          <w:tcPr>
            <w:tcW w:w="1026" w:type="pct"/>
            <w:shd w:val="clear" w:color="auto" w:fill="auto"/>
            <w:vAlign w:val="bottom"/>
          </w:tcPr>
          <w:p w14:paraId="26E9D0FF" w14:textId="77777777" w:rsidR="008A3BAC" w:rsidRDefault="008A3BAC">
            <w:pPr>
              <w:rPr>
                <w:rFonts w:ascii="宋体"/>
              </w:rPr>
            </w:pPr>
          </w:p>
        </w:tc>
        <w:tc>
          <w:tcPr>
            <w:tcW w:w="5" w:type="pct"/>
            <w:shd w:val="clear" w:color="auto" w:fill="auto"/>
            <w:vAlign w:val="bottom"/>
          </w:tcPr>
          <w:p w14:paraId="26E9D100" w14:textId="77777777" w:rsidR="008A3BAC" w:rsidRDefault="008A3BAC">
            <w:pPr>
              <w:rPr>
                <w:rFonts w:ascii="宋体"/>
              </w:rPr>
            </w:pPr>
          </w:p>
        </w:tc>
      </w:tr>
      <w:tr w:rsidR="008A3BAC" w14:paraId="26E9D105" w14:textId="77777777">
        <w:trPr>
          <w:trHeight w:val="420"/>
        </w:trPr>
        <w:tc>
          <w:tcPr>
            <w:tcW w:w="0" w:type="auto"/>
            <w:gridSpan w:val="3"/>
            <w:shd w:val="clear" w:color="auto" w:fill="auto"/>
            <w:tcMar>
              <w:top w:w="0" w:type="dxa"/>
              <w:left w:w="20" w:type="dxa"/>
              <w:bottom w:w="0" w:type="dxa"/>
              <w:right w:w="20" w:type="dxa"/>
            </w:tcMar>
            <w:vAlign w:val="bottom"/>
          </w:tcPr>
          <w:p w14:paraId="26E9D102" w14:textId="77777777" w:rsidR="008A3BAC" w:rsidRDefault="008A3BAC">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6E9D103" w14:textId="77777777" w:rsidR="008A3BAC" w:rsidRDefault="005C75B9">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26E9D104" w14:textId="77777777" w:rsidR="008A3BAC" w:rsidRDefault="005C75B9">
            <w:pPr>
              <w:jc w:val="right"/>
              <w:textAlignment w:val="bottom"/>
            </w:pPr>
            <w:r>
              <w:rPr>
                <w:rFonts w:ascii="sans-serif" w:eastAsia="sans-serif" w:hAnsi="sans-serif" w:cs="sans-serif"/>
                <w:b/>
                <w:bCs/>
                <w:color w:val="000000"/>
                <w:sz w:val="17"/>
                <w:szCs w:val="17"/>
              </w:rPr>
              <w:t xml:space="preserve">LOCATION OF GAIN </w:t>
            </w:r>
            <w:r>
              <w:rPr>
                <w:rFonts w:ascii="sans-serif" w:eastAsia="sans-serif" w:hAnsi="sans-serif" w:cs="sans-serif"/>
                <w:b/>
                <w:bCs/>
                <w:color w:val="000000"/>
                <w:sz w:val="17"/>
                <w:szCs w:val="17"/>
              </w:rPr>
              <w:t>(LOSS)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8A3BAC" w14:paraId="26E9D10B" w14:textId="77777777">
        <w:trPr>
          <w:trHeight w:val="420"/>
        </w:trPr>
        <w:tc>
          <w:tcPr>
            <w:tcW w:w="0" w:type="auto"/>
            <w:gridSpan w:val="3"/>
            <w:shd w:val="clear" w:color="auto" w:fill="auto"/>
            <w:tcMar>
              <w:top w:w="0" w:type="dxa"/>
              <w:left w:w="20" w:type="dxa"/>
              <w:bottom w:w="0" w:type="dxa"/>
              <w:right w:w="20" w:type="dxa"/>
            </w:tcMar>
            <w:vAlign w:val="bottom"/>
          </w:tcPr>
          <w:p w14:paraId="26E9D106"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D107"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08" w14:textId="77777777" w:rsidR="008A3BAC" w:rsidRDefault="008A3BAC">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6E9D109"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gridSpan w:val="3"/>
            <w:vMerge/>
            <w:shd w:val="clear" w:color="auto" w:fill="auto"/>
            <w:tcMar>
              <w:top w:w="40" w:type="dxa"/>
              <w:left w:w="20" w:type="dxa"/>
              <w:bottom w:w="40" w:type="dxa"/>
              <w:right w:w="20" w:type="dxa"/>
            </w:tcMar>
            <w:vAlign w:val="bottom"/>
          </w:tcPr>
          <w:p w14:paraId="26E9D10A" w14:textId="77777777" w:rsidR="008A3BAC" w:rsidRDefault="008A3BAC">
            <w:pPr>
              <w:jc w:val="right"/>
              <w:rPr>
                <w:rFonts w:ascii="宋体"/>
              </w:rPr>
            </w:pPr>
          </w:p>
        </w:tc>
      </w:tr>
      <w:tr w:rsidR="008A3BAC" w14:paraId="26E9D113" w14:textId="77777777">
        <w:trPr>
          <w:trHeight w:val="240"/>
        </w:trPr>
        <w:tc>
          <w:tcPr>
            <w:tcW w:w="0" w:type="auto"/>
            <w:gridSpan w:val="3"/>
            <w:shd w:val="clear" w:color="auto" w:fill="auto"/>
            <w:tcMar>
              <w:top w:w="40" w:type="dxa"/>
              <w:left w:w="20" w:type="dxa"/>
              <w:bottom w:w="40" w:type="dxa"/>
              <w:right w:w="20" w:type="dxa"/>
            </w:tcMar>
            <w:vAlign w:val="bottom"/>
          </w:tcPr>
          <w:p w14:paraId="26E9D10C"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0D"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0E"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D10F"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10"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11"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vMerge/>
            <w:shd w:val="clear" w:color="auto" w:fill="auto"/>
            <w:tcMar>
              <w:top w:w="40" w:type="dxa"/>
              <w:left w:w="20" w:type="dxa"/>
              <w:bottom w:w="40" w:type="dxa"/>
              <w:right w:w="20" w:type="dxa"/>
            </w:tcMar>
            <w:vAlign w:val="bottom"/>
          </w:tcPr>
          <w:p w14:paraId="26E9D112" w14:textId="77777777" w:rsidR="008A3BAC" w:rsidRDefault="008A3BAC">
            <w:pPr>
              <w:jc w:val="right"/>
              <w:rPr>
                <w:rFonts w:ascii="宋体"/>
              </w:rPr>
            </w:pPr>
          </w:p>
        </w:tc>
      </w:tr>
      <w:tr w:rsidR="008A3BAC" w14:paraId="26E9D12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14" w14:textId="77777777" w:rsidR="008A3BAC" w:rsidRDefault="005C75B9">
            <w:pPr>
              <w:textAlignment w:val="bottom"/>
            </w:pPr>
            <w:r>
              <w:rPr>
                <w:rFonts w:ascii="Arial" w:eastAsia="宋体" w:hAnsi="Arial" w:cs="Arial"/>
                <w:color w:val="000000"/>
                <w:sz w:val="17"/>
                <w:szCs w:val="17"/>
              </w:rPr>
              <w:t xml:space="preserve">Gains (losses) on foreign currency translation </w:t>
            </w:r>
            <w:r>
              <w:rPr>
                <w:rFonts w:ascii="Arial" w:eastAsia="宋体" w:hAnsi="Arial" w:cs="Arial"/>
                <w:color w:val="000000"/>
                <w:sz w:val="17"/>
                <w:szCs w:val="17"/>
              </w:rPr>
              <w:t>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115"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116"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1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118"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119"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1A"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1B"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11C"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11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1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11F"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120"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21" w14:textId="77777777" w:rsidR="008A3BAC" w:rsidRDefault="008A3BA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22" w14:textId="77777777" w:rsidR="008A3BAC" w:rsidRDefault="005C75B9">
            <w:pPr>
              <w:jc w:val="right"/>
              <w:textAlignment w:val="bottom"/>
            </w:pPr>
            <w:r>
              <w:rPr>
                <w:rFonts w:ascii="Arial" w:eastAsia="宋体" w:hAnsi="Arial" w:cs="Arial"/>
                <w:color w:val="000000"/>
                <w:sz w:val="17"/>
                <w:szCs w:val="17"/>
              </w:rPr>
              <w:t>Other expense (income), net</w:t>
            </w:r>
          </w:p>
        </w:tc>
      </w:tr>
      <w:tr w:rsidR="008A3BAC" w14:paraId="26E9D12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24" w14:textId="77777777" w:rsidR="008A3BAC" w:rsidRDefault="005C75B9">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2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2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27"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28"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29"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2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2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2C"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2D"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2E" w14:textId="77777777" w:rsidR="008A3BAC" w:rsidRDefault="008A3BAC">
            <w:pPr>
              <w:rPr>
                <w:rFonts w:ascii="宋体"/>
              </w:rPr>
            </w:pPr>
          </w:p>
        </w:tc>
      </w:tr>
      <w:tr w:rsidR="008A3BAC" w14:paraId="26E9D13B"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6E9D130" w14:textId="77777777" w:rsidR="008A3BAC" w:rsidRDefault="005C75B9">
            <w:pPr>
              <w:textAlignment w:val="bottom"/>
            </w:pPr>
            <w:r>
              <w:rPr>
                <w:rFonts w:ascii="Arial" w:eastAsia="宋体" w:hAnsi="Arial" w:cs="Arial"/>
                <w:color w:val="000000"/>
                <w:sz w:val="17"/>
                <w:szCs w:val="17"/>
              </w:rPr>
              <w:t>Tax (expense) benefit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D13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D132" w14:textId="77777777" w:rsidR="008A3BAC" w:rsidRDefault="008A3BAC">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D13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6E9D134"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D135" w14:textId="77777777" w:rsidR="008A3BAC" w:rsidRDefault="008A3BAC">
            <w:pPr>
              <w:rPr>
                <w:rFonts w:ascii="宋体"/>
              </w:rPr>
            </w:pP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6E9D136"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6E9D137" w14:textId="77777777" w:rsidR="008A3BAC" w:rsidRDefault="008A3BAC">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6E9D13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6E9D139" w14:textId="77777777" w:rsidR="008A3BAC" w:rsidRDefault="008A3BAC">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6E9D13A" w14:textId="77777777" w:rsidR="008A3BAC" w:rsidRDefault="008A3BAC">
            <w:pPr>
              <w:rPr>
                <w:rFonts w:ascii="宋体"/>
              </w:rPr>
            </w:pPr>
          </w:p>
        </w:tc>
      </w:tr>
      <w:tr w:rsidR="008A3BAC" w14:paraId="26E9D14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3C" w14:textId="77777777" w:rsidR="008A3BAC" w:rsidRDefault="005C75B9">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3D"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3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3F" w14:textId="77777777" w:rsidR="008A3BAC" w:rsidRDefault="005C75B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40"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1"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42" w14:textId="77777777" w:rsidR="008A3BAC" w:rsidRDefault="005C75B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4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44"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45"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6" w14:textId="77777777" w:rsidR="008A3BAC" w:rsidRDefault="008A3BAC">
            <w:pPr>
              <w:rPr>
                <w:rFonts w:ascii="宋体"/>
              </w:rPr>
            </w:pPr>
          </w:p>
        </w:tc>
      </w:tr>
      <w:tr w:rsidR="008A3BAC" w14:paraId="26E9D14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48" w14:textId="77777777" w:rsidR="008A3BAC" w:rsidRDefault="005C75B9">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14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B"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14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4E" w14:textId="77777777" w:rsidR="008A3BAC" w:rsidRDefault="008A3BAC">
            <w:pPr>
              <w:rPr>
                <w:rFonts w:ascii="宋体"/>
              </w:rPr>
            </w:pPr>
          </w:p>
        </w:tc>
      </w:tr>
      <w:tr w:rsidR="008A3BAC" w14:paraId="26E9D15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150"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15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152"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53"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15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155"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5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5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15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159" w14:textId="77777777" w:rsidR="008A3BAC" w:rsidRDefault="005C75B9">
            <w:pPr>
              <w:jc w:val="right"/>
              <w:textAlignment w:val="bottom"/>
            </w:pPr>
            <w:r>
              <w:rPr>
                <w:rFonts w:ascii="Arial" w:eastAsia="宋体" w:hAnsi="Arial" w:cs="Arial"/>
                <w:color w:val="000000"/>
                <w:sz w:val="17"/>
                <w:szCs w:val="17"/>
              </w:rPr>
              <w:t>(63)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5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15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15C"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5D"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5E" w14:textId="77777777" w:rsidR="008A3BAC" w:rsidRDefault="005C75B9">
            <w:pPr>
              <w:jc w:val="right"/>
              <w:textAlignment w:val="bottom"/>
            </w:pPr>
            <w:r>
              <w:rPr>
                <w:rFonts w:ascii="Arial" w:eastAsia="宋体" w:hAnsi="Arial" w:cs="Arial"/>
                <w:color w:val="000000"/>
                <w:sz w:val="17"/>
                <w:szCs w:val="17"/>
              </w:rPr>
              <w:t>Revenues</w:t>
            </w:r>
          </w:p>
        </w:tc>
      </w:tr>
      <w:tr w:rsidR="008A3BAC" w14:paraId="26E9D1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160"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61"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6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63" w14:textId="77777777" w:rsidR="008A3BAC" w:rsidRDefault="005C75B9">
            <w:pPr>
              <w:jc w:val="right"/>
              <w:textAlignment w:val="bottom"/>
            </w:pPr>
            <w:r>
              <w:rPr>
                <w:rFonts w:ascii="Arial" w:eastAsia="宋体" w:hAnsi="Arial" w:cs="Arial"/>
                <w:color w:val="000000"/>
                <w:sz w:val="17"/>
                <w:szCs w:val="17"/>
              </w:rPr>
              <w:t>(35)</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6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6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66" w14:textId="77777777" w:rsidR="008A3BAC" w:rsidRDefault="005C75B9">
            <w:pPr>
              <w:jc w:val="right"/>
              <w:textAlignment w:val="bottom"/>
            </w:pPr>
            <w:r>
              <w:rPr>
                <w:rFonts w:ascii="Arial" w:eastAsia="宋体" w:hAnsi="Arial" w:cs="Arial"/>
                <w:color w:val="000000"/>
                <w:sz w:val="17"/>
                <w:szCs w:val="17"/>
              </w:rPr>
              <w:t>(79)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6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68" w14:textId="77777777" w:rsidR="008A3BAC" w:rsidRDefault="005C75B9">
            <w:pPr>
              <w:jc w:val="right"/>
              <w:textAlignment w:val="bottom"/>
            </w:pPr>
            <w:r>
              <w:rPr>
                <w:rFonts w:ascii="Arial" w:eastAsia="宋体" w:hAnsi="Arial" w:cs="Arial"/>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69"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6A" w14:textId="77777777" w:rsidR="008A3BAC" w:rsidRDefault="005C75B9">
            <w:pPr>
              <w:jc w:val="right"/>
              <w:textAlignment w:val="bottom"/>
            </w:pPr>
            <w:r>
              <w:rPr>
                <w:rFonts w:ascii="Arial" w:eastAsia="宋体" w:hAnsi="Arial" w:cs="Arial"/>
                <w:color w:val="000000"/>
                <w:sz w:val="17"/>
                <w:szCs w:val="17"/>
              </w:rPr>
              <w:t>Cost of sales</w:t>
            </w:r>
          </w:p>
        </w:tc>
      </w:tr>
      <w:tr w:rsidR="008A3BAC" w14:paraId="26E9D17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16C"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6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6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6F"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7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7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72"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7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74"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75"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76" w14:textId="77777777" w:rsidR="008A3BAC" w:rsidRDefault="005C75B9">
            <w:pPr>
              <w:jc w:val="right"/>
              <w:textAlignment w:val="bottom"/>
            </w:pPr>
            <w:r>
              <w:rPr>
                <w:rFonts w:ascii="Arial" w:eastAsia="宋体" w:hAnsi="Arial" w:cs="Arial"/>
                <w:color w:val="000000"/>
                <w:sz w:val="17"/>
                <w:szCs w:val="17"/>
              </w:rPr>
              <w:t>Demand creation expense</w:t>
            </w:r>
          </w:p>
        </w:tc>
      </w:tr>
      <w:tr w:rsidR="008A3BAC" w14:paraId="26E9D1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178" w14:textId="77777777" w:rsidR="008A3BAC" w:rsidRDefault="005C75B9">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79" w14:textId="77777777" w:rsidR="008A3BAC" w:rsidRDefault="005C75B9">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7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7B" w14:textId="77777777" w:rsidR="008A3BAC" w:rsidRDefault="005C75B9">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7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7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7E" w14:textId="77777777" w:rsidR="008A3BAC" w:rsidRDefault="005C75B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7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80" w14:textId="77777777" w:rsidR="008A3BAC" w:rsidRDefault="005C75B9">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81"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82" w14:textId="77777777" w:rsidR="008A3BAC" w:rsidRDefault="005C75B9">
            <w:pPr>
              <w:jc w:val="right"/>
              <w:textAlignment w:val="bottom"/>
            </w:pPr>
            <w:r>
              <w:rPr>
                <w:rFonts w:ascii="Arial" w:eastAsia="宋体" w:hAnsi="Arial" w:cs="Arial"/>
                <w:color w:val="000000"/>
                <w:sz w:val="17"/>
                <w:szCs w:val="17"/>
              </w:rPr>
              <w:t>Other (income) expense, net</w:t>
            </w:r>
          </w:p>
        </w:tc>
      </w:tr>
      <w:tr w:rsidR="008A3BAC" w14:paraId="26E9D18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184" w14:textId="77777777" w:rsidR="008A3BAC" w:rsidRDefault="005C75B9">
            <w:pPr>
              <w:textAlignment w:val="bottom"/>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85"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8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87" w14:textId="77777777" w:rsidR="008A3BAC" w:rsidRDefault="005C75B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8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8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8A"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8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8C"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8D" w14:textId="77777777" w:rsidR="008A3BAC" w:rsidRDefault="008A3BAC">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8E" w14:textId="77777777" w:rsidR="008A3BAC" w:rsidRDefault="005C75B9">
            <w:pPr>
              <w:jc w:val="right"/>
              <w:textAlignment w:val="bottom"/>
            </w:pPr>
            <w:r>
              <w:rPr>
                <w:rFonts w:ascii="Arial" w:eastAsia="宋体" w:hAnsi="Arial" w:cs="Arial"/>
                <w:color w:val="000000"/>
                <w:sz w:val="17"/>
                <w:szCs w:val="17"/>
              </w:rPr>
              <w:t>Interest expense (income), net</w:t>
            </w:r>
          </w:p>
        </w:tc>
      </w:tr>
      <w:tr w:rsidR="008A3BAC" w14:paraId="26E9D1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90" w14:textId="77777777" w:rsidR="008A3BAC" w:rsidRDefault="005C75B9">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91" w14:textId="77777777" w:rsidR="008A3BAC" w:rsidRDefault="005C75B9">
            <w:pPr>
              <w:jc w:val="right"/>
              <w:textAlignment w:val="bottom"/>
            </w:pPr>
            <w:r>
              <w:rPr>
                <w:rFonts w:ascii="Arial" w:eastAsia="宋体" w:hAnsi="Arial" w:cs="Arial"/>
                <w:color w:val="000000"/>
                <w:sz w:val="17"/>
                <w:szCs w:val="17"/>
              </w:rPr>
              <w:t>38 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9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93" w14:textId="77777777" w:rsidR="008A3BAC" w:rsidRDefault="005C75B9">
            <w:pPr>
              <w:jc w:val="right"/>
              <w:textAlignment w:val="bottom"/>
            </w:pPr>
            <w:r>
              <w:rPr>
                <w:rFonts w:ascii="Arial" w:eastAsia="宋体" w:hAnsi="Arial" w:cs="Arial"/>
                <w:color w:val="000000"/>
                <w:sz w:val="17"/>
                <w:szCs w:val="17"/>
              </w:rPr>
              <w:t>(46)</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94"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95"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96" w14:textId="77777777" w:rsidR="008A3BAC" w:rsidRDefault="005C75B9">
            <w:pPr>
              <w:jc w:val="right"/>
              <w:textAlignment w:val="bottom"/>
            </w:pPr>
            <w:r>
              <w:rPr>
                <w:rFonts w:ascii="Arial" w:eastAsia="宋体" w:hAnsi="Arial" w:cs="Arial"/>
                <w:color w:val="000000"/>
                <w:sz w:val="17"/>
                <w:szCs w:val="17"/>
              </w:rPr>
              <w:t>(90)</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97"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98" w14:textId="77777777" w:rsidR="008A3BAC" w:rsidRDefault="005C75B9">
            <w:pPr>
              <w:jc w:val="right"/>
              <w:textAlignment w:val="bottom"/>
            </w:pPr>
            <w:r>
              <w:rPr>
                <w:rFonts w:ascii="Arial" w:eastAsia="宋体" w:hAnsi="Arial" w:cs="Arial"/>
                <w:color w:val="000000"/>
                <w:sz w:val="17"/>
                <w:szCs w:val="17"/>
              </w:rPr>
              <w:t>132 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9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9A" w14:textId="77777777" w:rsidR="008A3BAC" w:rsidRDefault="008A3BAC">
            <w:pPr>
              <w:rPr>
                <w:rFonts w:ascii="宋体"/>
              </w:rPr>
            </w:pPr>
          </w:p>
        </w:tc>
      </w:tr>
      <w:tr w:rsidR="008A3BAC" w14:paraId="26E9D1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9C" w14:textId="77777777" w:rsidR="008A3BAC" w:rsidRDefault="005C75B9">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9D"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9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9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A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A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A2"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A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A4" w14:textId="77777777" w:rsidR="008A3BAC" w:rsidRDefault="005C75B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A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A6" w14:textId="77777777" w:rsidR="008A3BAC" w:rsidRDefault="008A3BAC">
            <w:pPr>
              <w:rPr>
                <w:rFonts w:ascii="宋体"/>
              </w:rPr>
            </w:pPr>
          </w:p>
        </w:tc>
      </w:tr>
      <w:tr w:rsidR="008A3BAC" w14:paraId="26E9D1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A8" w14:textId="77777777" w:rsidR="008A3BAC" w:rsidRDefault="005C75B9">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A9" w14:textId="77777777" w:rsidR="008A3BAC" w:rsidRDefault="005C75B9">
            <w:pPr>
              <w:jc w:val="right"/>
              <w:textAlignment w:val="bottom"/>
            </w:pPr>
            <w:r>
              <w:rPr>
                <w:rFonts w:ascii="Arial" w:eastAsia="宋体" w:hAnsi="Arial" w:cs="Arial"/>
                <w:b/>
                <w:bCs/>
                <w:color w:val="000000"/>
                <w:sz w:val="17"/>
                <w:szCs w:val="17"/>
              </w:rPr>
              <w:t>33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A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AB" w14:textId="77777777" w:rsidR="008A3BAC" w:rsidRDefault="005C75B9">
            <w:pPr>
              <w:jc w:val="right"/>
              <w:textAlignment w:val="bottom"/>
            </w:pPr>
            <w:r>
              <w:rPr>
                <w:rFonts w:ascii="Arial" w:eastAsia="宋体" w:hAnsi="Arial" w:cs="Arial"/>
                <w:b/>
                <w:bCs/>
                <w:color w:val="000000"/>
                <w:sz w:val="17"/>
                <w:szCs w:val="17"/>
              </w:rPr>
              <w:t>(46)</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AC"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AD"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AE" w14:textId="77777777" w:rsidR="008A3BAC" w:rsidRDefault="005C75B9">
            <w:pPr>
              <w:jc w:val="right"/>
              <w:textAlignment w:val="bottom"/>
            </w:pPr>
            <w:r>
              <w:rPr>
                <w:rFonts w:ascii="Arial" w:eastAsia="宋体" w:hAnsi="Arial" w:cs="Arial"/>
                <w:b/>
                <w:bCs/>
                <w:color w:val="000000"/>
                <w:sz w:val="17"/>
                <w:szCs w:val="17"/>
              </w:rPr>
              <w:t>(86)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A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B0" w14:textId="77777777" w:rsidR="008A3BAC" w:rsidRDefault="005C75B9">
            <w:pPr>
              <w:jc w:val="right"/>
              <w:textAlignment w:val="bottom"/>
            </w:pPr>
            <w:r>
              <w:rPr>
                <w:rFonts w:ascii="Arial" w:eastAsia="宋体" w:hAnsi="Arial" w:cs="Arial"/>
                <w:b/>
                <w:bCs/>
                <w:color w:val="000000"/>
                <w:sz w:val="17"/>
                <w:szCs w:val="17"/>
              </w:rPr>
              <w:t>125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B1"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B2" w14:textId="77777777" w:rsidR="008A3BAC" w:rsidRDefault="008A3BAC">
            <w:pPr>
              <w:rPr>
                <w:rFonts w:ascii="宋体"/>
              </w:rPr>
            </w:pPr>
          </w:p>
        </w:tc>
      </w:tr>
      <w:tr w:rsidR="008A3BAC" w14:paraId="26E9D1B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B4" w14:textId="77777777" w:rsidR="008A3BAC" w:rsidRDefault="005C75B9">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B5"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B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B7" w14:textId="77777777" w:rsidR="008A3BAC" w:rsidRDefault="005C75B9">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B8"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B9"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BA"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B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BC" w14:textId="77777777" w:rsidR="008A3BAC" w:rsidRDefault="005C75B9">
            <w:pPr>
              <w:jc w:val="right"/>
              <w:textAlignment w:val="bottom"/>
            </w:pPr>
            <w:r>
              <w:rPr>
                <w:rFonts w:ascii="Arial" w:eastAsia="宋体" w:hAnsi="Arial" w:cs="Arial"/>
                <w:color w:val="000000"/>
                <w:sz w:val="17"/>
                <w:szCs w:val="17"/>
              </w:rPr>
              <w:t>(15)</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BD" w14:textId="77777777" w:rsidR="008A3BAC" w:rsidRDefault="008A3BAC">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BE" w14:textId="77777777" w:rsidR="008A3BAC" w:rsidRDefault="005C75B9">
            <w:pPr>
              <w:jc w:val="right"/>
              <w:textAlignment w:val="bottom"/>
            </w:pPr>
            <w:r>
              <w:rPr>
                <w:rFonts w:ascii="Arial" w:eastAsia="宋体" w:hAnsi="Arial" w:cs="Arial"/>
                <w:color w:val="000000"/>
                <w:sz w:val="17"/>
                <w:szCs w:val="17"/>
              </w:rPr>
              <w:t>Other (income) expense, net</w:t>
            </w:r>
          </w:p>
        </w:tc>
      </w:tr>
      <w:tr w:rsidR="008A3BAC" w14:paraId="26E9D1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C0" w14:textId="77777777" w:rsidR="008A3BAC" w:rsidRDefault="005C75B9">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C1"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C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C3" w14:textId="77777777" w:rsidR="008A3BAC" w:rsidRDefault="005C75B9">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C4"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C5"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C6"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C7"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C8" w14:textId="77777777" w:rsidR="008A3BAC" w:rsidRDefault="005C75B9">
            <w:pPr>
              <w:jc w:val="right"/>
              <w:textAlignment w:val="bottom"/>
            </w:pPr>
            <w:r>
              <w:rPr>
                <w:rFonts w:ascii="Arial" w:eastAsia="宋体" w:hAnsi="Arial" w:cs="Arial"/>
                <w:color w:val="000000"/>
                <w:sz w:val="17"/>
                <w:szCs w:val="17"/>
              </w:rPr>
              <w:t>(15)</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C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CA" w14:textId="77777777" w:rsidR="008A3BAC" w:rsidRDefault="008A3BAC">
            <w:pPr>
              <w:rPr>
                <w:rFonts w:ascii="宋体"/>
              </w:rPr>
            </w:pPr>
          </w:p>
        </w:tc>
      </w:tr>
      <w:tr w:rsidR="008A3BAC" w14:paraId="26E9D1D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1CC" w14:textId="77777777" w:rsidR="008A3BAC" w:rsidRDefault="005C75B9">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CD" w14:textId="77777777" w:rsidR="008A3BAC" w:rsidRDefault="005C75B9">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C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C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D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D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1D2" w14:textId="77777777" w:rsidR="008A3BAC" w:rsidRDefault="005C75B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1D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1D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1D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1D6" w14:textId="77777777" w:rsidR="008A3BAC" w:rsidRDefault="008A3BAC">
            <w:pPr>
              <w:rPr>
                <w:rFonts w:ascii="宋体"/>
              </w:rPr>
            </w:pPr>
          </w:p>
        </w:tc>
      </w:tr>
      <w:tr w:rsidR="008A3BAC" w14:paraId="26E9D1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1D8" w14:textId="77777777" w:rsidR="008A3BAC" w:rsidRDefault="005C75B9">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D9" w14:textId="77777777" w:rsidR="008A3BAC" w:rsidRDefault="005C75B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D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DB" w14:textId="77777777" w:rsidR="008A3BAC" w:rsidRDefault="005C75B9">
            <w:pPr>
              <w:jc w:val="right"/>
              <w:textAlignment w:val="bottom"/>
            </w:pPr>
            <w:r>
              <w:rPr>
                <w:rFonts w:ascii="Arial" w:eastAsia="宋体" w:hAnsi="Arial" w:cs="Arial"/>
                <w:b/>
                <w:bCs/>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DC"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DD"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1DE" w14:textId="77777777" w:rsidR="008A3BAC" w:rsidRDefault="005C75B9">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1D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1E0" w14:textId="77777777" w:rsidR="008A3BAC" w:rsidRDefault="005C75B9">
            <w:pPr>
              <w:jc w:val="right"/>
              <w:textAlignment w:val="bottom"/>
            </w:pPr>
            <w:r>
              <w:rPr>
                <w:rFonts w:ascii="Arial" w:eastAsia="宋体" w:hAnsi="Arial" w:cs="Arial"/>
                <w:b/>
                <w:bCs/>
                <w:color w:val="000000"/>
                <w:sz w:val="17"/>
                <w:szCs w:val="17"/>
              </w:rPr>
              <w:t>(15)</w:t>
            </w:r>
          </w:p>
        </w:tc>
        <w:tc>
          <w:tcPr>
            <w:tcW w:w="0" w:type="auto"/>
            <w:tcBorders>
              <w:top w:val="single" w:sz="8" w:space="0" w:color="E87722"/>
            </w:tcBorders>
            <w:shd w:val="clear" w:color="auto" w:fill="auto"/>
            <w:tcMar>
              <w:top w:w="40" w:type="dxa"/>
              <w:left w:w="0" w:type="dxa"/>
              <w:bottom w:w="40" w:type="dxa"/>
              <w:right w:w="20" w:type="dxa"/>
            </w:tcMar>
            <w:vAlign w:val="bottom"/>
          </w:tcPr>
          <w:p w14:paraId="26E9D1E1"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1E2" w14:textId="77777777" w:rsidR="008A3BAC" w:rsidRDefault="008A3BAC">
            <w:pPr>
              <w:rPr>
                <w:rFonts w:ascii="宋体"/>
              </w:rPr>
            </w:pPr>
          </w:p>
        </w:tc>
      </w:tr>
      <w:tr w:rsidR="008A3BAC" w14:paraId="26E9D1F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1E4" w14:textId="77777777" w:rsidR="008A3BAC" w:rsidRDefault="005C75B9">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1E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1E6" w14:textId="77777777" w:rsidR="008A3BAC" w:rsidRDefault="005C75B9">
            <w:pPr>
              <w:jc w:val="right"/>
              <w:textAlignment w:val="bottom"/>
            </w:pPr>
            <w:r>
              <w:rPr>
                <w:rFonts w:ascii="Arial" w:eastAsia="宋体" w:hAnsi="Arial" w:cs="Arial"/>
                <w:b/>
                <w:bCs/>
                <w:color w:val="000000"/>
                <w:sz w:val="17"/>
                <w:szCs w:val="17"/>
              </w:rPr>
              <w:t>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1E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1E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1E9" w14:textId="77777777" w:rsidR="008A3BAC" w:rsidRDefault="005C75B9">
            <w:pPr>
              <w:jc w:val="right"/>
              <w:textAlignment w:val="bottom"/>
            </w:pPr>
            <w:r>
              <w:rPr>
                <w:rFonts w:ascii="Arial" w:eastAsia="宋体" w:hAnsi="Arial" w:cs="Arial"/>
                <w:b/>
                <w:bCs/>
                <w:color w:val="000000"/>
                <w:sz w:val="17"/>
                <w:szCs w:val="17"/>
              </w:rPr>
              <w:t>(53)</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1EA"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1EB"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1E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1ED" w14:textId="77777777" w:rsidR="008A3BAC" w:rsidRDefault="005C75B9">
            <w:pPr>
              <w:jc w:val="right"/>
              <w:textAlignment w:val="bottom"/>
            </w:pPr>
            <w:r>
              <w:rPr>
                <w:rFonts w:ascii="Arial" w:eastAsia="宋体" w:hAnsi="Arial" w:cs="Arial"/>
                <w:b/>
                <w:bCs/>
                <w:color w:val="000000"/>
                <w:sz w:val="17"/>
                <w:szCs w:val="17"/>
              </w:rPr>
              <w:t>(72)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1E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1E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1F0" w14:textId="77777777" w:rsidR="008A3BAC" w:rsidRDefault="005C75B9">
            <w:pPr>
              <w:jc w:val="right"/>
              <w:textAlignment w:val="bottom"/>
            </w:pPr>
            <w:r>
              <w:rPr>
                <w:rFonts w:ascii="Arial" w:eastAsia="宋体" w:hAnsi="Arial" w:cs="Arial"/>
                <w:b/>
                <w:bCs/>
                <w:color w:val="000000"/>
                <w:sz w:val="17"/>
                <w:szCs w:val="17"/>
              </w:rPr>
              <w:t>112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1F1"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1F2" w14:textId="77777777" w:rsidR="008A3BAC" w:rsidRDefault="008A3BAC">
            <w:pPr>
              <w:rPr>
                <w:rFonts w:ascii="宋体"/>
              </w:rPr>
            </w:pPr>
          </w:p>
        </w:tc>
      </w:tr>
    </w:tbl>
    <w:p w14:paraId="26E9D1F4" w14:textId="77777777" w:rsidR="008A3BAC" w:rsidRDefault="005C75B9">
      <w:pPr>
        <w:spacing w:before="120" w:after="120"/>
        <w:jc w:val="right"/>
      </w:pPr>
      <w:r>
        <w:rPr>
          <w:rFonts w:ascii="Arial" w:eastAsia="宋体" w:hAnsi="Arial" w:cs="Arial"/>
          <w:color w:val="E87722"/>
          <w:sz w:val="17"/>
          <w:szCs w:val="17"/>
        </w:rPr>
        <w:t>19</w:t>
      </w:r>
    </w:p>
    <w:p w14:paraId="26E9D1F5" w14:textId="77777777" w:rsidR="008A3BAC" w:rsidRDefault="005C75B9">
      <w:r>
        <w:pict w14:anchorId="26E9E85A">
          <v:rect id="_x0000_i1045" style="width:415.3pt;height:1.5pt" o:hralign="center" o:hrstd="t" o:hr="t" fillcolor="#a0a0a0" stroked="f"/>
        </w:pict>
      </w:r>
    </w:p>
    <w:p w14:paraId="26E9D1F6" w14:textId="77777777" w:rsidR="008A3BAC" w:rsidRDefault="008A3BAC"/>
    <w:p w14:paraId="26E9D1F7" w14:textId="77777777" w:rsidR="008A3BAC" w:rsidRDefault="005C75B9">
      <w:hyperlink r:id="rId90" w:anchor="i46aba51c6a804f42b3595948c57d2023_7" w:history="1">
        <w:r>
          <w:rPr>
            <w:rStyle w:val="a5"/>
            <w:rFonts w:ascii="sans-serif" w:eastAsia="sans-serif" w:hAnsi="sans-serif" w:cs="sans-serif"/>
            <w:sz w:val="17"/>
            <w:szCs w:val="17"/>
          </w:rPr>
          <w:t>Table of Contents</w:t>
        </w:r>
      </w:hyperlink>
    </w:p>
    <w:p w14:paraId="26E9D1F8"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D1FC" w14:textId="77777777">
        <w:tc>
          <w:tcPr>
            <w:tcW w:w="50" w:type="pct"/>
            <w:shd w:val="clear" w:color="auto" w:fill="auto"/>
            <w:vAlign w:val="bottom"/>
          </w:tcPr>
          <w:p w14:paraId="26E9D1F9" w14:textId="77777777" w:rsidR="008A3BAC" w:rsidRDefault="008A3BAC">
            <w:pPr>
              <w:rPr>
                <w:rFonts w:ascii="宋体"/>
              </w:rPr>
            </w:pPr>
          </w:p>
        </w:tc>
        <w:tc>
          <w:tcPr>
            <w:tcW w:w="4945" w:type="pct"/>
            <w:shd w:val="clear" w:color="auto" w:fill="auto"/>
            <w:vAlign w:val="bottom"/>
          </w:tcPr>
          <w:p w14:paraId="26E9D1FA" w14:textId="77777777" w:rsidR="008A3BAC" w:rsidRDefault="008A3BAC">
            <w:pPr>
              <w:rPr>
                <w:rFonts w:ascii="宋体"/>
              </w:rPr>
            </w:pPr>
          </w:p>
        </w:tc>
        <w:tc>
          <w:tcPr>
            <w:tcW w:w="5" w:type="pct"/>
            <w:shd w:val="clear" w:color="auto" w:fill="auto"/>
            <w:vAlign w:val="bottom"/>
          </w:tcPr>
          <w:p w14:paraId="26E9D1FB" w14:textId="77777777" w:rsidR="008A3BAC" w:rsidRDefault="008A3BAC">
            <w:pPr>
              <w:rPr>
                <w:rFonts w:ascii="宋体"/>
              </w:rPr>
            </w:pPr>
          </w:p>
        </w:tc>
      </w:tr>
      <w:tr w:rsidR="008A3BAC" w14:paraId="26E9D1FE" w14:textId="77777777">
        <w:tc>
          <w:tcPr>
            <w:tcW w:w="0" w:type="auto"/>
            <w:gridSpan w:val="3"/>
            <w:shd w:val="clear" w:color="auto" w:fill="auto"/>
            <w:tcMar>
              <w:top w:w="40" w:type="dxa"/>
              <w:left w:w="20" w:type="dxa"/>
              <w:bottom w:w="40" w:type="dxa"/>
              <w:right w:w="20" w:type="dxa"/>
            </w:tcMar>
            <w:vAlign w:val="bottom"/>
          </w:tcPr>
          <w:p w14:paraId="26E9D1FD" w14:textId="77777777" w:rsidR="008A3BAC" w:rsidRDefault="005C75B9">
            <w:pPr>
              <w:textAlignment w:val="bottom"/>
            </w:pPr>
            <w:r>
              <w:rPr>
                <w:rFonts w:ascii="sans-serif" w:eastAsia="sans-serif" w:hAnsi="sans-serif" w:cs="sans-serif"/>
                <w:b/>
                <w:bCs/>
                <w:color w:val="E87722"/>
                <w:sz w:val="36"/>
                <w:szCs w:val="36"/>
              </w:rPr>
              <w:t>NOTE 11 — REVENUES</w:t>
            </w:r>
          </w:p>
        </w:tc>
      </w:tr>
    </w:tbl>
    <w:p w14:paraId="26E9D1FF" w14:textId="77777777" w:rsidR="008A3BAC" w:rsidRDefault="005C75B9">
      <w:pPr>
        <w:spacing w:before="240" w:after="120"/>
      </w:pPr>
      <w:r>
        <w:rPr>
          <w:rFonts w:ascii="sans-serif" w:eastAsia="sans-serif" w:hAnsi="sans-serif" w:cs="sans-serif"/>
          <w:b/>
          <w:bCs/>
          <w:color w:val="000000"/>
          <w:sz w:val="28"/>
          <w:szCs w:val="28"/>
        </w:rPr>
        <w:t>DISAGGREGATION OF REVENUES</w:t>
      </w:r>
    </w:p>
    <w:p w14:paraId="26E9D200" w14:textId="77777777" w:rsidR="008A3BAC" w:rsidRDefault="005C75B9">
      <w:pPr>
        <w:spacing w:before="120" w:after="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8A3BAC" w14:paraId="26E9D21F" w14:textId="77777777">
        <w:tc>
          <w:tcPr>
            <w:tcW w:w="50" w:type="pct"/>
            <w:shd w:val="clear" w:color="auto" w:fill="auto"/>
            <w:vAlign w:val="bottom"/>
          </w:tcPr>
          <w:p w14:paraId="26E9D201" w14:textId="77777777" w:rsidR="008A3BAC" w:rsidRDefault="008A3BAC">
            <w:pPr>
              <w:rPr>
                <w:rFonts w:ascii="宋体"/>
              </w:rPr>
            </w:pPr>
          </w:p>
        </w:tc>
        <w:tc>
          <w:tcPr>
            <w:tcW w:w="1110" w:type="pct"/>
            <w:shd w:val="clear" w:color="auto" w:fill="auto"/>
            <w:vAlign w:val="bottom"/>
          </w:tcPr>
          <w:p w14:paraId="26E9D202" w14:textId="77777777" w:rsidR="008A3BAC" w:rsidRDefault="008A3BAC">
            <w:pPr>
              <w:rPr>
                <w:rFonts w:ascii="宋体"/>
              </w:rPr>
            </w:pPr>
          </w:p>
        </w:tc>
        <w:tc>
          <w:tcPr>
            <w:tcW w:w="5" w:type="pct"/>
            <w:shd w:val="clear" w:color="auto" w:fill="auto"/>
            <w:vAlign w:val="bottom"/>
          </w:tcPr>
          <w:p w14:paraId="26E9D203" w14:textId="77777777" w:rsidR="008A3BAC" w:rsidRDefault="008A3BAC">
            <w:pPr>
              <w:rPr>
                <w:rFonts w:ascii="宋体"/>
              </w:rPr>
            </w:pPr>
          </w:p>
        </w:tc>
        <w:tc>
          <w:tcPr>
            <w:tcW w:w="50" w:type="pct"/>
            <w:shd w:val="clear" w:color="auto" w:fill="auto"/>
            <w:vAlign w:val="bottom"/>
          </w:tcPr>
          <w:p w14:paraId="26E9D204" w14:textId="77777777" w:rsidR="008A3BAC" w:rsidRDefault="008A3BAC">
            <w:pPr>
              <w:rPr>
                <w:rFonts w:ascii="宋体"/>
              </w:rPr>
            </w:pPr>
          </w:p>
        </w:tc>
        <w:tc>
          <w:tcPr>
            <w:tcW w:w="353" w:type="pct"/>
            <w:shd w:val="clear" w:color="auto" w:fill="auto"/>
            <w:vAlign w:val="bottom"/>
          </w:tcPr>
          <w:p w14:paraId="26E9D205" w14:textId="77777777" w:rsidR="008A3BAC" w:rsidRDefault="008A3BAC">
            <w:pPr>
              <w:rPr>
                <w:rFonts w:ascii="宋体"/>
              </w:rPr>
            </w:pPr>
          </w:p>
        </w:tc>
        <w:tc>
          <w:tcPr>
            <w:tcW w:w="5" w:type="pct"/>
            <w:shd w:val="clear" w:color="auto" w:fill="auto"/>
            <w:vAlign w:val="bottom"/>
          </w:tcPr>
          <w:p w14:paraId="26E9D206" w14:textId="77777777" w:rsidR="008A3BAC" w:rsidRDefault="008A3BAC">
            <w:pPr>
              <w:rPr>
                <w:rFonts w:ascii="宋体"/>
              </w:rPr>
            </w:pPr>
          </w:p>
        </w:tc>
        <w:tc>
          <w:tcPr>
            <w:tcW w:w="50" w:type="pct"/>
            <w:shd w:val="clear" w:color="auto" w:fill="auto"/>
            <w:vAlign w:val="bottom"/>
          </w:tcPr>
          <w:p w14:paraId="26E9D207" w14:textId="77777777" w:rsidR="008A3BAC" w:rsidRDefault="008A3BAC">
            <w:pPr>
              <w:rPr>
                <w:rFonts w:ascii="宋体"/>
              </w:rPr>
            </w:pPr>
          </w:p>
        </w:tc>
        <w:tc>
          <w:tcPr>
            <w:tcW w:w="353" w:type="pct"/>
            <w:shd w:val="clear" w:color="auto" w:fill="auto"/>
            <w:vAlign w:val="bottom"/>
          </w:tcPr>
          <w:p w14:paraId="26E9D208" w14:textId="77777777" w:rsidR="008A3BAC" w:rsidRDefault="008A3BAC">
            <w:pPr>
              <w:rPr>
                <w:rFonts w:ascii="宋体"/>
              </w:rPr>
            </w:pPr>
          </w:p>
        </w:tc>
        <w:tc>
          <w:tcPr>
            <w:tcW w:w="5" w:type="pct"/>
            <w:shd w:val="clear" w:color="auto" w:fill="auto"/>
            <w:vAlign w:val="bottom"/>
          </w:tcPr>
          <w:p w14:paraId="26E9D209" w14:textId="77777777" w:rsidR="008A3BAC" w:rsidRDefault="008A3BAC">
            <w:pPr>
              <w:rPr>
                <w:rFonts w:ascii="宋体"/>
              </w:rPr>
            </w:pPr>
          </w:p>
        </w:tc>
        <w:tc>
          <w:tcPr>
            <w:tcW w:w="50" w:type="pct"/>
            <w:shd w:val="clear" w:color="auto" w:fill="auto"/>
            <w:vAlign w:val="bottom"/>
          </w:tcPr>
          <w:p w14:paraId="26E9D20A" w14:textId="77777777" w:rsidR="008A3BAC" w:rsidRDefault="008A3BAC">
            <w:pPr>
              <w:rPr>
                <w:rFonts w:ascii="宋体"/>
              </w:rPr>
            </w:pPr>
          </w:p>
        </w:tc>
        <w:tc>
          <w:tcPr>
            <w:tcW w:w="353" w:type="pct"/>
            <w:shd w:val="clear" w:color="auto" w:fill="auto"/>
            <w:vAlign w:val="bottom"/>
          </w:tcPr>
          <w:p w14:paraId="26E9D20B" w14:textId="77777777" w:rsidR="008A3BAC" w:rsidRDefault="008A3BAC">
            <w:pPr>
              <w:rPr>
                <w:rFonts w:ascii="宋体"/>
              </w:rPr>
            </w:pPr>
          </w:p>
        </w:tc>
        <w:tc>
          <w:tcPr>
            <w:tcW w:w="5" w:type="pct"/>
            <w:shd w:val="clear" w:color="auto" w:fill="auto"/>
            <w:vAlign w:val="bottom"/>
          </w:tcPr>
          <w:p w14:paraId="26E9D20C" w14:textId="77777777" w:rsidR="008A3BAC" w:rsidRDefault="008A3BAC">
            <w:pPr>
              <w:rPr>
                <w:rFonts w:ascii="宋体"/>
              </w:rPr>
            </w:pPr>
          </w:p>
        </w:tc>
        <w:tc>
          <w:tcPr>
            <w:tcW w:w="50" w:type="pct"/>
            <w:shd w:val="clear" w:color="auto" w:fill="auto"/>
            <w:vAlign w:val="bottom"/>
          </w:tcPr>
          <w:p w14:paraId="26E9D20D" w14:textId="77777777" w:rsidR="008A3BAC" w:rsidRDefault="008A3BAC">
            <w:pPr>
              <w:rPr>
                <w:rFonts w:ascii="宋体"/>
              </w:rPr>
            </w:pPr>
          </w:p>
        </w:tc>
        <w:tc>
          <w:tcPr>
            <w:tcW w:w="384" w:type="pct"/>
            <w:shd w:val="clear" w:color="auto" w:fill="auto"/>
            <w:vAlign w:val="bottom"/>
          </w:tcPr>
          <w:p w14:paraId="26E9D20E" w14:textId="77777777" w:rsidR="008A3BAC" w:rsidRDefault="008A3BAC">
            <w:pPr>
              <w:rPr>
                <w:rFonts w:ascii="宋体"/>
              </w:rPr>
            </w:pPr>
          </w:p>
        </w:tc>
        <w:tc>
          <w:tcPr>
            <w:tcW w:w="5" w:type="pct"/>
            <w:shd w:val="clear" w:color="auto" w:fill="auto"/>
            <w:vAlign w:val="bottom"/>
          </w:tcPr>
          <w:p w14:paraId="26E9D20F" w14:textId="77777777" w:rsidR="008A3BAC" w:rsidRDefault="008A3BAC">
            <w:pPr>
              <w:rPr>
                <w:rFonts w:ascii="宋体"/>
              </w:rPr>
            </w:pPr>
          </w:p>
        </w:tc>
        <w:tc>
          <w:tcPr>
            <w:tcW w:w="50" w:type="pct"/>
            <w:shd w:val="clear" w:color="auto" w:fill="auto"/>
            <w:vAlign w:val="bottom"/>
          </w:tcPr>
          <w:p w14:paraId="26E9D210" w14:textId="77777777" w:rsidR="008A3BAC" w:rsidRDefault="008A3BAC">
            <w:pPr>
              <w:rPr>
                <w:rFonts w:ascii="宋体"/>
              </w:rPr>
            </w:pPr>
          </w:p>
        </w:tc>
        <w:tc>
          <w:tcPr>
            <w:tcW w:w="369" w:type="pct"/>
            <w:shd w:val="clear" w:color="auto" w:fill="auto"/>
            <w:vAlign w:val="bottom"/>
          </w:tcPr>
          <w:p w14:paraId="26E9D211" w14:textId="77777777" w:rsidR="008A3BAC" w:rsidRDefault="008A3BAC">
            <w:pPr>
              <w:rPr>
                <w:rFonts w:ascii="宋体"/>
              </w:rPr>
            </w:pPr>
          </w:p>
        </w:tc>
        <w:tc>
          <w:tcPr>
            <w:tcW w:w="5" w:type="pct"/>
            <w:shd w:val="clear" w:color="auto" w:fill="auto"/>
            <w:vAlign w:val="bottom"/>
          </w:tcPr>
          <w:p w14:paraId="26E9D212" w14:textId="77777777" w:rsidR="008A3BAC" w:rsidRDefault="008A3BAC">
            <w:pPr>
              <w:rPr>
                <w:rFonts w:ascii="宋体"/>
              </w:rPr>
            </w:pPr>
          </w:p>
        </w:tc>
        <w:tc>
          <w:tcPr>
            <w:tcW w:w="50" w:type="pct"/>
            <w:shd w:val="clear" w:color="auto" w:fill="auto"/>
            <w:vAlign w:val="bottom"/>
          </w:tcPr>
          <w:p w14:paraId="26E9D213" w14:textId="77777777" w:rsidR="008A3BAC" w:rsidRDefault="008A3BAC">
            <w:pPr>
              <w:rPr>
                <w:rFonts w:ascii="宋体"/>
              </w:rPr>
            </w:pPr>
          </w:p>
        </w:tc>
        <w:tc>
          <w:tcPr>
            <w:tcW w:w="353" w:type="pct"/>
            <w:shd w:val="clear" w:color="auto" w:fill="auto"/>
            <w:vAlign w:val="bottom"/>
          </w:tcPr>
          <w:p w14:paraId="26E9D214" w14:textId="77777777" w:rsidR="008A3BAC" w:rsidRDefault="008A3BAC">
            <w:pPr>
              <w:rPr>
                <w:rFonts w:ascii="宋体"/>
              </w:rPr>
            </w:pPr>
          </w:p>
        </w:tc>
        <w:tc>
          <w:tcPr>
            <w:tcW w:w="5" w:type="pct"/>
            <w:shd w:val="clear" w:color="auto" w:fill="auto"/>
            <w:vAlign w:val="bottom"/>
          </w:tcPr>
          <w:p w14:paraId="26E9D215" w14:textId="77777777" w:rsidR="008A3BAC" w:rsidRDefault="008A3BAC">
            <w:pPr>
              <w:rPr>
                <w:rFonts w:ascii="宋体"/>
              </w:rPr>
            </w:pPr>
          </w:p>
        </w:tc>
        <w:tc>
          <w:tcPr>
            <w:tcW w:w="50" w:type="pct"/>
            <w:shd w:val="clear" w:color="auto" w:fill="auto"/>
            <w:vAlign w:val="bottom"/>
          </w:tcPr>
          <w:p w14:paraId="26E9D216" w14:textId="77777777" w:rsidR="008A3BAC" w:rsidRDefault="008A3BAC">
            <w:pPr>
              <w:rPr>
                <w:rFonts w:ascii="宋体"/>
              </w:rPr>
            </w:pPr>
          </w:p>
        </w:tc>
        <w:tc>
          <w:tcPr>
            <w:tcW w:w="384" w:type="pct"/>
            <w:shd w:val="clear" w:color="auto" w:fill="auto"/>
            <w:vAlign w:val="bottom"/>
          </w:tcPr>
          <w:p w14:paraId="26E9D217" w14:textId="77777777" w:rsidR="008A3BAC" w:rsidRDefault="008A3BAC">
            <w:pPr>
              <w:rPr>
                <w:rFonts w:ascii="宋体"/>
              </w:rPr>
            </w:pPr>
          </w:p>
        </w:tc>
        <w:tc>
          <w:tcPr>
            <w:tcW w:w="5" w:type="pct"/>
            <w:shd w:val="clear" w:color="auto" w:fill="auto"/>
            <w:vAlign w:val="bottom"/>
          </w:tcPr>
          <w:p w14:paraId="26E9D218" w14:textId="77777777" w:rsidR="008A3BAC" w:rsidRDefault="008A3BAC">
            <w:pPr>
              <w:rPr>
                <w:rFonts w:ascii="宋体"/>
              </w:rPr>
            </w:pPr>
          </w:p>
        </w:tc>
        <w:tc>
          <w:tcPr>
            <w:tcW w:w="50" w:type="pct"/>
            <w:shd w:val="clear" w:color="auto" w:fill="auto"/>
            <w:vAlign w:val="bottom"/>
          </w:tcPr>
          <w:p w14:paraId="26E9D219" w14:textId="77777777" w:rsidR="008A3BAC" w:rsidRDefault="008A3BAC">
            <w:pPr>
              <w:rPr>
                <w:rFonts w:ascii="宋体"/>
              </w:rPr>
            </w:pPr>
          </w:p>
        </w:tc>
        <w:tc>
          <w:tcPr>
            <w:tcW w:w="431" w:type="pct"/>
            <w:shd w:val="clear" w:color="auto" w:fill="auto"/>
            <w:vAlign w:val="bottom"/>
          </w:tcPr>
          <w:p w14:paraId="26E9D21A" w14:textId="77777777" w:rsidR="008A3BAC" w:rsidRDefault="008A3BAC">
            <w:pPr>
              <w:rPr>
                <w:rFonts w:ascii="宋体"/>
              </w:rPr>
            </w:pPr>
          </w:p>
        </w:tc>
        <w:tc>
          <w:tcPr>
            <w:tcW w:w="5" w:type="pct"/>
            <w:shd w:val="clear" w:color="auto" w:fill="auto"/>
            <w:vAlign w:val="bottom"/>
          </w:tcPr>
          <w:p w14:paraId="26E9D21B" w14:textId="77777777" w:rsidR="008A3BAC" w:rsidRDefault="008A3BAC">
            <w:pPr>
              <w:rPr>
                <w:rFonts w:ascii="宋体"/>
              </w:rPr>
            </w:pPr>
          </w:p>
        </w:tc>
        <w:tc>
          <w:tcPr>
            <w:tcW w:w="50" w:type="pct"/>
            <w:shd w:val="clear" w:color="auto" w:fill="auto"/>
            <w:vAlign w:val="bottom"/>
          </w:tcPr>
          <w:p w14:paraId="26E9D21C" w14:textId="77777777" w:rsidR="008A3BAC" w:rsidRDefault="008A3BAC">
            <w:pPr>
              <w:rPr>
                <w:rFonts w:ascii="宋体"/>
              </w:rPr>
            </w:pPr>
          </w:p>
        </w:tc>
        <w:tc>
          <w:tcPr>
            <w:tcW w:w="354" w:type="pct"/>
            <w:shd w:val="clear" w:color="auto" w:fill="auto"/>
            <w:vAlign w:val="bottom"/>
          </w:tcPr>
          <w:p w14:paraId="26E9D21D" w14:textId="77777777" w:rsidR="008A3BAC" w:rsidRDefault="008A3BAC">
            <w:pPr>
              <w:rPr>
                <w:rFonts w:ascii="宋体"/>
              </w:rPr>
            </w:pPr>
          </w:p>
        </w:tc>
        <w:tc>
          <w:tcPr>
            <w:tcW w:w="5" w:type="pct"/>
            <w:shd w:val="clear" w:color="auto" w:fill="auto"/>
            <w:vAlign w:val="bottom"/>
          </w:tcPr>
          <w:p w14:paraId="26E9D21E" w14:textId="77777777" w:rsidR="008A3BAC" w:rsidRDefault="008A3BAC">
            <w:pPr>
              <w:rPr>
                <w:rFonts w:ascii="宋体"/>
              </w:rPr>
            </w:pPr>
          </w:p>
        </w:tc>
      </w:tr>
      <w:tr w:rsidR="008A3BAC" w14:paraId="26E9D222" w14:textId="77777777">
        <w:tc>
          <w:tcPr>
            <w:tcW w:w="0" w:type="auto"/>
            <w:gridSpan w:val="3"/>
            <w:shd w:val="clear" w:color="auto" w:fill="auto"/>
            <w:tcMar>
              <w:top w:w="0" w:type="dxa"/>
              <w:left w:w="20" w:type="dxa"/>
              <w:bottom w:w="0" w:type="dxa"/>
              <w:right w:w="20" w:type="dxa"/>
            </w:tcMar>
            <w:vAlign w:val="bottom"/>
          </w:tcPr>
          <w:p w14:paraId="26E9D220" w14:textId="77777777" w:rsidR="008A3BAC" w:rsidRDefault="008A3BAC">
            <w:pPr>
              <w:rPr>
                <w:rFonts w:ascii="宋体"/>
              </w:rPr>
            </w:pPr>
          </w:p>
        </w:tc>
        <w:tc>
          <w:tcPr>
            <w:tcW w:w="0" w:type="auto"/>
            <w:gridSpan w:val="27"/>
            <w:shd w:val="clear" w:color="auto" w:fill="auto"/>
            <w:tcMar>
              <w:top w:w="40" w:type="dxa"/>
              <w:left w:w="20" w:type="dxa"/>
              <w:bottom w:w="40" w:type="dxa"/>
              <w:right w:w="20" w:type="dxa"/>
            </w:tcMar>
            <w:vAlign w:val="bottom"/>
          </w:tcPr>
          <w:p w14:paraId="26E9D221" w14:textId="77777777" w:rsidR="008A3BAC" w:rsidRDefault="005C75B9">
            <w:pPr>
              <w:jc w:val="center"/>
              <w:textAlignment w:val="bottom"/>
            </w:pPr>
            <w:r>
              <w:rPr>
                <w:rFonts w:ascii="sans-serif" w:eastAsia="sans-serif" w:hAnsi="sans-serif" w:cs="sans-serif"/>
                <w:b/>
                <w:bCs/>
                <w:color w:val="000000"/>
                <w:sz w:val="17"/>
                <w:szCs w:val="17"/>
              </w:rPr>
              <w:t>THREE MONTHS ENDED FEBRUARY 28, 2022</w:t>
            </w:r>
          </w:p>
        </w:tc>
      </w:tr>
      <w:tr w:rsidR="008A3BAC" w14:paraId="26E9D22D" w14:textId="77777777">
        <w:tc>
          <w:tcPr>
            <w:tcW w:w="0" w:type="auto"/>
            <w:gridSpan w:val="3"/>
            <w:shd w:val="clear" w:color="auto" w:fill="auto"/>
            <w:tcMar>
              <w:top w:w="40" w:type="dxa"/>
              <w:left w:w="20" w:type="dxa"/>
              <w:bottom w:w="40" w:type="dxa"/>
              <w:right w:w="20" w:type="dxa"/>
            </w:tcMar>
            <w:vAlign w:val="bottom"/>
          </w:tcPr>
          <w:p w14:paraId="26E9D223"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4" w14:textId="77777777" w:rsidR="008A3BAC" w:rsidRDefault="005C75B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5" w14:textId="77777777" w:rsidR="008A3BAC" w:rsidRDefault="005C75B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6" w14:textId="77777777" w:rsidR="008A3BAC" w:rsidRDefault="005C75B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7" w14:textId="77777777" w:rsidR="008A3BAC" w:rsidRDefault="005C75B9">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8" w14:textId="77777777" w:rsidR="008A3BAC" w:rsidRDefault="005C75B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9" w14:textId="77777777" w:rsidR="008A3BAC" w:rsidRDefault="005C75B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A" w14:textId="77777777" w:rsidR="008A3BAC" w:rsidRDefault="005C75B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B" w14:textId="77777777" w:rsidR="008A3BAC" w:rsidRDefault="005C75B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C" w14:textId="77777777" w:rsidR="008A3BAC" w:rsidRDefault="005C75B9">
            <w:pPr>
              <w:jc w:val="right"/>
              <w:textAlignment w:val="bottom"/>
            </w:pPr>
            <w:r>
              <w:rPr>
                <w:rFonts w:ascii="sans-serif" w:eastAsia="sans-serif" w:hAnsi="sans-serif" w:cs="sans-serif"/>
                <w:b/>
                <w:bCs/>
                <w:color w:val="000000"/>
                <w:sz w:val="17"/>
                <w:szCs w:val="17"/>
              </w:rPr>
              <w:t>TOTAL NIKE, INC.</w:t>
            </w:r>
          </w:p>
        </w:tc>
      </w:tr>
      <w:tr w:rsidR="008A3BAC" w14:paraId="26E9D23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2E"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2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2"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4"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5"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6"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37" w14:textId="77777777" w:rsidR="008A3BAC" w:rsidRDefault="008A3BAC">
            <w:pPr>
              <w:rPr>
                <w:rFonts w:ascii="宋体"/>
              </w:rPr>
            </w:pPr>
          </w:p>
        </w:tc>
      </w:tr>
      <w:tr w:rsidR="008A3BAC" w14:paraId="26E9D25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39"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23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3B" w14:textId="77777777" w:rsidR="008A3BAC" w:rsidRDefault="005C75B9">
            <w:pPr>
              <w:jc w:val="right"/>
              <w:textAlignment w:val="bottom"/>
            </w:pPr>
            <w:r>
              <w:rPr>
                <w:rFonts w:ascii="Arial" w:eastAsia="宋体" w:hAnsi="Arial" w:cs="Arial"/>
                <w:color w:val="000000"/>
                <w:sz w:val="17"/>
                <w:szCs w:val="17"/>
              </w:rPr>
              <w:t>2,532 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3C"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3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3E" w14:textId="77777777" w:rsidR="008A3BAC" w:rsidRDefault="005C75B9">
            <w:pPr>
              <w:jc w:val="right"/>
              <w:textAlignment w:val="bottom"/>
            </w:pPr>
            <w:r>
              <w:rPr>
                <w:rFonts w:ascii="Arial" w:eastAsia="宋体" w:hAnsi="Arial" w:cs="Arial"/>
                <w:color w:val="000000"/>
                <w:sz w:val="17"/>
                <w:szCs w:val="17"/>
              </w:rPr>
              <w:t>1,569 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3F"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41" w14:textId="77777777" w:rsidR="008A3BAC" w:rsidRDefault="005C75B9">
            <w:pPr>
              <w:jc w:val="right"/>
              <w:textAlignment w:val="bottom"/>
            </w:pPr>
            <w:r>
              <w:rPr>
                <w:rFonts w:ascii="Arial" w:eastAsia="宋体" w:hAnsi="Arial" w:cs="Arial"/>
                <w:color w:val="000000"/>
                <w:sz w:val="17"/>
                <w:szCs w:val="17"/>
              </w:rPr>
              <w:t>1,554 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42"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44" w14:textId="77777777" w:rsidR="008A3BAC" w:rsidRDefault="005C75B9">
            <w:pPr>
              <w:jc w:val="right"/>
              <w:textAlignment w:val="bottom"/>
            </w:pPr>
            <w:r>
              <w:rPr>
                <w:rFonts w:ascii="Arial" w:eastAsia="宋体" w:hAnsi="Arial" w:cs="Arial"/>
                <w:color w:val="000000"/>
                <w:sz w:val="17"/>
                <w:szCs w:val="17"/>
              </w:rPr>
              <w:t>1,005 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45"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4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48"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4A" w14:textId="77777777" w:rsidR="008A3BAC" w:rsidRDefault="005C75B9">
            <w:pPr>
              <w:jc w:val="right"/>
              <w:textAlignment w:val="bottom"/>
            </w:pPr>
            <w:r>
              <w:rPr>
                <w:rFonts w:ascii="Arial" w:eastAsia="宋体" w:hAnsi="Arial" w:cs="Arial"/>
                <w:color w:val="000000"/>
                <w:sz w:val="17"/>
                <w:szCs w:val="17"/>
              </w:rPr>
              <w:t>6,660 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4B"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4D" w14:textId="77777777" w:rsidR="008A3BAC" w:rsidRDefault="005C75B9">
            <w:pPr>
              <w:jc w:val="right"/>
              <w:textAlignment w:val="bottom"/>
            </w:pPr>
            <w:r>
              <w:rPr>
                <w:rFonts w:ascii="Arial" w:eastAsia="宋体" w:hAnsi="Arial" w:cs="Arial"/>
                <w:color w:val="000000"/>
                <w:sz w:val="17"/>
                <w:szCs w:val="17"/>
              </w:rPr>
              <w:t>503 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4E"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4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5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1"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5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53" w14:textId="77777777" w:rsidR="008A3BAC" w:rsidRDefault="005C75B9">
            <w:pPr>
              <w:jc w:val="right"/>
              <w:textAlignment w:val="bottom"/>
            </w:pPr>
            <w:r>
              <w:rPr>
                <w:rFonts w:ascii="Arial" w:eastAsia="宋体" w:hAnsi="Arial" w:cs="Arial"/>
                <w:color w:val="000000"/>
                <w:sz w:val="17"/>
                <w:szCs w:val="17"/>
              </w:rPr>
              <w:t>7,163 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4" w14:textId="77777777" w:rsidR="008A3BAC" w:rsidRDefault="008A3BAC">
            <w:pPr>
              <w:jc w:val="right"/>
              <w:rPr>
                <w:rFonts w:ascii="宋体"/>
              </w:rPr>
            </w:pPr>
          </w:p>
        </w:tc>
      </w:tr>
      <w:tr w:rsidR="008A3BAC" w14:paraId="26E9D26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56"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57" w14:textId="77777777" w:rsidR="008A3BAC" w:rsidRDefault="005C75B9">
            <w:pPr>
              <w:jc w:val="right"/>
              <w:textAlignment w:val="bottom"/>
            </w:pPr>
            <w:r>
              <w:rPr>
                <w:rFonts w:ascii="Arial" w:eastAsia="宋体" w:hAnsi="Arial" w:cs="Arial"/>
                <w:color w:val="000000"/>
                <w:sz w:val="17"/>
                <w:szCs w:val="17"/>
              </w:rPr>
              <w:t>1,207 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59" w14:textId="77777777" w:rsidR="008A3BAC" w:rsidRDefault="005C75B9">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5B" w14:textId="77777777" w:rsidR="008A3BAC" w:rsidRDefault="005C75B9">
            <w:pPr>
              <w:jc w:val="right"/>
              <w:textAlignment w:val="bottom"/>
            </w:pPr>
            <w:r>
              <w:rPr>
                <w:rFonts w:ascii="Arial" w:eastAsia="宋体" w:hAnsi="Arial" w:cs="Arial"/>
                <w:color w:val="000000"/>
                <w:sz w:val="17"/>
                <w:szCs w:val="17"/>
              </w:rPr>
              <w:t>548 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5D" w14:textId="77777777" w:rsidR="008A3BAC" w:rsidRDefault="005C75B9">
            <w:pPr>
              <w:jc w:val="right"/>
              <w:textAlignment w:val="bottom"/>
            </w:pPr>
            <w:r>
              <w:rPr>
                <w:rFonts w:ascii="Arial" w:eastAsia="宋体" w:hAnsi="Arial" w:cs="Arial"/>
                <w:color w:val="000000"/>
                <w:sz w:val="17"/>
                <w:szCs w:val="17"/>
              </w:rPr>
              <w:t>394 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5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5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1" w14:textId="77777777" w:rsidR="008A3BAC" w:rsidRDefault="005C75B9">
            <w:pPr>
              <w:jc w:val="right"/>
              <w:textAlignment w:val="bottom"/>
            </w:pPr>
            <w:r>
              <w:rPr>
                <w:rFonts w:ascii="Arial" w:eastAsia="宋体" w:hAnsi="Arial" w:cs="Arial"/>
                <w:color w:val="000000"/>
                <w:sz w:val="17"/>
                <w:szCs w:val="17"/>
              </w:rPr>
              <w:t>3,232 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3" w14:textId="77777777" w:rsidR="008A3BAC" w:rsidRDefault="005C75B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7" w14:textId="77777777" w:rsidR="008A3BAC" w:rsidRDefault="005C75B9">
            <w:pPr>
              <w:jc w:val="right"/>
              <w:textAlignment w:val="bottom"/>
            </w:pPr>
            <w:r>
              <w:rPr>
                <w:rFonts w:ascii="Arial" w:eastAsia="宋体" w:hAnsi="Arial" w:cs="Arial"/>
                <w:color w:val="000000"/>
                <w:sz w:val="17"/>
                <w:szCs w:val="17"/>
              </w:rPr>
              <w:t>3,261 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8" w14:textId="77777777" w:rsidR="008A3BAC" w:rsidRDefault="008A3BAC">
            <w:pPr>
              <w:jc w:val="right"/>
              <w:rPr>
                <w:rFonts w:ascii="宋体"/>
              </w:rPr>
            </w:pPr>
          </w:p>
        </w:tc>
      </w:tr>
      <w:tr w:rsidR="008A3BAC" w14:paraId="26E9D27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6A"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B" w14:textId="77777777" w:rsidR="008A3BAC" w:rsidRDefault="005C75B9">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D" w14:textId="77777777" w:rsidR="008A3BAC" w:rsidRDefault="005C75B9">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6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6F" w14:textId="77777777" w:rsidR="008A3BAC" w:rsidRDefault="005C75B9">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1" w14:textId="77777777" w:rsidR="008A3BAC" w:rsidRDefault="005C75B9">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5" w14:textId="77777777" w:rsidR="008A3BAC" w:rsidRDefault="005C75B9">
            <w:pPr>
              <w:jc w:val="right"/>
              <w:textAlignment w:val="bottom"/>
            </w:pPr>
            <w:r>
              <w:rPr>
                <w:rFonts w:ascii="Arial" w:eastAsia="宋体" w:hAnsi="Arial" w:cs="Arial"/>
                <w:color w:val="000000"/>
                <w:sz w:val="17"/>
                <w:szCs w:val="17"/>
              </w:rPr>
              <w:t>390 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7"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B" w14:textId="77777777" w:rsidR="008A3BAC" w:rsidRDefault="005C75B9">
            <w:pPr>
              <w:jc w:val="right"/>
              <w:textAlignment w:val="bottom"/>
            </w:pPr>
            <w:r>
              <w:rPr>
                <w:rFonts w:ascii="Arial" w:eastAsia="宋体" w:hAnsi="Arial" w:cs="Arial"/>
                <w:color w:val="000000"/>
                <w:sz w:val="17"/>
                <w:szCs w:val="17"/>
              </w:rPr>
              <w:t>397 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7C" w14:textId="77777777" w:rsidR="008A3BAC" w:rsidRDefault="008A3BAC">
            <w:pPr>
              <w:jc w:val="right"/>
              <w:rPr>
                <w:rFonts w:ascii="宋体"/>
              </w:rPr>
            </w:pPr>
          </w:p>
        </w:tc>
      </w:tr>
      <w:tr w:rsidR="008A3BAC" w14:paraId="26E9D29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7E"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7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7"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9"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B"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D"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8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8F" w14:textId="77777777" w:rsidR="008A3BAC" w:rsidRDefault="005C75B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90" w14:textId="77777777" w:rsidR="008A3BAC" w:rsidRDefault="008A3BAC">
            <w:pPr>
              <w:jc w:val="right"/>
              <w:rPr>
                <w:rFonts w:ascii="宋体"/>
              </w:rPr>
            </w:pPr>
          </w:p>
        </w:tc>
      </w:tr>
      <w:tr w:rsidR="008A3BAC" w14:paraId="26E9D2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92"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29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94" w14:textId="77777777" w:rsidR="008A3BAC" w:rsidRDefault="005C75B9">
            <w:pPr>
              <w:jc w:val="right"/>
              <w:textAlignment w:val="bottom"/>
            </w:pPr>
            <w:r>
              <w:rPr>
                <w:rFonts w:ascii="Arial" w:eastAsia="宋体" w:hAnsi="Arial" w:cs="Arial"/>
                <w:b/>
                <w:bCs/>
                <w:color w:val="000000"/>
                <w:sz w:val="17"/>
                <w:szCs w:val="17"/>
              </w:rPr>
              <w:t>3,882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95"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9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97" w14:textId="77777777" w:rsidR="008A3BAC" w:rsidRDefault="005C75B9">
            <w:pPr>
              <w:jc w:val="right"/>
              <w:textAlignment w:val="bottom"/>
            </w:pPr>
            <w:r>
              <w:rPr>
                <w:rFonts w:ascii="Arial" w:eastAsia="宋体" w:hAnsi="Arial" w:cs="Arial"/>
                <w:b/>
                <w:bCs/>
                <w:color w:val="000000"/>
                <w:sz w:val="17"/>
                <w:szCs w:val="17"/>
              </w:rPr>
              <w:t>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98"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9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9A" w14:textId="77777777" w:rsidR="008A3BAC" w:rsidRDefault="005C75B9">
            <w:pPr>
              <w:jc w:val="right"/>
              <w:textAlignment w:val="bottom"/>
            </w:pPr>
            <w:r>
              <w:rPr>
                <w:rFonts w:ascii="Arial" w:eastAsia="宋体" w:hAnsi="Arial" w:cs="Arial"/>
                <w:b/>
                <w:bCs/>
                <w:color w:val="000000"/>
                <w:sz w:val="17"/>
                <w:szCs w:val="17"/>
              </w:rPr>
              <w:t>2,160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9B"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9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9D" w14:textId="77777777" w:rsidR="008A3BAC" w:rsidRDefault="005C75B9">
            <w:pPr>
              <w:jc w:val="right"/>
              <w:textAlignment w:val="bottom"/>
            </w:pPr>
            <w:r>
              <w:rPr>
                <w:rFonts w:ascii="Arial" w:eastAsia="宋体" w:hAnsi="Arial" w:cs="Arial"/>
                <w:b/>
                <w:bCs/>
                <w:color w:val="000000"/>
                <w:sz w:val="17"/>
                <w:szCs w:val="17"/>
              </w:rPr>
              <w:t>1,461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9E"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9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A0" w14:textId="77777777" w:rsidR="008A3BAC" w:rsidRDefault="005C75B9">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A1"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A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A3" w14:textId="77777777" w:rsidR="008A3BAC" w:rsidRDefault="005C75B9">
            <w:pPr>
              <w:jc w:val="right"/>
              <w:textAlignment w:val="bottom"/>
            </w:pPr>
            <w:r>
              <w:rPr>
                <w:rFonts w:ascii="Arial" w:eastAsia="宋体" w:hAnsi="Arial" w:cs="Arial"/>
                <w:b/>
                <w:bCs/>
                <w:color w:val="000000"/>
                <w:sz w:val="17"/>
                <w:szCs w:val="17"/>
              </w:rPr>
              <w:t>10,323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A4"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A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A6" w14:textId="77777777" w:rsidR="008A3BAC" w:rsidRDefault="005C75B9">
            <w:pPr>
              <w:jc w:val="right"/>
              <w:textAlignment w:val="bottom"/>
            </w:pPr>
            <w:r>
              <w:rPr>
                <w:rFonts w:ascii="Arial" w:eastAsia="宋体" w:hAnsi="Arial" w:cs="Arial"/>
                <w:b/>
                <w:bCs/>
                <w:color w:val="000000"/>
                <w:sz w:val="17"/>
                <w:szCs w:val="17"/>
              </w:rPr>
              <w:t>567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A7"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A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A9" w14:textId="77777777" w:rsidR="008A3BAC" w:rsidRDefault="005C75B9">
            <w:pPr>
              <w:jc w:val="right"/>
              <w:textAlignment w:val="bottom"/>
            </w:pPr>
            <w:r>
              <w:rPr>
                <w:rFonts w:ascii="Arial" w:eastAsia="宋体" w:hAnsi="Arial" w:cs="Arial"/>
                <w:b/>
                <w:bCs/>
                <w:color w:val="000000"/>
                <w:sz w:val="17"/>
                <w:szCs w:val="17"/>
              </w:rPr>
              <w:t>(19)</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AA"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2A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2AC" w14:textId="77777777" w:rsidR="008A3BAC" w:rsidRDefault="005C75B9">
            <w:pPr>
              <w:jc w:val="right"/>
              <w:textAlignment w:val="bottom"/>
            </w:pPr>
            <w:r>
              <w:rPr>
                <w:rFonts w:ascii="Arial" w:eastAsia="宋体" w:hAnsi="Arial" w:cs="Arial"/>
                <w:b/>
                <w:bCs/>
                <w:color w:val="000000"/>
                <w:sz w:val="17"/>
                <w:szCs w:val="17"/>
              </w:rPr>
              <w:t>10,871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2AD" w14:textId="77777777" w:rsidR="008A3BAC" w:rsidRDefault="008A3BAC">
            <w:pPr>
              <w:jc w:val="right"/>
              <w:rPr>
                <w:rFonts w:ascii="宋体"/>
              </w:rPr>
            </w:pPr>
          </w:p>
        </w:tc>
      </w:tr>
      <w:tr w:rsidR="008A3BAC" w14:paraId="26E9D2B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2AF"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2"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4"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5"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6"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7"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2B8" w14:textId="77777777" w:rsidR="008A3BAC" w:rsidRDefault="008A3BAC">
            <w:pPr>
              <w:rPr>
                <w:rFonts w:ascii="宋体"/>
              </w:rPr>
            </w:pPr>
          </w:p>
        </w:tc>
      </w:tr>
      <w:tr w:rsidR="008A3BAC" w14:paraId="26E9D2D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BA"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2B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BC" w14:textId="77777777" w:rsidR="008A3BAC" w:rsidRDefault="005C75B9">
            <w:pPr>
              <w:jc w:val="right"/>
              <w:textAlignment w:val="bottom"/>
            </w:pPr>
            <w:r>
              <w:rPr>
                <w:rFonts w:ascii="Arial" w:eastAsia="宋体" w:hAnsi="Arial" w:cs="Arial"/>
                <w:color w:val="000000"/>
                <w:sz w:val="17"/>
                <w:szCs w:val="17"/>
              </w:rPr>
              <w:t>1,769 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BD"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B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BF" w14:textId="77777777" w:rsidR="008A3BAC" w:rsidRDefault="005C75B9">
            <w:pPr>
              <w:jc w:val="right"/>
              <w:textAlignment w:val="bottom"/>
            </w:pPr>
            <w:r>
              <w:rPr>
                <w:rFonts w:ascii="Arial" w:eastAsia="宋体" w:hAnsi="Arial" w:cs="Arial"/>
                <w:color w:val="000000"/>
                <w:sz w:val="17"/>
                <w:szCs w:val="17"/>
              </w:rPr>
              <w:t>1,858 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0"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C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C2" w14:textId="77777777" w:rsidR="008A3BAC" w:rsidRDefault="005C75B9">
            <w:pPr>
              <w:jc w:val="right"/>
              <w:textAlignment w:val="bottom"/>
            </w:pPr>
            <w:r>
              <w:rPr>
                <w:rFonts w:ascii="Arial" w:eastAsia="宋体" w:hAnsi="Arial" w:cs="Arial"/>
                <w:color w:val="000000"/>
                <w:sz w:val="17"/>
                <w:szCs w:val="17"/>
              </w:rPr>
              <w:t>1,241 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3"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C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C5" w14:textId="77777777" w:rsidR="008A3BAC" w:rsidRDefault="005C75B9">
            <w:pPr>
              <w:jc w:val="right"/>
              <w:textAlignment w:val="bottom"/>
            </w:pPr>
            <w:r>
              <w:rPr>
                <w:rFonts w:ascii="Arial" w:eastAsia="宋体" w:hAnsi="Arial" w:cs="Arial"/>
                <w:color w:val="000000"/>
                <w:sz w:val="17"/>
                <w:szCs w:val="17"/>
              </w:rPr>
              <w:t>860 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6"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C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C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9"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C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CB" w14:textId="77777777" w:rsidR="008A3BAC" w:rsidRDefault="005C75B9">
            <w:pPr>
              <w:jc w:val="right"/>
              <w:textAlignment w:val="bottom"/>
            </w:pPr>
            <w:r>
              <w:rPr>
                <w:rFonts w:ascii="Arial" w:eastAsia="宋体" w:hAnsi="Arial" w:cs="Arial"/>
                <w:color w:val="000000"/>
                <w:sz w:val="17"/>
                <w:szCs w:val="17"/>
              </w:rPr>
              <w:t>5,728 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C"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C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CE" w14:textId="77777777" w:rsidR="008A3BAC" w:rsidRDefault="005C75B9">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CF"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D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D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2"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2D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2D4" w14:textId="77777777" w:rsidR="008A3BAC" w:rsidRDefault="005C75B9">
            <w:pPr>
              <w:jc w:val="right"/>
              <w:textAlignment w:val="bottom"/>
            </w:pPr>
            <w:r>
              <w:rPr>
                <w:rFonts w:ascii="Arial" w:eastAsia="宋体" w:hAnsi="Arial" w:cs="Arial"/>
                <w:color w:val="000000"/>
                <w:sz w:val="17"/>
                <w:szCs w:val="17"/>
              </w:rPr>
              <w:t>6,031 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5" w14:textId="77777777" w:rsidR="008A3BAC" w:rsidRDefault="008A3BAC">
            <w:pPr>
              <w:jc w:val="right"/>
              <w:rPr>
                <w:rFonts w:ascii="宋体"/>
              </w:rPr>
            </w:pPr>
          </w:p>
        </w:tc>
      </w:tr>
      <w:tr w:rsidR="008A3BAC" w14:paraId="26E9D2E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D7" w14:textId="77777777" w:rsidR="008A3BAC" w:rsidRDefault="005C75B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D8" w14:textId="77777777" w:rsidR="008A3BAC" w:rsidRDefault="005C75B9">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9"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DA" w14:textId="77777777" w:rsidR="008A3BAC" w:rsidRDefault="005C75B9">
            <w:pPr>
              <w:jc w:val="right"/>
              <w:textAlignment w:val="bottom"/>
            </w:pPr>
            <w:r>
              <w:rPr>
                <w:rFonts w:ascii="Arial" w:eastAsia="宋体" w:hAnsi="Arial" w:cs="Arial"/>
                <w:color w:val="000000"/>
                <w:sz w:val="17"/>
                <w:szCs w:val="17"/>
              </w:rPr>
              <w:t>921 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B"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DC" w14:textId="77777777" w:rsidR="008A3BAC" w:rsidRDefault="005C75B9">
            <w:pPr>
              <w:jc w:val="right"/>
              <w:textAlignment w:val="bottom"/>
            </w:pPr>
            <w:r>
              <w:rPr>
                <w:rFonts w:ascii="Arial" w:eastAsia="宋体" w:hAnsi="Arial" w:cs="Arial"/>
                <w:color w:val="000000"/>
                <w:sz w:val="17"/>
                <w:szCs w:val="17"/>
              </w:rPr>
              <w:t>919 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DE" w14:textId="77777777" w:rsidR="008A3BAC" w:rsidRDefault="005C75B9">
            <w:pPr>
              <w:jc w:val="right"/>
              <w:textAlignment w:val="bottom"/>
            </w:pPr>
            <w:r>
              <w:rPr>
                <w:rFonts w:ascii="Arial" w:eastAsia="宋体" w:hAnsi="Arial" w:cs="Arial"/>
                <w:color w:val="000000"/>
                <w:sz w:val="17"/>
                <w:szCs w:val="17"/>
              </w:rPr>
              <w:t>601 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D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2" w14:textId="77777777" w:rsidR="008A3BAC" w:rsidRDefault="005C75B9">
            <w:pPr>
              <w:jc w:val="right"/>
              <w:textAlignment w:val="bottom"/>
            </w:pPr>
            <w:r>
              <w:rPr>
                <w:rFonts w:ascii="Arial" w:eastAsia="宋体" w:hAnsi="Arial" w:cs="Arial"/>
                <w:color w:val="000000"/>
                <w:sz w:val="17"/>
                <w:szCs w:val="17"/>
              </w:rPr>
              <w:t>4,554 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4" w14:textId="77777777" w:rsidR="008A3BAC" w:rsidRDefault="005C75B9">
            <w:pPr>
              <w:jc w:val="right"/>
              <w:textAlignment w:val="bottom"/>
            </w:pPr>
            <w:r>
              <w:rPr>
                <w:rFonts w:ascii="Arial" w:eastAsia="宋体" w:hAnsi="Arial" w:cs="Arial"/>
                <w:color w:val="000000"/>
                <w:sz w:val="17"/>
                <w:szCs w:val="17"/>
              </w:rPr>
              <w:t>236 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6"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8" w14:textId="77777777" w:rsidR="008A3BAC" w:rsidRDefault="005C75B9">
            <w:pPr>
              <w:jc w:val="right"/>
              <w:textAlignment w:val="bottom"/>
            </w:pPr>
            <w:r>
              <w:rPr>
                <w:rFonts w:ascii="Arial" w:eastAsia="宋体" w:hAnsi="Arial" w:cs="Arial"/>
                <w:color w:val="000000"/>
                <w:sz w:val="17"/>
                <w:szCs w:val="17"/>
              </w:rPr>
              <w:t>4,790 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9" w14:textId="77777777" w:rsidR="008A3BAC" w:rsidRDefault="008A3BAC">
            <w:pPr>
              <w:jc w:val="right"/>
              <w:rPr>
                <w:rFonts w:ascii="宋体"/>
              </w:rPr>
            </w:pPr>
          </w:p>
        </w:tc>
      </w:tr>
      <w:tr w:rsidR="008A3BAC" w14:paraId="26E9D2F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2EB"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E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E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2"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4"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6"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8"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9"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A"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B"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2FC" w14:textId="77777777" w:rsidR="008A3BAC" w:rsidRDefault="005C75B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2FD" w14:textId="77777777" w:rsidR="008A3BAC" w:rsidRDefault="008A3BAC">
            <w:pPr>
              <w:jc w:val="right"/>
              <w:rPr>
                <w:rFonts w:ascii="宋体"/>
              </w:rPr>
            </w:pPr>
          </w:p>
        </w:tc>
      </w:tr>
      <w:tr w:rsidR="008A3BAC" w14:paraId="26E9D31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2FF"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01" w14:textId="77777777" w:rsidR="008A3BAC" w:rsidRDefault="005C75B9">
            <w:pPr>
              <w:jc w:val="right"/>
              <w:textAlignment w:val="bottom"/>
            </w:pPr>
            <w:r>
              <w:rPr>
                <w:rFonts w:ascii="Arial" w:eastAsia="宋体" w:hAnsi="Arial" w:cs="Arial"/>
                <w:b/>
                <w:bCs/>
                <w:color w:val="000000"/>
                <w:sz w:val="17"/>
                <w:szCs w:val="17"/>
              </w:rPr>
              <w:t>3,882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02"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04" w14:textId="77777777" w:rsidR="008A3BAC" w:rsidRDefault="005C75B9">
            <w:pPr>
              <w:jc w:val="right"/>
              <w:textAlignment w:val="bottom"/>
            </w:pPr>
            <w:r>
              <w:rPr>
                <w:rFonts w:ascii="Arial" w:eastAsia="宋体" w:hAnsi="Arial" w:cs="Arial"/>
                <w:b/>
                <w:bCs/>
                <w:color w:val="000000"/>
                <w:sz w:val="17"/>
                <w:szCs w:val="17"/>
              </w:rPr>
              <w:t>2,779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05"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07" w14:textId="77777777" w:rsidR="008A3BAC" w:rsidRDefault="005C75B9">
            <w:pPr>
              <w:jc w:val="right"/>
              <w:textAlignment w:val="bottom"/>
            </w:pPr>
            <w:r>
              <w:rPr>
                <w:rFonts w:ascii="Arial" w:eastAsia="宋体" w:hAnsi="Arial" w:cs="Arial"/>
                <w:b/>
                <w:bCs/>
                <w:color w:val="000000"/>
                <w:sz w:val="17"/>
                <w:szCs w:val="17"/>
              </w:rPr>
              <w:t>2,160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0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0A" w14:textId="77777777" w:rsidR="008A3BAC" w:rsidRDefault="005C75B9">
            <w:pPr>
              <w:jc w:val="right"/>
              <w:textAlignment w:val="bottom"/>
            </w:pPr>
            <w:r>
              <w:rPr>
                <w:rFonts w:ascii="Arial" w:eastAsia="宋体" w:hAnsi="Arial" w:cs="Arial"/>
                <w:b/>
                <w:bCs/>
                <w:color w:val="000000"/>
                <w:sz w:val="17"/>
                <w:szCs w:val="17"/>
              </w:rPr>
              <w:t>1,461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0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0D" w14:textId="77777777" w:rsidR="008A3BAC" w:rsidRDefault="005C75B9">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0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0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10" w14:textId="77777777" w:rsidR="008A3BAC" w:rsidRDefault="005C75B9">
            <w:pPr>
              <w:jc w:val="right"/>
              <w:textAlignment w:val="bottom"/>
            </w:pPr>
            <w:r>
              <w:rPr>
                <w:rFonts w:ascii="Arial" w:eastAsia="宋体" w:hAnsi="Arial" w:cs="Arial"/>
                <w:b/>
                <w:bCs/>
                <w:color w:val="000000"/>
                <w:sz w:val="17"/>
                <w:szCs w:val="17"/>
              </w:rPr>
              <w:t>10,323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1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1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13" w14:textId="77777777" w:rsidR="008A3BAC" w:rsidRDefault="005C75B9">
            <w:pPr>
              <w:jc w:val="right"/>
              <w:textAlignment w:val="bottom"/>
            </w:pPr>
            <w:r>
              <w:rPr>
                <w:rFonts w:ascii="Arial" w:eastAsia="宋体" w:hAnsi="Arial" w:cs="Arial"/>
                <w:b/>
                <w:bCs/>
                <w:color w:val="000000"/>
                <w:sz w:val="17"/>
                <w:szCs w:val="17"/>
              </w:rPr>
              <w:t>567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1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1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16" w14:textId="77777777" w:rsidR="008A3BAC" w:rsidRDefault="005C75B9">
            <w:pPr>
              <w:jc w:val="right"/>
              <w:textAlignment w:val="bottom"/>
            </w:pPr>
            <w:r>
              <w:rPr>
                <w:rFonts w:ascii="Arial" w:eastAsia="宋体" w:hAnsi="Arial" w:cs="Arial"/>
                <w:b/>
                <w:bCs/>
                <w:color w:val="000000"/>
                <w:sz w:val="17"/>
                <w:szCs w:val="17"/>
              </w:rPr>
              <w:t>(19)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1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31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319" w14:textId="77777777" w:rsidR="008A3BAC" w:rsidRDefault="005C75B9">
            <w:pPr>
              <w:jc w:val="right"/>
              <w:textAlignment w:val="bottom"/>
            </w:pPr>
            <w:r>
              <w:rPr>
                <w:rFonts w:ascii="Arial" w:eastAsia="宋体" w:hAnsi="Arial" w:cs="Arial"/>
                <w:b/>
                <w:bCs/>
                <w:color w:val="000000"/>
                <w:sz w:val="17"/>
                <w:szCs w:val="17"/>
              </w:rPr>
              <w:t>10,871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31A" w14:textId="77777777" w:rsidR="008A3BAC" w:rsidRDefault="008A3BAC">
            <w:pPr>
              <w:jc w:val="right"/>
              <w:rPr>
                <w:rFonts w:ascii="宋体"/>
              </w:rPr>
            </w:pPr>
          </w:p>
        </w:tc>
      </w:tr>
    </w:tbl>
    <w:p w14:paraId="26E9D31C" w14:textId="77777777" w:rsidR="008A3BAC" w:rsidRDefault="008A3BAC">
      <w:pP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262"/>
        <w:gridCol w:w="39"/>
        <w:gridCol w:w="116"/>
        <w:gridCol w:w="614"/>
        <w:gridCol w:w="36"/>
        <w:gridCol w:w="116"/>
        <w:gridCol w:w="572"/>
        <w:gridCol w:w="36"/>
        <w:gridCol w:w="116"/>
        <w:gridCol w:w="600"/>
        <w:gridCol w:w="36"/>
        <w:gridCol w:w="116"/>
        <w:gridCol w:w="620"/>
        <w:gridCol w:w="36"/>
        <w:gridCol w:w="116"/>
        <w:gridCol w:w="671"/>
        <w:gridCol w:w="36"/>
        <w:gridCol w:w="115"/>
        <w:gridCol w:w="473"/>
        <w:gridCol w:w="36"/>
        <w:gridCol w:w="116"/>
        <w:gridCol w:w="699"/>
        <w:gridCol w:w="36"/>
        <w:gridCol w:w="116"/>
        <w:gridCol w:w="809"/>
        <w:gridCol w:w="36"/>
        <w:gridCol w:w="115"/>
        <w:gridCol w:w="568"/>
        <w:gridCol w:w="36"/>
      </w:tblGrid>
      <w:tr w:rsidR="008A3BAC" w14:paraId="26E9D33B" w14:textId="77777777">
        <w:tc>
          <w:tcPr>
            <w:tcW w:w="50" w:type="pct"/>
            <w:shd w:val="clear" w:color="auto" w:fill="auto"/>
            <w:vAlign w:val="bottom"/>
          </w:tcPr>
          <w:p w14:paraId="26E9D31D" w14:textId="77777777" w:rsidR="008A3BAC" w:rsidRDefault="008A3BAC">
            <w:pPr>
              <w:rPr>
                <w:rFonts w:ascii="宋体"/>
              </w:rPr>
            </w:pPr>
          </w:p>
        </w:tc>
        <w:tc>
          <w:tcPr>
            <w:tcW w:w="1110" w:type="pct"/>
            <w:shd w:val="clear" w:color="auto" w:fill="auto"/>
            <w:vAlign w:val="bottom"/>
          </w:tcPr>
          <w:p w14:paraId="26E9D31E" w14:textId="77777777" w:rsidR="008A3BAC" w:rsidRDefault="008A3BAC">
            <w:pPr>
              <w:rPr>
                <w:rFonts w:ascii="宋体"/>
              </w:rPr>
            </w:pPr>
          </w:p>
        </w:tc>
        <w:tc>
          <w:tcPr>
            <w:tcW w:w="5" w:type="pct"/>
            <w:shd w:val="clear" w:color="auto" w:fill="auto"/>
            <w:vAlign w:val="bottom"/>
          </w:tcPr>
          <w:p w14:paraId="26E9D31F" w14:textId="77777777" w:rsidR="008A3BAC" w:rsidRDefault="008A3BAC">
            <w:pPr>
              <w:rPr>
                <w:rFonts w:ascii="宋体"/>
              </w:rPr>
            </w:pPr>
          </w:p>
        </w:tc>
        <w:tc>
          <w:tcPr>
            <w:tcW w:w="50" w:type="pct"/>
            <w:shd w:val="clear" w:color="auto" w:fill="auto"/>
            <w:vAlign w:val="bottom"/>
          </w:tcPr>
          <w:p w14:paraId="26E9D320" w14:textId="77777777" w:rsidR="008A3BAC" w:rsidRDefault="008A3BAC">
            <w:pPr>
              <w:rPr>
                <w:rFonts w:ascii="宋体"/>
              </w:rPr>
            </w:pPr>
          </w:p>
        </w:tc>
        <w:tc>
          <w:tcPr>
            <w:tcW w:w="353" w:type="pct"/>
            <w:shd w:val="clear" w:color="auto" w:fill="auto"/>
            <w:vAlign w:val="bottom"/>
          </w:tcPr>
          <w:p w14:paraId="26E9D321" w14:textId="77777777" w:rsidR="008A3BAC" w:rsidRDefault="008A3BAC">
            <w:pPr>
              <w:rPr>
                <w:rFonts w:ascii="宋体"/>
              </w:rPr>
            </w:pPr>
          </w:p>
        </w:tc>
        <w:tc>
          <w:tcPr>
            <w:tcW w:w="5" w:type="pct"/>
            <w:shd w:val="clear" w:color="auto" w:fill="auto"/>
            <w:vAlign w:val="bottom"/>
          </w:tcPr>
          <w:p w14:paraId="26E9D322" w14:textId="77777777" w:rsidR="008A3BAC" w:rsidRDefault="008A3BAC">
            <w:pPr>
              <w:rPr>
                <w:rFonts w:ascii="宋体"/>
              </w:rPr>
            </w:pPr>
          </w:p>
        </w:tc>
        <w:tc>
          <w:tcPr>
            <w:tcW w:w="50" w:type="pct"/>
            <w:shd w:val="clear" w:color="auto" w:fill="auto"/>
            <w:vAlign w:val="bottom"/>
          </w:tcPr>
          <w:p w14:paraId="26E9D323" w14:textId="77777777" w:rsidR="008A3BAC" w:rsidRDefault="008A3BAC">
            <w:pPr>
              <w:rPr>
                <w:rFonts w:ascii="宋体"/>
              </w:rPr>
            </w:pPr>
          </w:p>
        </w:tc>
        <w:tc>
          <w:tcPr>
            <w:tcW w:w="353" w:type="pct"/>
            <w:shd w:val="clear" w:color="auto" w:fill="auto"/>
            <w:vAlign w:val="bottom"/>
          </w:tcPr>
          <w:p w14:paraId="26E9D324" w14:textId="77777777" w:rsidR="008A3BAC" w:rsidRDefault="008A3BAC">
            <w:pPr>
              <w:rPr>
                <w:rFonts w:ascii="宋体"/>
              </w:rPr>
            </w:pPr>
          </w:p>
        </w:tc>
        <w:tc>
          <w:tcPr>
            <w:tcW w:w="5" w:type="pct"/>
            <w:shd w:val="clear" w:color="auto" w:fill="auto"/>
            <w:vAlign w:val="bottom"/>
          </w:tcPr>
          <w:p w14:paraId="26E9D325" w14:textId="77777777" w:rsidR="008A3BAC" w:rsidRDefault="008A3BAC">
            <w:pPr>
              <w:rPr>
                <w:rFonts w:ascii="宋体"/>
              </w:rPr>
            </w:pPr>
          </w:p>
        </w:tc>
        <w:tc>
          <w:tcPr>
            <w:tcW w:w="50" w:type="pct"/>
            <w:shd w:val="clear" w:color="auto" w:fill="auto"/>
            <w:vAlign w:val="bottom"/>
          </w:tcPr>
          <w:p w14:paraId="26E9D326" w14:textId="77777777" w:rsidR="008A3BAC" w:rsidRDefault="008A3BAC">
            <w:pPr>
              <w:rPr>
                <w:rFonts w:ascii="宋体"/>
              </w:rPr>
            </w:pPr>
          </w:p>
        </w:tc>
        <w:tc>
          <w:tcPr>
            <w:tcW w:w="353" w:type="pct"/>
            <w:shd w:val="clear" w:color="auto" w:fill="auto"/>
            <w:vAlign w:val="bottom"/>
          </w:tcPr>
          <w:p w14:paraId="26E9D327" w14:textId="77777777" w:rsidR="008A3BAC" w:rsidRDefault="008A3BAC">
            <w:pPr>
              <w:rPr>
                <w:rFonts w:ascii="宋体"/>
              </w:rPr>
            </w:pPr>
          </w:p>
        </w:tc>
        <w:tc>
          <w:tcPr>
            <w:tcW w:w="5" w:type="pct"/>
            <w:shd w:val="clear" w:color="auto" w:fill="auto"/>
            <w:vAlign w:val="bottom"/>
          </w:tcPr>
          <w:p w14:paraId="26E9D328" w14:textId="77777777" w:rsidR="008A3BAC" w:rsidRDefault="008A3BAC">
            <w:pPr>
              <w:rPr>
                <w:rFonts w:ascii="宋体"/>
              </w:rPr>
            </w:pPr>
          </w:p>
        </w:tc>
        <w:tc>
          <w:tcPr>
            <w:tcW w:w="50" w:type="pct"/>
            <w:shd w:val="clear" w:color="auto" w:fill="auto"/>
            <w:vAlign w:val="bottom"/>
          </w:tcPr>
          <w:p w14:paraId="26E9D329" w14:textId="77777777" w:rsidR="008A3BAC" w:rsidRDefault="008A3BAC">
            <w:pPr>
              <w:rPr>
                <w:rFonts w:ascii="宋体"/>
              </w:rPr>
            </w:pPr>
          </w:p>
        </w:tc>
        <w:tc>
          <w:tcPr>
            <w:tcW w:w="384" w:type="pct"/>
            <w:shd w:val="clear" w:color="auto" w:fill="auto"/>
            <w:vAlign w:val="bottom"/>
          </w:tcPr>
          <w:p w14:paraId="26E9D32A" w14:textId="77777777" w:rsidR="008A3BAC" w:rsidRDefault="008A3BAC">
            <w:pPr>
              <w:rPr>
                <w:rFonts w:ascii="宋体"/>
              </w:rPr>
            </w:pPr>
          </w:p>
        </w:tc>
        <w:tc>
          <w:tcPr>
            <w:tcW w:w="5" w:type="pct"/>
            <w:shd w:val="clear" w:color="auto" w:fill="auto"/>
            <w:vAlign w:val="bottom"/>
          </w:tcPr>
          <w:p w14:paraId="26E9D32B" w14:textId="77777777" w:rsidR="008A3BAC" w:rsidRDefault="008A3BAC">
            <w:pPr>
              <w:rPr>
                <w:rFonts w:ascii="宋体"/>
              </w:rPr>
            </w:pPr>
          </w:p>
        </w:tc>
        <w:tc>
          <w:tcPr>
            <w:tcW w:w="50" w:type="pct"/>
            <w:shd w:val="clear" w:color="auto" w:fill="auto"/>
            <w:vAlign w:val="bottom"/>
          </w:tcPr>
          <w:p w14:paraId="26E9D32C" w14:textId="77777777" w:rsidR="008A3BAC" w:rsidRDefault="008A3BAC">
            <w:pPr>
              <w:rPr>
                <w:rFonts w:ascii="宋体"/>
              </w:rPr>
            </w:pPr>
          </w:p>
        </w:tc>
        <w:tc>
          <w:tcPr>
            <w:tcW w:w="369" w:type="pct"/>
            <w:shd w:val="clear" w:color="auto" w:fill="auto"/>
            <w:vAlign w:val="bottom"/>
          </w:tcPr>
          <w:p w14:paraId="26E9D32D" w14:textId="77777777" w:rsidR="008A3BAC" w:rsidRDefault="008A3BAC">
            <w:pPr>
              <w:rPr>
                <w:rFonts w:ascii="宋体"/>
              </w:rPr>
            </w:pPr>
          </w:p>
        </w:tc>
        <w:tc>
          <w:tcPr>
            <w:tcW w:w="5" w:type="pct"/>
            <w:shd w:val="clear" w:color="auto" w:fill="auto"/>
            <w:vAlign w:val="bottom"/>
          </w:tcPr>
          <w:p w14:paraId="26E9D32E" w14:textId="77777777" w:rsidR="008A3BAC" w:rsidRDefault="008A3BAC">
            <w:pPr>
              <w:rPr>
                <w:rFonts w:ascii="宋体"/>
              </w:rPr>
            </w:pPr>
          </w:p>
        </w:tc>
        <w:tc>
          <w:tcPr>
            <w:tcW w:w="50" w:type="pct"/>
            <w:shd w:val="clear" w:color="auto" w:fill="auto"/>
            <w:vAlign w:val="bottom"/>
          </w:tcPr>
          <w:p w14:paraId="26E9D32F" w14:textId="77777777" w:rsidR="008A3BAC" w:rsidRDefault="008A3BAC">
            <w:pPr>
              <w:rPr>
                <w:rFonts w:ascii="宋体"/>
              </w:rPr>
            </w:pPr>
          </w:p>
        </w:tc>
        <w:tc>
          <w:tcPr>
            <w:tcW w:w="353" w:type="pct"/>
            <w:shd w:val="clear" w:color="auto" w:fill="auto"/>
            <w:vAlign w:val="bottom"/>
          </w:tcPr>
          <w:p w14:paraId="26E9D330" w14:textId="77777777" w:rsidR="008A3BAC" w:rsidRDefault="008A3BAC">
            <w:pPr>
              <w:rPr>
                <w:rFonts w:ascii="宋体"/>
              </w:rPr>
            </w:pPr>
          </w:p>
        </w:tc>
        <w:tc>
          <w:tcPr>
            <w:tcW w:w="5" w:type="pct"/>
            <w:shd w:val="clear" w:color="auto" w:fill="auto"/>
            <w:vAlign w:val="bottom"/>
          </w:tcPr>
          <w:p w14:paraId="26E9D331" w14:textId="77777777" w:rsidR="008A3BAC" w:rsidRDefault="008A3BAC">
            <w:pPr>
              <w:rPr>
                <w:rFonts w:ascii="宋体"/>
              </w:rPr>
            </w:pPr>
          </w:p>
        </w:tc>
        <w:tc>
          <w:tcPr>
            <w:tcW w:w="50" w:type="pct"/>
            <w:shd w:val="clear" w:color="auto" w:fill="auto"/>
            <w:vAlign w:val="bottom"/>
          </w:tcPr>
          <w:p w14:paraId="26E9D332" w14:textId="77777777" w:rsidR="008A3BAC" w:rsidRDefault="008A3BAC">
            <w:pPr>
              <w:rPr>
                <w:rFonts w:ascii="宋体"/>
              </w:rPr>
            </w:pPr>
          </w:p>
        </w:tc>
        <w:tc>
          <w:tcPr>
            <w:tcW w:w="384" w:type="pct"/>
            <w:shd w:val="clear" w:color="auto" w:fill="auto"/>
            <w:vAlign w:val="bottom"/>
          </w:tcPr>
          <w:p w14:paraId="26E9D333" w14:textId="77777777" w:rsidR="008A3BAC" w:rsidRDefault="008A3BAC">
            <w:pPr>
              <w:rPr>
                <w:rFonts w:ascii="宋体"/>
              </w:rPr>
            </w:pPr>
          </w:p>
        </w:tc>
        <w:tc>
          <w:tcPr>
            <w:tcW w:w="5" w:type="pct"/>
            <w:shd w:val="clear" w:color="auto" w:fill="auto"/>
            <w:vAlign w:val="bottom"/>
          </w:tcPr>
          <w:p w14:paraId="26E9D334" w14:textId="77777777" w:rsidR="008A3BAC" w:rsidRDefault="008A3BAC">
            <w:pPr>
              <w:rPr>
                <w:rFonts w:ascii="宋体"/>
              </w:rPr>
            </w:pPr>
          </w:p>
        </w:tc>
        <w:tc>
          <w:tcPr>
            <w:tcW w:w="50" w:type="pct"/>
            <w:shd w:val="clear" w:color="auto" w:fill="auto"/>
            <w:vAlign w:val="bottom"/>
          </w:tcPr>
          <w:p w14:paraId="26E9D335" w14:textId="77777777" w:rsidR="008A3BAC" w:rsidRDefault="008A3BAC">
            <w:pPr>
              <w:rPr>
                <w:rFonts w:ascii="宋体"/>
              </w:rPr>
            </w:pPr>
          </w:p>
        </w:tc>
        <w:tc>
          <w:tcPr>
            <w:tcW w:w="431" w:type="pct"/>
            <w:shd w:val="clear" w:color="auto" w:fill="auto"/>
            <w:vAlign w:val="bottom"/>
          </w:tcPr>
          <w:p w14:paraId="26E9D336" w14:textId="77777777" w:rsidR="008A3BAC" w:rsidRDefault="008A3BAC">
            <w:pPr>
              <w:rPr>
                <w:rFonts w:ascii="宋体"/>
              </w:rPr>
            </w:pPr>
          </w:p>
        </w:tc>
        <w:tc>
          <w:tcPr>
            <w:tcW w:w="5" w:type="pct"/>
            <w:shd w:val="clear" w:color="auto" w:fill="auto"/>
            <w:vAlign w:val="bottom"/>
          </w:tcPr>
          <w:p w14:paraId="26E9D337" w14:textId="77777777" w:rsidR="008A3BAC" w:rsidRDefault="008A3BAC">
            <w:pPr>
              <w:rPr>
                <w:rFonts w:ascii="宋体"/>
              </w:rPr>
            </w:pPr>
          </w:p>
        </w:tc>
        <w:tc>
          <w:tcPr>
            <w:tcW w:w="50" w:type="pct"/>
            <w:shd w:val="clear" w:color="auto" w:fill="auto"/>
            <w:vAlign w:val="bottom"/>
          </w:tcPr>
          <w:p w14:paraId="26E9D338" w14:textId="77777777" w:rsidR="008A3BAC" w:rsidRDefault="008A3BAC">
            <w:pPr>
              <w:rPr>
                <w:rFonts w:ascii="宋体"/>
              </w:rPr>
            </w:pPr>
          </w:p>
        </w:tc>
        <w:tc>
          <w:tcPr>
            <w:tcW w:w="354" w:type="pct"/>
            <w:shd w:val="clear" w:color="auto" w:fill="auto"/>
            <w:vAlign w:val="bottom"/>
          </w:tcPr>
          <w:p w14:paraId="26E9D339" w14:textId="77777777" w:rsidR="008A3BAC" w:rsidRDefault="008A3BAC">
            <w:pPr>
              <w:rPr>
                <w:rFonts w:ascii="宋体"/>
              </w:rPr>
            </w:pPr>
          </w:p>
        </w:tc>
        <w:tc>
          <w:tcPr>
            <w:tcW w:w="5" w:type="pct"/>
            <w:shd w:val="clear" w:color="auto" w:fill="auto"/>
            <w:vAlign w:val="bottom"/>
          </w:tcPr>
          <w:p w14:paraId="26E9D33A" w14:textId="77777777" w:rsidR="008A3BAC" w:rsidRDefault="008A3BAC">
            <w:pPr>
              <w:rPr>
                <w:rFonts w:ascii="宋体"/>
              </w:rPr>
            </w:pPr>
          </w:p>
        </w:tc>
      </w:tr>
      <w:tr w:rsidR="008A3BAC" w14:paraId="26E9D33E" w14:textId="77777777">
        <w:tc>
          <w:tcPr>
            <w:tcW w:w="0" w:type="auto"/>
            <w:gridSpan w:val="3"/>
            <w:shd w:val="clear" w:color="auto" w:fill="auto"/>
            <w:tcMar>
              <w:top w:w="0" w:type="dxa"/>
              <w:left w:w="20" w:type="dxa"/>
              <w:bottom w:w="0" w:type="dxa"/>
              <w:right w:w="20" w:type="dxa"/>
            </w:tcMar>
            <w:vAlign w:val="bottom"/>
          </w:tcPr>
          <w:p w14:paraId="26E9D33C" w14:textId="77777777" w:rsidR="008A3BAC" w:rsidRDefault="008A3BAC">
            <w:pPr>
              <w:rPr>
                <w:rFonts w:ascii="宋体"/>
              </w:rPr>
            </w:pPr>
          </w:p>
        </w:tc>
        <w:tc>
          <w:tcPr>
            <w:tcW w:w="0" w:type="auto"/>
            <w:gridSpan w:val="27"/>
            <w:shd w:val="clear" w:color="auto" w:fill="auto"/>
            <w:tcMar>
              <w:top w:w="40" w:type="dxa"/>
              <w:left w:w="20" w:type="dxa"/>
              <w:bottom w:w="40" w:type="dxa"/>
              <w:right w:w="20" w:type="dxa"/>
            </w:tcMar>
            <w:vAlign w:val="bottom"/>
          </w:tcPr>
          <w:p w14:paraId="26E9D33D" w14:textId="77777777" w:rsidR="008A3BAC" w:rsidRDefault="005C75B9">
            <w:pPr>
              <w:jc w:val="center"/>
              <w:textAlignment w:val="bottom"/>
            </w:pPr>
            <w:r>
              <w:rPr>
                <w:rFonts w:ascii="sans-serif" w:eastAsia="sans-serif" w:hAnsi="sans-serif" w:cs="sans-serif"/>
                <w:b/>
                <w:bCs/>
                <w:color w:val="000000"/>
                <w:sz w:val="17"/>
                <w:szCs w:val="17"/>
              </w:rPr>
              <w:t>THREE MONTHS ENDED FEBRUARY 28, 2021</w:t>
            </w:r>
          </w:p>
        </w:tc>
      </w:tr>
      <w:tr w:rsidR="008A3BAC" w14:paraId="26E9D349" w14:textId="77777777">
        <w:tc>
          <w:tcPr>
            <w:tcW w:w="0" w:type="auto"/>
            <w:gridSpan w:val="3"/>
            <w:shd w:val="clear" w:color="auto" w:fill="auto"/>
            <w:tcMar>
              <w:top w:w="40" w:type="dxa"/>
              <w:left w:w="20" w:type="dxa"/>
              <w:bottom w:w="40" w:type="dxa"/>
              <w:right w:w="20" w:type="dxa"/>
            </w:tcMar>
            <w:vAlign w:val="bottom"/>
          </w:tcPr>
          <w:p w14:paraId="26E9D33F"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0" w14:textId="77777777" w:rsidR="008A3BAC" w:rsidRDefault="005C75B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1" w14:textId="77777777" w:rsidR="008A3BAC" w:rsidRDefault="005C75B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2" w14:textId="77777777" w:rsidR="008A3BAC" w:rsidRDefault="005C75B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3" w14:textId="77777777" w:rsidR="008A3BAC" w:rsidRDefault="005C75B9">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4" w14:textId="77777777" w:rsidR="008A3BAC" w:rsidRDefault="005C75B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5" w14:textId="77777777" w:rsidR="008A3BAC" w:rsidRDefault="005C75B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6" w14:textId="77777777" w:rsidR="008A3BAC" w:rsidRDefault="005C75B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7" w14:textId="77777777" w:rsidR="008A3BAC" w:rsidRDefault="005C75B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8" w14:textId="77777777" w:rsidR="008A3BAC" w:rsidRDefault="005C75B9">
            <w:pPr>
              <w:jc w:val="right"/>
              <w:textAlignment w:val="bottom"/>
            </w:pPr>
            <w:r>
              <w:rPr>
                <w:rFonts w:ascii="sans-serif" w:eastAsia="sans-serif" w:hAnsi="sans-serif" w:cs="sans-serif"/>
                <w:b/>
                <w:bCs/>
                <w:color w:val="000000"/>
                <w:sz w:val="17"/>
                <w:szCs w:val="17"/>
              </w:rPr>
              <w:t>TOTAL NIKE, INC.</w:t>
            </w:r>
          </w:p>
        </w:tc>
      </w:tr>
      <w:tr w:rsidR="008A3BAC" w14:paraId="26E9D3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4A"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4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4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4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4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4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5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5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5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53" w14:textId="77777777" w:rsidR="008A3BAC" w:rsidRDefault="008A3BAC">
            <w:pPr>
              <w:rPr>
                <w:rFonts w:ascii="宋体"/>
              </w:rPr>
            </w:pPr>
          </w:p>
        </w:tc>
      </w:tr>
      <w:tr w:rsidR="008A3BAC" w14:paraId="26E9D3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55"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6E9D35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57" w14:textId="77777777" w:rsidR="008A3BAC" w:rsidRDefault="005C75B9">
            <w:pPr>
              <w:jc w:val="right"/>
              <w:textAlignment w:val="bottom"/>
            </w:pPr>
            <w:r>
              <w:rPr>
                <w:rFonts w:ascii="Arial" w:eastAsia="宋体" w:hAnsi="Arial" w:cs="Arial"/>
                <w:color w:val="000000"/>
                <w:sz w:val="17"/>
                <w:szCs w:val="17"/>
              </w:rPr>
              <w:t>2,382 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5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5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5A" w14:textId="77777777" w:rsidR="008A3BAC" w:rsidRDefault="005C75B9">
            <w:pPr>
              <w:jc w:val="right"/>
              <w:textAlignment w:val="bottom"/>
            </w:pPr>
            <w:r>
              <w:rPr>
                <w:rFonts w:ascii="Arial" w:eastAsia="宋体" w:hAnsi="Arial" w:cs="Arial"/>
                <w:color w:val="000000"/>
                <w:sz w:val="17"/>
                <w:szCs w:val="17"/>
              </w:rPr>
              <w:t>1,606 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5B"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5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5D" w14:textId="77777777" w:rsidR="008A3BAC" w:rsidRDefault="005C75B9">
            <w:pPr>
              <w:jc w:val="right"/>
              <w:textAlignment w:val="bottom"/>
            </w:pPr>
            <w:r>
              <w:rPr>
                <w:rFonts w:ascii="Arial" w:eastAsia="宋体" w:hAnsi="Arial" w:cs="Arial"/>
                <w:color w:val="000000"/>
                <w:sz w:val="17"/>
                <w:szCs w:val="17"/>
              </w:rPr>
              <w:t>1,614 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5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5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0" w14:textId="77777777" w:rsidR="008A3BAC" w:rsidRDefault="005C75B9">
            <w:pPr>
              <w:jc w:val="right"/>
              <w:textAlignment w:val="bottom"/>
            </w:pPr>
            <w:r>
              <w:rPr>
                <w:rFonts w:ascii="Arial" w:eastAsia="宋体" w:hAnsi="Arial" w:cs="Arial"/>
                <w:color w:val="000000"/>
                <w:sz w:val="17"/>
                <w:szCs w:val="17"/>
              </w:rPr>
              <w:t>903 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61"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6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64"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6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6" w14:textId="77777777" w:rsidR="008A3BAC" w:rsidRDefault="005C75B9">
            <w:pPr>
              <w:jc w:val="right"/>
              <w:textAlignment w:val="bottom"/>
            </w:pPr>
            <w:r>
              <w:rPr>
                <w:rFonts w:ascii="Arial" w:eastAsia="宋体" w:hAnsi="Arial" w:cs="Arial"/>
                <w:color w:val="000000"/>
                <w:sz w:val="17"/>
                <w:szCs w:val="17"/>
              </w:rPr>
              <w:t>6,505 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6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6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9" w14:textId="77777777" w:rsidR="008A3BAC" w:rsidRDefault="005C75B9">
            <w:pPr>
              <w:jc w:val="right"/>
              <w:textAlignment w:val="bottom"/>
            </w:pPr>
            <w:r>
              <w:rPr>
                <w:rFonts w:ascii="Arial" w:eastAsia="宋体" w:hAnsi="Arial" w:cs="Arial"/>
                <w:color w:val="000000"/>
                <w:sz w:val="17"/>
                <w:szCs w:val="17"/>
              </w:rPr>
              <w:t>513 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6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6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6D"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6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6F" w14:textId="77777777" w:rsidR="008A3BAC" w:rsidRDefault="005C75B9">
            <w:pPr>
              <w:jc w:val="right"/>
              <w:textAlignment w:val="bottom"/>
            </w:pPr>
            <w:r>
              <w:rPr>
                <w:rFonts w:ascii="Arial" w:eastAsia="宋体" w:hAnsi="Arial" w:cs="Arial"/>
                <w:color w:val="000000"/>
                <w:sz w:val="17"/>
                <w:szCs w:val="17"/>
              </w:rPr>
              <w:t>7,018 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0" w14:textId="77777777" w:rsidR="008A3BAC" w:rsidRDefault="008A3BAC">
            <w:pPr>
              <w:jc w:val="right"/>
              <w:rPr>
                <w:rFonts w:ascii="宋体"/>
              </w:rPr>
            </w:pPr>
          </w:p>
        </w:tc>
      </w:tr>
      <w:tr w:rsidR="008A3BAC" w14:paraId="26E9D38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72"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3" w14:textId="77777777" w:rsidR="008A3BAC" w:rsidRDefault="005C75B9">
            <w:pPr>
              <w:jc w:val="right"/>
              <w:textAlignment w:val="bottom"/>
            </w:pPr>
            <w:r>
              <w:rPr>
                <w:rFonts w:ascii="Arial" w:eastAsia="宋体" w:hAnsi="Arial" w:cs="Arial"/>
                <w:color w:val="000000"/>
                <w:sz w:val="17"/>
                <w:szCs w:val="17"/>
              </w:rPr>
              <w:t>1,087 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5" w14:textId="77777777" w:rsidR="008A3BAC" w:rsidRDefault="005C75B9">
            <w:pPr>
              <w:jc w:val="right"/>
              <w:textAlignment w:val="bottom"/>
            </w:pPr>
            <w:r>
              <w:rPr>
                <w:rFonts w:ascii="Arial" w:eastAsia="宋体" w:hAnsi="Arial" w:cs="Arial"/>
                <w:color w:val="000000"/>
                <w:sz w:val="17"/>
                <w:szCs w:val="17"/>
              </w:rPr>
              <w:t>898 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7" w14:textId="77777777" w:rsidR="008A3BAC" w:rsidRDefault="005C75B9">
            <w:pPr>
              <w:jc w:val="right"/>
              <w:textAlignment w:val="bottom"/>
            </w:pPr>
            <w:r>
              <w:rPr>
                <w:rFonts w:ascii="Arial" w:eastAsia="宋体" w:hAnsi="Arial" w:cs="Arial"/>
                <w:color w:val="000000"/>
                <w:sz w:val="17"/>
                <w:szCs w:val="17"/>
              </w:rPr>
              <w:t>616 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9" w14:textId="77777777" w:rsidR="008A3BAC" w:rsidRDefault="005C75B9">
            <w:pPr>
              <w:jc w:val="right"/>
              <w:textAlignment w:val="bottom"/>
            </w:pPr>
            <w:r>
              <w:rPr>
                <w:rFonts w:ascii="Arial" w:eastAsia="宋体" w:hAnsi="Arial" w:cs="Arial"/>
                <w:color w:val="000000"/>
                <w:sz w:val="17"/>
                <w:szCs w:val="17"/>
              </w:rPr>
              <w:t>365 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D" w14:textId="77777777" w:rsidR="008A3BAC" w:rsidRDefault="005C75B9">
            <w:pPr>
              <w:jc w:val="right"/>
              <w:textAlignment w:val="bottom"/>
            </w:pPr>
            <w:r>
              <w:rPr>
                <w:rFonts w:ascii="Arial" w:eastAsia="宋体" w:hAnsi="Arial" w:cs="Arial"/>
                <w:color w:val="000000"/>
                <w:sz w:val="17"/>
                <w:szCs w:val="17"/>
              </w:rPr>
              <w:t>2,966 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7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7F"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3" w14:textId="77777777" w:rsidR="008A3BAC" w:rsidRDefault="005C75B9">
            <w:pPr>
              <w:jc w:val="right"/>
              <w:textAlignment w:val="bottom"/>
            </w:pPr>
            <w:r>
              <w:rPr>
                <w:rFonts w:ascii="Arial" w:eastAsia="宋体" w:hAnsi="Arial" w:cs="Arial"/>
                <w:color w:val="000000"/>
                <w:sz w:val="17"/>
                <w:szCs w:val="17"/>
              </w:rPr>
              <w:t>2,994 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4" w14:textId="77777777" w:rsidR="008A3BAC" w:rsidRDefault="008A3BAC">
            <w:pPr>
              <w:jc w:val="right"/>
              <w:rPr>
                <w:rFonts w:ascii="宋体"/>
              </w:rPr>
            </w:pPr>
          </w:p>
        </w:tc>
      </w:tr>
      <w:tr w:rsidR="008A3BAC" w14:paraId="26E9D3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86"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7" w14:textId="77777777" w:rsidR="008A3BAC" w:rsidRDefault="005C75B9">
            <w:pPr>
              <w:jc w:val="right"/>
              <w:textAlignment w:val="bottom"/>
            </w:pPr>
            <w:r>
              <w:rPr>
                <w:rFonts w:ascii="Arial" w:eastAsia="宋体" w:hAnsi="Arial" w:cs="Arial"/>
                <w:color w:val="000000"/>
                <w:sz w:val="17"/>
                <w:szCs w:val="17"/>
              </w:rPr>
              <w:t>95 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9" w14:textId="77777777" w:rsidR="008A3BAC" w:rsidRDefault="005C75B9">
            <w:pPr>
              <w:jc w:val="right"/>
              <w:textAlignment w:val="bottom"/>
            </w:pPr>
            <w:r>
              <w:rPr>
                <w:rFonts w:ascii="Arial" w:eastAsia="宋体" w:hAnsi="Arial" w:cs="Arial"/>
                <w:color w:val="000000"/>
                <w:sz w:val="17"/>
                <w:szCs w:val="17"/>
              </w:rPr>
              <w:t>105 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B" w14:textId="77777777" w:rsidR="008A3BAC" w:rsidRDefault="005C75B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D" w14:textId="77777777" w:rsidR="008A3BAC" w:rsidRDefault="005C75B9">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8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8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1" w14:textId="77777777" w:rsidR="008A3BAC" w:rsidRDefault="005C75B9">
            <w:pPr>
              <w:jc w:val="right"/>
              <w:textAlignment w:val="bottom"/>
            </w:pPr>
            <w:r>
              <w:rPr>
                <w:rFonts w:ascii="Arial" w:eastAsia="宋体" w:hAnsi="Arial" w:cs="Arial"/>
                <w:color w:val="000000"/>
                <w:sz w:val="17"/>
                <w:szCs w:val="17"/>
              </w:rPr>
              <w:t>296 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3"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7" w14:textId="77777777" w:rsidR="008A3BAC" w:rsidRDefault="005C75B9">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8" w14:textId="77777777" w:rsidR="008A3BAC" w:rsidRDefault="008A3BAC">
            <w:pPr>
              <w:jc w:val="right"/>
              <w:rPr>
                <w:rFonts w:ascii="宋体"/>
              </w:rPr>
            </w:pPr>
          </w:p>
        </w:tc>
      </w:tr>
      <w:tr w:rsidR="008A3BAC" w14:paraId="26E9D3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9A"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9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9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3"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5"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7" w14:textId="77777777" w:rsidR="008A3BAC" w:rsidRDefault="005C75B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9"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AB" w14:textId="77777777" w:rsidR="008A3BAC" w:rsidRDefault="005C75B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AC" w14:textId="77777777" w:rsidR="008A3BAC" w:rsidRDefault="008A3BAC">
            <w:pPr>
              <w:jc w:val="right"/>
              <w:rPr>
                <w:rFonts w:ascii="宋体"/>
              </w:rPr>
            </w:pPr>
          </w:p>
        </w:tc>
      </w:tr>
      <w:tr w:rsidR="008A3BAC" w14:paraId="26E9D3C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AE"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6E9D3A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0" w14:textId="77777777" w:rsidR="008A3BAC" w:rsidRDefault="005C75B9">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B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B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3" w14:textId="77777777" w:rsidR="008A3BAC" w:rsidRDefault="005C75B9">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B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B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6" w14:textId="77777777" w:rsidR="008A3BAC" w:rsidRDefault="005C75B9">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B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B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9" w14:textId="77777777" w:rsidR="008A3BAC" w:rsidRDefault="005C75B9">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B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B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C"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B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B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BF" w14:textId="77777777" w:rsidR="008A3BAC" w:rsidRDefault="005C75B9">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C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C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C2" w14:textId="77777777" w:rsidR="008A3BAC" w:rsidRDefault="005C75B9">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C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C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C5" w14:textId="77777777" w:rsidR="008A3BAC" w:rsidRDefault="005C75B9">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C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3C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3C8" w14:textId="77777777" w:rsidR="008A3BAC" w:rsidRDefault="005C75B9">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3C9" w14:textId="77777777" w:rsidR="008A3BAC" w:rsidRDefault="008A3BAC">
            <w:pPr>
              <w:jc w:val="right"/>
              <w:rPr>
                <w:rFonts w:ascii="宋体"/>
              </w:rPr>
            </w:pPr>
          </w:p>
        </w:tc>
      </w:tr>
      <w:tr w:rsidR="008A3BAC" w14:paraId="26E9D3D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3CB"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C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C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C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C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D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D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D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D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3D4" w14:textId="77777777" w:rsidR="008A3BAC" w:rsidRDefault="008A3BAC">
            <w:pPr>
              <w:rPr>
                <w:rFonts w:ascii="宋体"/>
              </w:rPr>
            </w:pPr>
          </w:p>
        </w:tc>
      </w:tr>
      <w:tr w:rsidR="008A3BAC" w14:paraId="26E9D3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D6"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6E9D3D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D8" w14:textId="77777777" w:rsidR="008A3BAC" w:rsidRDefault="005C75B9">
            <w:pPr>
              <w:jc w:val="right"/>
              <w:textAlignment w:val="bottom"/>
            </w:pPr>
            <w:r>
              <w:rPr>
                <w:rFonts w:ascii="Arial" w:eastAsia="宋体" w:hAnsi="Arial" w:cs="Arial"/>
                <w:color w:val="000000"/>
                <w:sz w:val="17"/>
                <w:szCs w:val="17"/>
              </w:rPr>
              <w:t>1,894 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D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D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DB" w14:textId="77777777" w:rsidR="008A3BAC" w:rsidRDefault="005C75B9">
            <w:pPr>
              <w:jc w:val="right"/>
              <w:textAlignment w:val="bottom"/>
            </w:pPr>
            <w:r>
              <w:rPr>
                <w:rFonts w:ascii="Arial" w:eastAsia="宋体" w:hAnsi="Arial" w:cs="Arial"/>
                <w:color w:val="000000"/>
                <w:sz w:val="17"/>
                <w:szCs w:val="17"/>
              </w:rPr>
              <w:t>1,805 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DC"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D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DE" w14:textId="77777777" w:rsidR="008A3BAC" w:rsidRDefault="005C75B9">
            <w:pPr>
              <w:jc w:val="right"/>
              <w:textAlignment w:val="bottom"/>
            </w:pPr>
            <w:r>
              <w:rPr>
                <w:rFonts w:ascii="Arial" w:eastAsia="宋体" w:hAnsi="Arial" w:cs="Arial"/>
                <w:color w:val="000000"/>
                <w:sz w:val="17"/>
                <w:szCs w:val="17"/>
              </w:rPr>
              <w:t>1,269 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DF"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E1" w14:textId="77777777" w:rsidR="008A3BAC" w:rsidRDefault="005C75B9">
            <w:pPr>
              <w:jc w:val="right"/>
              <w:textAlignment w:val="bottom"/>
            </w:pPr>
            <w:r>
              <w:rPr>
                <w:rFonts w:ascii="Arial" w:eastAsia="宋体" w:hAnsi="Arial" w:cs="Arial"/>
                <w:color w:val="000000"/>
                <w:sz w:val="17"/>
                <w:szCs w:val="17"/>
              </w:rPr>
              <w:t>846 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E2"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E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E5"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E7" w14:textId="77777777" w:rsidR="008A3BAC" w:rsidRDefault="005C75B9">
            <w:pPr>
              <w:jc w:val="right"/>
              <w:textAlignment w:val="bottom"/>
            </w:pPr>
            <w:r>
              <w:rPr>
                <w:rFonts w:ascii="Arial" w:eastAsia="宋体" w:hAnsi="Arial" w:cs="Arial"/>
                <w:color w:val="000000"/>
                <w:sz w:val="17"/>
                <w:szCs w:val="17"/>
              </w:rPr>
              <w:t>5,814 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E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EA" w14:textId="77777777" w:rsidR="008A3BAC" w:rsidRDefault="005C75B9">
            <w:pPr>
              <w:jc w:val="right"/>
              <w:textAlignment w:val="bottom"/>
            </w:pPr>
            <w:r>
              <w:rPr>
                <w:rFonts w:ascii="Arial" w:eastAsia="宋体" w:hAnsi="Arial" w:cs="Arial"/>
                <w:color w:val="000000"/>
                <w:sz w:val="17"/>
                <w:szCs w:val="17"/>
              </w:rPr>
              <w:t>366 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EB"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E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E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3E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3F0" w14:textId="77777777" w:rsidR="008A3BAC" w:rsidRDefault="005C75B9">
            <w:pPr>
              <w:jc w:val="right"/>
              <w:textAlignment w:val="bottom"/>
            </w:pPr>
            <w:r>
              <w:rPr>
                <w:rFonts w:ascii="Arial" w:eastAsia="宋体" w:hAnsi="Arial" w:cs="Arial"/>
                <w:color w:val="000000"/>
                <w:sz w:val="17"/>
                <w:szCs w:val="17"/>
              </w:rPr>
              <w:t>6,180 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1" w14:textId="77777777" w:rsidR="008A3BAC" w:rsidRDefault="008A3BAC">
            <w:pPr>
              <w:jc w:val="right"/>
              <w:rPr>
                <w:rFonts w:ascii="宋体"/>
              </w:rPr>
            </w:pPr>
          </w:p>
        </w:tc>
      </w:tr>
      <w:tr w:rsidR="008A3BAC" w14:paraId="26E9D40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3F3" w14:textId="77777777" w:rsidR="008A3BAC" w:rsidRDefault="005C75B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4" w14:textId="77777777" w:rsidR="008A3BAC" w:rsidRDefault="005C75B9">
            <w:pPr>
              <w:jc w:val="right"/>
              <w:textAlignment w:val="bottom"/>
            </w:pPr>
            <w:r>
              <w:rPr>
                <w:rFonts w:ascii="Arial" w:eastAsia="宋体" w:hAnsi="Arial" w:cs="Arial"/>
                <w:color w:val="000000"/>
                <w:sz w:val="17"/>
                <w:szCs w:val="17"/>
              </w:rPr>
              <w:t>1,670 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6" w14:textId="77777777" w:rsidR="008A3BAC" w:rsidRDefault="005C75B9">
            <w:pPr>
              <w:jc w:val="right"/>
              <w:textAlignment w:val="bottom"/>
            </w:pPr>
            <w:r>
              <w:rPr>
                <w:rFonts w:ascii="Arial" w:eastAsia="宋体" w:hAnsi="Arial" w:cs="Arial"/>
                <w:color w:val="000000"/>
                <w:sz w:val="17"/>
                <w:szCs w:val="17"/>
              </w:rPr>
              <w:t>804 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8" w14:textId="77777777" w:rsidR="008A3BAC" w:rsidRDefault="005C75B9">
            <w:pPr>
              <w:jc w:val="right"/>
              <w:textAlignment w:val="bottom"/>
            </w:pPr>
            <w:r>
              <w:rPr>
                <w:rFonts w:ascii="Arial" w:eastAsia="宋体" w:hAnsi="Arial" w:cs="Arial"/>
                <w:color w:val="000000"/>
                <w:sz w:val="17"/>
                <w:szCs w:val="17"/>
              </w:rPr>
              <w:t>1,010 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A" w14:textId="77777777" w:rsidR="008A3BAC" w:rsidRDefault="005C75B9">
            <w:pPr>
              <w:jc w:val="right"/>
              <w:textAlignment w:val="bottom"/>
            </w:pPr>
            <w:r>
              <w:rPr>
                <w:rFonts w:ascii="Arial" w:eastAsia="宋体" w:hAnsi="Arial" w:cs="Arial"/>
                <w:color w:val="000000"/>
                <w:sz w:val="17"/>
                <w:szCs w:val="17"/>
              </w:rPr>
              <w:t>469 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3FE" w14:textId="77777777" w:rsidR="008A3BAC" w:rsidRDefault="005C75B9">
            <w:pPr>
              <w:jc w:val="right"/>
              <w:textAlignment w:val="bottom"/>
            </w:pPr>
            <w:r>
              <w:rPr>
                <w:rFonts w:ascii="Arial" w:eastAsia="宋体" w:hAnsi="Arial" w:cs="Arial"/>
                <w:color w:val="000000"/>
                <w:sz w:val="17"/>
                <w:szCs w:val="17"/>
              </w:rPr>
              <w:t>3,953 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3F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0" w14:textId="77777777" w:rsidR="008A3BAC" w:rsidRDefault="005C75B9">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2"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4" w14:textId="77777777" w:rsidR="008A3BAC" w:rsidRDefault="005C75B9">
            <w:pPr>
              <w:jc w:val="right"/>
              <w:textAlignment w:val="bottom"/>
            </w:pPr>
            <w:r>
              <w:rPr>
                <w:rFonts w:ascii="Arial" w:eastAsia="宋体" w:hAnsi="Arial" w:cs="Arial"/>
                <w:color w:val="000000"/>
                <w:sz w:val="17"/>
                <w:szCs w:val="17"/>
              </w:rPr>
              <w:t>4,134 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5" w14:textId="77777777" w:rsidR="008A3BAC" w:rsidRDefault="008A3BAC">
            <w:pPr>
              <w:jc w:val="right"/>
              <w:rPr>
                <w:rFonts w:ascii="宋体"/>
              </w:rPr>
            </w:pPr>
          </w:p>
        </w:tc>
      </w:tr>
      <w:tr w:rsidR="008A3BAC" w14:paraId="26E9D41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07"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0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0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10"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1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12"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1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14" w14:textId="77777777" w:rsidR="008A3BAC" w:rsidRDefault="005C75B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1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16"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1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418" w14:textId="77777777" w:rsidR="008A3BAC" w:rsidRDefault="005C75B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419" w14:textId="77777777" w:rsidR="008A3BAC" w:rsidRDefault="008A3BAC">
            <w:pPr>
              <w:jc w:val="right"/>
              <w:rPr>
                <w:rFonts w:ascii="宋体"/>
              </w:rPr>
            </w:pPr>
          </w:p>
        </w:tc>
      </w:tr>
      <w:tr w:rsidR="008A3BAC" w14:paraId="26E9D43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41B"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1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1D" w14:textId="77777777" w:rsidR="008A3BAC" w:rsidRDefault="005C75B9">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1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1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0" w14:textId="77777777" w:rsidR="008A3BAC" w:rsidRDefault="005C75B9">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2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2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3" w14:textId="77777777" w:rsidR="008A3BAC" w:rsidRDefault="005C75B9">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2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2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6" w14:textId="77777777" w:rsidR="008A3BAC" w:rsidRDefault="005C75B9">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2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2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9"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2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2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C" w14:textId="77777777" w:rsidR="008A3BAC" w:rsidRDefault="005C75B9">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2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2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2F" w14:textId="77777777" w:rsidR="008A3BAC" w:rsidRDefault="005C75B9">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3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3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32" w14:textId="77777777" w:rsidR="008A3BAC" w:rsidRDefault="005C75B9">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3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43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435" w14:textId="77777777" w:rsidR="008A3BAC" w:rsidRDefault="005C75B9">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436" w14:textId="77777777" w:rsidR="008A3BAC" w:rsidRDefault="008A3BAC">
            <w:pPr>
              <w:jc w:val="right"/>
              <w:rPr>
                <w:rFonts w:ascii="宋体"/>
              </w:rPr>
            </w:pPr>
          </w:p>
        </w:tc>
      </w:tr>
    </w:tbl>
    <w:p w14:paraId="26E9D438" w14:textId="77777777" w:rsidR="008A3BAC" w:rsidRDefault="008A3BAC">
      <w:pPr>
        <w:spacing w:before="100"/>
      </w:pPr>
    </w:p>
    <w:p w14:paraId="26E9D439" w14:textId="77777777" w:rsidR="008A3BAC" w:rsidRDefault="005C75B9">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26E9D43A" w14:textId="77777777" w:rsidR="008A3BAC" w:rsidRDefault="005C75B9">
      <w:r>
        <w:pict w14:anchorId="26E9E85B">
          <v:rect id="_x0000_i1046" style="width:415.3pt;height:1.5pt" o:hralign="center" o:hrstd="t" o:hr="t" fillcolor="#a0a0a0" stroked="f"/>
        </w:pict>
      </w:r>
    </w:p>
    <w:p w14:paraId="26E9D43B" w14:textId="77777777" w:rsidR="008A3BAC" w:rsidRDefault="008A3BAC"/>
    <w:p w14:paraId="26E9D43C" w14:textId="77777777" w:rsidR="008A3BAC" w:rsidRDefault="005C75B9">
      <w:hyperlink r:id="rId91" w:anchor="i46aba51c6a804f42b3595948c57d2023_7" w:history="1">
        <w:r>
          <w:rPr>
            <w:rStyle w:val="a5"/>
            <w:rFonts w:ascii="sans-serif" w:eastAsia="sans-serif" w:hAnsi="sans-serif" w:cs="sans-serif"/>
            <w:sz w:val="17"/>
            <w:szCs w:val="17"/>
          </w:rPr>
          <w:t xml:space="preserve">Table </w:t>
        </w:r>
        <w:r>
          <w:rPr>
            <w:rStyle w:val="a5"/>
            <w:rFonts w:ascii="sans-serif" w:eastAsia="sans-serif" w:hAnsi="sans-serif" w:cs="sans-serif"/>
            <w:sz w:val="17"/>
            <w:szCs w:val="17"/>
          </w:rPr>
          <w:t>of Contents</w:t>
        </w:r>
      </w:hyperlink>
    </w:p>
    <w:p w14:paraId="26E9D43D"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43"/>
        <w:gridCol w:w="1214"/>
        <w:gridCol w:w="39"/>
        <w:gridCol w:w="115"/>
        <w:gridCol w:w="568"/>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8A3BAC" w14:paraId="26E9D45C" w14:textId="77777777">
        <w:tc>
          <w:tcPr>
            <w:tcW w:w="50" w:type="pct"/>
            <w:shd w:val="clear" w:color="auto" w:fill="auto"/>
            <w:vAlign w:val="bottom"/>
          </w:tcPr>
          <w:p w14:paraId="26E9D43E" w14:textId="77777777" w:rsidR="008A3BAC" w:rsidRDefault="008A3BAC">
            <w:pPr>
              <w:rPr>
                <w:rFonts w:ascii="宋体"/>
              </w:rPr>
            </w:pPr>
          </w:p>
        </w:tc>
        <w:tc>
          <w:tcPr>
            <w:tcW w:w="1110" w:type="pct"/>
            <w:shd w:val="clear" w:color="auto" w:fill="auto"/>
            <w:vAlign w:val="bottom"/>
          </w:tcPr>
          <w:p w14:paraId="26E9D43F" w14:textId="77777777" w:rsidR="008A3BAC" w:rsidRDefault="008A3BAC">
            <w:pPr>
              <w:rPr>
                <w:rFonts w:ascii="宋体"/>
              </w:rPr>
            </w:pPr>
          </w:p>
        </w:tc>
        <w:tc>
          <w:tcPr>
            <w:tcW w:w="5" w:type="pct"/>
            <w:shd w:val="clear" w:color="auto" w:fill="auto"/>
            <w:vAlign w:val="bottom"/>
          </w:tcPr>
          <w:p w14:paraId="26E9D440" w14:textId="77777777" w:rsidR="008A3BAC" w:rsidRDefault="008A3BAC">
            <w:pPr>
              <w:rPr>
                <w:rFonts w:ascii="宋体"/>
              </w:rPr>
            </w:pPr>
          </w:p>
        </w:tc>
        <w:tc>
          <w:tcPr>
            <w:tcW w:w="50" w:type="pct"/>
            <w:shd w:val="clear" w:color="auto" w:fill="auto"/>
            <w:vAlign w:val="bottom"/>
          </w:tcPr>
          <w:p w14:paraId="26E9D441" w14:textId="77777777" w:rsidR="008A3BAC" w:rsidRDefault="008A3BAC">
            <w:pPr>
              <w:rPr>
                <w:rFonts w:ascii="宋体"/>
              </w:rPr>
            </w:pPr>
          </w:p>
        </w:tc>
        <w:tc>
          <w:tcPr>
            <w:tcW w:w="353" w:type="pct"/>
            <w:shd w:val="clear" w:color="auto" w:fill="auto"/>
            <w:vAlign w:val="bottom"/>
          </w:tcPr>
          <w:p w14:paraId="26E9D442" w14:textId="77777777" w:rsidR="008A3BAC" w:rsidRDefault="008A3BAC">
            <w:pPr>
              <w:rPr>
                <w:rFonts w:ascii="宋体"/>
              </w:rPr>
            </w:pPr>
          </w:p>
        </w:tc>
        <w:tc>
          <w:tcPr>
            <w:tcW w:w="5" w:type="pct"/>
            <w:shd w:val="clear" w:color="auto" w:fill="auto"/>
            <w:vAlign w:val="bottom"/>
          </w:tcPr>
          <w:p w14:paraId="26E9D443" w14:textId="77777777" w:rsidR="008A3BAC" w:rsidRDefault="008A3BAC">
            <w:pPr>
              <w:rPr>
                <w:rFonts w:ascii="宋体"/>
              </w:rPr>
            </w:pPr>
          </w:p>
        </w:tc>
        <w:tc>
          <w:tcPr>
            <w:tcW w:w="50" w:type="pct"/>
            <w:shd w:val="clear" w:color="auto" w:fill="auto"/>
            <w:vAlign w:val="bottom"/>
          </w:tcPr>
          <w:p w14:paraId="26E9D444" w14:textId="77777777" w:rsidR="008A3BAC" w:rsidRDefault="008A3BAC">
            <w:pPr>
              <w:rPr>
                <w:rFonts w:ascii="宋体"/>
              </w:rPr>
            </w:pPr>
          </w:p>
        </w:tc>
        <w:tc>
          <w:tcPr>
            <w:tcW w:w="353" w:type="pct"/>
            <w:shd w:val="clear" w:color="auto" w:fill="auto"/>
            <w:vAlign w:val="bottom"/>
          </w:tcPr>
          <w:p w14:paraId="26E9D445" w14:textId="77777777" w:rsidR="008A3BAC" w:rsidRDefault="008A3BAC">
            <w:pPr>
              <w:rPr>
                <w:rFonts w:ascii="宋体"/>
              </w:rPr>
            </w:pPr>
          </w:p>
        </w:tc>
        <w:tc>
          <w:tcPr>
            <w:tcW w:w="5" w:type="pct"/>
            <w:shd w:val="clear" w:color="auto" w:fill="auto"/>
            <w:vAlign w:val="bottom"/>
          </w:tcPr>
          <w:p w14:paraId="26E9D446" w14:textId="77777777" w:rsidR="008A3BAC" w:rsidRDefault="008A3BAC">
            <w:pPr>
              <w:rPr>
                <w:rFonts w:ascii="宋体"/>
              </w:rPr>
            </w:pPr>
          </w:p>
        </w:tc>
        <w:tc>
          <w:tcPr>
            <w:tcW w:w="50" w:type="pct"/>
            <w:shd w:val="clear" w:color="auto" w:fill="auto"/>
            <w:vAlign w:val="bottom"/>
          </w:tcPr>
          <w:p w14:paraId="26E9D447" w14:textId="77777777" w:rsidR="008A3BAC" w:rsidRDefault="008A3BAC">
            <w:pPr>
              <w:rPr>
                <w:rFonts w:ascii="宋体"/>
              </w:rPr>
            </w:pPr>
          </w:p>
        </w:tc>
        <w:tc>
          <w:tcPr>
            <w:tcW w:w="353" w:type="pct"/>
            <w:shd w:val="clear" w:color="auto" w:fill="auto"/>
            <w:vAlign w:val="bottom"/>
          </w:tcPr>
          <w:p w14:paraId="26E9D448" w14:textId="77777777" w:rsidR="008A3BAC" w:rsidRDefault="008A3BAC">
            <w:pPr>
              <w:rPr>
                <w:rFonts w:ascii="宋体"/>
              </w:rPr>
            </w:pPr>
          </w:p>
        </w:tc>
        <w:tc>
          <w:tcPr>
            <w:tcW w:w="5" w:type="pct"/>
            <w:shd w:val="clear" w:color="auto" w:fill="auto"/>
            <w:vAlign w:val="bottom"/>
          </w:tcPr>
          <w:p w14:paraId="26E9D449" w14:textId="77777777" w:rsidR="008A3BAC" w:rsidRDefault="008A3BAC">
            <w:pPr>
              <w:rPr>
                <w:rFonts w:ascii="宋体"/>
              </w:rPr>
            </w:pPr>
          </w:p>
        </w:tc>
        <w:tc>
          <w:tcPr>
            <w:tcW w:w="50" w:type="pct"/>
            <w:shd w:val="clear" w:color="auto" w:fill="auto"/>
            <w:vAlign w:val="bottom"/>
          </w:tcPr>
          <w:p w14:paraId="26E9D44A" w14:textId="77777777" w:rsidR="008A3BAC" w:rsidRDefault="008A3BAC">
            <w:pPr>
              <w:rPr>
                <w:rFonts w:ascii="宋体"/>
              </w:rPr>
            </w:pPr>
          </w:p>
        </w:tc>
        <w:tc>
          <w:tcPr>
            <w:tcW w:w="384" w:type="pct"/>
            <w:shd w:val="clear" w:color="auto" w:fill="auto"/>
            <w:vAlign w:val="bottom"/>
          </w:tcPr>
          <w:p w14:paraId="26E9D44B" w14:textId="77777777" w:rsidR="008A3BAC" w:rsidRDefault="008A3BAC">
            <w:pPr>
              <w:rPr>
                <w:rFonts w:ascii="宋体"/>
              </w:rPr>
            </w:pPr>
          </w:p>
        </w:tc>
        <w:tc>
          <w:tcPr>
            <w:tcW w:w="5" w:type="pct"/>
            <w:shd w:val="clear" w:color="auto" w:fill="auto"/>
            <w:vAlign w:val="bottom"/>
          </w:tcPr>
          <w:p w14:paraId="26E9D44C" w14:textId="77777777" w:rsidR="008A3BAC" w:rsidRDefault="008A3BAC">
            <w:pPr>
              <w:rPr>
                <w:rFonts w:ascii="宋体"/>
              </w:rPr>
            </w:pPr>
          </w:p>
        </w:tc>
        <w:tc>
          <w:tcPr>
            <w:tcW w:w="50" w:type="pct"/>
            <w:shd w:val="clear" w:color="auto" w:fill="auto"/>
            <w:vAlign w:val="bottom"/>
          </w:tcPr>
          <w:p w14:paraId="26E9D44D" w14:textId="77777777" w:rsidR="008A3BAC" w:rsidRDefault="008A3BAC">
            <w:pPr>
              <w:rPr>
                <w:rFonts w:ascii="宋体"/>
              </w:rPr>
            </w:pPr>
          </w:p>
        </w:tc>
        <w:tc>
          <w:tcPr>
            <w:tcW w:w="369" w:type="pct"/>
            <w:shd w:val="clear" w:color="auto" w:fill="auto"/>
            <w:vAlign w:val="bottom"/>
          </w:tcPr>
          <w:p w14:paraId="26E9D44E" w14:textId="77777777" w:rsidR="008A3BAC" w:rsidRDefault="008A3BAC">
            <w:pPr>
              <w:rPr>
                <w:rFonts w:ascii="宋体"/>
              </w:rPr>
            </w:pPr>
          </w:p>
        </w:tc>
        <w:tc>
          <w:tcPr>
            <w:tcW w:w="5" w:type="pct"/>
            <w:shd w:val="clear" w:color="auto" w:fill="auto"/>
            <w:vAlign w:val="bottom"/>
          </w:tcPr>
          <w:p w14:paraId="26E9D44F" w14:textId="77777777" w:rsidR="008A3BAC" w:rsidRDefault="008A3BAC">
            <w:pPr>
              <w:rPr>
                <w:rFonts w:ascii="宋体"/>
              </w:rPr>
            </w:pPr>
          </w:p>
        </w:tc>
        <w:tc>
          <w:tcPr>
            <w:tcW w:w="50" w:type="pct"/>
            <w:shd w:val="clear" w:color="auto" w:fill="auto"/>
            <w:vAlign w:val="bottom"/>
          </w:tcPr>
          <w:p w14:paraId="26E9D450" w14:textId="77777777" w:rsidR="008A3BAC" w:rsidRDefault="008A3BAC">
            <w:pPr>
              <w:rPr>
                <w:rFonts w:ascii="宋体"/>
              </w:rPr>
            </w:pPr>
          </w:p>
        </w:tc>
        <w:tc>
          <w:tcPr>
            <w:tcW w:w="353" w:type="pct"/>
            <w:shd w:val="clear" w:color="auto" w:fill="auto"/>
            <w:vAlign w:val="bottom"/>
          </w:tcPr>
          <w:p w14:paraId="26E9D451" w14:textId="77777777" w:rsidR="008A3BAC" w:rsidRDefault="008A3BAC">
            <w:pPr>
              <w:rPr>
                <w:rFonts w:ascii="宋体"/>
              </w:rPr>
            </w:pPr>
          </w:p>
        </w:tc>
        <w:tc>
          <w:tcPr>
            <w:tcW w:w="5" w:type="pct"/>
            <w:shd w:val="clear" w:color="auto" w:fill="auto"/>
            <w:vAlign w:val="bottom"/>
          </w:tcPr>
          <w:p w14:paraId="26E9D452" w14:textId="77777777" w:rsidR="008A3BAC" w:rsidRDefault="008A3BAC">
            <w:pPr>
              <w:rPr>
                <w:rFonts w:ascii="宋体"/>
              </w:rPr>
            </w:pPr>
          </w:p>
        </w:tc>
        <w:tc>
          <w:tcPr>
            <w:tcW w:w="50" w:type="pct"/>
            <w:shd w:val="clear" w:color="auto" w:fill="auto"/>
            <w:vAlign w:val="bottom"/>
          </w:tcPr>
          <w:p w14:paraId="26E9D453" w14:textId="77777777" w:rsidR="008A3BAC" w:rsidRDefault="008A3BAC">
            <w:pPr>
              <w:rPr>
                <w:rFonts w:ascii="宋体"/>
              </w:rPr>
            </w:pPr>
          </w:p>
        </w:tc>
        <w:tc>
          <w:tcPr>
            <w:tcW w:w="384" w:type="pct"/>
            <w:shd w:val="clear" w:color="auto" w:fill="auto"/>
            <w:vAlign w:val="bottom"/>
          </w:tcPr>
          <w:p w14:paraId="26E9D454" w14:textId="77777777" w:rsidR="008A3BAC" w:rsidRDefault="008A3BAC">
            <w:pPr>
              <w:rPr>
                <w:rFonts w:ascii="宋体"/>
              </w:rPr>
            </w:pPr>
          </w:p>
        </w:tc>
        <w:tc>
          <w:tcPr>
            <w:tcW w:w="5" w:type="pct"/>
            <w:shd w:val="clear" w:color="auto" w:fill="auto"/>
            <w:vAlign w:val="bottom"/>
          </w:tcPr>
          <w:p w14:paraId="26E9D455" w14:textId="77777777" w:rsidR="008A3BAC" w:rsidRDefault="008A3BAC">
            <w:pPr>
              <w:rPr>
                <w:rFonts w:ascii="宋体"/>
              </w:rPr>
            </w:pPr>
          </w:p>
        </w:tc>
        <w:tc>
          <w:tcPr>
            <w:tcW w:w="50" w:type="pct"/>
            <w:shd w:val="clear" w:color="auto" w:fill="auto"/>
            <w:vAlign w:val="bottom"/>
          </w:tcPr>
          <w:p w14:paraId="26E9D456" w14:textId="77777777" w:rsidR="008A3BAC" w:rsidRDefault="008A3BAC">
            <w:pPr>
              <w:rPr>
                <w:rFonts w:ascii="宋体"/>
              </w:rPr>
            </w:pPr>
          </w:p>
        </w:tc>
        <w:tc>
          <w:tcPr>
            <w:tcW w:w="431" w:type="pct"/>
            <w:shd w:val="clear" w:color="auto" w:fill="auto"/>
            <w:vAlign w:val="bottom"/>
          </w:tcPr>
          <w:p w14:paraId="26E9D457" w14:textId="77777777" w:rsidR="008A3BAC" w:rsidRDefault="008A3BAC">
            <w:pPr>
              <w:rPr>
                <w:rFonts w:ascii="宋体"/>
              </w:rPr>
            </w:pPr>
          </w:p>
        </w:tc>
        <w:tc>
          <w:tcPr>
            <w:tcW w:w="5" w:type="pct"/>
            <w:shd w:val="clear" w:color="auto" w:fill="auto"/>
            <w:vAlign w:val="bottom"/>
          </w:tcPr>
          <w:p w14:paraId="26E9D458" w14:textId="77777777" w:rsidR="008A3BAC" w:rsidRDefault="008A3BAC">
            <w:pPr>
              <w:rPr>
                <w:rFonts w:ascii="宋体"/>
              </w:rPr>
            </w:pPr>
          </w:p>
        </w:tc>
        <w:tc>
          <w:tcPr>
            <w:tcW w:w="50" w:type="pct"/>
            <w:shd w:val="clear" w:color="auto" w:fill="auto"/>
            <w:vAlign w:val="bottom"/>
          </w:tcPr>
          <w:p w14:paraId="26E9D459" w14:textId="77777777" w:rsidR="008A3BAC" w:rsidRDefault="008A3BAC">
            <w:pPr>
              <w:rPr>
                <w:rFonts w:ascii="宋体"/>
              </w:rPr>
            </w:pPr>
          </w:p>
        </w:tc>
        <w:tc>
          <w:tcPr>
            <w:tcW w:w="354" w:type="pct"/>
            <w:shd w:val="clear" w:color="auto" w:fill="auto"/>
            <w:vAlign w:val="bottom"/>
          </w:tcPr>
          <w:p w14:paraId="26E9D45A" w14:textId="77777777" w:rsidR="008A3BAC" w:rsidRDefault="008A3BAC">
            <w:pPr>
              <w:rPr>
                <w:rFonts w:ascii="宋体"/>
              </w:rPr>
            </w:pPr>
          </w:p>
        </w:tc>
        <w:tc>
          <w:tcPr>
            <w:tcW w:w="5" w:type="pct"/>
            <w:shd w:val="clear" w:color="auto" w:fill="auto"/>
            <w:vAlign w:val="bottom"/>
          </w:tcPr>
          <w:p w14:paraId="26E9D45B" w14:textId="77777777" w:rsidR="008A3BAC" w:rsidRDefault="008A3BAC">
            <w:pPr>
              <w:rPr>
                <w:rFonts w:ascii="宋体"/>
              </w:rPr>
            </w:pPr>
          </w:p>
        </w:tc>
      </w:tr>
      <w:tr w:rsidR="008A3BAC" w14:paraId="26E9D45F" w14:textId="77777777">
        <w:tc>
          <w:tcPr>
            <w:tcW w:w="0" w:type="auto"/>
            <w:gridSpan w:val="3"/>
            <w:shd w:val="clear" w:color="auto" w:fill="auto"/>
            <w:tcMar>
              <w:top w:w="0" w:type="dxa"/>
              <w:left w:w="20" w:type="dxa"/>
              <w:bottom w:w="0" w:type="dxa"/>
              <w:right w:w="20" w:type="dxa"/>
            </w:tcMar>
            <w:vAlign w:val="bottom"/>
          </w:tcPr>
          <w:p w14:paraId="26E9D45D" w14:textId="77777777" w:rsidR="008A3BAC" w:rsidRDefault="008A3BAC">
            <w:pPr>
              <w:rPr>
                <w:rFonts w:ascii="宋体"/>
              </w:rPr>
            </w:pPr>
          </w:p>
        </w:tc>
        <w:tc>
          <w:tcPr>
            <w:tcW w:w="0" w:type="auto"/>
            <w:gridSpan w:val="27"/>
            <w:shd w:val="clear" w:color="auto" w:fill="auto"/>
            <w:tcMar>
              <w:top w:w="40" w:type="dxa"/>
              <w:left w:w="20" w:type="dxa"/>
              <w:bottom w:w="40" w:type="dxa"/>
              <w:right w:w="20" w:type="dxa"/>
            </w:tcMar>
            <w:vAlign w:val="bottom"/>
          </w:tcPr>
          <w:p w14:paraId="26E9D45E" w14:textId="77777777" w:rsidR="008A3BAC" w:rsidRDefault="005C75B9">
            <w:pPr>
              <w:jc w:val="center"/>
              <w:textAlignment w:val="bottom"/>
            </w:pPr>
            <w:r>
              <w:rPr>
                <w:rFonts w:ascii="sans-serif" w:eastAsia="sans-serif" w:hAnsi="sans-serif" w:cs="sans-serif"/>
                <w:b/>
                <w:bCs/>
                <w:color w:val="000000"/>
                <w:sz w:val="17"/>
                <w:szCs w:val="17"/>
              </w:rPr>
              <w:t>NINE MONTHS ENDED FEBRUARY 28, 2022</w:t>
            </w:r>
          </w:p>
        </w:tc>
      </w:tr>
      <w:tr w:rsidR="008A3BAC" w14:paraId="26E9D46A" w14:textId="77777777">
        <w:tc>
          <w:tcPr>
            <w:tcW w:w="0" w:type="auto"/>
            <w:gridSpan w:val="3"/>
            <w:shd w:val="clear" w:color="auto" w:fill="auto"/>
            <w:tcMar>
              <w:top w:w="40" w:type="dxa"/>
              <w:left w:w="20" w:type="dxa"/>
              <w:bottom w:w="40" w:type="dxa"/>
              <w:right w:w="20" w:type="dxa"/>
            </w:tcMar>
            <w:vAlign w:val="bottom"/>
          </w:tcPr>
          <w:p w14:paraId="26E9D460"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1" w14:textId="77777777" w:rsidR="008A3BAC" w:rsidRDefault="005C75B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2" w14:textId="77777777" w:rsidR="008A3BAC" w:rsidRDefault="005C75B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3" w14:textId="77777777" w:rsidR="008A3BAC" w:rsidRDefault="005C75B9">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4" w14:textId="77777777" w:rsidR="008A3BAC" w:rsidRDefault="005C75B9">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5" w14:textId="77777777" w:rsidR="008A3BAC" w:rsidRDefault="005C75B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6" w14:textId="77777777" w:rsidR="008A3BAC" w:rsidRDefault="005C75B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7" w14:textId="77777777" w:rsidR="008A3BAC" w:rsidRDefault="005C75B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8" w14:textId="77777777" w:rsidR="008A3BAC" w:rsidRDefault="005C75B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9" w14:textId="77777777" w:rsidR="008A3BAC" w:rsidRDefault="005C75B9">
            <w:pPr>
              <w:jc w:val="right"/>
              <w:textAlignment w:val="bottom"/>
            </w:pPr>
            <w:r>
              <w:rPr>
                <w:rFonts w:ascii="sans-serif" w:eastAsia="sans-serif" w:hAnsi="sans-serif" w:cs="sans-serif"/>
                <w:b/>
                <w:bCs/>
                <w:color w:val="000000"/>
                <w:sz w:val="17"/>
                <w:szCs w:val="17"/>
              </w:rPr>
              <w:t>TOTAL NIKE, INC.</w:t>
            </w:r>
          </w:p>
        </w:tc>
      </w:tr>
      <w:tr w:rsidR="008A3BAC" w14:paraId="26E9D47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6B"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6C"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6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6E"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6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7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7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72"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7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74" w14:textId="77777777" w:rsidR="008A3BAC" w:rsidRDefault="008A3BAC">
            <w:pPr>
              <w:rPr>
                <w:rFonts w:ascii="宋体"/>
              </w:rPr>
            </w:pPr>
          </w:p>
        </w:tc>
      </w:tr>
      <w:tr w:rsidR="008A3BAC" w14:paraId="26E9D49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76"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47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78" w14:textId="77777777" w:rsidR="008A3BAC" w:rsidRDefault="005C75B9">
            <w:pPr>
              <w:jc w:val="right"/>
              <w:textAlignment w:val="bottom"/>
            </w:pPr>
            <w:r>
              <w:rPr>
                <w:rFonts w:ascii="Arial" w:eastAsia="宋体" w:hAnsi="Arial" w:cs="Arial"/>
                <w:color w:val="000000"/>
                <w:sz w:val="17"/>
                <w:szCs w:val="17"/>
              </w:rPr>
              <w:t>8,648 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79"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7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7B" w14:textId="77777777" w:rsidR="008A3BAC" w:rsidRDefault="005C75B9">
            <w:pPr>
              <w:jc w:val="right"/>
              <w:textAlignment w:val="bottom"/>
            </w:pPr>
            <w:r>
              <w:rPr>
                <w:rFonts w:ascii="Arial" w:eastAsia="宋体" w:hAnsi="Arial" w:cs="Arial"/>
                <w:color w:val="000000"/>
                <w:sz w:val="17"/>
                <w:szCs w:val="17"/>
              </w:rPr>
              <w:t>5,358 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7C"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7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7E" w14:textId="77777777" w:rsidR="008A3BAC" w:rsidRDefault="005C75B9">
            <w:pPr>
              <w:jc w:val="right"/>
              <w:textAlignment w:val="bottom"/>
            </w:pPr>
            <w:r>
              <w:rPr>
                <w:rFonts w:ascii="Arial" w:eastAsia="宋体" w:hAnsi="Arial" w:cs="Arial"/>
                <w:color w:val="000000"/>
                <w:sz w:val="17"/>
                <w:szCs w:val="17"/>
              </w:rPr>
              <w:t>4,238 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7F"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81" w14:textId="77777777" w:rsidR="008A3BAC" w:rsidRDefault="005C75B9">
            <w:pPr>
              <w:jc w:val="right"/>
              <w:textAlignment w:val="bottom"/>
            </w:pPr>
            <w:r>
              <w:rPr>
                <w:rFonts w:ascii="Arial" w:eastAsia="宋体" w:hAnsi="Arial" w:cs="Arial"/>
                <w:color w:val="000000"/>
                <w:sz w:val="17"/>
                <w:szCs w:val="17"/>
              </w:rPr>
              <w:t>2,914 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82"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84"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85"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87" w14:textId="77777777" w:rsidR="008A3BAC" w:rsidRDefault="005C75B9">
            <w:pPr>
              <w:jc w:val="right"/>
              <w:textAlignment w:val="bottom"/>
            </w:pPr>
            <w:r>
              <w:rPr>
                <w:rFonts w:ascii="Arial" w:eastAsia="宋体" w:hAnsi="Arial" w:cs="Arial"/>
                <w:color w:val="000000"/>
                <w:sz w:val="17"/>
                <w:szCs w:val="17"/>
              </w:rPr>
              <w:t>21,158 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88"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8A" w14:textId="77777777" w:rsidR="008A3BAC" w:rsidRDefault="005C75B9">
            <w:pPr>
              <w:jc w:val="right"/>
              <w:textAlignment w:val="bottom"/>
            </w:pPr>
            <w:r>
              <w:rPr>
                <w:rFonts w:ascii="Arial" w:eastAsia="宋体" w:hAnsi="Arial" w:cs="Arial"/>
                <w:color w:val="000000"/>
                <w:sz w:val="17"/>
                <w:szCs w:val="17"/>
              </w:rPr>
              <w:t>1,555 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8B"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8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8E"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8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90" w14:textId="77777777" w:rsidR="008A3BAC" w:rsidRDefault="005C75B9">
            <w:pPr>
              <w:jc w:val="right"/>
              <w:textAlignment w:val="bottom"/>
            </w:pPr>
            <w:r>
              <w:rPr>
                <w:rFonts w:ascii="Arial" w:eastAsia="宋体" w:hAnsi="Arial" w:cs="Arial"/>
                <w:color w:val="000000"/>
                <w:sz w:val="17"/>
                <w:szCs w:val="17"/>
              </w:rPr>
              <w:t>22,713 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1" w14:textId="77777777" w:rsidR="008A3BAC" w:rsidRDefault="008A3BAC">
            <w:pPr>
              <w:jc w:val="right"/>
              <w:rPr>
                <w:rFonts w:ascii="宋体"/>
              </w:rPr>
            </w:pPr>
          </w:p>
        </w:tc>
      </w:tr>
      <w:tr w:rsidR="008A3BAC" w14:paraId="26E9D4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93"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4" w14:textId="77777777" w:rsidR="008A3BAC" w:rsidRDefault="005C75B9">
            <w:pPr>
              <w:jc w:val="right"/>
              <w:textAlignment w:val="bottom"/>
            </w:pPr>
            <w:r>
              <w:rPr>
                <w:rFonts w:ascii="Arial" w:eastAsia="宋体" w:hAnsi="Arial" w:cs="Arial"/>
                <w:color w:val="000000"/>
                <w:sz w:val="17"/>
                <w:szCs w:val="17"/>
              </w:rPr>
              <w:t>4,117 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6" w14:textId="77777777" w:rsidR="008A3BAC" w:rsidRDefault="005C75B9">
            <w:pPr>
              <w:jc w:val="right"/>
              <w:textAlignment w:val="bottom"/>
            </w:pPr>
            <w:r>
              <w:rPr>
                <w:rFonts w:ascii="Arial" w:eastAsia="宋体" w:hAnsi="Arial" w:cs="Arial"/>
                <w:color w:val="000000"/>
                <w:sz w:val="17"/>
                <w:szCs w:val="17"/>
              </w:rPr>
              <w:t>3,444 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8" w14:textId="77777777" w:rsidR="008A3BAC" w:rsidRDefault="005C75B9">
            <w:pPr>
              <w:jc w:val="right"/>
              <w:textAlignment w:val="bottom"/>
            </w:pPr>
            <w:r>
              <w:rPr>
                <w:rFonts w:ascii="Arial" w:eastAsia="宋体" w:hAnsi="Arial" w:cs="Arial"/>
                <w:color w:val="000000"/>
                <w:sz w:val="17"/>
                <w:szCs w:val="17"/>
              </w:rPr>
              <w:t>1,588 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9"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A" w14:textId="77777777" w:rsidR="008A3BAC" w:rsidRDefault="005C75B9">
            <w:pPr>
              <w:jc w:val="right"/>
              <w:textAlignment w:val="bottom"/>
            </w:pPr>
            <w:r>
              <w:rPr>
                <w:rFonts w:ascii="Arial" w:eastAsia="宋体" w:hAnsi="Arial" w:cs="Arial"/>
                <w:color w:val="000000"/>
                <w:sz w:val="17"/>
                <w:szCs w:val="17"/>
              </w:rPr>
              <w:t>1,181 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B"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9E" w14:textId="77777777" w:rsidR="008A3BAC" w:rsidRDefault="005C75B9">
            <w:pPr>
              <w:jc w:val="right"/>
              <w:textAlignment w:val="bottom"/>
            </w:pPr>
            <w:r>
              <w:rPr>
                <w:rFonts w:ascii="Arial" w:eastAsia="宋体" w:hAnsi="Arial" w:cs="Arial"/>
                <w:color w:val="000000"/>
                <w:sz w:val="17"/>
                <w:szCs w:val="17"/>
              </w:rPr>
              <w:t>10,330 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9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0" w14:textId="77777777" w:rsidR="008A3BAC" w:rsidRDefault="005C75B9">
            <w:pPr>
              <w:jc w:val="right"/>
              <w:textAlignment w:val="bottom"/>
            </w:pPr>
            <w:r>
              <w:rPr>
                <w:rFonts w:ascii="Arial" w:eastAsia="宋体" w:hAnsi="Arial" w:cs="Arial"/>
                <w:color w:val="000000"/>
                <w:sz w:val="17"/>
                <w:szCs w:val="17"/>
              </w:rPr>
              <w:t>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2"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4" w14:textId="77777777" w:rsidR="008A3BAC" w:rsidRDefault="005C75B9">
            <w:pPr>
              <w:jc w:val="right"/>
              <w:textAlignment w:val="bottom"/>
            </w:pPr>
            <w:r>
              <w:rPr>
                <w:rFonts w:ascii="Arial" w:eastAsia="宋体" w:hAnsi="Arial" w:cs="Arial"/>
                <w:color w:val="000000"/>
                <w:sz w:val="17"/>
                <w:szCs w:val="17"/>
              </w:rPr>
              <w:t>10,417 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5" w14:textId="77777777" w:rsidR="008A3BAC" w:rsidRDefault="008A3BAC">
            <w:pPr>
              <w:jc w:val="right"/>
              <w:rPr>
                <w:rFonts w:ascii="宋体"/>
              </w:rPr>
            </w:pPr>
          </w:p>
        </w:tc>
      </w:tr>
      <w:tr w:rsidR="008A3BAC" w14:paraId="26E9D4B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A7"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8" w14:textId="77777777" w:rsidR="008A3BAC" w:rsidRDefault="005C75B9">
            <w:pPr>
              <w:jc w:val="right"/>
              <w:textAlignment w:val="bottom"/>
            </w:pPr>
            <w:r>
              <w:rPr>
                <w:rFonts w:ascii="Arial" w:eastAsia="宋体" w:hAnsi="Arial" w:cs="Arial"/>
                <w:color w:val="000000"/>
                <w:sz w:val="17"/>
                <w:szCs w:val="17"/>
              </w:rPr>
              <w:t>473 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9"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A" w14:textId="77777777" w:rsidR="008A3BAC" w:rsidRDefault="005C75B9">
            <w:pPr>
              <w:jc w:val="right"/>
              <w:textAlignment w:val="bottom"/>
            </w:pPr>
            <w:r>
              <w:rPr>
                <w:rFonts w:ascii="Arial" w:eastAsia="宋体" w:hAnsi="Arial" w:cs="Arial"/>
                <w:color w:val="000000"/>
                <w:sz w:val="17"/>
                <w:szCs w:val="17"/>
              </w:rPr>
              <w:t>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B"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C" w14:textId="77777777" w:rsidR="008A3BAC" w:rsidRDefault="005C75B9">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AE" w14:textId="77777777" w:rsidR="008A3BAC" w:rsidRDefault="005C75B9">
            <w:pPr>
              <w:jc w:val="right"/>
              <w:textAlignment w:val="bottom"/>
            </w:pPr>
            <w:r>
              <w:rPr>
                <w:rFonts w:ascii="Arial" w:eastAsia="宋体" w:hAnsi="Arial" w:cs="Arial"/>
                <w:color w:val="000000"/>
                <w:sz w:val="17"/>
                <w:szCs w:val="17"/>
              </w:rPr>
              <w:t>178 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A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2" w14:textId="77777777" w:rsidR="008A3BAC" w:rsidRDefault="005C75B9">
            <w:pPr>
              <w:jc w:val="right"/>
              <w:textAlignment w:val="bottom"/>
            </w:pPr>
            <w:r>
              <w:rPr>
                <w:rFonts w:ascii="Arial" w:eastAsia="宋体" w:hAnsi="Arial" w:cs="Arial"/>
                <w:color w:val="000000"/>
                <w:sz w:val="17"/>
                <w:szCs w:val="17"/>
              </w:rPr>
              <w:t>1,237 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4"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6"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8" w14:textId="77777777" w:rsidR="008A3BAC" w:rsidRDefault="005C75B9">
            <w:pPr>
              <w:jc w:val="right"/>
              <w:textAlignment w:val="bottom"/>
            </w:pPr>
            <w:r>
              <w:rPr>
                <w:rFonts w:ascii="Arial" w:eastAsia="宋体" w:hAnsi="Arial" w:cs="Arial"/>
                <w:color w:val="000000"/>
                <w:sz w:val="17"/>
                <w:szCs w:val="17"/>
              </w:rPr>
              <w:t>1,258 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9" w14:textId="77777777" w:rsidR="008A3BAC" w:rsidRDefault="008A3BAC">
            <w:pPr>
              <w:jc w:val="right"/>
              <w:rPr>
                <w:rFonts w:ascii="宋体"/>
              </w:rPr>
            </w:pPr>
          </w:p>
        </w:tc>
      </w:tr>
      <w:tr w:rsidR="008A3BAC" w14:paraId="26E9D4C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BB"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D"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B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BF"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1"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2"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3"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4"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5"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6"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7"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8" w14:textId="77777777" w:rsidR="008A3BAC" w:rsidRDefault="005C75B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9"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A"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B"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4CC" w14:textId="77777777" w:rsidR="008A3BAC" w:rsidRDefault="005C75B9">
            <w:pPr>
              <w:jc w:val="right"/>
              <w:textAlignment w:val="bottom"/>
            </w:pPr>
            <w:r>
              <w:rPr>
                <w:rFonts w:ascii="Arial" w:eastAsia="宋体" w:hAnsi="Arial" w:cs="Arial"/>
                <w:color w:val="000000"/>
                <w:sz w:val="17"/>
                <w:szCs w:val="17"/>
              </w:rPr>
              <w:t>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CD" w14:textId="77777777" w:rsidR="008A3BAC" w:rsidRDefault="008A3BAC">
            <w:pPr>
              <w:jc w:val="right"/>
              <w:rPr>
                <w:rFonts w:ascii="宋体"/>
              </w:rPr>
            </w:pPr>
          </w:p>
        </w:tc>
      </w:tr>
      <w:tr w:rsidR="008A3BAC" w14:paraId="26E9D4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CF"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4D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D1" w14:textId="77777777" w:rsidR="008A3BAC" w:rsidRDefault="005C75B9">
            <w:pPr>
              <w:jc w:val="right"/>
              <w:textAlignment w:val="bottom"/>
            </w:pPr>
            <w:r>
              <w:rPr>
                <w:rFonts w:ascii="Arial" w:eastAsia="宋体" w:hAnsi="Arial" w:cs="Arial"/>
                <w:b/>
                <w:bCs/>
                <w:color w:val="000000"/>
                <w:sz w:val="17"/>
                <w:szCs w:val="17"/>
              </w:rPr>
              <w:t>13,238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D2"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D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D4" w14:textId="77777777" w:rsidR="008A3BAC" w:rsidRDefault="005C75B9">
            <w:pPr>
              <w:jc w:val="right"/>
              <w:textAlignment w:val="bottom"/>
            </w:pPr>
            <w:r>
              <w:rPr>
                <w:rFonts w:ascii="Arial" w:eastAsia="宋体" w:hAnsi="Arial" w:cs="Arial"/>
                <w:b/>
                <w:bCs/>
                <w:color w:val="000000"/>
                <w:sz w:val="17"/>
                <w:szCs w:val="17"/>
              </w:rPr>
              <w:t>9,228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D5"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D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D7" w14:textId="77777777" w:rsidR="008A3BAC" w:rsidRDefault="005C75B9">
            <w:pPr>
              <w:jc w:val="right"/>
              <w:textAlignment w:val="bottom"/>
            </w:pPr>
            <w:r>
              <w:rPr>
                <w:rFonts w:ascii="Arial" w:eastAsia="宋体" w:hAnsi="Arial" w:cs="Arial"/>
                <w:b/>
                <w:bCs/>
                <w:color w:val="000000"/>
                <w:sz w:val="17"/>
                <w:szCs w:val="17"/>
              </w:rPr>
              <w:t>5,986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D8"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D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DA" w14:textId="77777777" w:rsidR="008A3BAC" w:rsidRDefault="005C75B9">
            <w:pPr>
              <w:jc w:val="right"/>
              <w:textAlignment w:val="bottom"/>
            </w:pPr>
            <w:r>
              <w:rPr>
                <w:rFonts w:ascii="Arial" w:eastAsia="宋体" w:hAnsi="Arial" w:cs="Arial"/>
                <w:b/>
                <w:bCs/>
                <w:color w:val="000000"/>
                <w:sz w:val="17"/>
                <w:szCs w:val="17"/>
              </w:rPr>
              <w:t>4,273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DB"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D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DD" w14:textId="77777777" w:rsidR="008A3BAC" w:rsidRDefault="005C75B9">
            <w:pPr>
              <w:jc w:val="right"/>
              <w:textAlignment w:val="bottom"/>
            </w:pPr>
            <w:r>
              <w:rPr>
                <w:rFonts w:ascii="Arial" w:eastAsia="宋体" w:hAnsi="Arial" w:cs="Arial"/>
                <w:b/>
                <w:bCs/>
                <w:color w:val="000000"/>
                <w:sz w:val="17"/>
                <w:szCs w:val="17"/>
              </w:rPr>
              <w:t>54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DE"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D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E0" w14:textId="77777777" w:rsidR="008A3BAC" w:rsidRDefault="005C75B9">
            <w:pPr>
              <w:jc w:val="right"/>
              <w:textAlignment w:val="bottom"/>
            </w:pPr>
            <w:r>
              <w:rPr>
                <w:rFonts w:ascii="Arial" w:eastAsia="宋体" w:hAnsi="Arial" w:cs="Arial"/>
                <w:b/>
                <w:bCs/>
                <w:color w:val="000000"/>
                <w:sz w:val="17"/>
                <w:szCs w:val="17"/>
              </w:rPr>
              <w:t>32,779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E1"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E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E3" w14:textId="77777777" w:rsidR="008A3BAC" w:rsidRDefault="005C75B9">
            <w:pPr>
              <w:jc w:val="right"/>
              <w:textAlignment w:val="bottom"/>
            </w:pPr>
            <w:r>
              <w:rPr>
                <w:rFonts w:ascii="Arial" w:eastAsia="宋体" w:hAnsi="Arial" w:cs="Arial"/>
                <w:b/>
                <w:bCs/>
                <w:color w:val="000000"/>
                <w:sz w:val="17"/>
                <w:szCs w:val="17"/>
              </w:rPr>
              <w:t>1,753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E4"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E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E6" w14:textId="77777777" w:rsidR="008A3BAC" w:rsidRDefault="005C75B9">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E7"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4E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4E9" w14:textId="77777777" w:rsidR="008A3BAC" w:rsidRDefault="005C75B9">
            <w:pPr>
              <w:jc w:val="right"/>
              <w:textAlignment w:val="bottom"/>
            </w:pPr>
            <w:r>
              <w:rPr>
                <w:rFonts w:ascii="Arial" w:eastAsia="宋体" w:hAnsi="Arial" w:cs="Arial"/>
                <w:b/>
                <w:bCs/>
                <w:color w:val="000000"/>
                <w:sz w:val="17"/>
                <w:szCs w:val="17"/>
              </w:rPr>
              <w:t>34,476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4EA" w14:textId="77777777" w:rsidR="008A3BAC" w:rsidRDefault="008A3BAC">
            <w:pPr>
              <w:jc w:val="right"/>
              <w:rPr>
                <w:rFonts w:ascii="宋体"/>
              </w:rPr>
            </w:pPr>
          </w:p>
        </w:tc>
      </w:tr>
      <w:tr w:rsidR="008A3BAC" w14:paraId="26E9D4F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4EC"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E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EE"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E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1"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2"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4"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4F5" w14:textId="77777777" w:rsidR="008A3BAC" w:rsidRDefault="008A3BAC">
            <w:pPr>
              <w:rPr>
                <w:rFonts w:ascii="宋体"/>
              </w:rPr>
            </w:pPr>
          </w:p>
        </w:tc>
      </w:tr>
      <w:tr w:rsidR="008A3BAC" w14:paraId="26E9D51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4F7"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4F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F9" w14:textId="77777777" w:rsidR="008A3BAC" w:rsidRDefault="005C75B9">
            <w:pPr>
              <w:jc w:val="right"/>
              <w:textAlignment w:val="bottom"/>
            </w:pPr>
            <w:r>
              <w:rPr>
                <w:rFonts w:ascii="Arial" w:eastAsia="宋体" w:hAnsi="Arial" w:cs="Arial"/>
                <w:color w:val="000000"/>
                <w:sz w:val="17"/>
                <w:szCs w:val="17"/>
              </w:rPr>
              <w:t>6,774 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FA"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F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FC" w14:textId="77777777" w:rsidR="008A3BAC" w:rsidRDefault="005C75B9">
            <w:pPr>
              <w:jc w:val="right"/>
              <w:textAlignment w:val="bottom"/>
            </w:pPr>
            <w:r>
              <w:rPr>
                <w:rFonts w:ascii="Arial" w:eastAsia="宋体" w:hAnsi="Arial" w:cs="Arial"/>
                <w:color w:val="000000"/>
                <w:sz w:val="17"/>
                <w:szCs w:val="17"/>
              </w:rPr>
              <w:t>6,194 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4FD"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4F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4FF" w14:textId="77777777" w:rsidR="008A3BAC" w:rsidRDefault="005C75B9">
            <w:pPr>
              <w:jc w:val="right"/>
              <w:textAlignment w:val="bottom"/>
            </w:pPr>
            <w:r>
              <w:rPr>
                <w:rFonts w:ascii="Arial" w:eastAsia="宋体" w:hAnsi="Arial" w:cs="Arial"/>
                <w:color w:val="000000"/>
                <w:sz w:val="17"/>
                <w:szCs w:val="17"/>
              </w:rPr>
              <w:t>3,251 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0"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0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02" w14:textId="77777777" w:rsidR="008A3BAC" w:rsidRDefault="005C75B9">
            <w:pPr>
              <w:jc w:val="right"/>
              <w:textAlignment w:val="bottom"/>
            </w:pPr>
            <w:r>
              <w:rPr>
                <w:rFonts w:ascii="Arial" w:eastAsia="宋体" w:hAnsi="Arial" w:cs="Arial"/>
                <w:color w:val="000000"/>
                <w:sz w:val="17"/>
                <w:szCs w:val="17"/>
              </w:rPr>
              <w:t>2,571 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3"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0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0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6"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0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08" w14:textId="77777777" w:rsidR="008A3BAC" w:rsidRDefault="005C75B9">
            <w:pPr>
              <w:jc w:val="right"/>
              <w:textAlignment w:val="bottom"/>
            </w:pPr>
            <w:r>
              <w:rPr>
                <w:rFonts w:ascii="Arial" w:eastAsia="宋体" w:hAnsi="Arial" w:cs="Arial"/>
                <w:color w:val="000000"/>
                <w:sz w:val="17"/>
                <w:szCs w:val="17"/>
              </w:rPr>
              <w:t>18,790 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9"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0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0B" w14:textId="77777777" w:rsidR="008A3BAC" w:rsidRDefault="005C75B9">
            <w:pPr>
              <w:jc w:val="right"/>
              <w:textAlignment w:val="bottom"/>
            </w:pPr>
            <w:r>
              <w:rPr>
                <w:rFonts w:ascii="Arial" w:eastAsia="宋体" w:hAnsi="Arial" w:cs="Arial"/>
                <w:color w:val="000000"/>
                <w:sz w:val="17"/>
                <w:szCs w:val="17"/>
              </w:rPr>
              <w:t>975 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C"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0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0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0F"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51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511" w14:textId="77777777" w:rsidR="008A3BAC" w:rsidRDefault="005C75B9">
            <w:pPr>
              <w:jc w:val="right"/>
              <w:textAlignment w:val="bottom"/>
            </w:pPr>
            <w:r>
              <w:rPr>
                <w:rFonts w:ascii="Arial" w:eastAsia="宋体" w:hAnsi="Arial" w:cs="Arial"/>
                <w:color w:val="000000"/>
                <w:sz w:val="17"/>
                <w:szCs w:val="17"/>
              </w:rPr>
              <w:t>19,765 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2" w14:textId="77777777" w:rsidR="008A3BAC" w:rsidRDefault="008A3BAC">
            <w:pPr>
              <w:jc w:val="right"/>
              <w:rPr>
                <w:rFonts w:ascii="宋体"/>
              </w:rPr>
            </w:pPr>
          </w:p>
        </w:tc>
      </w:tr>
      <w:tr w:rsidR="008A3BAC" w14:paraId="26E9D52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14" w14:textId="77777777" w:rsidR="008A3BAC" w:rsidRDefault="005C75B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5" w14:textId="77777777" w:rsidR="008A3BAC" w:rsidRDefault="005C75B9">
            <w:pPr>
              <w:jc w:val="right"/>
              <w:textAlignment w:val="bottom"/>
            </w:pPr>
            <w:r>
              <w:rPr>
                <w:rFonts w:ascii="Arial" w:eastAsia="宋体" w:hAnsi="Arial" w:cs="Arial"/>
                <w:color w:val="000000"/>
                <w:sz w:val="17"/>
                <w:szCs w:val="17"/>
              </w:rPr>
              <w:t>6,464 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7" w14:textId="77777777" w:rsidR="008A3BAC" w:rsidRDefault="005C75B9">
            <w:pPr>
              <w:jc w:val="right"/>
              <w:textAlignment w:val="bottom"/>
            </w:pPr>
            <w:r>
              <w:rPr>
                <w:rFonts w:ascii="Arial" w:eastAsia="宋体" w:hAnsi="Arial" w:cs="Arial"/>
                <w:color w:val="000000"/>
                <w:sz w:val="17"/>
                <w:szCs w:val="17"/>
              </w:rPr>
              <w:t>3,034 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9" w14:textId="77777777" w:rsidR="008A3BAC" w:rsidRDefault="005C75B9">
            <w:pPr>
              <w:jc w:val="right"/>
              <w:textAlignment w:val="bottom"/>
            </w:pPr>
            <w:r>
              <w:rPr>
                <w:rFonts w:ascii="Arial" w:eastAsia="宋体" w:hAnsi="Arial" w:cs="Arial"/>
                <w:color w:val="000000"/>
                <w:sz w:val="17"/>
                <w:szCs w:val="17"/>
              </w:rPr>
              <w:t>2,735 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B" w14:textId="77777777" w:rsidR="008A3BAC" w:rsidRDefault="005C75B9">
            <w:pPr>
              <w:jc w:val="right"/>
              <w:textAlignment w:val="bottom"/>
            </w:pPr>
            <w:r>
              <w:rPr>
                <w:rFonts w:ascii="Arial" w:eastAsia="宋体" w:hAnsi="Arial" w:cs="Arial"/>
                <w:color w:val="000000"/>
                <w:sz w:val="17"/>
                <w:szCs w:val="17"/>
              </w:rPr>
              <w:t>1,702 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1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1F" w14:textId="77777777" w:rsidR="008A3BAC" w:rsidRDefault="005C75B9">
            <w:pPr>
              <w:jc w:val="right"/>
              <w:textAlignment w:val="bottom"/>
            </w:pPr>
            <w:r>
              <w:rPr>
                <w:rFonts w:ascii="Arial" w:eastAsia="宋体" w:hAnsi="Arial" w:cs="Arial"/>
                <w:color w:val="000000"/>
                <w:sz w:val="17"/>
                <w:szCs w:val="17"/>
              </w:rPr>
              <w:t>13,935 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1" w14:textId="77777777" w:rsidR="008A3BAC" w:rsidRDefault="005C75B9">
            <w:pPr>
              <w:jc w:val="right"/>
              <w:textAlignment w:val="bottom"/>
            </w:pPr>
            <w:r>
              <w:rPr>
                <w:rFonts w:ascii="Arial" w:eastAsia="宋体" w:hAnsi="Arial" w:cs="Arial"/>
                <w:color w:val="000000"/>
                <w:sz w:val="17"/>
                <w:szCs w:val="17"/>
              </w:rPr>
              <w:t>688 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5" w14:textId="77777777" w:rsidR="008A3BAC" w:rsidRDefault="005C75B9">
            <w:pPr>
              <w:jc w:val="right"/>
              <w:textAlignment w:val="bottom"/>
            </w:pPr>
            <w:r>
              <w:rPr>
                <w:rFonts w:ascii="Arial" w:eastAsia="宋体" w:hAnsi="Arial" w:cs="Arial"/>
                <w:color w:val="000000"/>
                <w:sz w:val="17"/>
                <w:szCs w:val="17"/>
              </w:rPr>
              <w:t>14,623 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6" w14:textId="77777777" w:rsidR="008A3BAC" w:rsidRDefault="008A3BAC">
            <w:pPr>
              <w:jc w:val="right"/>
              <w:rPr>
                <w:rFonts w:ascii="宋体"/>
              </w:rPr>
            </w:pPr>
          </w:p>
        </w:tc>
      </w:tr>
      <w:tr w:rsidR="008A3BAC" w14:paraId="26E9D5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28"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A"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C"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D"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2E"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2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0"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31"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2"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33"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4"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35" w14:textId="77777777" w:rsidR="008A3BAC" w:rsidRDefault="005C75B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6"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37"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8" w14:textId="77777777" w:rsidR="008A3BAC" w:rsidRDefault="008A3BAC">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539" w14:textId="77777777" w:rsidR="008A3BAC" w:rsidRDefault="005C75B9">
            <w:pPr>
              <w:jc w:val="right"/>
              <w:textAlignment w:val="bottom"/>
            </w:pPr>
            <w:r>
              <w:rPr>
                <w:rFonts w:ascii="Arial" w:eastAsia="宋体" w:hAnsi="Arial" w:cs="Arial"/>
                <w:color w:val="000000"/>
                <w:sz w:val="17"/>
                <w:szCs w:val="17"/>
              </w:rPr>
              <w:t>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53A" w14:textId="77777777" w:rsidR="008A3BAC" w:rsidRDefault="008A3BAC">
            <w:pPr>
              <w:jc w:val="right"/>
              <w:rPr>
                <w:rFonts w:ascii="宋体"/>
              </w:rPr>
            </w:pPr>
          </w:p>
        </w:tc>
      </w:tr>
      <w:tr w:rsidR="008A3BAC" w14:paraId="26E9D55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53C"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3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3E" w14:textId="77777777" w:rsidR="008A3BAC" w:rsidRDefault="005C75B9">
            <w:pPr>
              <w:jc w:val="right"/>
              <w:textAlignment w:val="bottom"/>
            </w:pPr>
            <w:r>
              <w:rPr>
                <w:rFonts w:ascii="Arial" w:eastAsia="宋体" w:hAnsi="Arial" w:cs="Arial"/>
                <w:b/>
                <w:bCs/>
                <w:color w:val="000000"/>
                <w:sz w:val="17"/>
                <w:szCs w:val="17"/>
              </w:rPr>
              <w:t>13,238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3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41" w14:textId="77777777" w:rsidR="008A3BAC" w:rsidRDefault="005C75B9">
            <w:pPr>
              <w:jc w:val="right"/>
              <w:textAlignment w:val="bottom"/>
            </w:pPr>
            <w:r>
              <w:rPr>
                <w:rFonts w:ascii="Arial" w:eastAsia="宋体" w:hAnsi="Arial" w:cs="Arial"/>
                <w:b/>
                <w:bCs/>
                <w:color w:val="000000"/>
                <w:sz w:val="17"/>
                <w:szCs w:val="17"/>
              </w:rPr>
              <w:t>9,228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42"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44" w14:textId="77777777" w:rsidR="008A3BAC" w:rsidRDefault="005C75B9">
            <w:pPr>
              <w:jc w:val="right"/>
              <w:textAlignment w:val="bottom"/>
            </w:pPr>
            <w:r>
              <w:rPr>
                <w:rFonts w:ascii="Arial" w:eastAsia="宋体" w:hAnsi="Arial" w:cs="Arial"/>
                <w:b/>
                <w:bCs/>
                <w:color w:val="000000"/>
                <w:sz w:val="17"/>
                <w:szCs w:val="17"/>
              </w:rPr>
              <w:t>5,986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45"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47" w14:textId="77777777" w:rsidR="008A3BAC" w:rsidRDefault="005C75B9">
            <w:pPr>
              <w:jc w:val="right"/>
              <w:textAlignment w:val="bottom"/>
            </w:pPr>
            <w:r>
              <w:rPr>
                <w:rFonts w:ascii="Arial" w:eastAsia="宋体" w:hAnsi="Arial" w:cs="Arial"/>
                <w:b/>
                <w:bCs/>
                <w:color w:val="000000"/>
                <w:sz w:val="17"/>
                <w:szCs w:val="17"/>
              </w:rPr>
              <w:t>4,273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48"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4A" w14:textId="77777777" w:rsidR="008A3BAC" w:rsidRDefault="005C75B9">
            <w:pPr>
              <w:jc w:val="right"/>
              <w:textAlignment w:val="bottom"/>
            </w:pPr>
            <w:r>
              <w:rPr>
                <w:rFonts w:ascii="Arial" w:eastAsia="宋体" w:hAnsi="Arial" w:cs="Arial"/>
                <w:b/>
                <w:bCs/>
                <w:color w:val="000000"/>
                <w:sz w:val="17"/>
                <w:szCs w:val="17"/>
              </w:rPr>
              <w:t>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4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4D" w14:textId="77777777" w:rsidR="008A3BAC" w:rsidRDefault="005C75B9">
            <w:pPr>
              <w:jc w:val="right"/>
              <w:textAlignment w:val="bottom"/>
            </w:pPr>
            <w:r>
              <w:rPr>
                <w:rFonts w:ascii="Arial" w:eastAsia="宋体" w:hAnsi="Arial" w:cs="Arial"/>
                <w:b/>
                <w:bCs/>
                <w:color w:val="000000"/>
                <w:sz w:val="17"/>
                <w:szCs w:val="17"/>
              </w:rPr>
              <w:t>32,779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4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4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50" w14:textId="77777777" w:rsidR="008A3BAC" w:rsidRDefault="005C75B9">
            <w:pPr>
              <w:jc w:val="right"/>
              <w:textAlignment w:val="bottom"/>
            </w:pPr>
            <w:r>
              <w:rPr>
                <w:rFonts w:ascii="Arial" w:eastAsia="宋体" w:hAnsi="Arial" w:cs="Arial"/>
                <w:b/>
                <w:bCs/>
                <w:color w:val="000000"/>
                <w:sz w:val="17"/>
                <w:szCs w:val="17"/>
              </w:rPr>
              <w:t>1,753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5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5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53" w14:textId="77777777" w:rsidR="008A3BAC" w:rsidRDefault="005C75B9">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5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55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556" w14:textId="77777777" w:rsidR="008A3BAC" w:rsidRDefault="005C75B9">
            <w:pPr>
              <w:jc w:val="right"/>
              <w:textAlignment w:val="bottom"/>
            </w:pPr>
            <w:r>
              <w:rPr>
                <w:rFonts w:ascii="Arial" w:eastAsia="宋体" w:hAnsi="Arial" w:cs="Arial"/>
                <w:b/>
                <w:bCs/>
                <w:color w:val="000000"/>
                <w:sz w:val="17"/>
                <w:szCs w:val="17"/>
              </w:rPr>
              <w:t>34,476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557" w14:textId="77777777" w:rsidR="008A3BAC" w:rsidRDefault="008A3BAC">
            <w:pPr>
              <w:jc w:val="right"/>
              <w:rPr>
                <w:rFonts w:ascii="宋体"/>
              </w:rPr>
            </w:pPr>
          </w:p>
        </w:tc>
      </w:tr>
    </w:tbl>
    <w:p w14:paraId="26E9D559" w14:textId="77777777" w:rsidR="008A3BAC" w:rsidRDefault="008A3BAC">
      <w:pP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214"/>
        <w:gridCol w:w="39"/>
        <w:gridCol w:w="115"/>
        <w:gridCol w:w="568"/>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8A3BAC" w14:paraId="26E9D578" w14:textId="77777777">
        <w:tc>
          <w:tcPr>
            <w:tcW w:w="50" w:type="pct"/>
            <w:shd w:val="clear" w:color="auto" w:fill="auto"/>
            <w:vAlign w:val="bottom"/>
          </w:tcPr>
          <w:p w14:paraId="26E9D55A" w14:textId="77777777" w:rsidR="008A3BAC" w:rsidRDefault="008A3BAC">
            <w:pPr>
              <w:rPr>
                <w:rFonts w:ascii="宋体"/>
              </w:rPr>
            </w:pPr>
          </w:p>
        </w:tc>
        <w:tc>
          <w:tcPr>
            <w:tcW w:w="1110" w:type="pct"/>
            <w:shd w:val="clear" w:color="auto" w:fill="auto"/>
            <w:vAlign w:val="bottom"/>
          </w:tcPr>
          <w:p w14:paraId="26E9D55B" w14:textId="77777777" w:rsidR="008A3BAC" w:rsidRDefault="008A3BAC">
            <w:pPr>
              <w:rPr>
                <w:rFonts w:ascii="宋体"/>
              </w:rPr>
            </w:pPr>
          </w:p>
        </w:tc>
        <w:tc>
          <w:tcPr>
            <w:tcW w:w="5" w:type="pct"/>
            <w:shd w:val="clear" w:color="auto" w:fill="auto"/>
            <w:vAlign w:val="bottom"/>
          </w:tcPr>
          <w:p w14:paraId="26E9D55C" w14:textId="77777777" w:rsidR="008A3BAC" w:rsidRDefault="008A3BAC">
            <w:pPr>
              <w:rPr>
                <w:rFonts w:ascii="宋体"/>
              </w:rPr>
            </w:pPr>
          </w:p>
        </w:tc>
        <w:tc>
          <w:tcPr>
            <w:tcW w:w="50" w:type="pct"/>
            <w:shd w:val="clear" w:color="auto" w:fill="auto"/>
            <w:vAlign w:val="bottom"/>
          </w:tcPr>
          <w:p w14:paraId="26E9D55D" w14:textId="77777777" w:rsidR="008A3BAC" w:rsidRDefault="008A3BAC">
            <w:pPr>
              <w:rPr>
                <w:rFonts w:ascii="宋体"/>
              </w:rPr>
            </w:pPr>
          </w:p>
        </w:tc>
        <w:tc>
          <w:tcPr>
            <w:tcW w:w="353" w:type="pct"/>
            <w:shd w:val="clear" w:color="auto" w:fill="auto"/>
            <w:vAlign w:val="bottom"/>
          </w:tcPr>
          <w:p w14:paraId="26E9D55E" w14:textId="77777777" w:rsidR="008A3BAC" w:rsidRDefault="008A3BAC">
            <w:pPr>
              <w:rPr>
                <w:rFonts w:ascii="宋体"/>
              </w:rPr>
            </w:pPr>
          </w:p>
        </w:tc>
        <w:tc>
          <w:tcPr>
            <w:tcW w:w="5" w:type="pct"/>
            <w:shd w:val="clear" w:color="auto" w:fill="auto"/>
            <w:vAlign w:val="bottom"/>
          </w:tcPr>
          <w:p w14:paraId="26E9D55F" w14:textId="77777777" w:rsidR="008A3BAC" w:rsidRDefault="008A3BAC">
            <w:pPr>
              <w:rPr>
                <w:rFonts w:ascii="宋体"/>
              </w:rPr>
            </w:pPr>
          </w:p>
        </w:tc>
        <w:tc>
          <w:tcPr>
            <w:tcW w:w="50" w:type="pct"/>
            <w:shd w:val="clear" w:color="auto" w:fill="auto"/>
            <w:vAlign w:val="bottom"/>
          </w:tcPr>
          <w:p w14:paraId="26E9D560" w14:textId="77777777" w:rsidR="008A3BAC" w:rsidRDefault="008A3BAC">
            <w:pPr>
              <w:rPr>
                <w:rFonts w:ascii="宋体"/>
              </w:rPr>
            </w:pPr>
          </w:p>
        </w:tc>
        <w:tc>
          <w:tcPr>
            <w:tcW w:w="353" w:type="pct"/>
            <w:shd w:val="clear" w:color="auto" w:fill="auto"/>
            <w:vAlign w:val="bottom"/>
          </w:tcPr>
          <w:p w14:paraId="26E9D561" w14:textId="77777777" w:rsidR="008A3BAC" w:rsidRDefault="008A3BAC">
            <w:pPr>
              <w:rPr>
                <w:rFonts w:ascii="宋体"/>
              </w:rPr>
            </w:pPr>
          </w:p>
        </w:tc>
        <w:tc>
          <w:tcPr>
            <w:tcW w:w="5" w:type="pct"/>
            <w:shd w:val="clear" w:color="auto" w:fill="auto"/>
            <w:vAlign w:val="bottom"/>
          </w:tcPr>
          <w:p w14:paraId="26E9D562" w14:textId="77777777" w:rsidR="008A3BAC" w:rsidRDefault="008A3BAC">
            <w:pPr>
              <w:rPr>
                <w:rFonts w:ascii="宋体"/>
              </w:rPr>
            </w:pPr>
          </w:p>
        </w:tc>
        <w:tc>
          <w:tcPr>
            <w:tcW w:w="50" w:type="pct"/>
            <w:shd w:val="clear" w:color="auto" w:fill="auto"/>
            <w:vAlign w:val="bottom"/>
          </w:tcPr>
          <w:p w14:paraId="26E9D563" w14:textId="77777777" w:rsidR="008A3BAC" w:rsidRDefault="008A3BAC">
            <w:pPr>
              <w:rPr>
                <w:rFonts w:ascii="宋体"/>
              </w:rPr>
            </w:pPr>
          </w:p>
        </w:tc>
        <w:tc>
          <w:tcPr>
            <w:tcW w:w="353" w:type="pct"/>
            <w:shd w:val="clear" w:color="auto" w:fill="auto"/>
            <w:vAlign w:val="bottom"/>
          </w:tcPr>
          <w:p w14:paraId="26E9D564" w14:textId="77777777" w:rsidR="008A3BAC" w:rsidRDefault="008A3BAC">
            <w:pPr>
              <w:rPr>
                <w:rFonts w:ascii="宋体"/>
              </w:rPr>
            </w:pPr>
          </w:p>
        </w:tc>
        <w:tc>
          <w:tcPr>
            <w:tcW w:w="5" w:type="pct"/>
            <w:shd w:val="clear" w:color="auto" w:fill="auto"/>
            <w:vAlign w:val="bottom"/>
          </w:tcPr>
          <w:p w14:paraId="26E9D565" w14:textId="77777777" w:rsidR="008A3BAC" w:rsidRDefault="008A3BAC">
            <w:pPr>
              <w:rPr>
                <w:rFonts w:ascii="宋体"/>
              </w:rPr>
            </w:pPr>
          </w:p>
        </w:tc>
        <w:tc>
          <w:tcPr>
            <w:tcW w:w="50" w:type="pct"/>
            <w:shd w:val="clear" w:color="auto" w:fill="auto"/>
            <w:vAlign w:val="bottom"/>
          </w:tcPr>
          <w:p w14:paraId="26E9D566" w14:textId="77777777" w:rsidR="008A3BAC" w:rsidRDefault="008A3BAC">
            <w:pPr>
              <w:rPr>
                <w:rFonts w:ascii="宋体"/>
              </w:rPr>
            </w:pPr>
          </w:p>
        </w:tc>
        <w:tc>
          <w:tcPr>
            <w:tcW w:w="384" w:type="pct"/>
            <w:shd w:val="clear" w:color="auto" w:fill="auto"/>
            <w:vAlign w:val="bottom"/>
          </w:tcPr>
          <w:p w14:paraId="26E9D567" w14:textId="77777777" w:rsidR="008A3BAC" w:rsidRDefault="008A3BAC">
            <w:pPr>
              <w:rPr>
                <w:rFonts w:ascii="宋体"/>
              </w:rPr>
            </w:pPr>
          </w:p>
        </w:tc>
        <w:tc>
          <w:tcPr>
            <w:tcW w:w="5" w:type="pct"/>
            <w:shd w:val="clear" w:color="auto" w:fill="auto"/>
            <w:vAlign w:val="bottom"/>
          </w:tcPr>
          <w:p w14:paraId="26E9D568" w14:textId="77777777" w:rsidR="008A3BAC" w:rsidRDefault="008A3BAC">
            <w:pPr>
              <w:rPr>
                <w:rFonts w:ascii="宋体"/>
              </w:rPr>
            </w:pPr>
          </w:p>
        </w:tc>
        <w:tc>
          <w:tcPr>
            <w:tcW w:w="50" w:type="pct"/>
            <w:shd w:val="clear" w:color="auto" w:fill="auto"/>
            <w:vAlign w:val="bottom"/>
          </w:tcPr>
          <w:p w14:paraId="26E9D569" w14:textId="77777777" w:rsidR="008A3BAC" w:rsidRDefault="008A3BAC">
            <w:pPr>
              <w:rPr>
                <w:rFonts w:ascii="宋体"/>
              </w:rPr>
            </w:pPr>
          </w:p>
        </w:tc>
        <w:tc>
          <w:tcPr>
            <w:tcW w:w="369" w:type="pct"/>
            <w:shd w:val="clear" w:color="auto" w:fill="auto"/>
            <w:vAlign w:val="bottom"/>
          </w:tcPr>
          <w:p w14:paraId="26E9D56A" w14:textId="77777777" w:rsidR="008A3BAC" w:rsidRDefault="008A3BAC">
            <w:pPr>
              <w:rPr>
                <w:rFonts w:ascii="宋体"/>
              </w:rPr>
            </w:pPr>
          </w:p>
        </w:tc>
        <w:tc>
          <w:tcPr>
            <w:tcW w:w="5" w:type="pct"/>
            <w:shd w:val="clear" w:color="auto" w:fill="auto"/>
            <w:vAlign w:val="bottom"/>
          </w:tcPr>
          <w:p w14:paraId="26E9D56B" w14:textId="77777777" w:rsidR="008A3BAC" w:rsidRDefault="008A3BAC">
            <w:pPr>
              <w:rPr>
                <w:rFonts w:ascii="宋体"/>
              </w:rPr>
            </w:pPr>
          </w:p>
        </w:tc>
        <w:tc>
          <w:tcPr>
            <w:tcW w:w="50" w:type="pct"/>
            <w:shd w:val="clear" w:color="auto" w:fill="auto"/>
            <w:vAlign w:val="bottom"/>
          </w:tcPr>
          <w:p w14:paraId="26E9D56C" w14:textId="77777777" w:rsidR="008A3BAC" w:rsidRDefault="008A3BAC">
            <w:pPr>
              <w:rPr>
                <w:rFonts w:ascii="宋体"/>
              </w:rPr>
            </w:pPr>
          </w:p>
        </w:tc>
        <w:tc>
          <w:tcPr>
            <w:tcW w:w="353" w:type="pct"/>
            <w:shd w:val="clear" w:color="auto" w:fill="auto"/>
            <w:vAlign w:val="bottom"/>
          </w:tcPr>
          <w:p w14:paraId="26E9D56D" w14:textId="77777777" w:rsidR="008A3BAC" w:rsidRDefault="008A3BAC">
            <w:pPr>
              <w:rPr>
                <w:rFonts w:ascii="宋体"/>
              </w:rPr>
            </w:pPr>
          </w:p>
        </w:tc>
        <w:tc>
          <w:tcPr>
            <w:tcW w:w="5" w:type="pct"/>
            <w:shd w:val="clear" w:color="auto" w:fill="auto"/>
            <w:vAlign w:val="bottom"/>
          </w:tcPr>
          <w:p w14:paraId="26E9D56E" w14:textId="77777777" w:rsidR="008A3BAC" w:rsidRDefault="008A3BAC">
            <w:pPr>
              <w:rPr>
                <w:rFonts w:ascii="宋体"/>
              </w:rPr>
            </w:pPr>
          </w:p>
        </w:tc>
        <w:tc>
          <w:tcPr>
            <w:tcW w:w="50" w:type="pct"/>
            <w:shd w:val="clear" w:color="auto" w:fill="auto"/>
            <w:vAlign w:val="bottom"/>
          </w:tcPr>
          <w:p w14:paraId="26E9D56F" w14:textId="77777777" w:rsidR="008A3BAC" w:rsidRDefault="008A3BAC">
            <w:pPr>
              <w:rPr>
                <w:rFonts w:ascii="宋体"/>
              </w:rPr>
            </w:pPr>
          </w:p>
        </w:tc>
        <w:tc>
          <w:tcPr>
            <w:tcW w:w="384" w:type="pct"/>
            <w:shd w:val="clear" w:color="auto" w:fill="auto"/>
            <w:vAlign w:val="bottom"/>
          </w:tcPr>
          <w:p w14:paraId="26E9D570" w14:textId="77777777" w:rsidR="008A3BAC" w:rsidRDefault="008A3BAC">
            <w:pPr>
              <w:rPr>
                <w:rFonts w:ascii="宋体"/>
              </w:rPr>
            </w:pPr>
          </w:p>
        </w:tc>
        <w:tc>
          <w:tcPr>
            <w:tcW w:w="5" w:type="pct"/>
            <w:shd w:val="clear" w:color="auto" w:fill="auto"/>
            <w:vAlign w:val="bottom"/>
          </w:tcPr>
          <w:p w14:paraId="26E9D571" w14:textId="77777777" w:rsidR="008A3BAC" w:rsidRDefault="008A3BAC">
            <w:pPr>
              <w:rPr>
                <w:rFonts w:ascii="宋体"/>
              </w:rPr>
            </w:pPr>
          </w:p>
        </w:tc>
        <w:tc>
          <w:tcPr>
            <w:tcW w:w="50" w:type="pct"/>
            <w:shd w:val="clear" w:color="auto" w:fill="auto"/>
            <w:vAlign w:val="bottom"/>
          </w:tcPr>
          <w:p w14:paraId="26E9D572" w14:textId="77777777" w:rsidR="008A3BAC" w:rsidRDefault="008A3BAC">
            <w:pPr>
              <w:rPr>
                <w:rFonts w:ascii="宋体"/>
              </w:rPr>
            </w:pPr>
          </w:p>
        </w:tc>
        <w:tc>
          <w:tcPr>
            <w:tcW w:w="431" w:type="pct"/>
            <w:shd w:val="clear" w:color="auto" w:fill="auto"/>
            <w:vAlign w:val="bottom"/>
          </w:tcPr>
          <w:p w14:paraId="26E9D573" w14:textId="77777777" w:rsidR="008A3BAC" w:rsidRDefault="008A3BAC">
            <w:pPr>
              <w:rPr>
                <w:rFonts w:ascii="宋体"/>
              </w:rPr>
            </w:pPr>
          </w:p>
        </w:tc>
        <w:tc>
          <w:tcPr>
            <w:tcW w:w="5" w:type="pct"/>
            <w:shd w:val="clear" w:color="auto" w:fill="auto"/>
            <w:vAlign w:val="bottom"/>
          </w:tcPr>
          <w:p w14:paraId="26E9D574" w14:textId="77777777" w:rsidR="008A3BAC" w:rsidRDefault="008A3BAC">
            <w:pPr>
              <w:rPr>
                <w:rFonts w:ascii="宋体"/>
              </w:rPr>
            </w:pPr>
          </w:p>
        </w:tc>
        <w:tc>
          <w:tcPr>
            <w:tcW w:w="50" w:type="pct"/>
            <w:shd w:val="clear" w:color="auto" w:fill="auto"/>
            <w:vAlign w:val="bottom"/>
          </w:tcPr>
          <w:p w14:paraId="26E9D575" w14:textId="77777777" w:rsidR="008A3BAC" w:rsidRDefault="008A3BAC">
            <w:pPr>
              <w:rPr>
                <w:rFonts w:ascii="宋体"/>
              </w:rPr>
            </w:pPr>
          </w:p>
        </w:tc>
        <w:tc>
          <w:tcPr>
            <w:tcW w:w="354" w:type="pct"/>
            <w:shd w:val="clear" w:color="auto" w:fill="auto"/>
            <w:vAlign w:val="bottom"/>
          </w:tcPr>
          <w:p w14:paraId="26E9D576" w14:textId="77777777" w:rsidR="008A3BAC" w:rsidRDefault="008A3BAC">
            <w:pPr>
              <w:rPr>
                <w:rFonts w:ascii="宋体"/>
              </w:rPr>
            </w:pPr>
          </w:p>
        </w:tc>
        <w:tc>
          <w:tcPr>
            <w:tcW w:w="5" w:type="pct"/>
            <w:shd w:val="clear" w:color="auto" w:fill="auto"/>
            <w:vAlign w:val="bottom"/>
          </w:tcPr>
          <w:p w14:paraId="26E9D577" w14:textId="77777777" w:rsidR="008A3BAC" w:rsidRDefault="008A3BAC">
            <w:pPr>
              <w:rPr>
                <w:rFonts w:ascii="宋体"/>
              </w:rPr>
            </w:pPr>
          </w:p>
        </w:tc>
      </w:tr>
      <w:tr w:rsidR="008A3BAC" w14:paraId="26E9D57B" w14:textId="77777777">
        <w:tc>
          <w:tcPr>
            <w:tcW w:w="0" w:type="auto"/>
            <w:gridSpan w:val="3"/>
            <w:shd w:val="clear" w:color="auto" w:fill="auto"/>
            <w:tcMar>
              <w:top w:w="0" w:type="dxa"/>
              <w:left w:w="20" w:type="dxa"/>
              <w:bottom w:w="0" w:type="dxa"/>
              <w:right w:w="20" w:type="dxa"/>
            </w:tcMar>
            <w:vAlign w:val="bottom"/>
          </w:tcPr>
          <w:p w14:paraId="26E9D579" w14:textId="77777777" w:rsidR="008A3BAC" w:rsidRDefault="008A3BAC">
            <w:pPr>
              <w:rPr>
                <w:rFonts w:ascii="宋体"/>
              </w:rPr>
            </w:pPr>
          </w:p>
        </w:tc>
        <w:tc>
          <w:tcPr>
            <w:tcW w:w="0" w:type="auto"/>
            <w:gridSpan w:val="27"/>
            <w:shd w:val="clear" w:color="auto" w:fill="auto"/>
            <w:tcMar>
              <w:top w:w="40" w:type="dxa"/>
              <w:left w:w="20" w:type="dxa"/>
              <w:bottom w:w="40" w:type="dxa"/>
              <w:right w:w="20" w:type="dxa"/>
            </w:tcMar>
            <w:vAlign w:val="bottom"/>
          </w:tcPr>
          <w:p w14:paraId="26E9D57A" w14:textId="77777777" w:rsidR="008A3BAC" w:rsidRDefault="005C75B9">
            <w:pPr>
              <w:jc w:val="center"/>
              <w:textAlignment w:val="bottom"/>
            </w:pPr>
            <w:r>
              <w:rPr>
                <w:rFonts w:ascii="sans-serif" w:eastAsia="sans-serif" w:hAnsi="sans-serif" w:cs="sans-serif"/>
                <w:b/>
                <w:bCs/>
                <w:color w:val="000000"/>
                <w:sz w:val="17"/>
                <w:szCs w:val="17"/>
              </w:rPr>
              <w:t>NINE MONTHS ENDED FEBRUARY 28, 2021</w:t>
            </w:r>
          </w:p>
        </w:tc>
      </w:tr>
      <w:tr w:rsidR="008A3BAC" w14:paraId="26E9D586" w14:textId="77777777">
        <w:tc>
          <w:tcPr>
            <w:tcW w:w="0" w:type="auto"/>
            <w:gridSpan w:val="3"/>
            <w:shd w:val="clear" w:color="auto" w:fill="auto"/>
            <w:tcMar>
              <w:top w:w="40" w:type="dxa"/>
              <w:left w:w="20" w:type="dxa"/>
              <w:bottom w:w="40" w:type="dxa"/>
              <w:right w:w="20" w:type="dxa"/>
            </w:tcMar>
            <w:vAlign w:val="bottom"/>
          </w:tcPr>
          <w:p w14:paraId="26E9D57C"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7D" w14:textId="77777777" w:rsidR="008A3BAC" w:rsidRDefault="005C75B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7E" w14:textId="77777777" w:rsidR="008A3BAC" w:rsidRDefault="005C75B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7F" w14:textId="77777777" w:rsidR="008A3BAC" w:rsidRDefault="005C75B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0" w14:textId="77777777" w:rsidR="008A3BAC" w:rsidRDefault="005C75B9">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1" w14:textId="77777777" w:rsidR="008A3BAC" w:rsidRDefault="005C75B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2" w14:textId="77777777" w:rsidR="008A3BAC" w:rsidRDefault="005C75B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3" w14:textId="77777777" w:rsidR="008A3BAC" w:rsidRDefault="005C75B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4" w14:textId="77777777" w:rsidR="008A3BAC" w:rsidRDefault="005C75B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5" w14:textId="77777777" w:rsidR="008A3BAC" w:rsidRDefault="005C75B9">
            <w:pPr>
              <w:jc w:val="right"/>
              <w:textAlignment w:val="bottom"/>
            </w:pPr>
            <w:r>
              <w:rPr>
                <w:rFonts w:ascii="sans-serif" w:eastAsia="sans-serif" w:hAnsi="sans-serif" w:cs="sans-serif"/>
                <w:b/>
                <w:bCs/>
                <w:color w:val="000000"/>
                <w:sz w:val="17"/>
                <w:szCs w:val="17"/>
              </w:rPr>
              <w:t>TOTAL NIKE, INC.</w:t>
            </w:r>
          </w:p>
        </w:tc>
      </w:tr>
      <w:tr w:rsidR="008A3BAC" w14:paraId="26E9D59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87"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8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590" w14:textId="77777777" w:rsidR="008A3BAC" w:rsidRDefault="008A3BAC">
            <w:pPr>
              <w:rPr>
                <w:rFonts w:ascii="宋体"/>
              </w:rPr>
            </w:pPr>
          </w:p>
        </w:tc>
      </w:tr>
      <w:tr w:rsidR="008A3BAC" w14:paraId="26E9D5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92"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6E9D59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94" w14:textId="77777777" w:rsidR="008A3BAC" w:rsidRDefault="005C75B9">
            <w:pPr>
              <w:jc w:val="right"/>
              <w:textAlignment w:val="bottom"/>
            </w:pPr>
            <w:r>
              <w:rPr>
                <w:rFonts w:ascii="Arial" w:eastAsia="宋体" w:hAnsi="Arial" w:cs="Arial"/>
                <w:color w:val="000000"/>
                <w:sz w:val="17"/>
                <w:szCs w:val="17"/>
              </w:rPr>
              <w:t>7,851 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95"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9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97" w14:textId="77777777" w:rsidR="008A3BAC" w:rsidRDefault="005C75B9">
            <w:pPr>
              <w:jc w:val="right"/>
              <w:textAlignment w:val="bottom"/>
            </w:pPr>
            <w:r>
              <w:rPr>
                <w:rFonts w:ascii="Arial" w:eastAsia="宋体" w:hAnsi="Arial" w:cs="Arial"/>
                <w:color w:val="000000"/>
                <w:sz w:val="17"/>
                <w:szCs w:val="17"/>
              </w:rPr>
              <w:t>5,139 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9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9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9A" w14:textId="77777777" w:rsidR="008A3BAC" w:rsidRDefault="005C75B9">
            <w:pPr>
              <w:jc w:val="right"/>
              <w:textAlignment w:val="bottom"/>
            </w:pPr>
            <w:r>
              <w:rPr>
                <w:rFonts w:ascii="Arial" w:eastAsia="宋体" w:hAnsi="Arial" w:cs="Arial"/>
                <w:color w:val="000000"/>
                <w:sz w:val="17"/>
                <w:szCs w:val="17"/>
              </w:rPr>
              <w:t>4,432 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9B"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9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9D" w14:textId="77777777" w:rsidR="008A3BAC" w:rsidRDefault="005C75B9">
            <w:pPr>
              <w:jc w:val="right"/>
              <w:textAlignment w:val="bottom"/>
            </w:pPr>
            <w:r>
              <w:rPr>
                <w:rFonts w:ascii="Arial" w:eastAsia="宋体" w:hAnsi="Arial" w:cs="Arial"/>
                <w:color w:val="000000"/>
                <w:sz w:val="17"/>
                <w:szCs w:val="17"/>
              </w:rPr>
              <w:t>2,652 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9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9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A0"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A1"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A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A3" w14:textId="77777777" w:rsidR="008A3BAC" w:rsidRDefault="005C75B9">
            <w:pPr>
              <w:jc w:val="right"/>
              <w:textAlignment w:val="bottom"/>
            </w:pPr>
            <w:r>
              <w:rPr>
                <w:rFonts w:ascii="Arial" w:eastAsia="宋体" w:hAnsi="Arial" w:cs="Arial"/>
                <w:color w:val="000000"/>
                <w:sz w:val="17"/>
                <w:szCs w:val="17"/>
              </w:rPr>
              <w:t>20,074 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A4"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A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A6" w14:textId="77777777" w:rsidR="008A3BAC" w:rsidRDefault="005C75B9">
            <w:pPr>
              <w:jc w:val="right"/>
              <w:textAlignment w:val="bottom"/>
            </w:pPr>
            <w:r>
              <w:rPr>
                <w:rFonts w:ascii="Arial" w:eastAsia="宋体" w:hAnsi="Arial" w:cs="Arial"/>
                <w:color w:val="000000"/>
                <w:sz w:val="17"/>
                <w:szCs w:val="17"/>
              </w:rPr>
              <w:t>1,442 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A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A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A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A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5A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5AC" w14:textId="77777777" w:rsidR="008A3BAC" w:rsidRDefault="005C75B9">
            <w:pPr>
              <w:jc w:val="right"/>
              <w:textAlignment w:val="bottom"/>
            </w:pPr>
            <w:r>
              <w:rPr>
                <w:rFonts w:ascii="Arial" w:eastAsia="宋体" w:hAnsi="Arial" w:cs="Arial"/>
                <w:color w:val="000000"/>
                <w:sz w:val="17"/>
                <w:szCs w:val="17"/>
              </w:rPr>
              <w:t>21,516 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AD" w14:textId="77777777" w:rsidR="008A3BAC" w:rsidRDefault="008A3BAC">
            <w:pPr>
              <w:jc w:val="right"/>
              <w:rPr>
                <w:rFonts w:ascii="宋体"/>
              </w:rPr>
            </w:pPr>
          </w:p>
        </w:tc>
      </w:tr>
      <w:tr w:rsidR="008A3BAC" w14:paraId="26E9D5C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AF"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0" w14:textId="77777777" w:rsidR="008A3BAC" w:rsidRDefault="005C75B9">
            <w:pPr>
              <w:jc w:val="right"/>
              <w:textAlignment w:val="bottom"/>
            </w:pPr>
            <w:r>
              <w:rPr>
                <w:rFonts w:ascii="Arial" w:eastAsia="宋体" w:hAnsi="Arial" w:cs="Arial"/>
                <w:color w:val="000000"/>
                <w:sz w:val="17"/>
                <w:szCs w:val="17"/>
              </w:rPr>
              <w:t>3,580 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2" w14:textId="77777777" w:rsidR="008A3BAC" w:rsidRDefault="005C75B9">
            <w:pPr>
              <w:jc w:val="right"/>
              <w:textAlignment w:val="bottom"/>
            </w:pPr>
            <w:r>
              <w:rPr>
                <w:rFonts w:ascii="Arial" w:eastAsia="宋体" w:hAnsi="Arial" w:cs="Arial"/>
                <w:color w:val="000000"/>
                <w:sz w:val="17"/>
                <w:szCs w:val="17"/>
              </w:rPr>
              <w:t>2,973 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4" w14:textId="77777777" w:rsidR="008A3BAC" w:rsidRDefault="005C75B9">
            <w:pPr>
              <w:jc w:val="right"/>
              <w:textAlignment w:val="bottom"/>
            </w:pPr>
            <w:r>
              <w:rPr>
                <w:rFonts w:ascii="Arial" w:eastAsia="宋体" w:hAnsi="Arial" w:cs="Arial"/>
                <w:color w:val="000000"/>
                <w:sz w:val="17"/>
                <w:szCs w:val="17"/>
              </w:rPr>
              <w:t>1,775 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6" w14:textId="77777777" w:rsidR="008A3BAC" w:rsidRDefault="005C75B9">
            <w:pPr>
              <w:jc w:val="right"/>
              <w:textAlignment w:val="bottom"/>
            </w:pPr>
            <w:r>
              <w:rPr>
                <w:rFonts w:ascii="Arial" w:eastAsia="宋体" w:hAnsi="Arial" w:cs="Arial"/>
                <w:color w:val="000000"/>
                <w:sz w:val="17"/>
                <w:szCs w:val="17"/>
              </w:rPr>
              <w:t>1,098 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A" w14:textId="77777777" w:rsidR="008A3BAC" w:rsidRDefault="005C75B9">
            <w:pPr>
              <w:jc w:val="right"/>
              <w:textAlignment w:val="bottom"/>
            </w:pPr>
            <w:r>
              <w:rPr>
                <w:rFonts w:ascii="Arial" w:eastAsia="宋体" w:hAnsi="Arial" w:cs="Arial"/>
                <w:color w:val="000000"/>
                <w:sz w:val="17"/>
                <w:szCs w:val="17"/>
              </w:rPr>
              <w:t>9,426 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C" w14:textId="77777777" w:rsidR="008A3BAC" w:rsidRDefault="005C75B9">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B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B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0" w14:textId="77777777" w:rsidR="008A3BAC" w:rsidRDefault="005C75B9">
            <w:pPr>
              <w:jc w:val="right"/>
              <w:textAlignment w:val="bottom"/>
            </w:pPr>
            <w:r>
              <w:rPr>
                <w:rFonts w:ascii="Arial" w:eastAsia="宋体" w:hAnsi="Arial" w:cs="Arial"/>
                <w:color w:val="000000"/>
                <w:sz w:val="17"/>
                <w:szCs w:val="17"/>
              </w:rPr>
              <w:t>9,508 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1" w14:textId="77777777" w:rsidR="008A3BAC" w:rsidRDefault="008A3BAC">
            <w:pPr>
              <w:jc w:val="right"/>
              <w:rPr>
                <w:rFonts w:ascii="宋体"/>
              </w:rPr>
            </w:pPr>
          </w:p>
        </w:tc>
      </w:tr>
      <w:tr w:rsidR="008A3BAC" w14:paraId="26E9D5D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C3"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4" w14:textId="77777777" w:rsidR="008A3BAC" w:rsidRDefault="005C75B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6" w14:textId="77777777" w:rsidR="008A3BAC" w:rsidRDefault="005C75B9">
            <w:pPr>
              <w:jc w:val="right"/>
              <w:textAlignment w:val="bottom"/>
            </w:pPr>
            <w:r>
              <w:rPr>
                <w:rFonts w:ascii="Arial" w:eastAsia="宋体" w:hAnsi="Arial" w:cs="Arial"/>
                <w:color w:val="000000"/>
                <w:sz w:val="17"/>
                <w:szCs w:val="17"/>
              </w:rPr>
              <w:t>365 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8" w14:textId="77777777" w:rsidR="008A3BAC" w:rsidRDefault="005C75B9">
            <w:pPr>
              <w:jc w:val="right"/>
              <w:textAlignment w:val="bottom"/>
            </w:pPr>
            <w:r>
              <w:rPr>
                <w:rFonts w:ascii="Arial" w:eastAsia="宋体" w:hAnsi="Arial" w:cs="Arial"/>
                <w:color w:val="000000"/>
                <w:sz w:val="17"/>
                <w:szCs w:val="17"/>
              </w:rPr>
              <w:t>150 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A" w14:textId="77777777" w:rsidR="008A3BAC" w:rsidRDefault="005C75B9">
            <w:pPr>
              <w:jc w:val="right"/>
              <w:textAlignment w:val="bottom"/>
            </w:pPr>
            <w:r>
              <w:rPr>
                <w:rFonts w:ascii="Arial" w:eastAsia="宋体" w:hAnsi="Arial" w:cs="Arial"/>
                <w:color w:val="000000"/>
                <w:sz w:val="17"/>
                <w:szCs w:val="17"/>
              </w:rPr>
              <w:t>135 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CE" w14:textId="77777777" w:rsidR="008A3BAC" w:rsidRDefault="005C75B9">
            <w:pPr>
              <w:jc w:val="right"/>
              <w:textAlignment w:val="bottom"/>
            </w:pPr>
            <w:r>
              <w:rPr>
                <w:rFonts w:ascii="Arial" w:eastAsia="宋体" w:hAnsi="Arial" w:cs="Arial"/>
                <w:color w:val="000000"/>
                <w:sz w:val="17"/>
                <w:szCs w:val="17"/>
              </w:rPr>
              <w:t>1,014 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C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0"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2"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4" w14:textId="77777777" w:rsidR="008A3BAC" w:rsidRDefault="005C75B9">
            <w:pPr>
              <w:jc w:val="right"/>
              <w:textAlignment w:val="bottom"/>
            </w:pPr>
            <w:r>
              <w:rPr>
                <w:rFonts w:ascii="Arial" w:eastAsia="宋体" w:hAnsi="Arial" w:cs="Arial"/>
                <w:color w:val="000000"/>
                <w:sz w:val="17"/>
                <w:szCs w:val="17"/>
              </w:rPr>
              <w:t>1,036 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5" w14:textId="77777777" w:rsidR="008A3BAC" w:rsidRDefault="008A3BAC">
            <w:pPr>
              <w:jc w:val="right"/>
              <w:rPr>
                <w:rFonts w:ascii="宋体"/>
              </w:rPr>
            </w:pPr>
          </w:p>
        </w:tc>
      </w:tr>
      <w:tr w:rsidR="008A3BAC" w14:paraId="26E9D5E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5D7"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DE"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D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E0"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E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E2"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E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E4" w14:textId="77777777" w:rsidR="008A3BAC" w:rsidRDefault="005C75B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E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E6"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E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5E8" w14:textId="77777777" w:rsidR="008A3BAC" w:rsidRDefault="005C75B9">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5E9" w14:textId="77777777" w:rsidR="008A3BAC" w:rsidRDefault="008A3BAC">
            <w:pPr>
              <w:jc w:val="right"/>
              <w:rPr>
                <w:rFonts w:ascii="宋体"/>
              </w:rPr>
            </w:pPr>
          </w:p>
        </w:tc>
      </w:tr>
      <w:tr w:rsidR="008A3BAC" w14:paraId="26E9D6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5EB"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6E9D5E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ED" w14:textId="77777777" w:rsidR="008A3BAC" w:rsidRDefault="005C75B9">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E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E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0" w14:textId="77777777" w:rsidR="008A3BAC" w:rsidRDefault="005C75B9">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F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F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3" w14:textId="77777777" w:rsidR="008A3BAC" w:rsidRDefault="005C75B9">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F4"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F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6" w14:textId="77777777" w:rsidR="008A3BAC" w:rsidRDefault="005C75B9">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F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F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9" w14:textId="77777777" w:rsidR="008A3BAC" w:rsidRDefault="005C75B9">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F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F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C" w14:textId="77777777" w:rsidR="008A3BAC" w:rsidRDefault="005C75B9">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5F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5F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5FF" w14:textId="77777777" w:rsidR="008A3BAC" w:rsidRDefault="005C75B9">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60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60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602" w14:textId="77777777" w:rsidR="008A3BAC" w:rsidRDefault="005C75B9">
            <w:pPr>
              <w:jc w:val="right"/>
              <w:textAlignment w:val="bottom"/>
            </w:pPr>
            <w:r>
              <w:rPr>
                <w:rFonts w:ascii="Arial" w:eastAsia="宋体" w:hAnsi="Arial" w:cs="Arial"/>
                <w:b/>
                <w:bCs/>
                <w:color w:val="000000"/>
                <w:sz w:val="17"/>
                <w:szCs w:val="17"/>
              </w:rPr>
              <w:t>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60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60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605" w14:textId="77777777" w:rsidR="008A3BAC" w:rsidRDefault="005C75B9">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606" w14:textId="77777777" w:rsidR="008A3BAC" w:rsidRDefault="008A3BAC">
            <w:pPr>
              <w:jc w:val="right"/>
              <w:rPr>
                <w:rFonts w:ascii="宋体"/>
              </w:rPr>
            </w:pPr>
          </w:p>
        </w:tc>
      </w:tr>
      <w:tr w:rsidR="008A3BAC" w14:paraId="26E9D6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08"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0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1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11" w14:textId="77777777" w:rsidR="008A3BAC" w:rsidRDefault="008A3BAC">
            <w:pPr>
              <w:rPr>
                <w:rFonts w:ascii="宋体"/>
              </w:rPr>
            </w:pPr>
          </w:p>
        </w:tc>
      </w:tr>
      <w:tr w:rsidR="008A3BAC" w14:paraId="26E9D62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13"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6E9D61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15" w14:textId="77777777" w:rsidR="008A3BAC" w:rsidRDefault="005C75B9">
            <w:pPr>
              <w:jc w:val="right"/>
              <w:textAlignment w:val="bottom"/>
            </w:pPr>
            <w:r>
              <w:rPr>
                <w:rFonts w:ascii="Arial" w:eastAsia="宋体" w:hAnsi="Arial" w:cs="Arial"/>
                <w:color w:val="000000"/>
                <w:sz w:val="17"/>
                <w:szCs w:val="17"/>
              </w:rPr>
              <w:t>6,967 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16"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1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18" w14:textId="77777777" w:rsidR="008A3BAC" w:rsidRDefault="005C75B9">
            <w:pPr>
              <w:jc w:val="right"/>
              <w:textAlignment w:val="bottom"/>
            </w:pPr>
            <w:r>
              <w:rPr>
                <w:rFonts w:ascii="Arial" w:eastAsia="宋体" w:hAnsi="Arial" w:cs="Arial"/>
                <w:color w:val="000000"/>
                <w:sz w:val="17"/>
                <w:szCs w:val="17"/>
              </w:rPr>
              <w:t>5,763 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1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1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1B" w14:textId="77777777" w:rsidR="008A3BAC" w:rsidRDefault="005C75B9">
            <w:pPr>
              <w:jc w:val="right"/>
              <w:textAlignment w:val="bottom"/>
            </w:pPr>
            <w:r>
              <w:rPr>
                <w:rFonts w:ascii="Arial" w:eastAsia="宋体" w:hAnsi="Arial" w:cs="Arial"/>
                <w:color w:val="000000"/>
                <w:sz w:val="17"/>
                <w:szCs w:val="17"/>
              </w:rPr>
              <w:t>3,392 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1C"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1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1E" w14:textId="77777777" w:rsidR="008A3BAC" w:rsidRDefault="005C75B9">
            <w:pPr>
              <w:jc w:val="right"/>
              <w:textAlignment w:val="bottom"/>
            </w:pPr>
            <w:r>
              <w:rPr>
                <w:rFonts w:ascii="Arial" w:eastAsia="宋体" w:hAnsi="Arial" w:cs="Arial"/>
                <w:color w:val="000000"/>
                <w:sz w:val="17"/>
                <w:szCs w:val="17"/>
              </w:rPr>
              <w:t>2,479 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1F"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2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2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22"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2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24" w14:textId="77777777" w:rsidR="008A3BAC" w:rsidRDefault="005C75B9">
            <w:pPr>
              <w:jc w:val="right"/>
              <w:textAlignment w:val="bottom"/>
            </w:pPr>
            <w:r>
              <w:rPr>
                <w:rFonts w:ascii="Arial" w:eastAsia="宋体" w:hAnsi="Arial" w:cs="Arial"/>
                <w:color w:val="000000"/>
                <w:sz w:val="17"/>
                <w:szCs w:val="17"/>
              </w:rPr>
              <w:t>18,601 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25"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2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27" w14:textId="77777777" w:rsidR="008A3BAC" w:rsidRDefault="005C75B9">
            <w:pPr>
              <w:jc w:val="right"/>
              <w:textAlignment w:val="bottom"/>
            </w:pPr>
            <w:r>
              <w:rPr>
                <w:rFonts w:ascii="Arial" w:eastAsia="宋体" w:hAnsi="Arial" w:cs="Arial"/>
                <w:color w:val="000000"/>
                <w:sz w:val="17"/>
                <w:szCs w:val="17"/>
              </w:rPr>
              <w:t>998 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2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2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2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2B"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2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2D" w14:textId="77777777" w:rsidR="008A3BAC" w:rsidRDefault="005C75B9">
            <w:pPr>
              <w:jc w:val="right"/>
              <w:textAlignment w:val="bottom"/>
            </w:pPr>
            <w:r>
              <w:rPr>
                <w:rFonts w:ascii="Arial" w:eastAsia="宋体" w:hAnsi="Arial" w:cs="Arial"/>
                <w:color w:val="000000"/>
                <w:sz w:val="17"/>
                <w:szCs w:val="17"/>
              </w:rPr>
              <w:t>19,599 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2E" w14:textId="77777777" w:rsidR="008A3BAC" w:rsidRDefault="008A3BAC">
            <w:pPr>
              <w:jc w:val="right"/>
              <w:rPr>
                <w:rFonts w:ascii="宋体"/>
              </w:rPr>
            </w:pPr>
          </w:p>
        </w:tc>
      </w:tr>
      <w:tr w:rsidR="008A3BAC" w14:paraId="26E9D64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30" w14:textId="77777777" w:rsidR="008A3BAC" w:rsidRDefault="005C75B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1" w14:textId="77777777" w:rsidR="008A3BAC" w:rsidRDefault="005C75B9">
            <w:pPr>
              <w:jc w:val="right"/>
              <w:textAlignment w:val="bottom"/>
            </w:pPr>
            <w:r>
              <w:rPr>
                <w:rFonts w:ascii="Arial" w:eastAsia="宋体" w:hAnsi="Arial" w:cs="Arial"/>
                <w:color w:val="000000"/>
                <w:sz w:val="17"/>
                <w:szCs w:val="17"/>
              </w:rPr>
              <w:t>4,828 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3" w14:textId="77777777" w:rsidR="008A3BAC" w:rsidRDefault="005C75B9">
            <w:pPr>
              <w:jc w:val="right"/>
              <w:textAlignment w:val="bottom"/>
            </w:pPr>
            <w:r>
              <w:rPr>
                <w:rFonts w:ascii="Arial" w:eastAsia="宋体" w:hAnsi="Arial" w:cs="Arial"/>
                <w:color w:val="000000"/>
                <w:sz w:val="17"/>
                <w:szCs w:val="17"/>
              </w:rPr>
              <w:t>2,714 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5" w14:textId="77777777" w:rsidR="008A3BAC" w:rsidRDefault="005C75B9">
            <w:pPr>
              <w:jc w:val="right"/>
              <w:textAlignment w:val="bottom"/>
            </w:pPr>
            <w:r>
              <w:rPr>
                <w:rFonts w:ascii="Arial" w:eastAsia="宋体" w:hAnsi="Arial" w:cs="Arial"/>
                <w:color w:val="000000"/>
                <w:sz w:val="17"/>
                <w:szCs w:val="17"/>
              </w:rPr>
              <w:t>2,965 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7" w14:textId="77777777" w:rsidR="008A3BAC" w:rsidRDefault="005C75B9">
            <w:pPr>
              <w:jc w:val="right"/>
              <w:textAlignment w:val="bottom"/>
            </w:pPr>
            <w:r>
              <w:rPr>
                <w:rFonts w:ascii="Arial" w:eastAsia="宋体" w:hAnsi="Arial" w:cs="Arial"/>
                <w:color w:val="000000"/>
                <w:sz w:val="17"/>
                <w:szCs w:val="17"/>
              </w:rPr>
              <w:t>1,406 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B" w14:textId="77777777" w:rsidR="008A3BAC" w:rsidRDefault="005C75B9">
            <w:pPr>
              <w:jc w:val="right"/>
              <w:textAlignment w:val="bottom"/>
            </w:pPr>
            <w:r>
              <w:rPr>
                <w:rFonts w:ascii="Arial" w:eastAsia="宋体" w:hAnsi="Arial" w:cs="Arial"/>
                <w:color w:val="000000"/>
                <w:sz w:val="17"/>
                <w:szCs w:val="17"/>
              </w:rPr>
              <w:t>11,913 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D" w14:textId="77777777" w:rsidR="008A3BAC" w:rsidRDefault="005C75B9">
            <w:pPr>
              <w:jc w:val="right"/>
              <w:textAlignment w:val="bottom"/>
            </w:pPr>
            <w:r>
              <w:rPr>
                <w:rFonts w:ascii="Arial" w:eastAsia="宋体" w:hAnsi="Arial" w:cs="Arial"/>
                <w:color w:val="000000"/>
                <w:sz w:val="17"/>
                <w:szCs w:val="17"/>
              </w:rPr>
              <w:t>548 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3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3F"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1" w14:textId="77777777" w:rsidR="008A3BAC" w:rsidRDefault="005C75B9">
            <w:pPr>
              <w:jc w:val="right"/>
              <w:textAlignment w:val="bottom"/>
            </w:pPr>
            <w:r>
              <w:rPr>
                <w:rFonts w:ascii="Arial" w:eastAsia="宋体" w:hAnsi="Arial" w:cs="Arial"/>
                <w:color w:val="000000"/>
                <w:sz w:val="17"/>
                <w:szCs w:val="17"/>
              </w:rPr>
              <w:t>12,461 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2" w14:textId="77777777" w:rsidR="008A3BAC" w:rsidRDefault="008A3BAC">
            <w:pPr>
              <w:jc w:val="right"/>
              <w:rPr>
                <w:rFonts w:ascii="宋体"/>
              </w:rPr>
            </w:pPr>
          </w:p>
        </w:tc>
      </w:tr>
      <w:tr w:rsidR="008A3BAC" w14:paraId="26E9D65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44" w14:textId="77777777" w:rsidR="008A3BAC" w:rsidRDefault="005C75B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7"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9"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B"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D"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4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4F"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5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51" w14:textId="77777777" w:rsidR="008A3BAC" w:rsidRDefault="005C75B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5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53"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5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55" w14:textId="77777777" w:rsidR="008A3BAC" w:rsidRDefault="005C75B9">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56" w14:textId="77777777" w:rsidR="008A3BAC" w:rsidRDefault="008A3BAC">
            <w:pPr>
              <w:jc w:val="right"/>
              <w:rPr>
                <w:rFonts w:ascii="宋体"/>
              </w:rPr>
            </w:pPr>
          </w:p>
        </w:tc>
      </w:tr>
      <w:tr w:rsidR="008A3BAC" w14:paraId="26E9D67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658"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5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5A" w14:textId="77777777" w:rsidR="008A3BAC" w:rsidRDefault="005C75B9">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5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5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5D" w14:textId="77777777" w:rsidR="008A3BAC" w:rsidRDefault="005C75B9">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5E"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5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0" w14:textId="77777777" w:rsidR="008A3BAC" w:rsidRDefault="005C75B9">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6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6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3" w14:textId="77777777" w:rsidR="008A3BAC" w:rsidRDefault="005C75B9">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64"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6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6" w14:textId="77777777" w:rsidR="008A3BAC" w:rsidRDefault="005C75B9">
            <w:pPr>
              <w:jc w:val="right"/>
              <w:textAlignment w:val="bottom"/>
            </w:pPr>
            <w:r>
              <w:rPr>
                <w:rFonts w:ascii="Arial" w:eastAsia="宋体" w:hAnsi="Arial" w:cs="Arial"/>
                <w:b/>
                <w:bCs/>
                <w:color w:val="000000"/>
                <w:sz w:val="17"/>
                <w:szCs w:val="17"/>
              </w:rPr>
              <w:t>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6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6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9" w14:textId="77777777" w:rsidR="008A3BAC" w:rsidRDefault="005C75B9">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6A"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6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C" w14:textId="77777777" w:rsidR="008A3BAC" w:rsidRDefault="005C75B9">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6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6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6F" w14:textId="77777777" w:rsidR="008A3BAC" w:rsidRDefault="005C75B9">
            <w:pPr>
              <w:jc w:val="right"/>
              <w:textAlignment w:val="bottom"/>
            </w:pPr>
            <w:r>
              <w:rPr>
                <w:rFonts w:ascii="Arial" w:eastAsia="宋体" w:hAnsi="Arial" w:cs="Arial"/>
                <w:b/>
                <w:bCs/>
                <w:color w:val="000000"/>
                <w:sz w:val="17"/>
                <w:szCs w:val="17"/>
              </w:rPr>
              <w:t>53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7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67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672" w14:textId="77777777" w:rsidR="008A3BAC" w:rsidRDefault="005C75B9">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673" w14:textId="77777777" w:rsidR="008A3BAC" w:rsidRDefault="008A3BAC">
            <w:pPr>
              <w:jc w:val="right"/>
              <w:rPr>
                <w:rFonts w:ascii="宋体"/>
              </w:rPr>
            </w:pPr>
          </w:p>
        </w:tc>
      </w:tr>
    </w:tbl>
    <w:p w14:paraId="26E9D675" w14:textId="77777777" w:rsidR="008A3BAC" w:rsidRDefault="005C75B9">
      <w:pPr>
        <w:spacing w:before="120" w:after="120"/>
      </w:pPr>
      <w:r>
        <w:rPr>
          <w:rFonts w:ascii="Arial" w:eastAsia="宋体" w:hAnsi="Arial" w:cs="Arial"/>
          <w:color w:val="000000"/>
          <w:sz w:val="17"/>
          <w:szCs w:val="17"/>
        </w:rPr>
        <w:t>For the three and nine months ended February 28, 2022 and 2021, Global Brand Divisions revenues included NIKE Brand licensing and other miscellaneous revenues that a</w:t>
      </w:r>
      <w:r>
        <w:rPr>
          <w:rFonts w:ascii="Arial" w:eastAsia="宋体" w:hAnsi="Arial" w:cs="Arial"/>
          <w:color w:val="000000"/>
          <w:sz w:val="17"/>
          <w:szCs w:val="17"/>
        </w:rPr>
        <w:t>re not part of a geographic operating segment. Converse Other revenues were primarily attributable to licensing businesses. Corporate revenues primarily consisted of foreign currency hedge gains and losses related to revenues generated by entities within t</w:t>
      </w:r>
      <w:r>
        <w:rPr>
          <w:rFonts w:ascii="Arial" w:eastAsia="宋体" w:hAnsi="Arial" w:cs="Arial"/>
          <w:color w:val="000000"/>
          <w:sz w:val="17"/>
          <w:szCs w:val="17"/>
        </w:rPr>
        <w:t>he NIKE Brand geographic operating segments and Converse, but managed through the Company's central foreign exchange risk management program.</w:t>
      </w:r>
    </w:p>
    <w:p w14:paraId="26E9D676" w14:textId="77777777" w:rsidR="008A3BAC" w:rsidRDefault="005C75B9">
      <w:pPr>
        <w:spacing w:before="120" w:after="120"/>
      </w:pPr>
      <w:r>
        <w:rPr>
          <w:rFonts w:ascii="Arial" w:eastAsia="宋体" w:hAnsi="Arial" w:cs="Arial"/>
          <w:color w:val="000000"/>
          <w:sz w:val="17"/>
          <w:szCs w:val="17"/>
        </w:rPr>
        <w:t>As of February 28, 2022 and May 31, 2021, the Company did not have any contract assets and had an immaterial amoun</w:t>
      </w:r>
      <w:r>
        <w:rPr>
          <w:rFonts w:ascii="Arial" w:eastAsia="宋体" w:hAnsi="Arial" w:cs="Arial"/>
          <w:color w:val="000000"/>
          <w:sz w:val="17"/>
          <w:szCs w:val="17"/>
        </w:rPr>
        <w:t>t of contract liabilities recorded in Accrued liabilities on the Unaudited Condensed Consolidated Balance Sheets.</w:t>
      </w:r>
    </w:p>
    <w:p w14:paraId="26E9D677" w14:textId="77777777" w:rsidR="008A3BAC" w:rsidRDefault="005C75B9">
      <w:pPr>
        <w:spacing w:before="120" w:after="120"/>
        <w:jc w:val="right"/>
      </w:pPr>
      <w:r>
        <w:rPr>
          <w:rFonts w:ascii="Arial" w:eastAsia="宋体" w:hAnsi="Arial" w:cs="Arial"/>
          <w:color w:val="E87722"/>
          <w:sz w:val="17"/>
          <w:szCs w:val="17"/>
        </w:rPr>
        <w:t>21</w:t>
      </w:r>
    </w:p>
    <w:p w14:paraId="26E9D678" w14:textId="77777777" w:rsidR="008A3BAC" w:rsidRDefault="005C75B9">
      <w:r>
        <w:pict w14:anchorId="26E9E85C">
          <v:rect id="_x0000_i1047" style="width:415.3pt;height:1.5pt" o:hralign="center" o:hrstd="t" o:hr="t" fillcolor="#a0a0a0" stroked="f"/>
        </w:pict>
      </w:r>
    </w:p>
    <w:p w14:paraId="26E9D679" w14:textId="77777777" w:rsidR="008A3BAC" w:rsidRDefault="008A3BAC"/>
    <w:p w14:paraId="26E9D67A" w14:textId="77777777" w:rsidR="008A3BAC" w:rsidRDefault="005C75B9">
      <w:hyperlink r:id="rId92" w:anchor="i46aba51c6a804f42b3595948c57d2023_7" w:history="1">
        <w:r>
          <w:rPr>
            <w:rStyle w:val="a5"/>
            <w:rFonts w:ascii="sans-serif" w:eastAsia="sans-serif" w:hAnsi="sans-serif" w:cs="sans-serif"/>
            <w:sz w:val="17"/>
            <w:szCs w:val="17"/>
          </w:rPr>
          <w:t>Table of Contents</w:t>
        </w:r>
      </w:hyperlink>
    </w:p>
    <w:p w14:paraId="26E9D67B" w14:textId="77777777" w:rsidR="008A3BAC" w:rsidRDefault="008A3BAC"/>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D67F" w14:textId="77777777">
        <w:tc>
          <w:tcPr>
            <w:tcW w:w="50" w:type="pct"/>
            <w:shd w:val="clear" w:color="auto" w:fill="auto"/>
            <w:vAlign w:val="bottom"/>
          </w:tcPr>
          <w:p w14:paraId="26E9D67C" w14:textId="77777777" w:rsidR="008A3BAC" w:rsidRDefault="008A3BAC">
            <w:pPr>
              <w:rPr>
                <w:rFonts w:ascii="宋体"/>
              </w:rPr>
            </w:pPr>
          </w:p>
        </w:tc>
        <w:tc>
          <w:tcPr>
            <w:tcW w:w="4945" w:type="pct"/>
            <w:shd w:val="clear" w:color="auto" w:fill="auto"/>
            <w:vAlign w:val="bottom"/>
          </w:tcPr>
          <w:p w14:paraId="26E9D67D" w14:textId="77777777" w:rsidR="008A3BAC" w:rsidRDefault="008A3BAC">
            <w:pPr>
              <w:rPr>
                <w:rFonts w:ascii="宋体"/>
              </w:rPr>
            </w:pPr>
          </w:p>
        </w:tc>
        <w:tc>
          <w:tcPr>
            <w:tcW w:w="5" w:type="pct"/>
            <w:shd w:val="clear" w:color="auto" w:fill="auto"/>
            <w:vAlign w:val="bottom"/>
          </w:tcPr>
          <w:p w14:paraId="26E9D67E" w14:textId="77777777" w:rsidR="008A3BAC" w:rsidRDefault="008A3BAC">
            <w:pPr>
              <w:rPr>
                <w:rFonts w:ascii="宋体"/>
              </w:rPr>
            </w:pPr>
          </w:p>
        </w:tc>
      </w:tr>
      <w:tr w:rsidR="008A3BAC" w14:paraId="26E9D681" w14:textId="77777777">
        <w:tc>
          <w:tcPr>
            <w:tcW w:w="0" w:type="auto"/>
            <w:gridSpan w:val="3"/>
            <w:shd w:val="clear" w:color="auto" w:fill="auto"/>
            <w:tcMar>
              <w:top w:w="40" w:type="dxa"/>
              <w:left w:w="20" w:type="dxa"/>
              <w:bottom w:w="40" w:type="dxa"/>
              <w:right w:w="20" w:type="dxa"/>
            </w:tcMar>
            <w:vAlign w:val="bottom"/>
          </w:tcPr>
          <w:p w14:paraId="26E9D680" w14:textId="77777777" w:rsidR="008A3BAC" w:rsidRDefault="005C75B9">
            <w:pPr>
              <w:textAlignment w:val="bottom"/>
            </w:pPr>
            <w:r>
              <w:rPr>
                <w:rFonts w:ascii="sans-serif" w:eastAsia="sans-serif" w:hAnsi="sans-serif" w:cs="sans-serif"/>
                <w:b/>
                <w:bCs/>
                <w:color w:val="E87722"/>
                <w:sz w:val="36"/>
                <w:szCs w:val="36"/>
              </w:rPr>
              <w:t>NOTE 12 — OPERATING SEGMENTS</w:t>
            </w:r>
          </w:p>
        </w:tc>
      </w:tr>
    </w:tbl>
    <w:p w14:paraId="26E9D682" w14:textId="77777777" w:rsidR="008A3BAC" w:rsidRDefault="005C75B9">
      <w:pPr>
        <w:spacing w:before="120" w:after="120"/>
      </w:pPr>
      <w:r>
        <w:rPr>
          <w:rFonts w:ascii="Arial" w:eastAsia="宋体" w:hAnsi="Arial" w:cs="Arial"/>
          <w:color w:val="000000"/>
          <w:sz w:val="17"/>
          <w:szCs w:val="17"/>
        </w:rPr>
        <w:t xml:space="preserve">The Company's operating segments are </w:t>
      </w:r>
      <w:r>
        <w:rPr>
          <w:rFonts w:ascii="Arial" w:eastAsia="宋体" w:hAnsi="Arial" w:cs="Arial"/>
          <w:color w:val="000000"/>
          <w:sz w:val="17"/>
          <w:szCs w:val="17"/>
        </w:rPr>
        <w:t>evidence of the structure of the Company's internal organization. The NIKE Brand segments are defined by geographic regions for operations participating in NIKE Brand sales activity.</w:t>
      </w:r>
    </w:p>
    <w:p w14:paraId="26E9D683" w14:textId="77777777" w:rsidR="008A3BAC" w:rsidRDefault="005C75B9">
      <w:pPr>
        <w:spacing w:before="120" w:after="120"/>
      </w:pPr>
      <w:r>
        <w:rPr>
          <w:rFonts w:ascii="Arial" w:eastAsia="宋体" w:hAnsi="Arial" w:cs="Arial"/>
          <w:color w:val="000000"/>
          <w:sz w:val="17"/>
          <w:szCs w:val="17"/>
        </w:rPr>
        <w:t>Each NIKE Brand geographic segment operates predominantly in one industry</w:t>
      </w:r>
      <w:r>
        <w:rPr>
          <w:rFonts w:ascii="Arial" w:eastAsia="宋体" w:hAnsi="Arial" w:cs="Arial"/>
          <w:color w:val="000000"/>
          <w:sz w:val="17"/>
          <w:szCs w:val="17"/>
        </w:rPr>
        <w:t>: the design, development, marketing and selling of athletic footwear, apparel and equipment. The Company's reportable operating segments for the NIKE Brand are: North America; Europe, Middle East &amp; Africa (EMEA); Greater China; and Asia Pacific &amp; Latin Am</w:t>
      </w:r>
      <w:r>
        <w:rPr>
          <w:rFonts w:ascii="Arial" w:eastAsia="宋体" w:hAnsi="Arial" w:cs="Arial"/>
          <w:color w:val="000000"/>
          <w:sz w:val="17"/>
          <w:szCs w:val="17"/>
        </w:rPr>
        <w:t xml:space="preserve">erica (APLA), and include results for the NIKE and Jordan brands. </w:t>
      </w:r>
    </w:p>
    <w:p w14:paraId="26E9D684" w14:textId="77777777" w:rsidR="008A3BAC" w:rsidRDefault="005C75B9">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in one industry: the</w:t>
      </w:r>
      <w:r>
        <w:rPr>
          <w:rFonts w:ascii="Arial" w:eastAsia="宋体" w:hAnsi="Arial" w:cs="Arial"/>
          <w:color w:val="000000"/>
          <w:sz w:val="17"/>
          <w:szCs w:val="17"/>
        </w:rPr>
        <w:t xml:space="preserve"> design, marketing, licensing and selling of athletic lifestyle sneakers, apparel and accessories.</w:t>
      </w:r>
    </w:p>
    <w:p w14:paraId="26E9D685" w14:textId="77777777" w:rsidR="008A3BAC" w:rsidRDefault="005C75B9">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Divisions</w:t>
      </w:r>
      <w:r>
        <w:rPr>
          <w:rFonts w:ascii="Arial" w:eastAsia="宋体" w:hAnsi="Arial" w:cs="Arial"/>
          <w:color w:val="000000"/>
          <w:sz w:val="17"/>
          <w:szCs w:val="17"/>
        </w:rPr>
        <w:t xml:space="preserve"> revenues include NIKE Brand licensing and other miscellaneous revenues that are not part of a geographic operating segment. Global Brand Divisions costs represent demand creation and operating overhead expense that include product creation and design expe</w:t>
      </w:r>
      <w:r>
        <w:rPr>
          <w:rFonts w:ascii="Arial" w:eastAsia="宋体" w:hAnsi="Arial" w:cs="Arial"/>
          <w:color w:val="000000"/>
          <w:sz w:val="17"/>
          <w:szCs w:val="17"/>
        </w:rPr>
        <w:t xml:space="preserve">nses centrally managed for the NIKE Brand, as well as costs associated with NIKE Direct global digital operations and enterprise technology. </w:t>
      </w:r>
    </w:p>
    <w:p w14:paraId="26E9D686" w14:textId="77777777" w:rsidR="008A3BAC" w:rsidRDefault="005C75B9">
      <w:pPr>
        <w:spacing w:before="120" w:after="120"/>
      </w:pPr>
      <w:r>
        <w:rPr>
          <w:rFonts w:ascii="Arial" w:eastAsia="宋体" w:hAnsi="Arial" w:cs="Arial"/>
          <w:color w:val="000000"/>
          <w:sz w:val="17"/>
          <w:szCs w:val="17"/>
        </w:rPr>
        <w:t>Corporate consists primarily of unallocated general and administrative expenses, including expenses associated wit</w:t>
      </w:r>
      <w:r>
        <w:rPr>
          <w:rFonts w:ascii="Arial" w:eastAsia="宋体" w:hAnsi="Arial" w:cs="Arial"/>
          <w:color w:val="000000"/>
          <w:sz w:val="17"/>
          <w:szCs w:val="17"/>
        </w:rPr>
        <w:t>h centrally managed departments; depreciation and amortization related to the Company's headquarters; unallocated insurance, benefit and compensation programs, including stock-based compensation; and certain foreign currency gains and losses, including cer</w:t>
      </w:r>
      <w:r>
        <w:rPr>
          <w:rFonts w:ascii="Arial" w:eastAsia="宋体" w:hAnsi="Arial" w:cs="Arial"/>
          <w:color w:val="000000"/>
          <w:sz w:val="17"/>
          <w:szCs w:val="17"/>
        </w:rPr>
        <w:t>tain hedge gains and losses.</w:t>
      </w:r>
    </w:p>
    <w:p w14:paraId="26E9D687" w14:textId="77777777" w:rsidR="008A3BAC" w:rsidRDefault="005C75B9">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Interest expense (income), net and Inco</w:t>
      </w:r>
      <w:r>
        <w:rPr>
          <w:rFonts w:ascii="Arial" w:eastAsia="宋体" w:hAnsi="Arial" w:cs="Arial"/>
          <w:color w:val="000000"/>
          <w:sz w:val="17"/>
          <w:szCs w:val="17"/>
        </w:rPr>
        <w:t>me tax expense in the Unaudited Condensed Consolidated Statements of Income.</w:t>
      </w:r>
    </w:p>
    <w:p w14:paraId="26E9D688" w14:textId="77777777" w:rsidR="008A3BAC" w:rsidRDefault="005C75B9">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 each NIKE Brand entity in the C</w:t>
      </w:r>
      <w:r>
        <w:rPr>
          <w:rFonts w:ascii="Arial" w:eastAsia="宋体" w:hAnsi="Arial" w:cs="Arial"/>
          <w:color w:val="000000"/>
          <w:sz w:val="17"/>
          <w:szCs w:val="17"/>
        </w:rPr>
        <w:t>ompany's geographic operating segments and to Converse. These rates are set approximately nine and twelve months in advance of the future selling seasons to which they relate (specifically, for each currency, one standard rate applies to the fall and holid</w:t>
      </w:r>
      <w:r>
        <w:rPr>
          <w:rFonts w:ascii="Arial" w:eastAsia="宋体" w:hAnsi="Arial" w:cs="Arial"/>
          <w:color w:val="000000"/>
          <w:sz w:val="17"/>
          <w:szCs w:val="17"/>
        </w:rPr>
        <w:t>ay selling seasons and one standard rate applies to the spring and summer selling seasons) based on average market spot rates in the calendar month preceding the date they are established. Inventories and Cost of sales for geographic operating segments and</w:t>
      </w:r>
      <w:r>
        <w:rPr>
          <w:rFonts w:ascii="Arial" w:eastAsia="宋体" w:hAnsi="Arial" w:cs="Arial"/>
          <w:color w:val="000000"/>
          <w:sz w:val="17"/>
          <w:szCs w:val="17"/>
        </w:rPr>
        <w:t xml:space="preserve"> Converse reflect the use of these standard rates to record non-functional currency product purchases in the entity's functional currency. Differences between assigned standard foreign currency rates and actual market rates are included in Corporate, toget</w:t>
      </w:r>
      <w:r>
        <w:rPr>
          <w:rFonts w:ascii="Arial" w:eastAsia="宋体" w:hAnsi="Arial" w:cs="Arial"/>
          <w:color w:val="000000"/>
          <w:sz w:val="17"/>
          <w:szCs w:val="17"/>
        </w:rPr>
        <w:t>her with foreign currency hedge gains and losses generated from the Company's centrally managed foreign exchange risk management program and other conversion gains and losses.</w:t>
      </w:r>
    </w:p>
    <w:p w14:paraId="26E9D689" w14:textId="77777777" w:rsidR="008A3BAC" w:rsidRDefault="005C75B9">
      <w:pPr>
        <w:spacing w:before="120" w:after="120"/>
      </w:pPr>
      <w:r>
        <w:rPr>
          <w:rFonts w:ascii="Arial" w:eastAsia="宋体" w:hAnsi="Arial" w:cs="Arial"/>
          <w:color w:val="000000"/>
          <w:sz w:val="17"/>
          <w:szCs w:val="17"/>
        </w:rPr>
        <w:t>Accounts receivable, net, Inventories and Property, plant and equipment, net for</w:t>
      </w:r>
      <w:r>
        <w:rPr>
          <w:rFonts w:ascii="Arial" w:eastAsia="宋体" w:hAnsi="Arial" w:cs="Arial"/>
          <w:color w:val="000000"/>
          <w:sz w:val="17"/>
          <w:szCs w:val="17"/>
        </w:rPr>
        <w:t xml:space="preserve"> operating segments are regularly reviewed by management and are therefore provided below.</w:t>
      </w:r>
    </w:p>
    <w:p w14:paraId="26E9D68A" w14:textId="77777777" w:rsidR="008A3BAC" w:rsidRDefault="005C75B9">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26E9D68B" w14:textId="77777777" w:rsidR="008A3BAC" w:rsidRDefault="005C75B9">
      <w:r>
        <w:pict w14:anchorId="26E9E85D">
          <v:rect id="_x0000_i1048" style="width:415.3pt;height:1.5pt" o:hralign="center" o:hrstd="t" o:hr="t" fillcolor="#a0a0a0" stroked="f"/>
        </w:pict>
      </w:r>
    </w:p>
    <w:p w14:paraId="26E9D68C" w14:textId="77777777" w:rsidR="008A3BAC" w:rsidRDefault="008A3BAC"/>
    <w:p w14:paraId="26E9D68D" w14:textId="77777777" w:rsidR="008A3BAC" w:rsidRDefault="005C75B9">
      <w:hyperlink r:id="rId93" w:anchor="i46aba51c6a804f42b3595948c57d2023_7" w:history="1">
        <w:r>
          <w:rPr>
            <w:rStyle w:val="a5"/>
            <w:rFonts w:ascii="sans-serif" w:eastAsia="sans-serif" w:hAnsi="sans-serif" w:cs="sans-serif"/>
            <w:sz w:val="17"/>
            <w:szCs w:val="17"/>
          </w:rPr>
          <w:t xml:space="preserve">Table of </w:t>
        </w:r>
        <w:r>
          <w:rPr>
            <w:rStyle w:val="a5"/>
            <w:rFonts w:ascii="sans-serif" w:eastAsia="sans-serif" w:hAnsi="sans-serif" w:cs="sans-serif"/>
            <w:sz w:val="17"/>
            <w:szCs w:val="17"/>
          </w:rPr>
          <w:t>Contents</w:t>
        </w:r>
      </w:hyperlink>
    </w:p>
    <w:p w14:paraId="26E9D68E" w14:textId="77777777" w:rsidR="008A3BAC" w:rsidRDefault="008A3BAC"/>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512"/>
        <w:gridCol w:w="37"/>
        <w:gridCol w:w="115"/>
        <w:gridCol w:w="726"/>
        <w:gridCol w:w="36"/>
        <w:gridCol w:w="36"/>
        <w:gridCol w:w="36"/>
        <w:gridCol w:w="36"/>
        <w:gridCol w:w="115"/>
        <w:gridCol w:w="683"/>
        <w:gridCol w:w="36"/>
        <w:gridCol w:w="36"/>
        <w:gridCol w:w="36"/>
        <w:gridCol w:w="36"/>
        <w:gridCol w:w="115"/>
        <w:gridCol w:w="726"/>
        <w:gridCol w:w="36"/>
        <w:gridCol w:w="36"/>
        <w:gridCol w:w="36"/>
        <w:gridCol w:w="36"/>
        <w:gridCol w:w="115"/>
        <w:gridCol w:w="686"/>
        <w:gridCol w:w="36"/>
      </w:tblGrid>
      <w:tr w:rsidR="008A3BAC" w14:paraId="26E9D6A7" w14:textId="77777777">
        <w:trPr>
          <w:jc w:val="center"/>
        </w:trPr>
        <w:tc>
          <w:tcPr>
            <w:tcW w:w="50" w:type="pct"/>
            <w:shd w:val="clear" w:color="auto" w:fill="auto"/>
            <w:vAlign w:val="bottom"/>
          </w:tcPr>
          <w:p w14:paraId="26E9D68F" w14:textId="77777777" w:rsidR="008A3BAC" w:rsidRDefault="008A3BAC">
            <w:pPr>
              <w:rPr>
                <w:rFonts w:ascii="宋体"/>
              </w:rPr>
            </w:pPr>
          </w:p>
        </w:tc>
        <w:tc>
          <w:tcPr>
            <w:tcW w:w="2741" w:type="pct"/>
            <w:shd w:val="clear" w:color="auto" w:fill="auto"/>
            <w:vAlign w:val="bottom"/>
          </w:tcPr>
          <w:p w14:paraId="26E9D690" w14:textId="77777777" w:rsidR="008A3BAC" w:rsidRDefault="008A3BAC">
            <w:pPr>
              <w:rPr>
                <w:rFonts w:ascii="宋体"/>
              </w:rPr>
            </w:pPr>
          </w:p>
        </w:tc>
        <w:tc>
          <w:tcPr>
            <w:tcW w:w="5" w:type="pct"/>
            <w:shd w:val="clear" w:color="auto" w:fill="auto"/>
            <w:vAlign w:val="bottom"/>
          </w:tcPr>
          <w:p w14:paraId="26E9D691" w14:textId="77777777" w:rsidR="008A3BAC" w:rsidRDefault="008A3BAC">
            <w:pPr>
              <w:rPr>
                <w:rFonts w:ascii="宋体"/>
              </w:rPr>
            </w:pPr>
          </w:p>
        </w:tc>
        <w:tc>
          <w:tcPr>
            <w:tcW w:w="50" w:type="pct"/>
            <w:shd w:val="clear" w:color="auto" w:fill="auto"/>
            <w:vAlign w:val="bottom"/>
          </w:tcPr>
          <w:p w14:paraId="26E9D692" w14:textId="77777777" w:rsidR="008A3BAC" w:rsidRDefault="008A3BAC">
            <w:pPr>
              <w:rPr>
                <w:rFonts w:ascii="宋体"/>
              </w:rPr>
            </w:pPr>
          </w:p>
        </w:tc>
        <w:tc>
          <w:tcPr>
            <w:tcW w:w="468" w:type="pct"/>
            <w:shd w:val="clear" w:color="auto" w:fill="auto"/>
            <w:vAlign w:val="bottom"/>
          </w:tcPr>
          <w:p w14:paraId="26E9D693" w14:textId="77777777" w:rsidR="008A3BAC" w:rsidRDefault="008A3BAC">
            <w:pPr>
              <w:rPr>
                <w:rFonts w:ascii="宋体"/>
              </w:rPr>
            </w:pPr>
          </w:p>
        </w:tc>
        <w:tc>
          <w:tcPr>
            <w:tcW w:w="5" w:type="pct"/>
            <w:shd w:val="clear" w:color="auto" w:fill="auto"/>
            <w:vAlign w:val="bottom"/>
          </w:tcPr>
          <w:p w14:paraId="26E9D694" w14:textId="77777777" w:rsidR="008A3BAC" w:rsidRDefault="008A3BAC">
            <w:pPr>
              <w:rPr>
                <w:rFonts w:ascii="宋体"/>
              </w:rPr>
            </w:pPr>
          </w:p>
        </w:tc>
        <w:tc>
          <w:tcPr>
            <w:tcW w:w="5" w:type="pct"/>
            <w:shd w:val="clear" w:color="auto" w:fill="auto"/>
            <w:vAlign w:val="bottom"/>
          </w:tcPr>
          <w:p w14:paraId="26E9D695" w14:textId="77777777" w:rsidR="008A3BAC" w:rsidRDefault="008A3BAC">
            <w:pPr>
              <w:rPr>
                <w:rFonts w:ascii="宋体"/>
              </w:rPr>
            </w:pPr>
          </w:p>
        </w:tc>
        <w:tc>
          <w:tcPr>
            <w:tcW w:w="28" w:type="pct"/>
            <w:shd w:val="clear" w:color="auto" w:fill="auto"/>
            <w:vAlign w:val="bottom"/>
          </w:tcPr>
          <w:p w14:paraId="26E9D696" w14:textId="77777777" w:rsidR="008A3BAC" w:rsidRDefault="008A3BAC">
            <w:pPr>
              <w:rPr>
                <w:rFonts w:ascii="宋体"/>
              </w:rPr>
            </w:pPr>
          </w:p>
        </w:tc>
        <w:tc>
          <w:tcPr>
            <w:tcW w:w="5" w:type="pct"/>
            <w:shd w:val="clear" w:color="auto" w:fill="auto"/>
            <w:vAlign w:val="bottom"/>
          </w:tcPr>
          <w:p w14:paraId="26E9D697" w14:textId="77777777" w:rsidR="008A3BAC" w:rsidRDefault="008A3BAC">
            <w:pPr>
              <w:rPr>
                <w:rFonts w:ascii="宋体"/>
              </w:rPr>
            </w:pPr>
          </w:p>
        </w:tc>
        <w:tc>
          <w:tcPr>
            <w:tcW w:w="50" w:type="pct"/>
            <w:shd w:val="clear" w:color="auto" w:fill="auto"/>
            <w:vAlign w:val="bottom"/>
          </w:tcPr>
          <w:p w14:paraId="26E9D698" w14:textId="77777777" w:rsidR="008A3BAC" w:rsidRDefault="008A3BAC">
            <w:pPr>
              <w:rPr>
                <w:rFonts w:ascii="宋体"/>
              </w:rPr>
            </w:pPr>
          </w:p>
        </w:tc>
        <w:tc>
          <w:tcPr>
            <w:tcW w:w="468" w:type="pct"/>
            <w:shd w:val="clear" w:color="auto" w:fill="auto"/>
            <w:vAlign w:val="bottom"/>
          </w:tcPr>
          <w:p w14:paraId="26E9D699" w14:textId="77777777" w:rsidR="008A3BAC" w:rsidRDefault="008A3BAC">
            <w:pPr>
              <w:rPr>
                <w:rFonts w:ascii="宋体"/>
              </w:rPr>
            </w:pPr>
          </w:p>
        </w:tc>
        <w:tc>
          <w:tcPr>
            <w:tcW w:w="5" w:type="pct"/>
            <w:shd w:val="clear" w:color="auto" w:fill="auto"/>
            <w:vAlign w:val="bottom"/>
          </w:tcPr>
          <w:p w14:paraId="26E9D69A" w14:textId="77777777" w:rsidR="008A3BAC" w:rsidRDefault="008A3BAC">
            <w:pPr>
              <w:rPr>
                <w:rFonts w:ascii="宋体"/>
              </w:rPr>
            </w:pPr>
          </w:p>
        </w:tc>
        <w:tc>
          <w:tcPr>
            <w:tcW w:w="5" w:type="pct"/>
            <w:shd w:val="clear" w:color="auto" w:fill="auto"/>
            <w:vAlign w:val="bottom"/>
          </w:tcPr>
          <w:p w14:paraId="26E9D69B" w14:textId="77777777" w:rsidR="008A3BAC" w:rsidRDefault="008A3BAC">
            <w:pPr>
              <w:rPr>
                <w:rFonts w:ascii="宋体"/>
              </w:rPr>
            </w:pPr>
          </w:p>
        </w:tc>
        <w:tc>
          <w:tcPr>
            <w:tcW w:w="20" w:type="pct"/>
            <w:shd w:val="clear" w:color="auto" w:fill="auto"/>
            <w:vAlign w:val="bottom"/>
          </w:tcPr>
          <w:p w14:paraId="26E9D69C" w14:textId="77777777" w:rsidR="008A3BAC" w:rsidRDefault="008A3BAC">
            <w:pPr>
              <w:rPr>
                <w:rFonts w:ascii="宋体"/>
              </w:rPr>
            </w:pPr>
          </w:p>
        </w:tc>
        <w:tc>
          <w:tcPr>
            <w:tcW w:w="5" w:type="pct"/>
            <w:shd w:val="clear" w:color="auto" w:fill="auto"/>
            <w:vAlign w:val="bottom"/>
          </w:tcPr>
          <w:p w14:paraId="26E9D69D" w14:textId="77777777" w:rsidR="008A3BAC" w:rsidRDefault="008A3BAC">
            <w:pPr>
              <w:rPr>
                <w:rFonts w:ascii="宋体"/>
              </w:rPr>
            </w:pPr>
          </w:p>
        </w:tc>
        <w:tc>
          <w:tcPr>
            <w:tcW w:w="50" w:type="pct"/>
            <w:shd w:val="clear" w:color="auto" w:fill="auto"/>
            <w:vAlign w:val="bottom"/>
          </w:tcPr>
          <w:p w14:paraId="26E9D69E" w14:textId="77777777" w:rsidR="008A3BAC" w:rsidRDefault="008A3BAC">
            <w:pPr>
              <w:rPr>
                <w:rFonts w:ascii="宋体"/>
              </w:rPr>
            </w:pPr>
          </w:p>
        </w:tc>
        <w:tc>
          <w:tcPr>
            <w:tcW w:w="468" w:type="pct"/>
            <w:shd w:val="clear" w:color="auto" w:fill="auto"/>
            <w:vAlign w:val="bottom"/>
          </w:tcPr>
          <w:p w14:paraId="26E9D69F" w14:textId="77777777" w:rsidR="008A3BAC" w:rsidRDefault="008A3BAC">
            <w:pPr>
              <w:rPr>
                <w:rFonts w:ascii="宋体"/>
              </w:rPr>
            </w:pPr>
          </w:p>
        </w:tc>
        <w:tc>
          <w:tcPr>
            <w:tcW w:w="5" w:type="pct"/>
            <w:shd w:val="clear" w:color="auto" w:fill="auto"/>
            <w:vAlign w:val="bottom"/>
          </w:tcPr>
          <w:p w14:paraId="26E9D6A0" w14:textId="77777777" w:rsidR="008A3BAC" w:rsidRDefault="008A3BAC">
            <w:pPr>
              <w:rPr>
                <w:rFonts w:ascii="宋体"/>
              </w:rPr>
            </w:pPr>
          </w:p>
        </w:tc>
        <w:tc>
          <w:tcPr>
            <w:tcW w:w="5" w:type="pct"/>
            <w:shd w:val="clear" w:color="auto" w:fill="auto"/>
            <w:vAlign w:val="bottom"/>
          </w:tcPr>
          <w:p w14:paraId="26E9D6A1" w14:textId="77777777" w:rsidR="008A3BAC" w:rsidRDefault="008A3BAC">
            <w:pPr>
              <w:rPr>
                <w:rFonts w:ascii="宋体"/>
              </w:rPr>
            </w:pPr>
          </w:p>
        </w:tc>
        <w:tc>
          <w:tcPr>
            <w:tcW w:w="28" w:type="pct"/>
            <w:shd w:val="clear" w:color="auto" w:fill="auto"/>
            <w:vAlign w:val="bottom"/>
          </w:tcPr>
          <w:p w14:paraId="26E9D6A2" w14:textId="77777777" w:rsidR="008A3BAC" w:rsidRDefault="008A3BAC">
            <w:pPr>
              <w:rPr>
                <w:rFonts w:ascii="宋体"/>
              </w:rPr>
            </w:pPr>
          </w:p>
        </w:tc>
        <w:tc>
          <w:tcPr>
            <w:tcW w:w="5" w:type="pct"/>
            <w:shd w:val="clear" w:color="auto" w:fill="auto"/>
            <w:vAlign w:val="bottom"/>
          </w:tcPr>
          <w:p w14:paraId="26E9D6A3" w14:textId="77777777" w:rsidR="008A3BAC" w:rsidRDefault="008A3BAC">
            <w:pPr>
              <w:rPr>
                <w:rFonts w:ascii="宋体"/>
              </w:rPr>
            </w:pPr>
          </w:p>
        </w:tc>
        <w:tc>
          <w:tcPr>
            <w:tcW w:w="50" w:type="pct"/>
            <w:shd w:val="clear" w:color="auto" w:fill="auto"/>
            <w:vAlign w:val="bottom"/>
          </w:tcPr>
          <w:p w14:paraId="26E9D6A4" w14:textId="77777777" w:rsidR="008A3BAC" w:rsidRDefault="008A3BAC">
            <w:pPr>
              <w:rPr>
                <w:rFonts w:ascii="宋体"/>
              </w:rPr>
            </w:pPr>
          </w:p>
        </w:tc>
        <w:tc>
          <w:tcPr>
            <w:tcW w:w="469" w:type="pct"/>
            <w:shd w:val="clear" w:color="auto" w:fill="auto"/>
            <w:vAlign w:val="bottom"/>
          </w:tcPr>
          <w:p w14:paraId="26E9D6A5" w14:textId="77777777" w:rsidR="008A3BAC" w:rsidRDefault="008A3BAC">
            <w:pPr>
              <w:rPr>
                <w:rFonts w:ascii="宋体"/>
              </w:rPr>
            </w:pPr>
          </w:p>
        </w:tc>
        <w:tc>
          <w:tcPr>
            <w:tcW w:w="5" w:type="pct"/>
            <w:shd w:val="clear" w:color="auto" w:fill="auto"/>
            <w:vAlign w:val="bottom"/>
          </w:tcPr>
          <w:p w14:paraId="26E9D6A6" w14:textId="77777777" w:rsidR="008A3BAC" w:rsidRDefault="008A3BAC">
            <w:pPr>
              <w:rPr>
                <w:rFonts w:ascii="宋体"/>
              </w:rPr>
            </w:pPr>
          </w:p>
        </w:tc>
      </w:tr>
      <w:tr w:rsidR="008A3BAC" w14:paraId="26E9D6AC" w14:textId="77777777">
        <w:trPr>
          <w:jc w:val="center"/>
        </w:trPr>
        <w:tc>
          <w:tcPr>
            <w:tcW w:w="0" w:type="auto"/>
            <w:gridSpan w:val="3"/>
            <w:shd w:val="clear" w:color="auto" w:fill="auto"/>
            <w:tcMar>
              <w:top w:w="40" w:type="dxa"/>
              <w:left w:w="20" w:type="dxa"/>
              <w:bottom w:w="40" w:type="dxa"/>
              <w:right w:w="20" w:type="dxa"/>
            </w:tcMar>
            <w:vAlign w:val="bottom"/>
          </w:tcPr>
          <w:p w14:paraId="26E9D6A8" w14:textId="77777777" w:rsidR="008A3BAC" w:rsidRDefault="005C75B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26E9D6A9"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6AA"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6AB"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D6B5" w14:textId="77777777">
        <w:trPr>
          <w:jc w:val="center"/>
        </w:trPr>
        <w:tc>
          <w:tcPr>
            <w:tcW w:w="0" w:type="auto"/>
            <w:gridSpan w:val="3"/>
            <w:shd w:val="clear" w:color="auto" w:fill="auto"/>
            <w:tcMar>
              <w:top w:w="40" w:type="dxa"/>
              <w:left w:w="20" w:type="dxa"/>
              <w:bottom w:w="40" w:type="dxa"/>
              <w:right w:w="20" w:type="dxa"/>
            </w:tcMar>
            <w:vAlign w:val="bottom"/>
          </w:tcPr>
          <w:p w14:paraId="26E9D6AD"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AE"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AF"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B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D6B1"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B2"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B4"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D6B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6B6" w14:textId="77777777" w:rsidR="008A3BAC" w:rsidRDefault="005C75B9">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6B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A"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6B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6BD" w14:textId="77777777" w:rsidR="008A3BAC" w:rsidRDefault="008A3BAC">
            <w:pPr>
              <w:rPr>
                <w:rFonts w:ascii="宋体"/>
              </w:rPr>
            </w:pPr>
          </w:p>
        </w:tc>
      </w:tr>
      <w:tr w:rsidR="008A3BAC" w14:paraId="26E9D6C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BF"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6C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6C1" w14:textId="77777777" w:rsidR="008A3BAC" w:rsidRDefault="005C75B9">
            <w:pPr>
              <w:jc w:val="right"/>
              <w:textAlignment w:val="bottom"/>
            </w:pPr>
            <w:r>
              <w:rPr>
                <w:rFonts w:ascii="Arial" w:eastAsia="宋体" w:hAnsi="Arial" w:cs="Arial"/>
                <w:color w:val="000000"/>
                <w:sz w:val="17"/>
                <w:szCs w:val="17"/>
              </w:rPr>
              <w:t>3,882 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C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C3"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C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C5" w14:textId="77777777" w:rsidR="008A3BAC" w:rsidRDefault="005C75B9">
            <w:pPr>
              <w:jc w:val="right"/>
              <w:textAlignment w:val="bottom"/>
            </w:pPr>
            <w:r>
              <w:rPr>
                <w:rFonts w:ascii="Arial" w:eastAsia="宋体" w:hAnsi="Arial" w:cs="Arial"/>
                <w:color w:val="000000"/>
                <w:sz w:val="17"/>
                <w:szCs w:val="17"/>
              </w:rPr>
              <w:t>3,564 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C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C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6C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6C9" w14:textId="77777777" w:rsidR="008A3BAC" w:rsidRDefault="005C75B9">
            <w:pPr>
              <w:jc w:val="right"/>
              <w:textAlignment w:val="bottom"/>
            </w:pPr>
            <w:r>
              <w:rPr>
                <w:rFonts w:ascii="Arial" w:eastAsia="宋体" w:hAnsi="Arial" w:cs="Arial"/>
                <w:color w:val="000000"/>
                <w:sz w:val="17"/>
                <w:szCs w:val="17"/>
              </w:rPr>
              <w:t>13,238 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C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CB"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6C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6CD" w14:textId="77777777" w:rsidR="008A3BAC" w:rsidRDefault="005C75B9">
            <w:pPr>
              <w:jc w:val="right"/>
              <w:textAlignment w:val="bottom"/>
            </w:pPr>
            <w:r>
              <w:rPr>
                <w:rFonts w:ascii="Arial" w:eastAsia="宋体" w:hAnsi="Arial" w:cs="Arial"/>
                <w:color w:val="000000"/>
                <w:sz w:val="17"/>
                <w:szCs w:val="17"/>
              </w:rPr>
              <w:t>11,795 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CE" w14:textId="77777777" w:rsidR="008A3BAC" w:rsidRDefault="008A3BAC">
            <w:pPr>
              <w:jc w:val="right"/>
              <w:rPr>
                <w:rFonts w:ascii="宋体"/>
              </w:rPr>
            </w:pPr>
          </w:p>
        </w:tc>
      </w:tr>
      <w:tr w:rsidR="008A3BAC" w14:paraId="26E9D6D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D0"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D1" w14:textId="77777777" w:rsidR="008A3BAC" w:rsidRDefault="005C75B9">
            <w:pPr>
              <w:jc w:val="right"/>
              <w:textAlignment w:val="bottom"/>
            </w:pPr>
            <w:r>
              <w:rPr>
                <w:rFonts w:ascii="Arial" w:eastAsia="宋体" w:hAnsi="Arial" w:cs="Arial"/>
                <w:color w:val="000000"/>
                <w:sz w:val="17"/>
                <w:szCs w:val="17"/>
              </w:rPr>
              <w:t>2,779 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D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D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D4" w14:textId="77777777" w:rsidR="008A3BAC" w:rsidRDefault="005C75B9">
            <w:pPr>
              <w:jc w:val="right"/>
              <w:textAlignment w:val="bottom"/>
            </w:pPr>
            <w:r>
              <w:rPr>
                <w:rFonts w:ascii="Arial" w:eastAsia="宋体" w:hAnsi="Arial" w:cs="Arial"/>
                <w:color w:val="000000"/>
                <w:sz w:val="17"/>
                <w:szCs w:val="17"/>
              </w:rPr>
              <w:t>2,609 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D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D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D7" w14:textId="77777777" w:rsidR="008A3BAC" w:rsidRDefault="005C75B9">
            <w:pPr>
              <w:jc w:val="right"/>
              <w:textAlignment w:val="bottom"/>
            </w:pPr>
            <w:r>
              <w:rPr>
                <w:rFonts w:ascii="Arial" w:eastAsia="宋体" w:hAnsi="Arial" w:cs="Arial"/>
                <w:color w:val="000000"/>
                <w:sz w:val="17"/>
                <w:szCs w:val="17"/>
              </w:rPr>
              <w:t>9,228 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D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D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DA" w14:textId="77777777" w:rsidR="008A3BAC" w:rsidRDefault="005C75B9">
            <w:pPr>
              <w:jc w:val="right"/>
              <w:textAlignment w:val="bottom"/>
            </w:pPr>
            <w:r>
              <w:rPr>
                <w:rFonts w:ascii="Arial" w:eastAsia="宋体" w:hAnsi="Arial" w:cs="Arial"/>
                <w:color w:val="000000"/>
                <w:sz w:val="17"/>
                <w:szCs w:val="17"/>
              </w:rPr>
              <w:t>8,477 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DB" w14:textId="77777777" w:rsidR="008A3BAC" w:rsidRDefault="008A3BAC">
            <w:pPr>
              <w:jc w:val="right"/>
              <w:rPr>
                <w:rFonts w:ascii="宋体"/>
              </w:rPr>
            </w:pPr>
          </w:p>
        </w:tc>
      </w:tr>
      <w:tr w:rsidR="008A3BAC" w14:paraId="26E9D6E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DD"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DE" w14:textId="77777777" w:rsidR="008A3BAC" w:rsidRDefault="005C75B9">
            <w:pPr>
              <w:jc w:val="right"/>
              <w:textAlignment w:val="bottom"/>
            </w:pPr>
            <w:r>
              <w:rPr>
                <w:rFonts w:ascii="Arial" w:eastAsia="宋体" w:hAnsi="Arial" w:cs="Arial"/>
                <w:color w:val="000000"/>
                <w:sz w:val="17"/>
                <w:szCs w:val="17"/>
              </w:rPr>
              <w:t>2,160 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D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E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E1" w14:textId="77777777" w:rsidR="008A3BAC" w:rsidRDefault="005C75B9">
            <w:pPr>
              <w:jc w:val="right"/>
              <w:textAlignment w:val="bottom"/>
            </w:pPr>
            <w:r>
              <w:rPr>
                <w:rFonts w:ascii="Arial" w:eastAsia="宋体" w:hAnsi="Arial" w:cs="Arial"/>
                <w:color w:val="000000"/>
                <w:sz w:val="17"/>
                <w:szCs w:val="17"/>
              </w:rPr>
              <w:t>2,279 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E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E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E4" w14:textId="77777777" w:rsidR="008A3BAC" w:rsidRDefault="005C75B9">
            <w:pPr>
              <w:jc w:val="right"/>
              <w:textAlignment w:val="bottom"/>
            </w:pPr>
            <w:r>
              <w:rPr>
                <w:rFonts w:ascii="Arial" w:eastAsia="宋体" w:hAnsi="Arial" w:cs="Arial"/>
                <w:color w:val="000000"/>
                <w:sz w:val="17"/>
                <w:szCs w:val="17"/>
              </w:rPr>
              <w:t>5,986 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E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E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E7" w14:textId="77777777" w:rsidR="008A3BAC" w:rsidRDefault="005C75B9">
            <w:pPr>
              <w:jc w:val="right"/>
              <w:textAlignment w:val="bottom"/>
            </w:pPr>
            <w:r>
              <w:rPr>
                <w:rFonts w:ascii="Arial" w:eastAsia="宋体" w:hAnsi="Arial" w:cs="Arial"/>
                <w:color w:val="000000"/>
                <w:sz w:val="17"/>
                <w:szCs w:val="17"/>
              </w:rPr>
              <w:t>6,357 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E8" w14:textId="77777777" w:rsidR="008A3BAC" w:rsidRDefault="008A3BAC">
            <w:pPr>
              <w:jc w:val="right"/>
              <w:rPr>
                <w:rFonts w:ascii="宋体"/>
              </w:rPr>
            </w:pPr>
          </w:p>
        </w:tc>
      </w:tr>
      <w:tr w:rsidR="008A3BAC" w14:paraId="26E9D6F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EA" w14:textId="77777777" w:rsidR="008A3BAC" w:rsidRDefault="005C75B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EB" w14:textId="77777777" w:rsidR="008A3BAC" w:rsidRDefault="005C75B9">
            <w:pPr>
              <w:jc w:val="right"/>
              <w:textAlignment w:val="bottom"/>
            </w:pPr>
            <w:r>
              <w:rPr>
                <w:rFonts w:ascii="Arial" w:eastAsia="宋体" w:hAnsi="Arial" w:cs="Arial"/>
                <w:color w:val="000000"/>
                <w:sz w:val="17"/>
                <w:szCs w:val="17"/>
              </w:rPr>
              <w:t>1,461 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E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E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EE" w14:textId="77777777" w:rsidR="008A3BAC" w:rsidRDefault="005C75B9">
            <w:pPr>
              <w:jc w:val="right"/>
              <w:textAlignment w:val="bottom"/>
            </w:pPr>
            <w:r>
              <w:rPr>
                <w:rFonts w:ascii="Arial" w:eastAsia="宋体" w:hAnsi="Arial" w:cs="Arial"/>
                <w:color w:val="000000"/>
                <w:sz w:val="17"/>
                <w:szCs w:val="17"/>
              </w:rPr>
              <w:t>1,315 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E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F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F1" w14:textId="77777777" w:rsidR="008A3BAC" w:rsidRDefault="005C75B9">
            <w:pPr>
              <w:jc w:val="right"/>
              <w:textAlignment w:val="bottom"/>
            </w:pPr>
            <w:r>
              <w:rPr>
                <w:rFonts w:ascii="Arial" w:eastAsia="宋体" w:hAnsi="Arial" w:cs="Arial"/>
                <w:color w:val="000000"/>
                <w:sz w:val="17"/>
                <w:szCs w:val="17"/>
              </w:rPr>
              <w:t>4,273 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F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F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F4" w14:textId="77777777" w:rsidR="008A3BAC" w:rsidRDefault="005C75B9">
            <w:pPr>
              <w:jc w:val="right"/>
              <w:textAlignment w:val="bottom"/>
            </w:pPr>
            <w:r>
              <w:rPr>
                <w:rFonts w:ascii="Arial" w:eastAsia="宋体" w:hAnsi="Arial" w:cs="Arial"/>
                <w:color w:val="000000"/>
                <w:sz w:val="17"/>
                <w:szCs w:val="17"/>
              </w:rPr>
              <w:t>3,885 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F5" w14:textId="77777777" w:rsidR="008A3BAC" w:rsidRDefault="008A3BAC">
            <w:pPr>
              <w:jc w:val="right"/>
              <w:rPr>
                <w:rFonts w:ascii="宋体"/>
              </w:rPr>
            </w:pPr>
          </w:p>
        </w:tc>
      </w:tr>
      <w:tr w:rsidR="008A3BAC" w14:paraId="26E9D70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6F7"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F8"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F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F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6FB"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6F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6F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6FE"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6F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0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01"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02" w14:textId="77777777" w:rsidR="008A3BAC" w:rsidRDefault="008A3BAC">
            <w:pPr>
              <w:jc w:val="right"/>
              <w:rPr>
                <w:rFonts w:ascii="宋体"/>
              </w:rPr>
            </w:pPr>
          </w:p>
        </w:tc>
      </w:tr>
      <w:tr w:rsidR="008A3BAC" w14:paraId="26E9D71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04" w14:textId="77777777" w:rsidR="008A3BAC" w:rsidRDefault="005C75B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705" w14:textId="77777777" w:rsidR="008A3BAC" w:rsidRDefault="005C75B9">
            <w:pPr>
              <w:jc w:val="right"/>
              <w:textAlignment w:val="bottom"/>
            </w:pPr>
            <w:r>
              <w:rPr>
                <w:rFonts w:ascii="Arial" w:eastAsia="宋体" w:hAnsi="Arial" w:cs="Arial"/>
                <w:color w:val="000000"/>
                <w:sz w:val="17"/>
                <w:szCs w:val="17"/>
              </w:rPr>
              <w:t>10,323 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706"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07"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708" w14:textId="77777777" w:rsidR="008A3BAC" w:rsidRDefault="005C75B9">
            <w:pPr>
              <w:jc w:val="right"/>
              <w:textAlignment w:val="bottom"/>
            </w:pPr>
            <w:r>
              <w:rPr>
                <w:rFonts w:ascii="Arial" w:eastAsia="宋体" w:hAnsi="Arial" w:cs="Arial"/>
                <w:color w:val="000000"/>
                <w:sz w:val="17"/>
                <w:szCs w:val="17"/>
              </w:rPr>
              <w:t>9,773 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709"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0A"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70B" w14:textId="77777777" w:rsidR="008A3BAC" w:rsidRDefault="005C75B9">
            <w:pPr>
              <w:jc w:val="right"/>
              <w:textAlignment w:val="bottom"/>
            </w:pPr>
            <w:r>
              <w:rPr>
                <w:rFonts w:ascii="Arial" w:eastAsia="宋体" w:hAnsi="Arial" w:cs="Arial"/>
                <w:color w:val="000000"/>
                <w:sz w:val="17"/>
                <w:szCs w:val="17"/>
              </w:rPr>
              <w:t>32,779 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70C"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0D"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70E" w14:textId="77777777" w:rsidR="008A3BAC" w:rsidRDefault="005C75B9">
            <w:pPr>
              <w:jc w:val="right"/>
              <w:textAlignment w:val="bottom"/>
            </w:pPr>
            <w:r>
              <w:rPr>
                <w:rFonts w:ascii="Arial" w:eastAsia="宋体" w:hAnsi="Arial" w:cs="Arial"/>
                <w:color w:val="000000"/>
                <w:sz w:val="17"/>
                <w:szCs w:val="17"/>
              </w:rPr>
              <w:t>30,532 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70F" w14:textId="77777777" w:rsidR="008A3BAC" w:rsidRDefault="008A3BAC">
            <w:pPr>
              <w:jc w:val="right"/>
              <w:rPr>
                <w:rFonts w:ascii="宋体"/>
              </w:rPr>
            </w:pPr>
          </w:p>
        </w:tc>
      </w:tr>
      <w:tr w:rsidR="008A3BAC" w14:paraId="26E9D71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11"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12" w14:textId="77777777" w:rsidR="008A3BAC" w:rsidRDefault="005C75B9">
            <w:pPr>
              <w:jc w:val="right"/>
              <w:textAlignment w:val="bottom"/>
            </w:pPr>
            <w:r>
              <w:rPr>
                <w:rFonts w:ascii="Arial" w:eastAsia="宋体" w:hAnsi="Arial" w:cs="Arial"/>
                <w:color w:val="000000"/>
                <w:sz w:val="17"/>
                <w:szCs w:val="17"/>
              </w:rPr>
              <w:t>567 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13"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14"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15" w14:textId="77777777" w:rsidR="008A3BAC" w:rsidRDefault="005C75B9">
            <w:pPr>
              <w:jc w:val="right"/>
              <w:textAlignment w:val="bottom"/>
            </w:pPr>
            <w:r>
              <w:rPr>
                <w:rFonts w:ascii="Arial" w:eastAsia="宋体" w:hAnsi="Arial" w:cs="Arial"/>
                <w:color w:val="000000"/>
                <w:sz w:val="17"/>
                <w:szCs w:val="17"/>
              </w:rPr>
              <w:t>570 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1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17"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18" w14:textId="77777777" w:rsidR="008A3BAC" w:rsidRDefault="005C75B9">
            <w:pPr>
              <w:jc w:val="right"/>
              <w:textAlignment w:val="bottom"/>
            </w:pPr>
            <w:r>
              <w:rPr>
                <w:rFonts w:ascii="Arial" w:eastAsia="宋体" w:hAnsi="Arial" w:cs="Arial"/>
                <w:color w:val="000000"/>
                <w:sz w:val="17"/>
                <w:szCs w:val="17"/>
              </w:rPr>
              <w:t>1,753 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1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1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1B" w14:textId="77777777" w:rsidR="008A3BAC" w:rsidRDefault="005C75B9">
            <w:pPr>
              <w:jc w:val="right"/>
              <w:textAlignment w:val="bottom"/>
            </w:pPr>
            <w:r>
              <w:rPr>
                <w:rFonts w:ascii="Arial" w:eastAsia="宋体" w:hAnsi="Arial" w:cs="Arial"/>
                <w:color w:val="000000"/>
                <w:sz w:val="17"/>
                <w:szCs w:val="17"/>
              </w:rPr>
              <w:t>1,609 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1C" w14:textId="77777777" w:rsidR="008A3BAC" w:rsidRDefault="008A3BAC">
            <w:pPr>
              <w:jc w:val="right"/>
              <w:rPr>
                <w:rFonts w:ascii="宋体"/>
              </w:rPr>
            </w:pPr>
          </w:p>
        </w:tc>
      </w:tr>
      <w:tr w:rsidR="008A3BAC" w14:paraId="26E9D72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1E"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1F"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2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21"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22"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23"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24"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25"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2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2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28"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29" w14:textId="77777777" w:rsidR="008A3BAC" w:rsidRDefault="008A3BAC">
            <w:pPr>
              <w:jc w:val="right"/>
              <w:rPr>
                <w:rFonts w:ascii="宋体"/>
              </w:rPr>
            </w:pPr>
          </w:p>
        </w:tc>
      </w:tr>
      <w:tr w:rsidR="008A3BAC" w14:paraId="26E9D73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2B" w14:textId="77777777" w:rsidR="008A3BAC" w:rsidRDefault="005C75B9">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72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72D" w14:textId="77777777" w:rsidR="008A3BAC" w:rsidRDefault="005C75B9">
            <w:pPr>
              <w:jc w:val="right"/>
              <w:textAlignment w:val="bottom"/>
            </w:pPr>
            <w:r>
              <w:rPr>
                <w:rFonts w:ascii="Arial" w:eastAsia="宋体" w:hAnsi="Arial" w:cs="Arial"/>
                <w:b/>
                <w:bCs/>
                <w:color w:val="000000"/>
                <w:sz w:val="17"/>
                <w:szCs w:val="17"/>
              </w:rPr>
              <w:t>10,871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72E"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2F"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73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731" w14:textId="77777777" w:rsidR="008A3BAC" w:rsidRDefault="005C75B9">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73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33"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73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735" w14:textId="77777777" w:rsidR="008A3BAC" w:rsidRDefault="005C75B9">
            <w:pPr>
              <w:jc w:val="right"/>
              <w:textAlignment w:val="bottom"/>
            </w:pPr>
            <w:r>
              <w:rPr>
                <w:rFonts w:ascii="Arial" w:eastAsia="宋体" w:hAnsi="Arial" w:cs="Arial"/>
                <w:b/>
                <w:bCs/>
                <w:color w:val="000000"/>
                <w:sz w:val="17"/>
                <w:szCs w:val="17"/>
              </w:rPr>
              <w:t>34,476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736"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37"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73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739" w14:textId="77777777" w:rsidR="008A3BAC" w:rsidRDefault="005C75B9">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73A" w14:textId="77777777" w:rsidR="008A3BAC" w:rsidRDefault="008A3BAC">
            <w:pPr>
              <w:jc w:val="right"/>
              <w:rPr>
                <w:rFonts w:ascii="宋体"/>
              </w:rPr>
            </w:pPr>
          </w:p>
        </w:tc>
      </w:tr>
      <w:tr w:rsidR="008A3BAC" w14:paraId="26E9D74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3C" w14:textId="77777777" w:rsidR="008A3BAC" w:rsidRDefault="005C75B9">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73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3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3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40"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74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4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43" w14:textId="77777777" w:rsidR="008A3BAC" w:rsidRDefault="008A3BAC">
            <w:pPr>
              <w:rPr>
                <w:rFonts w:ascii="宋体"/>
              </w:rPr>
            </w:pPr>
          </w:p>
        </w:tc>
      </w:tr>
      <w:tr w:rsidR="008A3BAC" w14:paraId="26E9D75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45"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74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747" w14:textId="77777777" w:rsidR="008A3BAC" w:rsidRDefault="005C75B9">
            <w:pPr>
              <w:jc w:val="right"/>
              <w:textAlignment w:val="bottom"/>
            </w:pPr>
            <w:r>
              <w:rPr>
                <w:rFonts w:ascii="Arial" w:eastAsia="宋体" w:hAnsi="Arial" w:cs="Arial"/>
                <w:color w:val="000000"/>
                <w:sz w:val="17"/>
                <w:szCs w:val="17"/>
              </w:rPr>
              <w:t>967 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4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49"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74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74B" w14:textId="77777777" w:rsidR="008A3BAC" w:rsidRDefault="005C75B9">
            <w:pPr>
              <w:jc w:val="right"/>
              <w:textAlignment w:val="bottom"/>
            </w:pPr>
            <w:r>
              <w:rPr>
                <w:rFonts w:ascii="Arial" w:eastAsia="宋体" w:hAnsi="Arial" w:cs="Arial"/>
                <w:color w:val="000000"/>
                <w:sz w:val="17"/>
                <w:szCs w:val="17"/>
              </w:rPr>
              <w:t>970 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4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4D"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74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74F" w14:textId="77777777" w:rsidR="008A3BAC" w:rsidRDefault="005C75B9">
            <w:pPr>
              <w:jc w:val="right"/>
              <w:textAlignment w:val="bottom"/>
            </w:pPr>
            <w:r>
              <w:rPr>
                <w:rFonts w:ascii="Arial" w:eastAsia="宋体" w:hAnsi="Arial" w:cs="Arial"/>
                <w:color w:val="000000"/>
                <w:sz w:val="17"/>
                <w:szCs w:val="17"/>
              </w:rPr>
              <w:t>3,636 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5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51"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75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753" w14:textId="77777777" w:rsidR="008A3BAC" w:rsidRDefault="005C75B9">
            <w:pPr>
              <w:jc w:val="right"/>
              <w:textAlignment w:val="bottom"/>
            </w:pPr>
            <w:r>
              <w:rPr>
                <w:rFonts w:ascii="Arial" w:eastAsia="宋体" w:hAnsi="Arial" w:cs="Arial"/>
                <w:color w:val="000000"/>
                <w:sz w:val="17"/>
                <w:szCs w:val="17"/>
              </w:rPr>
              <w:t>3,295 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54" w14:textId="77777777" w:rsidR="008A3BAC" w:rsidRDefault="008A3BAC">
            <w:pPr>
              <w:jc w:val="right"/>
              <w:rPr>
                <w:rFonts w:ascii="宋体"/>
              </w:rPr>
            </w:pPr>
          </w:p>
        </w:tc>
      </w:tr>
      <w:tr w:rsidR="008A3BAC" w14:paraId="26E9D76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56"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57" w14:textId="77777777" w:rsidR="008A3BAC" w:rsidRDefault="005C75B9">
            <w:pPr>
              <w:jc w:val="right"/>
              <w:textAlignment w:val="bottom"/>
            </w:pPr>
            <w:r>
              <w:rPr>
                <w:rFonts w:ascii="Arial" w:eastAsia="宋体" w:hAnsi="Arial" w:cs="Arial"/>
                <w:color w:val="000000"/>
                <w:sz w:val="17"/>
                <w:szCs w:val="17"/>
              </w:rPr>
              <w:t>713 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5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5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5A" w14:textId="77777777" w:rsidR="008A3BAC" w:rsidRDefault="005C75B9">
            <w:pPr>
              <w:jc w:val="right"/>
              <w:textAlignment w:val="bottom"/>
            </w:pPr>
            <w:r>
              <w:rPr>
                <w:rFonts w:ascii="Arial" w:eastAsia="宋体" w:hAnsi="Arial" w:cs="Arial"/>
                <w:color w:val="000000"/>
                <w:sz w:val="17"/>
                <w:szCs w:val="17"/>
              </w:rPr>
              <w:t>533 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5B"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5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5D" w14:textId="77777777" w:rsidR="008A3BAC" w:rsidRDefault="005C75B9">
            <w:pPr>
              <w:jc w:val="right"/>
              <w:textAlignment w:val="bottom"/>
            </w:pPr>
            <w:r>
              <w:rPr>
                <w:rFonts w:ascii="Arial" w:eastAsia="宋体" w:hAnsi="Arial" w:cs="Arial"/>
                <w:color w:val="000000"/>
                <w:sz w:val="17"/>
                <w:szCs w:val="17"/>
              </w:rPr>
              <w:t>2,394 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5E"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5F"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60" w14:textId="77777777" w:rsidR="008A3BAC" w:rsidRDefault="005C75B9">
            <w:pPr>
              <w:jc w:val="right"/>
              <w:textAlignment w:val="bottom"/>
            </w:pPr>
            <w:r>
              <w:rPr>
                <w:rFonts w:ascii="Arial" w:eastAsia="宋体" w:hAnsi="Arial" w:cs="Arial"/>
                <w:color w:val="000000"/>
                <w:sz w:val="17"/>
                <w:szCs w:val="17"/>
              </w:rPr>
              <w:t>1,885 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61" w14:textId="77777777" w:rsidR="008A3BAC" w:rsidRDefault="008A3BAC">
            <w:pPr>
              <w:jc w:val="right"/>
              <w:rPr>
                <w:rFonts w:ascii="宋体"/>
              </w:rPr>
            </w:pPr>
          </w:p>
        </w:tc>
      </w:tr>
      <w:tr w:rsidR="008A3BAC" w14:paraId="26E9D76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63"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64" w14:textId="77777777" w:rsidR="008A3BAC" w:rsidRDefault="005C75B9">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6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6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67" w14:textId="77777777" w:rsidR="008A3BAC" w:rsidRDefault="005C75B9">
            <w:pPr>
              <w:jc w:val="right"/>
              <w:textAlignment w:val="bottom"/>
            </w:pPr>
            <w:r>
              <w:rPr>
                <w:rFonts w:ascii="Arial" w:eastAsia="宋体" w:hAnsi="Arial" w:cs="Arial"/>
                <w:color w:val="000000"/>
                <w:sz w:val="17"/>
                <w:szCs w:val="17"/>
              </w:rPr>
              <w:t>973 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6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6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6A" w14:textId="77777777" w:rsidR="008A3BAC" w:rsidRDefault="005C75B9">
            <w:pPr>
              <w:jc w:val="right"/>
              <w:textAlignment w:val="bottom"/>
            </w:pPr>
            <w:r>
              <w:rPr>
                <w:rFonts w:ascii="Arial" w:eastAsia="宋体" w:hAnsi="Arial" w:cs="Arial"/>
                <w:color w:val="000000"/>
                <w:sz w:val="17"/>
                <w:szCs w:val="17"/>
              </w:rPr>
              <w:t>2,054 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6B"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6C"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6D" w14:textId="77777777" w:rsidR="008A3BAC" w:rsidRDefault="005C75B9">
            <w:pPr>
              <w:jc w:val="right"/>
              <w:textAlignment w:val="bottom"/>
            </w:pPr>
            <w:r>
              <w:rPr>
                <w:rFonts w:ascii="Arial" w:eastAsia="宋体" w:hAnsi="Arial" w:cs="Arial"/>
                <w:color w:val="000000"/>
                <w:sz w:val="17"/>
                <w:szCs w:val="17"/>
              </w:rPr>
              <w:t>2,552 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6E" w14:textId="77777777" w:rsidR="008A3BAC" w:rsidRDefault="008A3BAC">
            <w:pPr>
              <w:jc w:val="right"/>
              <w:rPr>
                <w:rFonts w:ascii="宋体"/>
              </w:rPr>
            </w:pPr>
          </w:p>
        </w:tc>
      </w:tr>
      <w:tr w:rsidR="008A3BAC" w14:paraId="26E9D77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70" w14:textId="77777777" w:rsidR="008A3BAC" w:rsidRDefault="005C75B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71" w14:textId="77777777" w:rsidR="008A3BAC" w:rsidRDefault="005C75B9">
            <w:pPr>
              <w:jc w:val="right"/>
              <w:textAlignment w:val="bottom"/>
            </w:pPr>
            <w:r>
              <w:rPr>
                <w:rFonts w:ascii="Arial" w:eastAsia="宋体" w:hAnsi="Arial" w:cs="Arial"/>
                <w:color w:val="000000"/>
                <w:sz w:val="17"/>
                <w:szCs w:val="17"/>
              </w:rPr>
              <w:t>478 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7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7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74" w14:textId="77777777" w:rsidR="008A3BAC" w:rsidRDefault="005C75B9">
            <w:pPr>
              <w:jc w:val="right"/>
              <w:textAlignment w:val="bottom"/>
            </w:pPr>
            <w:r>
              <w:rPr>
                <w:rFonts w:ascii="Arial" w:eastAsia="宋体" w:hAnsi="Arial" w:cs="Arial"/>
                <w:color w:val="000000"/>
                <w:sz w:val="17"/>
                <w:szCs w:val="17"/>
              </w:rPr>
              <w:t>408 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7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7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77" w14:textId="77777777" w:rsidR="008A3BAC" w:rsidRDefault="005C75B9">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7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7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7A" w14:textId="77777777" w:rsidR="008A3BAC" w:rsidRDefault="005C75B9">
            <w:pPr>
              <w:jc w:val="right"/>
              <w:textAlignment w:val="bottom"/>
            </w:pPr>
            <w:r>
              <w:rPr>
                <w:rFonts w:ascii="Arial" w:eastAsia="宋体" w:hAnsi="Arial" w:cs="Arial"/>
                <w:color w:val="000000"/>
                <w:sz w:val="17"/>
                <w:szCs w:val="17"/>
              </w:rPr>
              <w:t>1,112 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7B" w14:textId="77777777" w:rsidR="008A3BAC" w:rsidRDefault="008A3BAC">
            <w:pPr>
              <w:jc w:val="right"/>
              <w:rPr>
                <w:rFonts w:ascii="宋体"/>
              </w:rPr>
            </w:pPr>
          </w:p>
        </w:tc>
      </w:tr>
      <w:tr w:rsidR="008A3BAC" w14:paraId="26E9D78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7D"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7E" w14:textId="77777777" w:rsidR="008A3BAC" w:rsidRDefault="005C75B9">
            <w:pPr>
              <w:jc w:val="right"/>
              <w:textAlignment w:val="bottom"/>
            </w:pPr>
            <w:r>
              <w:rPr>
                <w:rFonts w:ascii="Arial" w:eastAsia="宋体" w:hAnsi="Arial" w:cs="Arial"/>
                <w:color w:val="000000"/>
                <w:sz w:val="17"/>
                <w:szCs w:val="17"/>
              </w:rPr>
              <w:t>(975)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7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8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81" w14:textId="77777777" w:rsidR="008A3BAC" w:rsidRDefault="005C75B9">
            <w:pPr>
              <w:jc w:val="right"/>
              <w:textAlignment w:val="bottom"/>
            </w:pPr>
            <w:r>
              <w:rPr>
                <w:rFonts w:ascii="Arial" w:eastAsia="宋体" w:hAnsi="Arial" w:cs="Arial"/>
                <w:color w:val="000000"/>
                <w:sz w:val="17"/>
                <w:szCs w:val="17"/>
              </w:rPr>
              <w:t>(852)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8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8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84" w14:textId="77777777" w:rsidR="008A3BAC" w:rsidRDefault="005C75B9">
            <w:pPr>
              <w:jc w:val="right"/>
              <w:textAlignment w:val="bottom"/>
            </w:pPr>
            <w:r>
              <w:rPr>
                <w:rFonts w:ascii="Arial" w:eastAsia="宋体" w:hAnsi="Arial" w:cs="Arial"/>
                <w:color w:val="000000"/>
                <w:sz w:val="17"/>
                <w:szCs w:val="17"/>
              </w:rPr>
              <w:t>(3,033)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8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8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87" w14:textId="77777777" w:rsidR="008A3BAC" w:rsidRDefault="005C75B9">
            <w:pPr>
              <w:jc w:val="right"/>
              <w:textAlignment w:val="bottom"/>
            </w:pPr>
            <w:r>
              <w:rPr>
                <w:rFonts w:ascii="Arial" w:eastAsia="宋体" w:hAnsi="Arial" w:cs="Arial"/>
                <w:color w:val="000000"/>
                <w:sz w:val="17"/>
                <w:szCs w:val="17"/>
              </w:rPr>
              <w:t>(2,546)</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88" w14:textId="77777777" w:rsidR="008A3BAC" w:rsidRDefault="008A3BAC">
            <w:pPr>
              <w:jc w:val="right"/>
              <w:rPr>
                <w:rFonts w:ascii="宋体"/>
              </w:rPr>
            </w:pPr>
          </w:p>
        </w:tc>
      </w:tr>
      <w:tr w:rsidR="008A3BAC" w14:paraId="26E9D79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8A"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8B" w14:textId="77777777" w:rsidR="008A3BAC" w:rsidRDefault="005C75B9">
            <w:pPr>
              <w:jc w:val="right"/>
              <w:textAlignment w:val="bottom"/>
            </w:pPr>
            <w:r>
              <w:rPr>
                <w:rFonts w:ascii="Arial" w:eastAsia="宋体" w:hAnsi="Arial" w:cs="Arial"/>
                <w:color w:val="000000"/>
                <w:sz w:val="17"/>
                <w:szCs w:val="17"/>
              </w:rPr>
              <w:t>168 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8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8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8E" w14:textId="77777777" w:rsidR="008A3BAC" w:rsidRDefault="005C75B9">
            <w:pPr>
              <w:jc w:val="right"/>
              <w:textAlignment w:val="bottom"/>
            </w:pPr>
            <w:r>
              <w:rPr>
                <w:rFonts w:ascii="Arial" w:eastAsia="宋体" w:hAnsi="Arial" w:cs="Arial"/>
                <w:color w:val="000000"/>
                <w:sz w:val="17"/>
                <w:szCs w:val="17"/>
              </w:rPr>
              <w:t>150 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8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9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91" w14:textId="77777777" w:rsidR="008A3BAC" w:rsidRDefault="005C75B9">
            <w:pPr>
              <w:jc w:val="right"/>
              <w:textAlignment w:val="bottom"/>
            </w:pPr>
            <w:r>
              <w:rPr>
                <w:rFonts w:ascii="Arial" w:eastAsia="宋体" w:hAnsi="Arial" w:cs="Arial"/>
                <w:color w:val="000000"/>
                <w:sz w:val="17"/>
                <w:szCs w:val="17"/>
              </w:rPr>
              <w:t>504 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9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9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94" w14:textId="77777777" w:rsidR="008A3BAC" w:rsidRDefault="005C75B9">
            <w:pPr>
              <w:jc w:val="right"/>
              <w:textAlignment w:val="bottom"/>
            </w:pPr>
            <w:r>
              <w:rPr>
                <w:rFonts w:ascii="Arial" w:eastAsia="宋体" w:hAnsi="Arial" w:cs="Arial"/>
                <w:color w:val="000000"/>
                <w:sz w:val="17"/>
                <w:szCs w:val="17"/>
              </w:rPr>
              <w:t>405 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95" w14:textId="77777777" w:rsidR="008A3BAC" w:rsidRDefault="008A3BAC">
            <w:pPr>
              <w:jc w:val="right"/>
              <w:rPr>
                <w:rFonts w:ascii="宋体"/>
              </w:rPr>
            </w:pPr>
          </w:p>
        </w:tc>
      </w:tr>
      <w:tr w:rsidR="008A3BAC" w14:paraId="26E9D7A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97"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98" w14:textId="77777777" w:rsidR="008A3BAC" w:rsidRDefault="005C75B9">
            <w:pPr>
              <w:jc w:val="right"/>
              <w:textAlignment w:val="bottom"/>
            </w:pPr>
            <w:r>
              <w:rPr>
                <w:rFonts w:ascii="Arial" w:eastAsia="宋体" w:hAnsi="Arial" w:cs="Arial"/>
                <w:color w:val="000000"/>
                <w:sz w:val="17"/>
                <w:szCs w:val="17"/>
              </w:rPr>
              <w:t>(412)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9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9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9B" w14:textId="77777777" w:rsidR="008A3BAC" w:rsidRDefault="005C75B9">
            <w:pPr>
              <w:jc w:val="right"/>
              <w:textAlignment w:val="bottom"/>
            </w:pPr>
            <w:r>
              <w:rPr>
                <w:rFonts w:ascii="Arial" w:eastAsia="宋体" w:hAnsi="Arial" w:cs="Arial"/>
                <w:color w:val="000000"/>
                <w:sz w:val="17"/>
                <w:szCs w:val="17"/>
              </w:rPr>
              <w:t>(482)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9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9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9E" w14:textId="77777777" w:rsidR="008A3BAC" w:rsidRDefault="005C75B9">
            <w:pPr>
              <w:jc w:val="right"/>
              <w:textAlignment w:val="bottom"/>
            </w:pPr>
            <w:r>
              <w:rPr>
                <w:rFonts w:ascii="Arial" w:eastAsia="宋体" w:hAnsi="Arial" w:cs="Arial"/>
                <w:color w:val="000000"/>
                <w:sz w:val="17"/>
                <w:szCs w:val="17"/>
              </w:rPr>
              <w:t>(1,460)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9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A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A1" w14:textId="77777777" w:rsidR="008A3BAC" w:rsidRDefault="005C75B9">
            <w:pPr>
              <w:jc w:val="right"/>
              <w:textAlignment w:val="bottom"/>
            </w:pPr>
            <w:r>
              <w:rPr>
                <w:rFonts w:ascii="Arial" w:eastAsia="宋体" w:hAnsi="Arial" w:cs="Arial"/>
                <w:color w:val="000000"/>
                <w:sz w:val="17"/>
                <w:szCs w:val="17"/>
              </w:rPr>
              <w:t>(1,697)</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A2" w14:textId="77777777" w:rsidR="008A3BAC" w:rsidRDefault="008A3BAC">
            <w:pPr>
              <w:jc w:val="right"/>
              <w:rPr>
                <w:rFonts w:ascii="宋体"/>
              </w:rPr>
            </w:pPr>
          </w:p>
        </w:tc>
      </w:tr>
      <w:tr w:rsidR="008A3BAC" w14:paraId="26E9D7B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7A4" w14:textId="77777777" w:rsidR="008A3BAC" w:rsidRDefault="005C75B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A5"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A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A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A8" w14:textId="77777777" w:rsidR="008A3BAC" w:rsidRDefault="005C75B9">
            <w:pPr>
              <w:jc w:val="right"/>
              <w:textAlignment w:val="bottom"/>
            </w:pPr>
            <w:r>
              <w:rPr>
                <w:rFonts w:ascii="Arial" w:eastAsia="宋体" w:hAnsi="Arial" w:cs="Arial"/>
                <w:color w:val="000000"/>
                <w:sz w:val="17"/>
                <w:szCs w:val="17"/>
              </w:rPr>
              <w:t>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A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A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AB" w14:textId="77777777" w:rsidR="008A3BAC" w:rsidRDefault="005C75B9">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A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A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AE" w14:textId="77777777" w:rsidR="008A3BAC" w:rsidRDefault="005C75B9">
            <w:pPr>
              <w:jc w:val="right"/>
              <w:textAlignment w:val="bottom"/>
            </w:pPr>
            <w:r>
              <w:rPr>
                <w:rFonts w:ascii="Arial" w:eastAsia="宋体" w:hAnsi="Arial" w:cs="Arial"/>
                <w:color w:val="000000"/>
                <w:sz w:val="17"/>
                <w:szCs w:val="17"/>
              </w:rPr>
              <w:t>199 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AF" w14:textId="77777777" w:rsidR="008A3BAC" w:rsidRDefault="008A3BAC">
            <w:pPr>
              <w:jc w:val="right"/>
              <w:rPr>
                <w:rFonts w:ascii="宋体"/>
              </w:rPr>
            </w:pPr>
          </w:p>
        </w:tc>
      </w:tr>
      <w:tr w:rsidR="008A3BAC" w14:paraId="26E9D7C1"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7B1" w14:textId="77777777" w:rsidR="008A3BAC" w:rsidRDefault="005C75B9">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7B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7B3" w14:textId="77777777" w:rsidR="008A3BAC" w:rsidRDefault="005C75B9">
            <w:pPr>
              <w:jc w:val="right"/>
              <w:textAlignment w:val="bottom"/>
            </w:pPr>
            <w:r>
              <w:rPr>
                <w:rFonts w:ascii="Arial" w:eastAsia="宋体" w:hAnsi="Arial" w:cs="Arial"/>
                <w:b/>
                <w:bCs/>
                <w:color w:val="000000"/>
                <w:sz w:val="17"/>
                <w:szCs w:val="17"/>
              </w:rPr>
              <w:t>1,670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7B4"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7B5"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7B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7B7" w14:textId="77777777" w:rsidR="008A3BAC" w:rsidRDefault="005C75B9">
            <w:pPr>
              <w:jc w:val="right"/>
              <w:textAlignment w:val="bottom"/>
            </w:pPr>
            <w:r>
              <w:rPr>
                <w:rFonts w:ascii="Arial" w:eastAsia="宋体" w:hAnsi="Arial" w:cs="Arial"/>
                <w:b/>
                <w:bCs/>
                <w:color w:val="000000"/>
                <w:sz w:val="17"/>
                <w:szCs w:val="17"/>
              </w:rPr>
              <w:t>1,636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7B8"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7B9"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7B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7BB" w14:textId="77777777" w:rsidR="008A3BAC" w:rsidRDefault="005C75B9">
            <w:pPr>
              <w:jc w:val="right"/>
              <w:textAlignment w:val="bottom"/>
            </w:pPr>
            <w:r>
              <w:rPr>
                <w:rFonts w:ascii="Arial" w:eastAsia="宋体" w:hAnsi="Arial" w:cs="Arial"/>
                <w:b/>
                <w:bCs/>
                <w:color w:val="000000"/>
                <w:sz w:val="17"/>
                <w:szCs w:val="17"/>
              </w:rPr>
              <w:t>5,277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7BC"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7BD"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7B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7BF" w14:textId="77777777" w:rsidR="008A3BAC" w:rsidRDefault="005C75B9">
            <w:pPr>
              <w:jc w:val="right"/>
              <w:textAlignment w:val="bottom"/>
            </w:pPr>
            <w:r>
              <w:rPr>
                <w:rFonts w:ascii="Arial" w:eastAsia="宋体" w:hAnsi="Arial" w:cs="Arial"/>
                <w:b/>
                <w:bCs/>
                <w:color w:val="000000"/>
                <w:sz w:val="17"/>
                <w:szCs w:val="17"/>
              </w:rPr>
              <w:t>4,807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7C0" w14:textId="77777777" w:rsidR="008A3BAC" w:rsidRDefault="008A3BAC">
            <w:pPr>
              <w:jc w:val="right"/>
              <w:rPr>
                <w:rFonts w:ascii="宋体"/>
              </w:rPr>
            </w:pPr>
          </w:p>
        </w:tc>
      </w:tr>
    </w:tbl>
    <w:p w14:paraId="26E9D7C2" w14:textId="77777777" w:rsidR="008A3BAC" w:rsidRDefault="008A3BAC">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8A3BAC" w14:paraId="26E9D7CF" w14:textId="77777777">
        <w:trPr>
          <w:jc w:val="center"/>
        </w:trPr>
        <w:tc>
          <w:tcPr>
            <w:tcW w:w="50" w:type="pct"/>
            <w:shd w:val="clear" w:color="auto" w:fill="auto"/>
            <w:vAlign w:val="bottom"/>
          </w:tcPr>
          <w:p w14:paraId="26E9D7C3" w14:textId="77777777" w:rsidR="008A3BAC" w:rsidRDefault="008A3BAC">
            <w:pPr>
              <w:rPr>
                <w:rFonts w:ascii="宋体"/>
              </w:rPr>
            </w:pPr>
          </w:p>
        </w:tc>
        <w:tc>
          <w:tcPr>
            <w:tcW w:w="3255" w:type="pct"/>
            <w:shd w:val="clear" w:color="auto" w:fill="auto"/>
            <w:vAlign w:val="bottom"/>
          </w:tcPr>
          <w:p w14:paraId="26E9D7C4" w14:textId="77777777" w:rsidR="008A3BAC" w:rsidRDefault="008A3BAC">
            <w:pPr>
              <w:rPr>
                <w:rFonts w:ascii="宋体"/>
              </w:rPr>
            </w:pPr>
          </w:p>
        </w:tc>
        <w:tc>
          <w:tcPr>
            <w:tcW w:w="5" w:type="pct"/>
            <w:shd w:val="clear" w:color="auto" w:fill="auto"/>
            <w:vAlign w:val="bottom"/>
          </w:tcPr>
          <w:p w14:paraId="26E9D7C5" w14:textId="77777777" w:rsidR="008A3BAC" w:rsidRDefault="008A3BAC">
            <w:pPr>
              <w:rPr>
                <w:rFonts w:ascii="宋体"/>
              </w:rPr>
            </w:pPr>
          </w:p>
        </w:tc>
        <w:tc>
          <w:tcPr>
            <w:tcW w:w="50" w:type="pct"/>
            <w:shd w:val="clear" w:color="auto" w:fill="auto"/>
            <w:vAlign w:val="bottom"/>
          </w:tcPr>
          <w:p w14:paraId="26E9D7C6" w14:textId="77777777" w:rsidR="008A3BAC" w:rsidRDefault="008A3BAC">
            <w:pPr>
              <w:rPr>
                <w:rFonts w:ascii="宋体"/>
              </w:rPr>
            </w:pPr>
          </w:p>
        </w:tc>
        <w:tc>
          <w:tcPr>
            <w:tcW w:w="770" w:type="pct"/>
            <w:shd w:val="clear" w:color="auto" w:fill="auto"/>
            <w:vAlign w:val="bottom"/>
          </w:tcPr>
          <w:p w14:paraId="26E9D7C7" w14:textId="77777777" w:rsidR="008A3BAC" w:rsidRDefault="008A3BAC">
            <w:pPr>
              <w:rPr>
                <w:rFonts w:ascii="宋体"/>
              </w:rPr>
            </w:pPr>
          </w:p>
        </w:tc>
        <w:tc>
          <w:tcPr>
            <w:tcW w:w="5" w:type="pct"/>
            <w:shd w:val="clear" w:color="auto" w:fill="auto"/>
            <w:vAlign w:val="bottom"/>
          </w:tcPr>
          <w:p w14:paraId="26E9D7C8" w14:textId="77777777" w:rsidR="008A3BAC" w:rsidRDefault="008A3BAC">
            <w:pPr>
              <w:rPr>
                <w:rFonts w:ascii="宋体"/>
              </w:rPr>
            </w:pPr>
          </w:p>
        </w:tc>
        <w:tc>
          <w:tcPr>
            <w:tcW w:w="5" w:type="pct"/>
            <w:shd w:val="clear" w:color="auto" w:fill="auto"/>
            <w:vAlign w:val="bottom"/>
          </w:tcPr>
          <w:p w14:paraId="26E9D7C9" w14:textId="77777777" w:rsidR="008A3BAC" w:rsidRDefault="008A3BAC">
            <w:pPr>
              <w:rPr>
                <w:rFonts w:ascii="宋体"/>
              </w:rPr>
            </w:pPr>
          </w:p>
        </w:tc>
        <w:tc>
          <w:tcPr>
            <w:tcW w:w="28" w:type="pct"/>
            <w:shd w:val="clear" w:color="auto" w:fill="auto"/>
            <w:vAlign w:val="bottom"/>
          </w:tcPr>
          <w:p w14:paraId="26E9D7CA" w14:textId="77777777" w:rsidR="008A3BAC" w:rsidRDefault="008A3BAC">
            <w:pPr>
              <w:rPr>
                <w:rFonts w:ascii="宋体"/>
              </w:rPr>
            </w:pPr>
          </w:p>
        </w:tc>
        <w:tc>
          <w:tcPr>
            <w:tcW w:w="5" w:type="pct"/>
            <w:shd w:val="clear" w:color="auto" w:fill="auto"/>
            <w:vAlign w:val="bottom"/>
          </w:tcPr>
          <w:p w14:paraId="26E9D7CB" w14:textId="77777777" w:rsidR="008A3BAC" w:rsidRDefault="008A3BAC">
            <w:pPr>
              <w:rPr>
                <w:rFonts w:ascii="宋体"/>
              </w:rPr>
            </w:pPr>
          </w:p>
        </w:tc>
        <w:tc>
          <w:tcPr>
            <w:tcW w:w="50" w:type="pct"/>
            <w:shd w:val="clear" w:color="auto" w:fill="auto"/>
            <w:vAlign w:val="bottom"/>
          </w:tcPr>
          <w:p w14:paraId="26E9D7CC" w14:textId="77777777" w:rsidR="008A3BAC" w:rsidRDefault="008A3BAC">
            <w:pPr>
              <w:rPr>
                <w:rFonts w:ascii="宋体"/>
              </w:rPr>
            </w:pPr>
          </w:p>
        </w:tc>
        <w:tc>
          <w:tcPr>
            <w:tcW w:w="770" w:type="pct"/>
            <w:shd w:val="clear" w:color="auto" w:fill="auto"/>
            <w:vAlign w:val="bottom"/>
          </w:tcPr>
          <w:p w14:paraId="26E9D7CD" w14:textId="77777777" w:rsidR="008A3BAC" w:rsidRDefault="008A3BAC">
            <w:pPr>
              <w:rPr>
                <w:rFonts w:ascii="宋体"/>
              </w:rPr>
            </w:pPr>
          </w:p>
        </w:tc>
        <w:tc>
          <w:tcPr>
            <w:tcW w:w="5" w:type="pct"/>
            <w:shd w:val="clear" w:color="auto" w:fill="auto"/>
            <w:vAlign w:val="bottom"/>
          </w:tcPr>
          <w:p w14:paraId="26E9D7CE" w14:textId="77777777" w:rsidR="008A3BAC" w:rsidRDefault="008A3BAC">
            <w:pPr>
              <w:rPr>
                <w:rFonts w:ascii="宋体"/>
              </w:rPr>
            </w:pPr>
          </w:p>
        </w:tc>
      </w:tr>
      <w:tr w:rsidR="008A3BAC" w14:paraId="26E9D7D4" w14:textId="77777777">
        <w:trPr>
          <w:jc w:val="center"/>
        </w:trPr>
        <w:tc>
          <w:tcPr>
            <w:tcW w:w="0" w:type="auto"/>
            <w:gridSpan w:val="3"/>
            <w:shd w:val="clear" w:color="auto" w:fill="auto"/>
            <w:tcMar>
              <w:top w:w="0" w:type="dxa"/>
              <w:left w:w="20" w:type="dxa"/>
              <w:bottom w:w="0" w:type="dxa"/>
              <w:right w:w="20" w:type="dxa"/>
            </w:tcMar>
            <w:vAlign w:val="bottom"/>
          </w:tcPr>
          <w:p w14:paraId="26E9D7D0"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D7D1"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vAlign w:val="bottom"/>
          </w:tcPr>
          <w:p w14:paraId="26E9D7D2"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D7D3"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D7D9" w14:textId="77777777">
        <w:trPr>
          <w:jc w:val="center"/>
        </w:trPr>
        <w:tc>
          <w:tcPr>
            <w:tcW w:w="0" w:type="auto"/>
            <w:gridSpan w:val="3"/>
            <w:shd w:val="clear" w:color="auto" w:fill="auto"/>
            <w:tcMar>
              <w:top w:w="40" w:type="dxa"/>
              <w:left w:w="20" w:type="dxa"/>
              <w:bottom w:w="40" w:type="dxa"/>
              <w:right w:w="20" w:type="dxa"/>
            </w:tcMar>
            <w:vAlign w:val="bottom"/>
          </w:tcPr>
          <w:p w14:paraId="26E9D7D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D6"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D7D7"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D8"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D7D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7DA" w14:textId="77777777" w:rsidR="008A3BAC" w:rsidRDefault="005C75B9">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7D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D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7DD" w14:textId="77777777" w:rsidR="008A3BAC" w:rsidRDefault="008A3BAC">
            <w:pPr>
              <w:rPr>
                <w:rFonts w:ascii="宋体"/>
              </w:rPr>
            </w:pPr>
          </w:p>
        </w:tc>
      </w:tr>
      <w:tr w:rsidR="008A3BAC" w14:paraId="26E9D7E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DF"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7E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7E1" w14:textId="77777777" w:rsidR="008A3BAC" w:rsidRDefault="005C75B9">
            <w:pPr>
              <w:jc w:val="right"/>
              <w:textAlignment w:val="bottom"/>
            </w:pPr>
            <w:r>
              <w:rPr>
                <w:rFonts w:ascii="Arial" w:eastAsia="宋体" w:hAnsi="Arial" w:cs="Arial"/>
                <w:color w:val="000000"/>
                <w:sz w:val="17"/>
                <w:szCs w:val="17"/>
              </w:rPr>
              <w:t>1,268 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E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E3"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7E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7E5" w14:textId="77777777" w:rsidR="008A3BAC" w:rsidRDefault="005C75B9">
            <w:pPr>
              <w:jc w:val="right"/>
              <w:textAlignment w:val="bottom"/>
            </w:pPr>
            <w:r>
              <w:rPr>
                <w:rFonts w:ascii="Arial" w:eastAsia="宋体" w:hAnsi="Arial" w:cs="Arial"/>
                <w:color w:val="000000"/>
                <w:sz w:val="17"/>
                <w:szCs w:val="17"/>
              </w:rPr>
              <w:t>1,777 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E6" w14:textId="77777777" w:rsidR="008A3BAC" w:rsidRDefault="008A3BAC">
            <w:pPr>
              <w:jc w:val="right"/>
              <w:rPr>
                <w:rFonts w:ascii="宋体"/>
              </w:rPr>
            </w:pPr>
          </w:p>
        </w:tc>
      </w:tr>
      <w:tr w:rsidR="008A3BAC" w14:paraId="26E9D7E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E8" w14:textId="77777777" w:rsidR="008A3BAC" w:rsidRDefault="005C75B9">
            <w:pPr>
              <w:textAlignment w:val="bottom"/>
            </w:pPr>
            <w:r>
              <w:rPr>
                <w:rFonts w:ascii="Arial" w:eastAsia="宋体" w:hAnsi="Arial" w:cs="Arial"/>
                <w:color w:val="000000"/>
                <w:sz w:val="17"/>
                <w:szCs w:val="17"/>
              </w:rPr>
              <w:t xml:space="preserve">Europe, Middle </w:t>
            </w:r>
            <w:r>
              <w:rPr>
                <w:rFonts w:ascii="Arial" w:eastAsia="宋体" w:hAnsi="Arial" w:cs="Arial"/>
                <w:color w:val="000000"/>
                <w:sz w:val="17"/>
                <w:szCs w:val="17"/>
              </w:rPr>
              <w:t>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E9" w14:textId="77777777" w:rsidR="008A3BAC" w:rsidRDefault="005C75B9">
            <w:pPr>
              <w:jc w:val="right"/>
              <w:textAlignment w:val="bottom"/>
            </w:pPr>
            <w:r>
              <w:rPr>
                <w:rFonts w:ascii="Arial" w:eastAsia="宋体" w:hAnsi="Arial" w:cs="Arial"/>
                <w:color w:val="000000"/>
                <w:sz w:val="17"/>
                <w:szCs w:val="17"/>
              </w:rPr>
              <w:t>1,189 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E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EB"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EC" w14:textId="77777777" w:rsidR="008A3BAC" w:rsidRDefault="005C75B9">
            <w:pPr>
              <w:jc w:val="right"/>
              <w:textAlignment w:val="bottom"/>
            </w:pPr>
            <w:r>
              <w:rPr>
                <w:rFonts w:ascii="Arial" w:eastAsia="宋体" w:hAnsi="Arial" w:cs="Arial"/>
                <w:color w:val="000000"/>
                <w:sz w:val="17"/>
                <w:szCs w:val="17"/>
              </w:rPr>
              <w:t>1,349 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ED" w14:textId="77777777" w:rsidR="008A3BAC" w:rsidRDefault="008A3BAC">
            <w:pPr>
              <w:jc w:val="right"/>
              <w:rPr>
                <w:rFonts w:ascii="宋体"/>
              </w:rPr>
            </w:pPr>
          </w:p>
        </w:tc>
      </w:tr>
      <w:tr w:rsidR="008A3BAC" w14:paraId="26E9D7F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EF"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F0" w14:textId="77777777" w:rsidR="008A3BAC" w:rsidRDefault="005C75B9">
            <w:pPr>
              <w:jc w:val="right"/>
              <w:textAlignment w:val="bottom"/>
            </w:pPr>
            <w:r>
              <w:rPr>
                <w:rFonts w:ascii="Arial" w:eastAsia="宋体" w:hAnsi="Arial" w:cs="Arial"/>
                <w:color w:val="000000"/>
                <w:sz w:val="17"/>
                <w:szCs w:val="17"/>
              </w:rPr>
              <w:t>359 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F1"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F2"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F3" w14:textId="77777777" w:rsidR="008A3BAC" w:rsidRDefault="005C75B9">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F4" w14:textId="77777777" w:rsidR="008A3BAC" w:rsidRDefault="008A3BAC">
            <w:pPr>
              <w:jc w:val="right"/>
              <w:rPr>
                <w:rFonts w:ascii="宋体"/>
              </w:rPr>
            </w:pPr>
          </w:p>
        </w:tc>
      </w:tr>
      <w:tr w:rsidR="008A3BAC" w14:paraId="26E9D7FC"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7F6" w14:textId="77777777" w:rsidR="008A3BAC" w:rsidRDefault="005C75B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F7" w14:textId="77777777" w:rsidR="008A3BAC" w:rsidRDefault="005C75B9">
            <w:pPr>
              <w:jc w:val="right"/>
              <w:textAlignment w:val="bottom"/>
            </w:pPr>
            <w:r>
              <w:rPr>
                <w:rFonts w:ascii="Arial" w:eastAsia="宋体" w:hAnsi="Arial" w:cs="Arial"/>
                <w:color w:val="000000"/>
                <w:sz w:val="17"/>
                <w:szCs w:val="17"/>
              </w:rPr>
              <w:t>599 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F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7F9"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7FA" w14:textId="77777777" w:rsidR="008A3BAC" w:rsidRDefault="005C75B9">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7FB" w14:textId="77777777" w:rsidR="008A3BAC" w:rsidRDefault="008A3BAC">
            <w:pPr>
              <w:jc w:val="right"/>
              <w:rPr>
                <w:rFonts w:ascii="宋体"/>
              </w:rPr>
            </w:pPr>
          </w:p>
        </w:tc>
      </w:tr>
      <w:tr w:rsidR="008A3BAC" w14:paraId="26E9D80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7FD"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7FE" w14:textId="77777777" w:rsidR="008A3BAC" w:rsidRDefault="005C75B9">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7FF"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00"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01" w14:textId="77777777" w:rsidR="008A3BAC" w:rsidRDefault="005C75B9">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02" w14:textId="77777777" w:rsidR="008A3BAC" w:rsidRDefault="008A3BAC">
            <w:pPr>
              <w:jc w:val="right"/>
              <w:rPr>
                <w:rFonts w:ascii="宋体"/>
              </w:rPr>
            </w:pPr>
          </w:p>
        </w:tc>
      </w:tr>
      <w:tr w:rsidR="008A3BAC" w14:paraId="26E9D80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04" w14:textId="77777777" w:rsidR="008A3BAC" w:rsidRDefault="005C75B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805" w14:textId="77777777" w:rsidR="008A3BAC" w:rsidRDefault="005C75B9">
            <w:pPr>
              <w:jc w:val="right"/>
              <w:textAlignment w:val="bottom"/>
            </w:pPr>
            <w:r>
              <w:rPr>
                <w:rFonts w:ascii="Arial" w:eastAsia="宋体" w:hAnsi="Arial" w:cs="Arial"/>
                <w:color w:val="000000"/>
                <w:sz w:val="17"/>
                <w:szCs w:val="17"/>
              </w:rPr>
              <w:t>3,521 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806"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07"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808" w14:textId="77777777" w:rsidR="008A3BAC" w:rsidRDefault="005C75B9">
            <w:pPr>
              <w:jc w:val="right"/>
              <w:textAlignment w:val="bottom"/>
            </w:pPr>
            <w:r>
              <w:rPr>
                <w:rFonts w:ascii="Arial" w:eastAsia="宋体" w:hAnsi="Arial" w:cs="Arial"/>
                <w:color w:val="000000"/>
                <w:sz w:val="17"/>
                <w:szCs w:val="17"/>
              </w:rPr>
              <w:t>4,185 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809" w14:textId="77777777" w:rsidR="008A3BAC" w:rsidRDefault="008A3BAC">
            <w:pPr>
              <w:jc w:val="right"/>
              <w:rPr>
                <w:rFonts w:ascii="宋体"/>
              </w:rPr>
            </w:pPr>
          </w:p>
        </w:tc>
      </w:tr>
      <w:tr w:rsidR="008A3BAC" w14:paraId="26E9D81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0B"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0C" w14:textId="77777777" w:rsidR="008A3BAC" w:rsidRDefault="005C75B9">
            <w:pPr>
              <w:jc w:val="right"/>
              <w:textAlignment w:val="bottom"/>
            </w:pPr>
            <w:r>
              <w:rPr>
                <w:rFonts w:ascii="Arial" w:eastAsia="宋体" w:hAnsi="Arial" w:cs="Arial"/>
                <w:color w:val="000000"/>
                <w:sz w:val="17"/>
                <w:szCs w:val="17"/>
              </w:rPr>
              <w:t>256 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0D"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0E"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0F" w14:textId="77777777" w:rsidR="008A3BAC" w:rsidRDefault="005C75B9">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10" w14:textId="77777777" w:rsidR="008A3BAC" w:rsidRDefault="008A3BAC">
            <w:pPr>
              <w:jc w:val="right"/>
              <w:rPr>
                <w:rFonts w:ascii="宋体"/>
              </w:rPr>
            </w:pPr>
          </w:p>
        </w:tc>
      </w:tr>
      <w:tr w:rsidR="008A3BAC" w14:paraId="26E9D81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12"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13" w14:textId="77777777" w:rsidR="008A3BAC" w:rsidRDefault="005C75B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1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15"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16"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17" w14:textId="77777777" w:rsidR="008A3BAC" w:rsidRDefault="008A3BAC">
            <w:pPr>
              <w:jc w:val="right"/>
              <w:rPr>
                <w:rFonts w:ascii="宋体"/>
              </w:rPr>
            </w:pPr>
          </w:p>
        </w:tc>
      </w:tr>
      <w:tr w:rsidR="008A3BAC" w14:paraId="26E9D82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19" w14:textId="77777777" w:rsidR="008A3BAC" w:rsidRDefault="005C75B9">
            <w:pPr>
              <w:textAlignment w:val="bottom"/>
            </w:pPr>
            <w:r>
              <w:rPr>
                <w:rFonts w:ascii="Arial" w:eastAsia="宋体" w:hAnsi="Arial" w:cs="Arial"/>
                <w:b/>
                <w:bCs/>
                <w:color w:val="000000"/>
                <w:sz w:val="17"/>
                <w:szCs w:val="17"/>
              </w:rPr>
              <w:t xml:space="preserve">TOTAL ACCOUNTS </w:t>
            </w:r>
            <w:r>
              <w:rPr>
                <w:rFonts w:ascii="Arial" w:eastAsia="宋体" w:hAnsi="Arial" w:cs="Arial"/>
                <w:b/>
                <w:bCs/>
                <w:color w:val="000000"/>
                <w:sz w:val="17"/>
                <w:szCs w:val="17"/>
              </w:rPr>
              <w:t>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81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81B" w14:textId="77777777" w:rsidR="008A3BAC" w:rsidRDefault="005C75B9">
            <w:pPr>
              <w:jc w:val="right"/>
              <w:textAlignment w:val="bottom"/>
            </w:pPr>
            <w:r>
              <w:rPr>
                <w:rFonts w:ascii="Arial" w:eastAsia="宋体" w:hAnsi="Arial" w:cs="Arial"/>
                <w:b/>
                <w:bCs/>
                <w:color w:val="000000"/>
                <w:sz w:val="17"/>
                <w:szCs w:val="17"/>
              </w:rPr>
              <w:t>3,827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81C"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1D" w14:textId="77777777" w:rsidR="008A3BAC" w:rsidRDefault="008A3BAC">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81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81F" w14:textId="77777777" w:rsidR="008A3BAC" w:rsidRDefault="005C75B9">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820" w14:textId="77777777" w:rsidR="008A3BAC" w:rsidRDefault="008A3BAC">
            <w:pPr>
              <w:jc w:val="right"/>
              <w:rPr>
                <w:rFonts w:ascii="宋体"/>
              </w:rPr>
            </w:pPr>
          </w:p>
        </w:tc>
      </w:tr>
      <w:tr w:rsidR="008A3BAC" w14:paraId="26E9D82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22" w14:textId="77777777" w:rsidR="008A3BAC" w:rsidRDefault="005C75B9">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82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2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25" w14:textId="77777777" w:rsidR="008A3BAC" w:rsidRDefault="008A3BAC">
            <w:pPr>
              <w:rPr>
                <w:rFonts w:ascii="宋体"/>
              </w:rPr>
            </w:pPr>
          </w:p>
        </w:tc>
      </w:tr>
      <w:tr w:rsidR="008A3BAC" w14:paraId="26E9D82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27"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82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829" w14:textId="77777777" w:rsidR="008A3BAC" w:rsidRDefault="005C75B9">
            <w:pPr>
              <w:jc w:val="right"/>
              <w:textAlignment w:val="bottom"/>
            </w:pPr>
            <w:r>
              <w:rPr>
                <w:rFonts w:ascii="Arial" w:eastAsia="宋体" w:hAnsi="Arial" w:cs="Arial"/>
                <w:color w:val="000000"/>
                <w:sz w:val="17"/>
                <w:szCs w:val="17"/>
              </w:rPr>
              <w:t>3,541 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2A"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2B"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82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82D" w14:textId="77777777" w:rsidR="008A3BAC" w:rsidRDefault="005C75B9">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2E" w14:textId="77777777" w:rsidR="008A3BAC" w:rsidRDefault="008A3BAC">
            <w:pPr>
              <w:jc w:val="right"/>
              <w:rPr>
                <w:rFonts w:ascii="宋体"/>
              </w:rPr>
            </w:pPr>
          </w:p>
        </w:tc>
      </w:tr>
      <w:tr w:rsidR="008A3BAC" w14:paraId="26E9D83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30"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31" w14:textId="77777777" w:rsidR="008A3BAC" w:rsidRDefault="005C75B9">
            <w:pPr>
              <w:jc w:val="right"/>
              <w:textAlignment w:val="bottom"/>
            </w:pPr>
            <w:r>
              <w:rPr>
                <w:rFonts w:ascii="Arial" w:eastAsia="宋体" w:hAnsi="Arial" w:cs="Arial"/>
                <w:color w:val="000000"/>
                <w:sz w:val="17"/>
                <w:szCs w:val="17"/>
              </w:rPr>
              <w:t>1,737 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32"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33"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34" w14:textId="77777777" w:rsidR="008A3BAC" w:rsidRDefault="005C75B9">
            <w:pPr>
              <w:jc w:val="right"/>
              <w:textAlignment w:val="bottom"/>
            </w:pPr>
            <w:r>
              <w:rPr>
                <w:rFonts w:ascii="Arial" w:eastAsia="宋体" w:hAnsi="Arial" w:cs="Arial"/>
                <w:color w:val="000000"/>
                <w:sz w:val="17"/>
                <w:szCs w:val="17"/>
              </w:rPr>
              <w:t>1,821 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35" w14:textId="77777777" w:rsidR="008A3BAC" w:rsidRDefault="008A3BAC">
            <w:pPr>
              <w:jc w:val="right"/>
              <w:rPr>
                <w:rFonts w:ascii="宋体"/>
              </w:rPr>
            </w:pPr>
          </w:p>
        </w:tc>
      </w:tr>
      <w:tr w:rsidR="008A3BAC" w14:paraId="26E9D83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37"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38" w14:textId="77777777" w:rsidR="008A3BAC" w:rsidRDefault="005C75B9">
            <w:pPr>
              <w:jc w:val="right"/>
              <w:textAlignment w:val="bottom"/>
            </w:pPr>
            <w:r>
              <w:rPr>
                <w:rFonts w:ascii="Arial" w:eastAsia="宋体" w:hAnsi="Arial" w:cs="Arial"/>
                <w:color w:val="000000"/>
                <w:sz w:val="17"/>
                <w:szCs w:val="17"/>
              </w:rPr>
              <w:t>1,105 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3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3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3B" w14:textId="77777777" w:rsidR="008A3BAC" w:rsidRDefault="005C75B9">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3C" w14:textId="77777777" w:rsidR="008A3BAC" w:rsidRDefault="008A3BAC">
            <w:pPr>
              <w:jc w:val="right"/>
              <w:rPr>
                <w:rFonts w:ascii="宋体"/>
              </w:rPr>
            </w:pPr>
          </w:p>
        </w:tc>
      </w:tr>
      <w:tr w:rsidR="008A3BAC" w14:paraId="26E9D84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83E" w14:textId="77777777" w:rsidR="008A3BAC" w:rsidRDefault="005C75B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3F" w14:textId="77777777" w:rsidR="008A3BAC" w:rsidRDefault="005C75B9">
            <w:pPr>
              <w:jc w:val="right"/>
              <w:textAlignment w:val="bottom"/>
            </w:pPr>
            <w:r>
              <w:rPr>
                <w:rFonts w:ascii="Arial" w:eastAsia="宋体" w:hAnsi="Arial" w:cs="Arial"/>
                <w:color w:val="000000"/>
                <w:sz w:val="17"/>
                <w:szCs w:val="17"/>
              </w:rPr>
              <w:t>721 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4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41"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42" w14:textId="77777777" w:rsidR="008A3BAC" w:rsidRDefault="005C75B9">
            <w:pPr>
              <w:jc w:val="right"/>
              <w:textAlignment w:val="bottom"/>
            </w:pPr>
            <w:r>
              <w:rPr>
                <w:rFonts w:ascii="Arial" w:eastAsia="宋体" w:hAnsi="Arial" w:cs="Arial"/>
                <w:color w:val="000000"/>
                <w:sz w:val="17"/>
                <w:szCs w:val="17"/>
              </w:rPr>
              <w:t>667 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43" w14:textId="77777777" w:rsidR="008A3BAC" w:rsidRDefault="008A3BAC">
            <w:pPr>
              <w:jc w:val="right"/>
              <w:rPr>
                <w:rFonts w:ascii="宋体"/>
              </w:rPr>
            </w:pPr>
          </w:p>
        </w:tc>
      </w:tr>
      <w:tr w:rsidR="008A3BAC" w14:paraId="26E9D84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45"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46" w14:textId="77777777" w:rsidR="008A3BAC" w:rsidRDefault="005C75B9">
            <w:pPr>
              <w:jc w:val="right"/>
              <w:textAlignment w:val="bottom"/>
            </w:pPr>
            <w:r>
              <w:rPr>
                <w:rFonts w:ascii="Arial" w:eastAsia="宋体" w:hAnsi="Arial" w:cs="Arial"/>
                <w:color w:val="000000"/>
                <w:sz w:val="17"/>
                <w:szCs w:val="17"/>
              </w:rPr>
              <w:t>208 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47"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48"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49" w14:textId="77777777" w:rsidR="008A3BAC" w:rsidRDefault="005C75B9">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4A" w14:textId="77777777" w:rsidR="008A3BAC" w:rsidRDefault="008A3BAC">
            <w:pPr>
              <w:jc w:val="right"/>
              <w:rPr>
                <w:rFonts w:ascii="宋体"/>
              </w:rPr>
            </w:pPr>
          </w:p>
        </w:tc>
      </w:tr>
      <w:tr w:rsidR="008A3BAC" w14:paraId="26E9D85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4C" w14:textId="77777777" w:rsidR="008A3BAC" w:rsidRDefault="005C75B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84D" w14:textId="77777777" w:rsidR="008A3BAC" w:rsidRDefault="005C75B9">
            <w:pPr>
              <w:jc w:val="right"/>
              <w:textAlignment w:val="bottom"/>
            </w:pPr>
            <w:r>
              <w:rPr>
                <w:rFonts w:ascii="Arial" w:eastAsia="宋体" w:hAnsi="Arial" w:cs="Arial"/>
                <w:color w:val="000000"/>
                <w:sz w:val="17"/>
                <w:szCs w:val="17"/>
              </w:rPr>
              <w:t>7,312 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84E"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4F"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850" w14:textId="77777777" w:rsidR="008A3BAC" w:rsidRDefault="005C75B9">
            <w:pPr>
              <w:jc w:val="right"/>
              <w:textAlignment w:val="bottom"/>
            </w:pPr>
            <w:r>
              <w:rPr>
                <w:rFonts w:ascii="Arial" w:eastAsia="宋体" w:hAnsi="Arial" w:cs="Arial"/>
                <w:color w:val="000000"/>
                <w:sz w:val="17"/>
                <w:szCs w:val="17"/>
              </w:rPr>
              <w:t>6,739 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851" w14:textId="77777777" w:rsidR="008A3BAC" w:rsidRDefault="008A3BAC">
            <w:pPr>
              <w:jc w:val="right"/>
              <w:rPr>
                <w:rFonts w:ascii="宋体"/>
              </w:rPr>
            </w:pPr>
          </w:p>
        </w:tc>
      </w:tr>
      <w:tr w:rsidR="008A3BAC" w14:paraId="26E9D85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53"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54" w14:textId="77777777" w:rsidR="008A3BAC" w:rsidRDefault="005C75B9">
            <w:pPr>
              <w:jc w:val="right"/>
              <w:textAlignment w:val="bottom"/>
            </w:pPr>
            <w:r>
              <w:rPr>
                <w:rFonts w:ascii="Arial" w:eastAsia="宋体" w:hAnsi="Arial" w:cs="Arial"/>
                <w:color w:val="000000"/>
                <w:sz w:val="17"/>
                <w:szCs w:val="17"/>
              </w:rPr>
              <w:t>264 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5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56"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57" w14:textId="77777777" w:rsidR="008A3BAC" w:rsidRDefault="005C75B9">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58" w14:textId="77777777" w:rsidR="008A3BAC" w:rsidRDefault="008A3BAC">
            <w:pPr>
              <w:jc w:val="right"/>
              <w:rPr>
                <w:rFonts w:ascii="宋体"/>
              </w:rPr>
            </w:pPr>
          </w:p>
        </w:tc>
      </w:tr>
      <w:tr w:rsidR="008A3BAC" w14:paraId="26E9D86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5A"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5B" w14:textId="77777777" w:rsidR="008A3BAC" w:rsidRDefault="005C75B9">
            <w:pPr>
              <w:jc w:val="right"/>
              <w:textAlignment w:val="bottom"/>
            </w:pPr>
            <w:r>
              <w:rPr>
                <w:rFonts w:ascii="Arial" w:eastAsia="宋体" w:hAnsi="Arial" w:cs="Arial"/>
                <w:color w:val="000000"/>
                <w:sz w:val="17"/>
                <w:szCs w:val="17"/>
              </w:rPr>
              <w:t>124 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5C"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5D"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5E" w14:textId="77777777" w:rsidR="008A3BAC" w:rsidRDefault="005C75B9">
            <w:pPr>
              <w:jc w:val="right"/>
              <w:textAlignment w:val="bottom"/>
            </w:pPr>
            <w:r>
              <w:rPr>
                <w:rFonts w:ascii="Arial" w:eastAsia="宋体" w:hAnsi="Arial" w:cs="Arial"/>
                <w:color w:val="000000"/>
                <w:sz w:val="17"/>
                <w:szCs w:val="17"/>
              </w:rPr>
              <w:t>(175)</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5F" w14:textId="77777777" w:rsidR="008A3BAC" w:rsidRDefault="008A3BAC">
            <w:pPr>
              <w:jc w:val="right"/>
              <w:rPr>
                <w:rFonts w:ascii="宋体"/>
              </w:rPr>
            </w:pPr>
          </w:p>
        </w:tc>
      </w:tr>
      <w:tr w:rsidR="008A3BAC" w14:paraId="26E9D86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861" w14:textId="77777777" w:rsidR="008A3BAC" w:rsidRDefault="005C75B9">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86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863" w14:textId="77777777" w:rsidR="008A3BAC" w:rsidRDefault="005C75B9">
            <w:pPr>
              <w:jc w:val="right"/>
              <w:textAlignment w:val="bottom"/>
            </w:pPr>
            <w:r>
              <w:rPr>
                <w:rFonts w:ascii="Arial" w:eastAsia="宋体" w:hAnsi="Arial" w:cs="Arial"/>
                <w:b/>
                <w:bCs/>
                <w:color w:val="000000"/>
                <w:sz w:val="17"/>
                <w:szCs w:val="17"/>
              </w:rPr>
              <w:t>7,700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864"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865"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86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867" w14:textId="77777777" w:rsidR="008A3BAC" w:rsidRDefault="005C75B9">
            <w:pPr>
              <w:jc w:val="right"/>
              <w:textAlignment w:val="bottom"/>
            </w:pPr>
            <w:r>
              <w:rPr>
                <w:rFonts w:ascii="Arial" w:eastAsia="宋体" w:hAnsi="Arial" w:cs="Arial"/>
                <w:b/>
                <w:bCs/>
                <w:color w:val="000000"/>
                <w:sz w:val="17"/>
                <w:szCs w:val="17"/>
              </w:rPr>
              <w:t>6,854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868" w14:textId="77777777" w:rsidR="008A3BAC" w:rsidRDefault="008A3BAC">
            <w:pPr>
              <w:jc w:val="right"/>
              <w:rPr>
                <w:rFonts w:ascii="宋体"/>
              </w:rPr>
            </w:pPr>
          </w:p>
        </w:tc>
      </w:tr>
    </w:tbl>
    <w:p w14:paraId="26E9D86A" w14:textId="77777777" w:rsidR="008A3BAC" w:rsidRDefault="005C75B9">
      <w:pPr>
        <w:spacing w:before="120" w:after="120"/>
        <w:jc w:val="right"/>
      </w:pPr>
      <w:r>
        <w:rPr>
          <w:rFonts w:ascii="Arial" w:eastAsia="宋体" w:hAnsi="Arial" w:cs="Arial"/>
          <w:color w:val="E87722"/>
          <w:sz w:val="17"/>
          <w:szCs w:val="17"/>
        </w:rPr>
        <w:t>23</w:t>
      </w:r>
    </w:p>
    <w:p w14:paraId="26E9D86B" w14:textId="77777777" w:rsidR="008A3BAC" w:rsidRDefault="005C75B9">
      <w:r>
        <w:pict w14:anchorId="26E9E85E">
          <v:rect id="_x0000_i1049" style="width:415.3pt;height:1.5pt" o:hralign="center" o:hrstd="t" o:hr="t" fillcolor="#a0a0a0" stroked="f"/>
        </w:pict>
      </w:r>
    </w:p>
    <w:p w14:paraId="26E9D86C" w14:textId="77777777" w:rsidR="008A3BAC" w:rsidRDefault="008A3BAC"/>
    <w:p w14:paraId="26E9D86D" w14:textId="77777777" w:rsidR="008A3BAC" w:rsidRDefault="005C75B9">
      <w:hyperlink r:id="rId94" w:anchor="i46aba51c6a804f42b3595948c57d2023_7" w:history="1">
        <w:r>
          <w:rPr>
            <w:rStyle w:val="a5"/>
            <w:rFonts w:ascii="sans-serif" w:eastAsia="sans-serif" w:hAnsi="sans-serif" w:cs="sans-serif"/>
            <w:sz w:val="17"/>
            <w:szCs w:val="17"/>
          </w:rPr>
          <w:t>Table of Contents</w:t>
        </w:r>
      </w:hyperlink>
    </w:p>
    <w:p w14:paraId="26E9D86E" w14:textId="77777777" w:rsidR="008A3BAC" w:rsidRDefault="008A3BAC"/>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8A3BAC" w14:paraId="26E9D87B" w14:textId="77777777">
        <w:trPr>
          <w:jc w:val="center"/>
        </w:trPr>
        <w:tc>
          <w:tcPr>
            <w:tcW w:w="50" w:type="pct"/>
            <w:shd w:val="clear" w:color="auto" w:fill="auto"/>
            <w:vAlign w:val="bottom"/>
          </w:tcPr>
          <w:p w14:paraId="26E9D86F" w14:textId="77777777" w:rsidR="008A3BAC" w:rsidRDefault="008A3BAC">
            <w:pPr>
              <w:rPr>
                <w:rFonts w:ascii="宋体"/>
              </w:rPr>
            </w:pPr>
          </w:p>
        </w:tc>
        <w:tc>
          <w:tcPr>
            <w:tcW w:w="3255" w:type="pct"/>
            <w:shd w:val="clear" w:color="auto" w:fill="auto"/>
            <w:vAlign w:val="bottom"/>
          </w:tcPr>
          <w:p w14:paraId="26E9D870" w14:textId="77777777" w:rsidR="008A3BAC" w:rsidRDefault="008A3BAC">
            <w:pPr>
              <w:rPr>
                <w:rFonts w:ascii="宋体"/>
              </w:rPr>
            </w:pPr>
          </w:p>
        </w:tc>
        <w:tc>
          <w:tcPr>
            <w:tcW w:w="5" w:type="pct"/>
            <w:shd w:val="clear" w:color="auto" w:fill="auto"/>
            <w:vAlign w:val="bottom"/>
          </w:tcPr>
          <w:p w14:paraId="26E9D871" w14:textId="77777777" w:rsidR="008A3BAC" w:rsidRDefault="008A3BAC">
            <w:pPr>
              <w:rPr>
                <w:rFonts w:ascii="宋体"/>
              </w:rPr>
            </w:pPr>
          </w:p>
        </w:tc>
        <w:tc>
          <w:tcPr>
            <w:tcW w:w="50" w:type="pct"/>
            <w:shd w:val="clear" w:color="auto" w:fill="auto"/>
            <w:vAlign w:val="bottom"/>
          </w:tcPr>
          <w:p w14:paraId="26E9D872" w14:textId="77777777" w:rsidR="008A3BAC" w:rsidRDefault="008A3BAC">
            <w:pPr>
              <w:rPr>
                <w:rFonts w:ascii="宋体"/>
              </w:rPr>
            </w:pPr>
          </w:p>
        </w:tc>
        <w:tc>
          <w:tcPr>
            <w:tcW w:w="770" w:type="pct"/>
            <w:shd w:val="clear" w:color="auto" w:fill="auto"/>
            <w:vAlign w:val="bottom"/>
          </w:tcPr>
          <w:p w14:paraId="26E9D873" w14:textId="77777777" w:rsidR="008A3BAC" w:rsidRDefault="008A3BAC">
            <w:pPr>
              <w:rPr>
                <w:rFonts w:ascii="宋体"/>
              </w:rPr>
            </w:pPr>
          </w:p>
        </w:tc>
        <w:tc>
          <w:tcPr>
            <w:tcW w:w="5" w:type="pct"/>
            <w:shd w:val="clear" w:color="auto" w:fill="auto"/>
            <w:vAlign w:val="bottom"/>
          </w:tcPr>
          <w:p w14:paraId="26E9D874" w14:textId="77777777" w:rsidR="008A3BAC" w:rsidRDefault="008A3BAC">
            <w:pPr>
              <w:rPr>
                <w:rFonts w:ascii="宋体"/>
              </w:rPr>
            </w:pPr>
          </w:p>
        </w:tc>
        <w:tc>
          <w:tcPr>
            <w:tcW w:w="5" w:type="pct"/>
            <w:shd w:val="clear" w:color="auto" w:fill="auto"/>
            <w:vAlign w:val="bottom"/>
          </w:tcPr>
          <w:p w14:paraId="26E9D875" w14:textId="77777777" w:rsidR="008A3BAC" w:rsidRDefault="008A3BAC">
            <w:pPr>
              <w:rPr>
                <w:rFonts w:ascii="宋体"/>
              </w:rPr>
            </w:pPr>
          </w:p>
        </w:tc>
        <w:tc>
          <w:tcPr>
            <w:tcW w:w="28" w:type="pct"/>
            <w:shd w:val="clear" w:color="auto" w:fill="auto"/>
            <w:vAlign w:val="bottom"/>
          </w:tcPr>
          <w:p w14:paraId="26E9D876" w14:textId="77777777" w:rsidR="008A3BAC" w:rsidRDefault="008A3BAC">
            <w:pPr>
              <w:rPr>
                <w:rFonts w:ascii="宋体"/>
              </w:rPr>
            </w:pPr>
          </w:p>
        </w:tc>
        <w:tc>
          <w:tcPr>
            <w:tcW w:w="5" w:type="pct"/>
            <w:shd w:val="clear" w:color="auto" w:fill="auto"/>
            <w:vAlign w:val="bottom"/>
          </w:tcPr>
          <w:p w14:paraId="26E9D877" w14:textId="77777777" w:rsidR="008A3BAC" w:rsidRDefault="008A3BAC">
            <w:pPr>
              <w:rPr>
                <w:rFonts w:ascii="宋体"/>
              </w:rPr>
            </w:pPr>
          </w:p>
        </w:tc>
        <w:tc>
          <w:tcPr>
            <w:tcW w:w="50" w:type="pct"/>
            <w:shd w:val="clear" w:color="auto" w:fill="auto"/>
            <w:vAlign w:val="bottom"/>
          </w:tcPr>
          <w:p w14:paraId="26E9D878" w14:textId="77777777" w:rsidR="008A3BAC" w:rsidRDefault="008A3BAC">
            <w:pPr>
              <w:rPr>
                <w:rFonts w:ascii="宋体"/>
              </w:rPr>
            </w:pPr>
          </w:p>
        </w:tc>
        <w:tc>
          <w:tcPr>
            <w:tcW w:w="770" w:type="pct"/>
            <w:shd w:val="clear" w:color="auto" w:fill="auto"/>
            <w:vAlign w:val="bottom"/>
          </w:tcPr>
          <w:p w14:paraId="26E9D879" w14:textId="77777777" w:rsidR="008A3BAC" w:rsidRDefault="008A3BAC">
            <w:pPr>
              <w:rPr>
                <w:rFonts w:ascii="宋体"/>
              </w:rPr>
            </w:pPr>
          </w:p>
        </w:tc>
        <w:tc>
          <w:tcPr>
            <w:tcW w:w="5" w:type="pct"/>
            <w:shd w:val="clear" w:color="auto" w:fill="auto"/>
            <w:vAlign w:val="bottom"/>
          </w:tcPr>
          <w:p w14:paraId="26E9D87A" w14:textId="77777777" w:rsidR="008A3BAC" w:rsidRDefault="008A3BAC">
            <w:pPr>
              <w:rPr>
                <w:rFonts w:ascii="宋体"/>
              </w:rPr>
            </w:pPr>
          </w:p>
        </w:tc>
      </w:tr>
      <w:tr w:rsidR="008A3BAC" w14:paraId="26E9D880" w14:textId="77777777">
        <w:trPr>
          <w:jc w:val="center"/>
        </w:trPr>
        <w:tc>
          <w:tcPr>
            <w:tcW w:w="0" w:type="auto"/>
            <w:gridSpan w:val="3"/>
            <w:shd w:val="clear" w:color="auto" w:fill="auto"/>
            <w:tcMar>
              <w:top w:w="0" w:type="dxa"/>
              <w:left w:w="20" w:type="dxa"/>
              <w:bottom w:w="0" w:type="dxa"/>
              <w:right w:w="20" w:type="dxa"/>
            </w:tcMar>
            <w:vAlign w:val="bottom"/>
          </w:tcPr>
          <w:p w14:paraId="26E9D87C"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D87D" w14:textId="77777777" w:rsidR="008A3BAC" w:rsidRDefault="005C75B9">
            <w:pPr>
              <w:jc w:val="center"/>
              <w:textAlignment w:val="bottom"/>
            </w:pPr>
            <w:r>
              <w:rPr>
                <w:rFonts w:ascii="sans-serif" w:eastAsia="sans-serif" w:hAnsi="sans-serif" w:cs="sans-serif"/>
                <w:b/>
                <w:bCs/>
                <w:color w:val="000000"/>
                <w:sz w:val="17"/>
                <w:szCs w:val="17"/>
              </w:rPr>
              <w:t>FEBRUARY 28,</w:t>
            </w:r>
          </w:p>
        </w:tc>
        <w:tc>
          <w:tcPr>
            <w:tcW w:w="0" w:type="auto"/>
            <w:gridSpan w:val="3"/>
            <w:shd w:val="clear" w:color="auto" w:fill="auto"/>
            <w:tcMar>
              <w:top w:w="0" w:type="dxa"/>
              <w:left w:w="20" w:type="dxa"/>
              <w:bottom w:w="0" w:type="dxa"/>
              <w:right w:w="20" w:type="dxa"/>
            </w:tcMar>
            <w:vAlign w:val="bottom"/>
          </w:tcPr>
          <w:p w14:paraId="26E9D87E" w14:textId="77777777" w:rsidR="008A3BAC" w:rsidRDefault="008A3BAC">
            <w:pPr>
              <w:rPr>
                <w:rFonts w:ascii="宋体"/>
              </w:rPr>
            </w:pPr>
          </w:p>
        </w:tc>
        <w:tc>
          <w:tcPr>
            <w:tcW w:w="0" w:type="auto"/>
            <w:gridSpan w:val="3"/>
            <w:shd w:val="clear" w:color="auto" w:fill="auto"/>
            <w:tcMar>
              <w:top w:w="40" w:type="dxa"/>
              <w:left w:w="20" w:type="dxa"/>
              <w:bottom w:w="40" w:type="dxa"/>
              <w:right w:w="20" w:type="dxa"/>
            </w:tcMar>
            <w:vAlign w:val="bottom"/>
          </w:tcPr>
          <w:p w14:paraId="26E9D87F" w14:textId="77777777" w:rsidR="008A3BAC" w:rsidRDefault="005C75B9">
            <w:pPr>
              <w:jc w:val="center"/>
              <w:textAlignment w:val="bottom"/>
            </w:pPr>
            <w:r>
              <w:rPr>
                <w:rFonts w:ascii="sans-serif" w:eastAsia="sans-serif" w:hAnsi="sans-serif" w:cs="sans-serif"/>
                <w:b/>
                <w:bCs/>
                <w:color w:val="000000"/>
                <w:sz w:val="17"/>
                <w:szCs w:val="17"/>
              </w:rPr>
              <w:t>MAY 31,</w:t>
            </w:r>
          </w:p>
        </w:tc>
      </w:tr>
      <w:tr w:rsidR="008A3BAC" w14:paraId="26E9D885" w14:textId="77777777">
        <w:trPr>
          <w:jc w:val="center"/>
        </w:trPr>
        <w:tc>
          <w:tcPr>
            <w:tcW w:w="0" w:type="auto"/>
            <w:gridSpan w:val="3"/>
            <w:shd w:val="clear" w:color="auto" w:fill="auto"/>
            <w:tcMar>
              <w:top w:w="40" w:type="dxa"/>
              <w:left w:w="20" w:type="dxa"/>
              <w:bottom w:w="40" w:type="dxa"/>
              <w:right w:w="20" w:type="dxa"/>
            </w:tcMar>
            <w:vAlign w:val="bottom"/>
          </w:tcPr>
          <w:p w14:paraId="26E9D881"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82"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shd w:val="clear" w:color="auto" w:fill="auto"/>
            <w:tcMar>
              <w:top w:w="0" w:type="dxa"/>
              <w:left w:w="20" w:type="dxa"/>
              <w:bottom w:w="0" w:type="dxa"/>
              <w:right w:w="20" w:type="dxa"/>
            </w:tcMar>
            <w:vAlign w:val="bottom"/>
          </w:tcPr>
          <w:p w14:paraId="26E9D88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84" w14:textId="77777777" w:rsidR="008A3BAC" w:rsidRDefault="005C75B9">
            <w:pPr>
              <w:jc w:val="center"/>
              <w:textAlignment w:val="bottom"/>
            </w:pPr>
            <w:r>
              <w:rPr>
                <w:rFonts w:ascii="sans-serif" w:eastAsia="sans-serif" w:hAnsi="sans-serif" w:cs="sans-serif"/>
                <w:b/>
                <w:bCs/>
                <w:color w:val="000000"/>
                <w:sz w:val="17"/>
                <w:szCs w:val="17"/>
              </w:rPr>
              <w:t>2021</w:t>
            </w:r>
          </w:p>
        </w:tc>
      </w:tr>
      <w:tr w:rsidR="008A3BAC" w14:paraId="26E9D88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86" w14:textId="77777777" w:rsidR="008A3BAC" w:rsidRDefault="005C75B9">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88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8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89" w14:textId="77777777" w:rsidR="008A3BAC" w:rsidRDefault="008A3BAC">
            <w:pPr>
              <w:rPr>
                <w:rFonts w:ascii="宋体"/>
              </w:rPr>
            </w:pPr>
          </w:p>
        </w:tc>
      </w:tr>
      <w:tr w:rsidR="008A3BAC" w14:paraId="26E9D89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8B"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88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88D" w14:textId="77777777" w:rsidR="008A3BAC" w:rsidRDefault="005C75B9">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8E"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8F" w14:textId="77777777" w:rsidR="008A3BAC" w:rsidRDefault="008A3BAC">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89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891" w14:textId="77777777" w:rsidR="008A3BAC" w:rsidRDefault="005C75B9">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92" w14:textId="77777777" w:rsidR="008A3BAC" w:rsidRDefault="008A3BAC">
            <w:pPr>
              <w:jc w:val="right"/>
              <w:rPr>
                <w:rFonts w:ascii="宋体"/>
              </w:rPr>
            </w:pPr>
          </w:p>
        </w:tc>
      </w:tr>
      <w:tr w:rsidR="008A3BAC" w14:paraId="26E9D89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94"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95" w14:textId="77777777" w:rsidR="008A3BAC" w:rsidRDefault="005C75B9">
            <w:pPr>
              <w:jc w:val="right"/>
              <w:textAlignment w:val="bottom"/>
            </w:pPr>
            <w:r>
              <w:rPr>
                <w:rFonts w:ascii="Arial" w:eastAsia="宋体" w:hAnsi="Arial" w:cs="Arial"/>
                <w:color w:val="000000"/>
                <w:sz w:val="17"/>
                <w:szCs w:val="17"/>
              </w:rPr>
              <w:t>929 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96"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97"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98" w14:textId="77777777" w:rsidR="008A3BAC" w:rsidRDefault="005C75B9">
            <w:pPr>
              <w:jc w:val="right"/>
              <w:textAlignment w:val="bottom"/>
            </w:pPr>
            <w:r>
              <w:rPr>
                <w:rFonts w:ascii="Arial" w:eastAsia="宋体" w:hAnsi="Arial" w:cs="Arial"/>
                <w:color w:val="000000"/>
                <w:sz w:val="17"/>
                <w:szCs w:val="17"/>
              </w:rPr>
              <w:t>982 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99" w14:textId="77777777" w:rsidR="008A3BAC" w:rsidRDefault="008A3BAC">
            <w:pPr>
              <w:jc w:val="right"/>
              <w:rPr>
                <w:rFonts w:ascii="宋体"/>
              </w:rPr>
            </w:pPr>
          </w:p>
        </w:tc>
      </w:tr>
      <w:tr w:rsidR="008A3BAC" w14:paraId="26E9D8A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9B"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9C" w14:textId="77777777" w:rsidR="008A3BAC" w:rsidRDefault="005C75B9">
            <w:pPr>
              <w:jc w:val="right"/>
              <w:textAlignment w:val="bottom"/>
            </w:pPr>
            <w:r>
              <w:rPr>
                <w:rFonts w:ascii="Arial" w:eastAsia="宋体" w:hAnsi="Arial" w:cs="Arial"/>
                <w:color w:val="000000"/>
                <w:sz w:val="17"/>
                <w:szCs w:val="17"/>
              </w:rPr>
              <w:t>319 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9D"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9E"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9F" w14:textId="77777777" w:rsidR="008A3BAC" w:rsidRDefault="005C75B9">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A0" w14:textId="77777777" w:rsidR="008A3BAC" w:rsidRDefault="008A3BAC">
            <w:pPr>
              <w:jc w:val="right"/>
              <w:rPr>
                <w:rFonts w:ascii="宋体"/>
              </w:rPr>
            </w:pPr>
          </w:p>
        </w:tc>
      </w:tr>
      <w:tr w:rsidR="008A3BAC" w14:paraId="26E9D8A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8A2" w14:textId="77777777" w:rsidR="008A3BAC" w:rsidRDefault="005C75B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A3" w14:textId="77777777" w:rsidR="008A3BAC" w:rsidRDefault="005C75B9">
            <w:pPr>
              <w:jc w:val="right"/>
              <w:textAlignment w:val="bottom"/>
            </w:pPr>
            <w:r>
              <w:rPr>
                <w:rFonts w:ascii="Arial" w:eastAsia="宋体" w:hAnsi="Arial" w:cs="Arial"/>
                <w:color w:val="000000"/>
                <w:sz w:val="17"/>
                <w:szCs w:val="17"/>
              </w:rPr>
              <w:t>284 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A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A5"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A6" w14:textId="77777777" w:rsidR="008A3BAC" w:rsidRDefault="005C75B9">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A7" w14:textId="77777777" w:rsidR="008A3BAC" w:rsidRDefault="008A3BAC">
            <w:pPr>
              <w:jc w:val="right"/>
              <w:rPr>
                <w:rFonts w:ascii="宋体"/>
              </w:rPr>
            </w:pPr>
          </w:p>
        </w:tc>
      </w:tr>
      <w:tr w:rsidR="008A3BAC" w14:paraId="26E9D8A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A9"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AA" w14:textId="77777777" w:rsidR="008A3BAC" w:rsidRDefault="005C75B9">
            <w:pPr>
              <w:jc w:val="right"/>
              <w:textAlignment w:val="bottom"/>
            </w:pPr>
            <w:r>
              <w:rPr>
                <w:rFonts w:ascii="Arial" w:eastAsia="宋体" w:hAnsi="Arial" w:cs="Arial"/>
                <w:color w:val="000000"/>
                <w:sz w:val="17"/>
                <w:szCs w:val="17"/>
              </w:rPr>
              <w:t>793 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AB"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AC"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AD" w14:textId="77777777" w:rsidR="008A3BAC" w:rsidRDefault="005C75B9">
            <w:pPr>
              <w:jc w:val="right"/>
              <w:textAlignment w:val="bottom"/>
            </w:pPr>
            <w:r>
              <w:rPr>
                <w:rFonts w:ascii="Arial" w:eastAsia="宋体" w:hAnsi="Arial" w:cs="Arial"/>
                <w:color w:val="000000"/>
                <w:sz w:val="17"/>
                <w:szCs w:val="17"/>
              </w:rPr>
              <w:t>780 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AE" w14:textId="77777777" w:rsidR="008A3BAC" w:rsidRDefault="008A3BAC">
            <w:pPr>
              <w:jc w:val="right"/>
              <w:rPr>
                <w:rFonts w:ascii="宋体"/>
              </w:rPr>
            </w:pPr>
          </w:p>
        </w:tc>
      </w:tr>
      <w:tr w:rsidR="008A3BAC" w14:paraId="26E9D8B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8B0" w14:textId="77777777" w:rsidR="008A3BAC" w:rsidRDefault="005C75B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8B1" w14:textId="77777777" w:rsidR="008A3BAC" w:rsidRDefault="005C75B9">
            <w:pPr>
              <w:jc w:val="right"/>
              <w:textAlignment w:val="bottom"/>
            </w:pPr>
            <w:r>
              <w:rPr>
                <w:rFonts w:ascii="Arial" w:eastAsia="宋体" w:hAnsi="Arial" w:cs="Arial"/>
                <w:color w:val="000000"/>
                <w:sz w:val="17"/>
                <w:szCs w:val="17"/>
              </w:rPr>
              <w:t>2,942 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8B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8B3" w14:textId="77777777" w:rsidR="008A3BAC" w:rsidRDefault="008A3BAC">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8B4" w14:textId="77777777" w:rsidR="008A3BAC" w:rsidRDefault="005C75B9">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8B5" w14:textId="77777777" w:rsidR="008A3BAC" w:rsidRDefault="008A3BAC">
            <w:pPr>
              <w:jc w:val="right"/>
              <w:rPr>
                <w:rFonts w:ascii="宋体"/>
              </w:rPr>
            </w:pPr>
          </w:p>
        </w:tc>
      </w:tr>
      <w:tr w:rsidR="008A3BAC" w14:paraId="26E9D8B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B7"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B8" w14:textId="77777777" w:rsidR="008A3BAC" w:rsidRDefault="005C75B9">
            <w:pPr>
              <w:jc w:val="right"/>
              <w:textAlignment w:val="bottom"/>
            </w:pPr>
            <w:r>
              <w:rPr>
                <w:rFonts w:ascii="Arial" w:eastAsia="宋体" w:hAnsi="Arial" w:cs="Arial"/>
                <w:color w:val="000000"/>
                <w:sz w:val="17"/>
                <w:szCs w:val="17"/>
              </w:rPr>
              <w:t>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B9"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BA"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BB" w14:textId="77777777" w:rsidR="008A3BAC" w:rsidRDefault="005C75B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BC" w14:textId="77777777" w:rsidR="008A3BAC" w:rsidRDefault="008A3BAC">
            <w:pPr>
              <w:jc w:val="right"/>
              <w:rPr>
                <w:rFonts w:ascii="宋体"/>
              </w:rPr>
            </w:pPr>
          </w:p>
        </w:tc>
      </w:tr>
      <w:tr w:rsidR="008A3BAC" w14:paraId="26E9D8C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8BE"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8BF" w14:textId="77777777" w:rsidR="008A3BAC" w:rsidRDefault="005C75B9">
            <w:pPr>
              <w:jc w:val="right"/>
              <w:textAlignment w:val="bottom"/>
            </w:pPr>
            <w:r>
              <w:rPr>
                <w:rFonts w:ascii="Arial" w:eastAsia="宋体" w:hAnsi="Arial" w:cs="Arial"/>
                <w:color w:val="000000"/>
                <w:sz w:val="17"/>
                <w:szCs w:val="17"/>
              </w:rPr>
              <w:t>1,812 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8C0"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8C1" w14:textId="77777777" w:rsidR="008A3BAC" w:rsidRDefault="008A3BAC">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8C2" w14:textId="77777777" w:rsidR="008A3BAC" w:rsidRDefault="005C75B9">
            <w:pPr>
              <w:jc w:val="right"/>
              <w:textAlignment w:val="bottom"/>
            </w:pPr>
            <w:r>
              <w:rPr>
                <w:rFonts w:ascii="Arial" w:eastAsia="宋体" w:hAnsi="Arial" w:cs="Arial"/>
                <w:color w:val="000000"/>
                <w:sz w:val="17"/>
                <w:szCs w:val="17"/>
              </w:rPr>
              <w:t>1,870 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8C3" w14:textId="77777777" w:rsidR="008A3BAC" w:rsidRDefault="008A3BAC">
            <w:pPr>
              <w:jc w:val="right"/>
              <w:rPr>
                <w:rFonts w:ascii="宋体"/>
              </w:rPr>
            </w:pPr>
          </w:p>
        </w:tc>
      </w:tr>
      <w:tr w:rsidR="008A3BAC" w14:paraId="26E9D8CD"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8C5" w14:textId="77777777" w:rsidR="008A3BAC" w:rsidRDefault="005C75B9">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8C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8C7" w14:textId="77777777" w:rsidR="008A3BAC" w:rsidRDefault="005C75B9">
            <w:pPr>
              <w:jc w:val="right"/>
              <w:textAlignment w:val="bottom"/>
            </w:pPr>
            <w:r>
              <w:rPr>
                <w:rFonts w:ascii="Arial" w:eastAsia="宋体" w:hAnsi="Arial" w:cs="Arial"/>
                <w:b/>
                <w:bCs/>
                <w:color w:val="000000"/>
                <w:sz w:val="17"/>
                <w:szCs w:val="17"/>
              </w:rPr>
              <w:t>4,806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8C8"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8C9" w14:textId="77777777" w:rsidR="008A3BAC" w:rsidRDefault="008A3BAC">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8C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8CB" w14:textId="77777777" w:rsidR="008A3BAC" w:rsidRDefault="005C75B9">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8CC" w14:textId="77777777" w:rsidR="008A3BAC" w:rsidRDefault="008A3BAC">
            <w:pPr>
              <w:jc w:val="right"/>
              <w:rPr>
                <w:rFonts w:ascii="宋体"/>
              </w:rPr>
            </w:pPr>
          </w:p>
        </w:tc>
      </w:tr>
    </w:tbl>
    <w:p w14:paraId="26E9D8CE" w14:textId="77777777" w:rsidR="008A3BAC" w:rsidRDefault="005C75B9">
      <w:pPr>
        <w:spacing w:before="60" w:after="60"/>
        <w:ind w:hanging="360"/>
      </w:pPr>
      <w:r>
        <w:rPr>
          <w:rFonts w:ascii="Arial" w:eastAsia="宋体" w:hAnsi="Arial" w:cs="Arial"/>
          <w:i/>
          <w:iCs/>
          <w:color w:val="000000"/>
          <w:sz w:val="14"/>
          <w:szCs w:val="14"/>
        </w:rPr>
        <w:t xml:space="preserve">(1)Excludes assets held-for-sale as of February 28, 2022 and May 31, 2021. See Note 13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D8D2" w14:textId="77777777">
        <w:tc>
          <w:tcPr>
            <w:tcW w:w="50" w:type="pct"/>
            <w:shd w:val="clear" w:color="auto" w:fill="auto"/>
            <w:vAlign w:val="bottom"/>
          </w:tcPr>
          <w:p w14:paraId="26E9D8CF" w14:textId="77777777" w:rsidR="008A3BAC" w:rsidRDefault="008A3BAC">
            <w:pPr>
              <w:rPr>
                <w:rFonts w:ascii="宋体"/>
              </w:rPr>
            </w:pPr>
          </w:p>
        </w:tc>
        <w:tc>
          <w:tcPr>
            <w:tcW w:w="4945" w:type="pct"/>
            <w:shd w:val="clear" w:color="auto" w:fill="auto"/>
            <w:vAlign w:val="bottom"/>
          </w:tcPr>
          <w:p w14:paraId="26E9D8D0" w14:textId="77777777" w:rsidR="008A3BAC" w:rsidRDefault="008A3BAC">
            <w:pPr>
              <w:rPr>
                <w:rFonts w:ascii="宋体"/>
              </w:rPr>
            </w:pPr>
          </w:p>
        </w:tc>
        <w:tc>
          <w:tcPr>
            <w:tcW w:w="5" w:type="pct"/>
            <w:shd w:val="clear" w:color="auto" w:fill="auto"/>
            <w:vAlign w:val="bottom"/>
          </w:tcPr>
          <w:p w14:paraId="26E9D8D1" w14:textId="77777777" w:rsidR="008A3BAC" w:rsidRDefault="008A3BAC">
            <w:pPr>
              <w:rPr>
                <w:rFonts w:ascii="宋体"/>
              </w:rPr>
            </w:pPr>
          </w:p>
        </w:tc>
      </w:tr>
      <w:tr w:rsidR="008A3BAC" w14:paraId="26E9D8D4" w14:textId="77777777">
        <w:tc>
          <w:tcPr>
            <w:tcW w:w="0" w:type="auto"/>
            <w:gridSpan w:val="3"/>
            <w:shd w:val="clear" w:color="auto" w:fill="auto"/>
            <w:tcMar>
              <w:top w:w="40" w:type="dxa"/>
              <w:left w:w="20" w:type="dxa"/>
              <w:bottom w:w="40" w:type="dxa"/>
              <w:right w:w="20" w:type="dxa"/>
            </w:tcMar>
            <w:vAlign w:val="bottom"/>
          </w:tcPr>
          <w:p w14:paraId="26E9D8D3" w14:textId="77777777" w:rsidR="008A3BAC" w:rsidRDefault="005C75B9">
            <w:pPr>
              <w:textAlignment w:val="bottom"/>
            </w:pPr>
            <w:r>
              <w:rPr>
                <w:rFonts w:ascii="sans-serif" w:eastAsia="sans-serif" w:hAnsi="sans-serif" w:cs="sans-serif"/>
                <w:b/>
                <w:bCs/>
                <w:color w:val="E87722"/>
                <w:sz w:val="36"/>
                <w:szCs w:val="36"/>
              </w:rPr>
              <w:t>NOTE 13 — ACQUISITIONS AND DIVESTITURES</w:t>
            </w:r>
          </w:p>
        </w:tc>
      </w:tr>
    </w:tbl>
    <w:p w14:paraId="26E9D8D5" w14:textId="77777777" w:rsidR="008A3BAC" w:rsidRDefault="005C75B9">
      <w:pPr>
        <w:spacing w:before="60" w:after="60"/>
      </w:pPr>
      <w:r>
        <w:rPr>
          <w:rFonts w:ascii="Arial" w:eastAsia="宋体" w:hAnsi="Arial" w:cs="Arial"/>
          <w:color w:val="000000"/>
          <w:sz w:val="17"/>
          <w:szCs w:val="17"/>
        </w:rPr>
        <w:t>As previously disclosed in the Annual Report on Form 10-K for the fiscal year ended May 31, 2021, the Company remains committed to selling its legal entities in Argentina, Chile and Uruguay and granting distribution rights to third-party distributors. As s</w:t>
      </w:r>
      <w:r>
        <w:rPr>
          <w:rFonts w:ascii="Arial" w:eastAsia="宋体" w:hAnsi="Arial" w:cs="Arial"/>
          <w:color w:val="000000"/>
          <w:sz w:val="17"/>
          <w:szCs w:val="17"/>
        </w:rPr>
        <w:t xml:space="preserve">uch, the assets and liabilities of the entities have remained classified as held-for-sale on the Unaudited Condensed Consolidated Balance Sheets. </w:t>
      </w:r>
    </w:p>
    <w:p w14:paraId="26E9D8D6" w14:textId="77777777" w:rsidR="008A3BAC" w:rsidRDefault="005C75B9">
      <w:pPr>
        <w:spacing w:before="120" w:after="120"/>
      </w:pPr>
      <w:r>
        <w:rPr>
          <w:rFonts w:ascii="Arial" w:eastAsia="宋体" w:hAnsi="Arial" w:cs="Arial"/>
          <w:color w:val="000000"/>
          <w:sz w:val="17"/>
          <w:szCs w:val="17"/>
        </w:rPr>
        <w:t>As of February 28, 2022, held-for-sale assets were $201 million, primarily consisting of $75 million of Accou</w:t>
      </w:r>
      <w:r>
        <w:rPr>
          <w:rFonts w:ascii="Arial" w:eastAsia="宋体" w:hAnsi="Arial" w:cs="Arial"/>
          <w:color w:val="000000"/>
          <w:sz w:val="17"/>
          <w:szCs w:val="17"/>
        </w:rPr>
        <w:t>nts receivable, net and $60 million of Inventories; held-for-sale liabilities were $51 million, primarily consisting of $27 million of Accrued liabilities and $19 million of Accounts payable.</w:t>
      </w:r>
    </w:p>
    <w:p w14:paraId="26E9D8D7" w14:textId="77777777" w:rsidR="008A3BAC" w:rsidRDefault="005C75B9">
      <w:pPr>
        <w:spacing w:before="120" w:after="120"/>
      </w:pPr>
      <w:r>
        <w:rPr>
          <w:rFonts w:ascii="Arial" w:eastAsia="宋体" w:hAnsi="Arial" w:cs="Arial"/>
          <w:color w:val="000000"/>
          <w:sz w:val="17"/>
          <w:szCs w:val="17"/>
        </w:rPr>
        <w:t>As of May 31, 2021, held-for-sale assets were $175 million, prim</w:t>
      </w:r>
      <w:r>
        <w:rPr>
          <w:rFonts w:ascii="Arial" w:eastAsia="宋体" w:hAnsi="Arial" w:cs="Arial"/>
          <w:color w:val="000000"/>
          <w:sz w:val="17"/>
          <w:szCs w:val="17"/>
        </w:rPr>
        <w:t>arily consisting of $76 million of Inventories and $59 million of Accounts receivable, net; held-for-sale liabilities were $72 million, primarily consisting of $25 million of Accounts payable and $22 million of Accrued liabilities.</w:t>
      </w:r>
    </w:p>
    <w:p w14:paraId="26E9D8D8" w14:textId="77777777" w:rsidR="008A3BAC" w:rsidRDefault="005C75B9">
      <w:pPr>
        <w:spacing w:before="120" w:after="120"/>
      </w:pPr>
      <w:r>
        <w:rPr>
          <w:rFonts w:ascii="Arial" w:eastAsia="宋体" w:hAnsi="Arial" w:cs="Arial"/>
          <w:color w:val="000000"/>
          <w:sz w:val="17"/>
          <w:szCs w:val="17"/>
        </w:rPr>
        <w:t>As of February 28, 2022,</w:t>
      </w:r>
      <w:r>
        <w:rPr>
          <w:rFonts w:ascii="Arial" w:eastAsia="宋体" w:hAnsi="Arial" w:cs="Arial"/>
          <w:color w:val="000000"/>
          <w:sz w:val="17"/>
          <w:szCs w:val="17"/>
        </w:rPr>
        <w:t xml:space="preserve"> the Company has recognized a total expected net loss related to the Argentina, Chile and Uruguay transaction of $344 million within Other (income) expense, net, classified within Corporate, and a corresponding allowance within Accrued liabilities on the U</w:t>
      </w:r>
      <w:r>
        <w:rPr>
          <w:rFonts w:ascii="Arial" w:eastAsia="宋体" w:hAnsi="Arial" w:cs="Arial"/>
          <w:color w:val="000000"/>
          <w:sz w:val="17"/>
          <w:szCs w:val="17"/>
        </w:rPr>
        <w:t>naudited Condensed Consolidated Balance Sheets. The initial expected loss of $405 million recognized in fiscal 2020 and the subsequent adjustments for changes in fair value are largely due to the anticipated release of the cumulative foreign currency trans</w:t>
      </w:r>
      <w:r>
        <w:rPr>
          <w:rFonts w:ascii="Arial" w:eastAsia="宋体" w:hAnsi="Arial" w:cs="Arial"/>
          <w:color w:val="000000"/>
          <w:sz w:val="17"/>
          <w:szCs w:val="17"/>
        </w:rPr>
        <w:t>lation losses. These losses will be reclassified from Accumulated other comprehensive income (loss) to Net income upon sale of the legal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8A3BAC" w14:paraId="26E9D8DC" w14:textId="77777777">
        <w:trPr>
          <w:jc w:val="center"/>
        </w:trPr>
        <w:tc>
          <w:tcPr>
            <w:tcW w:w="50" w:type="pct"/>
            <w:shd w:val="clear" w:color="auto" w:fill="auto"/>
            <w:vAlign w:val="bottom"/>
          </w:tcPr>
          <w:p w14:paraId="26E9D8D9" w14:textId="77777777" w:rsidR="008A3BAC" w:rsidRDefault="008A3BAC">
            <w:pPr>
              <w:rPr>
                <w:rFonts w:ascii="宋体"/>
              </w:rPr>
            </w:pPr>
          </w:p>
        </w:tc>
        <w:tc>
          <w:tcPr>
            <w:tcW w:w="4945" w:type="pct"/>
            <w:shd w:val="clear" w:color="auto" w:fill="auto"/>
            <w:vAlign w:val="bottom"/>
          </w:tcPr>
          <w:p w14:paraId="26E9D8DA" w14:textId="77777777" w:rsidR="008A3BAC" w:rsidRDefault="008A3BAC">
            <w:pPr>
              <w:rPr>
                <w:rFonts w:ascii="宋体"/>
              </w:rPr>
            </w:pPr>
          </w:p>
        </w:tc>
        <w:tc>
          <w:tcPr>
            <w:tcW w:w="5" w:type="pct"/>
            <w:shd w:val="clear" w:color="auto" w:fill="auto"/>
            <w:vAlign w:val="bottom"/>
          </w:tcPr>
          <w:p w14:paraId="26E9D8DB" w14:textId="77777777" w:rsidR="008A3BAC" w:rsidRDefault="008A3BAC">
            <w:pPr>
              <w:rPr>
                <w:rFonts w:ascii="宋体"/>
              </w:rPr>
            </w:pPr>
          </w:p>
        </w:tc>
      </w:tr>
      <w:tr w:rsidR="008A3BAC" w14:paraId="26E9D8DE" w14:textId="77777777">
        <w:trPr>
          <w:jc w:val="center"/>
        </w:trPr>
        <w:tc>
          <w:tcPr>
            <w:tcW w:w="0" w:type="auto"/>
            <w:gridSpan w:val="3"/>
            <w:shd w:val="clear" w:color="auto" w:fill="auto"/>
            <w:tcMar>
              <w:top w:w="40" w:type="dxa"/>
              <w:left w:w="20" w:type="dxa"/>
              <w:bottom w:w="40" w:type="dxa"/>
              <w:right w:w="20" w:type="dxa"/>
            </w:tcMar>
            <w:vAlign w:val="bottom"/>
          </w:tcPr>
          <w:p w14:paraId="26E9D8DD" w14:textId="77777777" w:rsidR="008A3BAC" w:rsidRDefault="005C75B9">
            <w:pPr>
              <w:textAlignment w:val="bottom"/>
            </w:pPr>
            <w:r>
              <w:rPr>
                <w:rFonts w:ascii="sans-serif" w:eastAsia="sans-serif" w:hAnsi="sans-serif" w:cs="sans-serif"/>
                <w:b/>
                <w:bCs/>
                <w:color w:val="E87722"/>
                <w:sz w:val="36"/>
                <w:szCs w:val="36"/>
              </w:rPr>
              <w:t>NOTE 14 — RESTRUCTURING</w:t>
            </w:r>
          </w:p>
        </w:tc>
      </w:tr>
    </w:tbl>
    <w:p w14:paraId="26E9D8DF" w14:textId="77777777" w:rsidR="008A3BAC" w:rsidRDefault="005C75B9">
      <w:pPr>
        <w:spacing w:before="120" w:after="120"/>
      </w:pPr>
      <w:r>
        <w:rPr>
          <w:rFonts w:ascii="Arial" w:eastAsia="宋体" w:hAnsi="Arial" w:cs="Arial"/>
          <w:color w:val="000000"/>
          <w:sz w:val="17"/>
          <w:szCs w:val="17"/>
        </w:rPr>
        <w:t xml:space="preserve">In fiscal 2021, the Company announced a new digitally empowered phase of its Consumer Direct Offense strategy: Consumer Direct Acceleration. </w:t>
      </w:r>
      <w:r>
        <w:rPr>
          <w:rFonts w:ascii="Arial" w:eastAsia="宋体" w:hAnsi="Arial" w:cs="Arial"/>
          <w:color w:val="212529"/>
          <w:sz w:val="17"/>
          <w:szCs w:val="17"/>
        </w:rPr>
        <w:t>During fiscal 2021, the Company substantially completed a series of leadership and operating model changes to strea</w:t>
      </w:r>
      <w:r>
        <w:rPr>
          <w:rFonts w:ascii="Arial" w:eastAsia="宋体" w:hAnsi="Arial" w:cs="Arial"/>
          <w:color w:val="212529"/>
          <w:sz w:val="17"/>
          <w:szCs w:val="17"/>
        </w:rPr>
        <w:t xml:space="preserve">mline and speed up the strategic execution of the Consumer Direct Acceleration. For the </w:t>
      </w:r>
      <w:r>
        <w:rPr>
          <w:rFonts w:ascii="Arial" w:eastAsia="宋体" w:hAnsi="Arial" w:cs="Arial"/>
          <w:color w:val="000000"/>
          <w:sz w:val="17"/>
          <w:szCs w:val="17"/>
        </w:rPr>
        <w:t>three and nine months ended February 28, 2022</w:t>
      </w:r>
      <w:r>
        <w:rPr>
          <w:rFonts w:ascii="Arial" w:eastAsia="宋体" w:hAnsi="Arial" w:cs="Arial"/>
          <w:color w:val="212529"/>
          <w:sz w:val="17"/>
          <w:szCs w:val="17"/>
        </w:rPr>
        <w:t>, the Co</w:t>
      </w:r>
      <w:r>
        <w:rPr>
          <w:rFonts w:ascii="Arial" w:eastAsia="宋体" w:hAnsi="Arial" w:cs="Arial"/>
          <w:color w:val="000000"/>
          <w:sz w:val="17"/>
          <w:szCs w:val="17"/>
        </w:rPr>
        <w:t>mpany recognized an immaterial amount of related employee termination costs and, to a lesser extent, stock-based co</w:t>
      </w:r>
      <w:r>
        <w:rPr>
          <w:rFonts w:ascii="Arial" w:eastAsia="宋体" w:hAnsi="Arial" w:cs="Arial"/>
          <w:color w:val="000000"/>
          <w:sz w:val="17"/>
          <w:szCs w:val="17"/>
        </w:rPr>
        <w:t>mpensation expense.</w:t>
      </w:r>
    </w:p>
    <w:p w14:paraId="26E9D8E0" w14:textId="77777777" w:rsidR="008A3BAC" w:rsidRDefault="005C75B9">
      <w:pPr>
        <w:spacing w:before="120" w:after="120"/>
      </w:pPr>
      <w:r>
        <w:rPr>
          <w:rFonts w:ascii="Arial" w:eastAsia="宋体" w:hAnsi="Arial" w:cs="Arial"/>
          <w:color w:val="000000"/>
          <w:sz w:val="17"/>
          <w:szCs w:val="17"/>
        </w:rPr>
        <w:t>During the three months ended February 28, 2021, the Company recognized employee termination costs of $23 million and $6 million within Operating overhead expense and Cost of sales, respectively, and made cash payments of $99 million. F</w:t>
      </w:r>
      <w:r>
        <w:rPr>
          <w:rFonts w:ascii="Arial" w:eastAsia="宋体" w:hAnsi="Arial" w:cs="Arial"/>
          <w:color w:val="000000"/>
          <w:sz w:val="17"/>
          <w:szCs w:val="17"/>
        </w:rPr>
        <w:t xml:space="preserve">or the nine months ended February 28, 2021, the Company recognized employee termination costs of $168 million and $36 million within Operating overhead expense and Cost of sales, respectively, and made cash payments of $170 million. </w:t>
      </w:r>
    </w:p>
    <w:p w14:paraId="26E9D8E1" w14:textId="77777777" w:rsidR="008A3BAC" w:rsidRDefault="005C75B9">
      <w:pPr>
        <w:spacing w:before="120" w:after="120"/>
      </w:pPr>
      <w:r>
        <w:rPr>
          <w:rFonts w:ascii="Arial" w:eastAsia="宋体" w:hAnsi="Arial" w:cs="Arial"/>
          <w:color w:val="000000"/>
          <w:sz w:val="17"/>
          <w:szCs w:val="17"/>
        </w:rPr>
        <w:t>Additionally, the rela</w:t>
      </w:r>
      <w:r>
        <w:rPr>
          <w:rFonts w:ascii="Arial" w:eastAsia="宋体" w:hAnsi="Arial" w:cs="Arial"/>
          <w:color w:val="000000"/>
          <w:sz w:val="17"/>
          <w:szCs w:val="17"/>
        </w:rPr>
        <w:t>ted stock-based compensation expense recorded within Operating overhead expense and Cost of sales was immaterial for the three months ended February 28, 2021, and was $40 million and $4 million, respectively, for the nine months ended February 28, 2021</w:t>
      </w:r>
      <w:r>
        <w:rPr>
          <w:rFonts w:ascii="Arial" w:eastAsia="宋体" w:hAnsi="Arial" w:cs="Arial"/>
          <w:color w:val="212529"/>
          <w:sz w:val="17"/>
          <w:szCs w:val="17"/>
        </w:rPr>
        <w:t>.</w:t>
      </w:r>
    </w:p>
    <w:p w14:paraId="26E9D8E2" w14:textId="77777777" w:rsidR="008A3BAC" w:rsidRDefault="005C75B9">
      <w:pPr>
        <w:spacing w:before="120" w:after="120"/>
      </w:pPr>
      <w:r>
        <w:rPr>
          <w:rFonts w:ascii="Arial" w:eastAsia="宋体" w:hAnsi="Arial" w:cs="Arial"/>
          <w:color w:val="000000"/>
          <w:sz w:val="17"/>
          <w:szCs w:val="17"/>
        </w:rPr>
        <w:t>Fo</w:t>
      </w:r>
      <w:r>
        <w:rPr>
          <w:rFonts w:ascii="Arial" w:eastAsia="宋体" w:hAnsi="Arial" w:cs="Arial"/>
          <w:color w:val="000000"/>
          <w:sz w:val="17"/>
          <w:szCs w:val="17"/>
        </w:rPr>
        <w:t>r all periods presented these costs were classified within Corporate.</w:t>
      </w:r>
    </w:p>
    <w:p w14:paraId="26E9D8E3" w14:textId="77777777" w:rsidR="008A3BAC" w:rsidRDefault="005C75B9">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26E9D8E4" w14:textId="77777777" w:rsidR="008A3BAC" w:rsidRDefault="005C75B9">
      <w:r>
        <w:pict w14:anchorId="26E9E85F">
          <v:rect id="_x0000_i1050" style="width:415.3pt;height:1.5pt" o:hralign="center" o:hrstd="t" o:hr="t" fillcolor="#a0a0a0" stroked="f"/>
        </w:pict>
      </w:r>
    </w:p>
    <w:p w14:paraId="26E9D8E5" w14:textId="77777777" w:rsidR="008A3BAC" w:rsidRDefault="008A3BAC"/>
    <w:p w14:paraId="26E9D8E6" w14:textId="77777777" w:rsidR="008A3BAC" w:rsidRDefault="005C75B9">
      <w:hyperlink r:id="rId95" w:anchor="i46aba51c6a804f42b3595948c57d2023_7" w:history="1">
        <w:r>
          <w:rPr>
            <w:rStyle w:val="a5"/>
            <w:rFonts w:ascii="sans-serif" w:eastAsia="sans-serif" w:hAnsi="sans-serif" w:cs="sans-serif"/>
            <w:sz w:val="17"/>
            <w:szCs w:val="17"/>
          </w:rPr>
          <w:t>Table of Contents</w:t>
        </w:r>
      </w:hyperlink>
    </w:p>
    <w:p w14:paraId="26E9D8E7" w14:textId="77777777" w:rsidR="008A3BAC" w:rsidRDefault="008A3BAC"/>
    <w:p w14:paraId="26E9D8E8" w14:textId="77777777" w:rsidR="008A3BAC" w:rsidRDefault="005C75B9">
      <w:pPr>
        <w:spacing w:before="360" w:after="180"/>
      </w:pPr>
      <w:r>
        <w:rPr>
          <w:rFonts w:ascii="sans-serif" w:eastAsia="sans-serif" w:hAnsi="sans-serif" w:cs="sans-serif"/>
          <w:color w:val="000000"/>
          <w:sz w:val="44"/>
          <w:szCs w:val="44"/>
        </w:rPr>
        <w:t>ITEM 2. MANAGEMENT'S DISCUSSION AND ANALYSIS OF FINANCIAL CONDITION AND RESULTS OF OP</w:t>
      </w:r>
      <w:r>
        <w:rPr>
          <w:rFonts w:ascii="sans-serif" w:eastAsia="sans-serif" w:hAnsi="sans-serif" w:cs="sans-serif"/>
          <w:color w:val="000000"/>
          <w:sz w:val="44"/>
          <w:szCs w:val="44"/>
        </w:rPr>
        <w:t>ERATIONS</w:t>
      </w:r>
    </w:p>
    <w:p w14:paraId="26E9D8E9" w14:textId="77777777" w:rsidR="008A3BAC" w:rsidRDefault="005C75B9">
      <w:pPr>
        <w:spacing w:before="240" w:after="120"/>
      </w:pPr>
      <w:r>
        <w:rPr>
          <w:rFonts w:ascii="sans-serif" w:eastAsia="sans-serif" w:hAnsi="sans-serif" w:cs="sans-serif"/>
          <w:b/>
          <w:bCs/>
          <w:color w:val="000000"/>
          <w:sz w:val="28"/>
          <w:szCs w:val="28"/>
        </w:rPr>
        <w:t>OVERVIEW</w:t>
      </w:r>
    </w:p>
    <w:p w14:paraId="26E9D8EA" w14:textId="77777777" w:rsidR="008A3BAC" w:rsidRDefault="005C75B9">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NIKE-owned retail s</w:t>
      </w:r>
      <w:r>
        <w:rPr>
          <w:rFonts w:ascii="Arial" w:eastAsia="宋体" w:hAnsi="Arial" w:cs="Arial"/>
          <w:color w:val="000000"/>
          <w:sz w:val="17"/>
          <w:szCs w:val="17"/>
        </w:rPr>
        <w:t xml:space="preserve">tores and through digital platforms (which we refer to collectively as our “NIKE Direct” operations), to retail accounts and to a mix of independent distributors, licensees and sales representatives in virtually all countries around the world. Our goal is </w:t>
      </w:r>
      <w:r>
        <w:rPr>
          <w:rFonts w:ascii="Arial" w:eastAsia="宋体" w:hAnsi="Arial" w:cs="Arial"/>
          <w:color w:val="000000"/>
          <w:sz w:val="17"/>
          <w:szCs w:val="17"/>
        </w:rPr>
        <w:t>to deliver value to our shareholders by building a profitable global portfolio of branded footwear, apparel, equipment and accessories businesses. Our strategy is to achieve long-term revenue growth by creating innovative, “must-have” products, building de</w:t>
      </w:r>
      <w:r>
        <w:rPr>
          <w:rFonts w:ascii="Arial" w:eastAsia="宋体" w:hAnsi="Arial" w:cs="Arial"/>
          <w:color w:val="000000"/>
          <w:sz w:val="17"/>
          <w:szCs w:val="17"/>
        </w:rPr>
        <w:t xml:space="preserve">ep personal consumer connections with our brands and delivering compelling consumer experiences through digital platforms and at retail. </w:t>
      </w:r>
    </w:p>
    <w:p w14:paraId="26E9D8EB" w14:textId="77777777" w:rsidR="008A3BAC" w:rsidRDefault="005C75B9">
      <w:pPr>
        <w:spacing w:before="120" w:after="120"/>
      </w:pPr>
      <w:r>
        <w:rPr>
          <w:rFonts w:ascii="Arial" w:eastAsia="宋体" w:hAnsi="Arial" w:cs="Arial"/>
          <w:color w:val="000000"/>
          <w:sz w:val="17"/>
          <w:szCs w:val="17"/>
        </w:rPr>
        <w:t xml:space="preserve">Through the Consumer Direct Acceleration we are focusing on creating the marketplace of the future </w:t>
      </w:r>
      <w:r>
        <w:rPr>
          <w:rFonts w:ascii="Arial" w:eastAsia="宋体" w:hAnsi="Arial" w:cs="Arial"/>
          <w:color w:val="212529"/>
          <w:sz w:val="17"/>
          <w:szCs w:val="17"/>
        </w:rPr>
        <w:t>through more premiu</w:t>
      </w:r>
      <w:r>
        <w:rPr>
          <w:rFonts w:ascii="Arial" w:eastAsia="宋体" w:hAnsi="Arial" w:cs="Arial"/>
          <w:color w:val="212529"/>
          <w:sz w:val="17"/>
          <w:szCs w:val="17"/>
        </w:rPr>
        <w:t>m, consistent and seamless consumer experiences, leading with digital and our owned stores, as well as select wholesale partners that share our marketplace vision. Over the last several years, as we have executed against the Consumer Direct Acceleration, w</w:t>
      </w:r>
      <w:r>
        <w:rPr>
          <w:rFonts w:ascii="Arial" w:eastAsia="宋体" w:hAnsi="Arial" w:cs="Arial"/>
          <w:color w:val="212529"/>
          <w:sz w:val="17"/>
          <w:szCs w:val="17"/>
        </w:rPr>
        <w:t>e have grown our NIKE Direct business to be approximately 43% of total NIKE Brand revenues for the first nine months of fiscal 2022, and we have reduced the number of wholesale accounts globally. Additionally, we have aligned our product creation and categ</w:t>
      </w:r>
      <w:r>
        <w:rPr>
          <w:rFonts w:ascii="Arial" w:eastAsia="宋体" w:hAnsi="Arial" w:cs="Arial"/>
          <w:color w:val="212529"/>
          <w:sz w:val="17"/>
          <w:szCs w:val="17"/>
        </w:rPr>
        <w:t xml:space="preserve">ory organizations around a new consumer construct focused on Men’s, Women's, Kids' and the Jordan Brand and continue to invest in data and analytics, </w:t>
      </w:r>
      <w:r>
        <w:rPr>
          <w:rFonts w:ascii="Arial" w:eastAsia="宋体" w:hAnsi="Arial" w:cs="Arial"/>
          <w:color w:val="000000"/>
          <w:sz w:val="17"/>
          <w:szCs w:val="17"/>
        </w:rPr>
        <w:t>demand sensing, insight gathering, inventory management and other areas to create an end-to-end technology</w:t>
      </w:r>
      <w:r>
        <w:rPr>
          <w:rFonts w:ascii="Arial" w:eastAsia="宋体" w:hAnsi="Arial" w:cs="Arial"/>
          <w:color w:val="000000"/>
          <w:sz w:val="17"/>
          <w:szCs w:val="17"/>
        </w:rPr>
        <w:t xml:space="preserve"> foundation, which we expect will further accelerate our digital transformation. </w:t>
      </w:r>
    </w:p>
    <w:p w14:paraId="26E9D8EC" w14:textId="77777777" w:rsidR="008A3BAC" w:rsidRDefault="005C75B9">
      <w:pPr>
        <w:spacing w:before="120" w:after="120"/>
      </w:pPr>
      <w:r>
        <w:rPr>
          <w:rFonts w:ascii="Arial" w:eastAsia="宋体" w:hAnsi="Arial" w:cs="Arial"/>
          <w:color w:val="000000"/>
          <w:sz w:val="17"/>
          <w:szCs w:val="17"/>
        </w:rPr>
        <w:t>During fiscal 2021, we substantially com</w:t>
      </w:r>
      <w:r>
        <w:rPr>
          <w:rFonts w:ascii="Arial" w:eastAsia="宋体" w:hAnsi="Arial" w:cs="Arial"/>
          <w:color w:val="212529"/>
          <w:sz w:val="17"/>
          <w:szCs w:val="17"/>
        </w:rPr>
        <w:t>pleted a series of leadership and operating model changes to streamline and speed up the strategic execution of the Consumer Direct Ac</w:t>
      </w:r>
      <w:r>
        <w:rPr>
          <w:rFonts w:ascii="Arial" w:eastAsia="宋体" w:hAnsi="Arial" w:cs="Arial"/>
          <w:color w:val="212529"/>
          <w:sz w:val="17"/>
          <w:szCs w:val="17"/>
        </w:rPr>
        <w:t xml:space="preserve">celeration. For the </w:t>
      </w:r>
      <w:r>
        <w:rPr>
          <w:rFonts w:ascii="Arial" w:eastAsia="宋体" w:hAnsi="Arial" w:cs="Arial"/>
          <w:color w:val="000000"/>
          <w:sz w:val="17"/>
          <w:szCs w:val="17"/>
        </w:rPr>
        <w:t>three and nine months ended February 28, 2022</w:t>
      </w:r>
      <w:r>
        <w:rPr>
          <w:rFonts w:ascii="Arial" w:eastAsia="宋体" w:hAnsi="Arial" w:cs="Arial"/>
          <w:color w:val="212529"/>
          <w:sz w:val="17"/>
          <w:szCs w:val="17"/>
        </w:rPr>
        <w:t>, we</w:t>
      </w:r>
      <w:r>
        <w:rPr>
          <w:rFonts w:ascii="Arial" w:eastAsia="宋体" w:hAnsi="Arial" w:cs="Arial"/>
          <w:color w:val="000000"/>
          <w:sz w:val="17"/>
          <w:szCs w:val="17"/>
        </w:rPr>
        <w:t xml:space="preserve"> recognized an immaterial amount of related employee termination costs and, to a lesser extent, stock-based compensation expense. During the three months ended February 28, 2021, we recog</w:t>
      </w:r>
      <w:r>
        <w:rPr>
          <w:rFonts w:ascii="Arial" w:eastAsia="宋体" w:hAnsi="Arial" w:cs="Arial"/>
          <w:color w:val="000000"/>
          <w:sz w:val="17"/>
          <w:szCs w:val="17"/>
        </w:rPr>
        <w:t>nized employee termination costs of $23 million and $6 million within Operating overhead expense and Cost of sales, respectively, and made cash payments of $99 million. For the nine months ended February 28, 2021, we recognized employee termination costs o</w:t>
      </w:r>
      <w:r>
        <w:rPr>
          <w:rFonts w:ascii="Arial" w:eastAsia="宋体" w:hAnsi="Arial" w:cs="Arial"/>
          <w:color w:val="000000"/>
          <w:sz w:val="17"/>
          <w:szCs w:val="17"/>
        </w:rPr>
        <w:t>f $168 million and $36 million within Operating overhead expense and Cost of sales, respectively, and made cash payments of $170 million. Additionally, the related stock-based compensation expense recorded within Operating overhead expense and Cost of sale</w:t>
      </w:r>
      <w:r>
        <w:rPr>
          <w:rFonts w:ascii="Arial" w:eastAsia="宋体" w:hAnsi="Arial" w:cs="Arial"/>
          <w:color w:val="000000"/>
          <w:sz w:val="17"/>
          <w:szCs w:val="17"/>
        </w:rPr>
        <w:t>s was immaterial for the three months ended February 28, 2021, and was $40 million and $4 million, respectively, for the nine months ended February 28, 2021</w:t>
      </w:r>
      <w:r>
        <w:rPr>
          <w:rFonts w:ascii="Arial" w:eastAsia="宋体" w:hAnsi="Arial" w:cs="Arial"/>
          <w:color w:val="212529"/>
          <w:sz w:val="17"/>
          <w:szCs w:val="17"/>
        </w:rPr>
        <w:t>.</w:t>
      </w:r>
      <w:r>
        <w:rPr>
          <w:rFonts w:ascii="Arial" w:eastAsia="宋体" w:hAnsi="Arial" w:cs="Arial"/>
          <w:color w:val="000000"/>
          <w:sz w:val="17"/>
          <w:szCs w:val="17"/>
        </w:rPr>
        <w:t xml:space="preserve"> For all periods presented these costs were classified within Corporate.</w:t>
      </w:r>
    </w:p>
    <w:p w14:paraId="26E9D8ED" w14:textId="77777777" w:rsidR="008A3BAC" w:rsidRDefault="005C75B9">
      <w:pPr>
        <w:spacing w:before="120" w:after="120"/>
      </w:pPr>
      <w:r>
        <w:rPr>
          <w:rFonts w:ascii="Arial" w:eastAsia="宋体" w:hAnsi="Arial" w:cs="Arial"/>
          <w:color w:val="000000"/>
          <w:sz w:val="17"/>
          <w:szCs w:val="17"/>
        </w:rPr>
        <w:t xml:space="preserve">For more information, see </w:t>
      </w:r>
      <w:r>
        <w:rPr>
          <w:rFonts w:ascii="Arial" w:eastAsia="宋体" w:hAnsi="Arial" w:cs="Arial"/>
          <w:color w:val="000000"/>
          <w:sz w:val="17"/>
          <w:szCs w:val="17"/>
        </w:rPr>
        <w:t>Note 14 — Restructuring within the accompanying Notes to the Unaudited Condensed Consolidated Financial Statements.</w:t>
      </w:r>
    </w:p>
    <w:p w14:paraId="26E9D8EE" w14:textId="77777777" w:rsidR="008A3BAC" w:rsidRDefault="005C75B9">
      <w:pPr>
        <w:spacing w:before="120"/>
      </w:pPr>
      <w:r>
        <w:rPr>
          <w:rFonts w:ascii="sans-serif" w:eastAsia="sans-serif" w:hAnsi="sans-serif" w:cs="sans-serif"/>
          <w:b/>
          <w:bCs/>
          <w:color w:val="808080"/>
          <w:sz w:val="22"/>
          <w:szCs w:val="22"/>
        </w:rPr>
        <w:t>COVID-19 UPDATE</w:t>
      </w:r>
    </w:p>
    <w:p w14:paraId="26E9D8EF" w14:textId="77777777" w:rsidR="008A3BAC" w:rsidRDefault="005C75B9">
      <w:pPr>
        <w:spacing w:before="120"/>
      </w:pPr>
      <w:r>
        <w:rPr>
          <w:rFonts w:ascii="Arial" w:eastAsia="宋体" w:hAnsi="Arial" w:cs="Arial"/>
          <w:color w:val="000000"/>
          <w:sz w:val="17"/>
          <w:szCs w:val="17"/>
        </w:rPr>
        <w:t>The COVID-19 pandemic and its impacts on the global supply chain continue to create volatility in our business results and operations globally, causing us to transform the way we operate in order to better serve our consumers. Revenues grew 5% for the thir</w:t>
      </w:r>
      <w:r>
        <w:rPr>
          <w:rFonts w:ascii="Arial" w:eastAsia="宋体" w:hAnsi="Arial" w:cs="Arial"/>
          <w:color w:val="000000"/>
          <w:sz w:val="17"/>
          <w:szCs w:val="17"/>
        </w:rPr>
        <w:t>d quarter of fiscal 2022, as we continued to manage the ongoing impacts of supply chain challenges across each of our geographies and Converse. Our NIKE Direct business continued its momentum, growing 15% and 17% on a reported and currency-neutral basis, r</w:t>
      </w:r>
      <w:r>
        <w:rPr>
          <w:rFonts w:ascii="Arial" w:eastAsia="宋体" w:hAnsi="Arial" w:cs="Arial"/>
          <w:color w:val="000000"/>
          <w:sz w:val="17"/>
          <w:szCs w:val="17"/>
        </w:rPr>
        <w:t>espectively, for the third quarter of fiscal 2022, led by North America, APLA and EMEA, partially offset by declines in Greater China due to a COVID-19 resurgence and ongoing marketplace dynamics. As of April 4, 2022, nearly all of our owned stores were op</w:t>
      </w:r>
      <w:r>
        <w:rPr>
          <w:rFonts w:ascii="Arial" w:eastAsia="宋体" w:hAnsi="Arial" w:cs="Arial"/>
          <w:color w:val="000000"/>
          <w:sz w:val="17"/>
          <w:szCs w:val="17"/>
        </w:rPr>
        <w:t>en across North America, EMEA and APLA. In Greater China however, due to a COVID-19 resurgence, we continue to experience a higher level of temporary store closures, with some operating on reduced hours, as well as lower physical traffic versus pre-pandemi</w:t>
      </w:r>
      <w:r>
        <w:rPr>
          <w:rFonts w:ascii="Arial" w:eastAsia="宋体" w:hAnsi="Arial" w:cs="Arial"/>
          <w:color w:val="000000"/>
          <w:sz w:val="17"/>
          <w:szCs w:val="17"/>
        </w:rPr>
        <w:t xml:space="preserve">c periods. </w:t>
      </w:r>
    </w:p>
    <w:p w14:paraId="26E9D8F0" w14:textId="77777777" w:rsidR="008A3BAC" w:rsidRDefault="005C75B9">
      <w:pPr>
        <w:spacing w:before="120" w:after="120"/>
      </w:pPr>
      <w:r>
        <w:rPr>
          <w:rFonts w:ascii="Arial" w:eastAsia="宋体" w:hAnsi="Arial" w:cs="Arial"/>
          <w:color w:val="000000"/>
          <w:sz w:val="17"/>
          <w:szCs w:val="17"/>
        </w:rPr>
        <w:t>During the first quarter of fiscal 2022, the majority of NIKE Brand and Converse contract manufacturers in Vietnam and Indonesia were subject to government mandated shutdowns due to COVID-19. These closures significantly impacted our previously</w:t>
      </w:r>
      <w:r>
        <w:rPr>
          <w:rFonts w:ascii="Arial" w:eastAsia="宋体" w:hAnsi="Arial" w:cs="Arial"/>
          <w:color w:val="000000"/>
          <w:sz w:val="17"/>
          <w:szCs w:val="17"/>
        </w:rPr>
        <w:t xml:space="preserve"> planned inventory production. As a result of these closures, we lost approximately three months of production, impacting available product supply for this fiscal year. All impacted factories began re-opening in the second quarter of fiscal 2022 and global</w:t>
      </w:r>
      <w:r>
        <w:rPr>
          <w:rFonts w:ascii="Arial" w:eastAsia="宋体" w:hAnsi="Arial" w:cs="Arial"/>
          <w:color w:val="000000"/>
          <w:sz w:val="17"/>
          <w:szCs w:val="17"/>
        </w:rPr>
        <w:t>ly, nearly all of our supplier base is currently operational without restrictions. While factory production is currently in line with pre-closure production levels and our future demand plans, there could be further impacts, including additional closures o</w:t>
      </w:r>
      <w:r>
        <w:rPr>
          <w:rFonts w:ascii="Arial" w:eastAsia="宋体" w:hAnsi="Arial" w:cs="Arial"/>
          <w:color w:val="000000"/>
          <w:sz w:val="17"/>
          <w:szCs w:val="17"/>
        </w:rPr>
        <w:t>r employee absences, as a result of the emergence and spread of COVID-19 variants, as well as other factors outside of our control that could continue to cause further disruption to our planned inventory production. For fiscal 2021, 51% of NIKE Brand footw</w:t>
      </w:r>
      <w:r>
        <w:rPr>
          <w:rFonts w:ascii="Arial" w:eastAsia="宋体" w:hAnsi="Arial" w:cs="Arial"/>
          <w:color w:val="000000"/>
          <w:sz w:val="17"/>
          <w:szCs w:val="17"/>
        </w:rPr>
        <w:t>ear and 30% of NIKE Brand apparel was manufactured in Vietnam, and 24% of NIKE Brand footwear and less than 12% of NIKE Brand apparel was manufactured in Indonesia.</w:t>
      </w:r>
    </w:p>
    <w:p w14:paraId="26E9D8F1" w14:textId="77777777" w:rsidR="008A3BAC" w:rsidRDefault="005C75B9">
      <w:pPr>
        <w:spacing w:before="120" w:after="120"/>
      </w:pPr>
      <w:r>
        <w:rPr>
          <w:rFonts w:ascii="Arial" w:eastAsia="宋体" w:hAnsi="Arial" w:cs="Arial"/>
          <w:color w:val="000000"/>
          <w:sz w:val="17"/>
          <w:szCs w:val="17"/>
        </w:rPr>
        <w:t>In addition, our product availability continued to be impacted by extended inventory transi</w:t>
      </w:r>
      <w:r>
        <w:rPr>
          <w:rFonts w:ascii="Arial" w:eastAsia="宋体" w:hAnsi="Arial" w:cs="Arial"/>
          <w:color w:val="000000"/>
          <w:sz w:val="17"/>
          <w:szCs w:val="17"/>
        </w:rPr>
        <w:t xml:space="preserve">t times in the third quarter and first nine months of fiscal 2022, due primarily to port congestion, transportation delays as well as labor and container shortages. Our </w:t>
      </w:r>
    </w:p>
    <w:p w14:paraId="26E9D8F2" w14:textId="77777777" w:rsidR="008A3BAC" w:rsidRDefault="005C75B9">
      <w:pPr>
        <w:spacing w:before="120" w:after="120"/>
        <w:jc w:val="right"/>
      </w:pPr>
      <w:r>
        <w:rPr>
          <w:rFonts w:ascii="Arial" w:eastAsia="宋体" w:hAnsi="Arial" w:cs="Arial"/>
          <w:color w:val="E87722"/>
          <w:sz w:val="17"/>
          <w:szCs w:val="17"/>
        </w:rPr>
        <w:t>25</w:t>
      </w:r>
    </w:p>
    <w:p w14:paraId="26E9D8F3" w14:textId="77777777" w:rsidR="008A3BAC" w:rsidRDefault="005C75B9">
      <w:r>
        <w:pict w14:anchorId="26E9E860">
          <v:rect id="_x0000_i1051" style="width:415.3pt;height:1.5pt" o:hralign="center" o:hrstd="t" o:hr="t" fillcolor="#a0a0a0" stroked="f"/>
        </w:pict>
      </w:r>
    </w:p>
    <w:p w14:paraId="26E9D8F4" w14:textId="77777777" w:rsidR="008A3BAC" w:rsidRDefault="008A3BAC"/>
    <w:p w14:paraId="26E9D8F5" w14:textId="77777777" w:rsidR="008A3BAC" w:rsidRDefault="005C75B9">
      <w:hyperlink r:id="rId96" w:anchor="i46aba51c6a804f42b3595948c57d2023_7" w:history="1">
        <w:r>
          <w:rPr>
            <w:rStyle w:val="a5"/>
            <w:rFonts w:ascii="sans-serif" w:eastAsia="sans-serif" w:hAnsi="sans-serif" w:cs="sans-serif"/>
            <w:sz w:val="17"/>
            <w:szCs w:val="17"/>
          </w:rPr>
          <w:t>Table of Contents</w:t>
        </w:r>
      </w:hyperlink>
    </w:p>
    <w:p w14:paraId="26E9D8F6" w14:textId="77777777" w:rsidR="008A3BAC" w:rsidRDefault="008A3BAC"/>
    <w:p w14:paraId="26E9D8F7" w14:textId="77777777" w:rsidR="008A3BAC" w:rsidRDefault="005C75B9">
      <w:pPr>
        <w:spacing w:before="120" w:after="120"/>
      </w:pPr>
      <w:r>
        <w:rPr>
          <w:rFonts w:ascii="Arial" w:eastAsia="宋体" w:hAnsi="Arial" w:cs="Arial"/>
          <w:color w:val="000000"/>
          <w:sz w:val="17"/>
          <w:szCs w:val="17"/>
        </w:rPr>
        <w:t>product availability was impacted most significantly in our wholesale channel. We also experienced elevated transportation, logistics and fulfillment costs as a resu</w:t>
      </w:r>
      <w:r>
        <w:rPr>
          <w:rFonts w:ascii="Arial" w:eastAsia="宋体" w:hAnsi="Arial" w:cs="Arial"/>
          <w:color w:val="000000"/>
          <w:sz w:val="17"/>
          <w:szCs w:val="17"/>
        </w:rPr>
        <w:t xml:space="preserve">lt of this dynamic environment, which partially offset gross margin expansion in the third quarter and first nine months of fiscal 2022. </w:t>
      </w:r>
    </w:p>
    <w:p w14:paraId="26E9D8F8" w14:textId="77777777" w:rsidR="008A3BAC" w:rsidRDefault="005C75B9">
      <w:pPr>
        <w:spacing w:before="120" w:after="120"/>
      </w:pPr>
      <w:r>
        <w:rPr>
          <w:rFonts w:ascii="Arial" w:eastAsia="宋体" w:hAnsi="Arial" w:cs="Arial"/>
          <w:color w:val="000000"/>
          <w:sz w:val="17"/>
          <w:szCs w:val="17"/>
        </w:rPr>
        <w:t>We expect elevated transit times will continue to impact product availability, leading to inventory supply significant</w:t>
      </w:r>
      <w:r>
        <w:rPr>
          <w:rFonts w:ascii="Arial" w:eastAsia="宋体" w:hAnsi="Arial" w:cs="Arial"/>
          <w:color w:val="000000"/>
          <w:sz w:val="17"/>
          <w:szCs w:val="17"/>
        </w:rPr>
        <w:t>ly lagging consumer demand for at least the remainder of the fiscal year. In addition, we expect transportation, logistics and fulfillment costs will continue to remain elevated as we navigate these supply chain constraints. We also expect product costs to</w:t>
      </w:r>
      <w:r>
        <w:rPr>
          <w:rFonts w:ascii="Arial" w:eastAsia="宋体" w:hAnsi="Arial" w:cs="Arial"/>
          <w:color w:val="000000"/>
          <w:sz w:val="17"/>
          <w:szCs w:val="17"/>
        </w:rPr>
        <w:t xml:space="preserve"> remain elevated due to higher input costs. To mitigate the impact across our business, our teams are continuing to leverage our operational playbook and taking actions where we can, including shifting production capacity to other countries, strategic use </w:t>
      </w:r>
      <w:r>
        <w:rPr>
          <w:rFonts w:ascii="Arial" w:eastAsia="宋体" w:hAnsi="Arial" w:cs="Arial"/>
          <w:color w:val="000000"/>
          <w:sz w:val="17"/>
          <w:szCs w:val="17"/>
        </w:rPr>
        <w:t>of air freight, pricing actions and employing a seasonless approach to products. Despite these short-term dynamics, our Consumer Direct Acceleration strategy continues to drive our business towards our long-term fiscal 2025 financial goals shared in our An</w:t>
      </w:r>
      <w:r>
        <w:rPr>
          <w:rFonts w:ascii="Arial" w:eastAsia="宋体" w:hAnsi="Arial" w:cs="Arial"/>
          <w:color w:val="000000"/>
          <w:sz w:val="17"/>
          <w:szCs w:val="17"/>
        </w:rPr>
        <w:t>nual Report on Form 10-K for the fiscal year ended May 31, 2021.</w:t>
      </w:r>
    </w:p>
    <w:p w14:paraId="26E9D8F9" w14:textId="77777777" w:rsidR="008A3BAC" w:rsidRDefault="005C75B9">
      <w:pPr>
        <w:spacing w:before="120" w:after="120"/>
      </w:pPr>
      <w:r>
        <w:rPr>
          <w:rFonts w:ascii="Arial" w:eastAsia="宋体" w:hAnsi="Arial" w:cs="Arial"/>
          <w:color w:val="000000"/>
          <w:sz w:val="17"/>
          <w:szCs w:val="17"/>
        </w:rPr>
        <w:t>During the quarter, we continued to invest in our digital transformation and brand campaigns as the world returns to sport. For the remainder of fiscal 2022, we will maintain our multi-year i</w:t>
      </w:r>
      <w:r>
        <w:rPr>
          <w:rFonts w:ascii="Arial" w:eastAsia="宋体" w:hAnsi="Arial" w:cs="Arial"/>
          <w:color w:val="000000"/>
          <w:sz w:val="17"/>
          <w:szCs w:val="17"/>
        </w:rPr>
        <w:t xml:space="preserve">nvestment plans in order to transform our business for the future. </w:t>
      </w:r>
    </w:p>
    <w:p w14:paraId="26E9D8FA" w14:textId="77777777" w:rsidR="008A3BAC" w:rsidRDefault="005C75B9">
      <w:pPr>
        <w:spacing w:before="120" w:after="120"/>
      </w:pPr>
      <w:r>
        <w:rPr>
          <w:rFonts w:ascii="Arial" w:eastAsia="宋体" w:hAnsi="Arial" w:cs="Arial"/>
          <w:color w:val="000000"/>
          <w:sz w:val="17"/>
          <w:szCs w:val="17"/>
        </w:rPr>
        <w:t>We continue to monitor the ongoing and dynamic impacts of COVID-19, as well as guidance from international and domestic authorities, including federal, state and local public health author</w:t>
      </w:r>
      <w:r>
        <w:rPr>
          <w:rFonts w:ascii="Arial" w:eastAsia="宋体" w:hAnsi="Arial" w:cs="Arial"/>
          <w:color w:val="000000"/>
          <w:sz w:val="17"/>
          <w:szCs w:val="17"/>
        </w:rPr>
        <w:t>ities and may take additional actions based on their recommendations. There have been and may continue to be developments outside of our control, including new COVID-19 variants, that require us to make adjustments to our operating plan, such as store oper</w:t>
      </w:r>
      <w:r>
        <w:rPr>
          <w:rFonts w:ascii="Arial" w:eastAsia="宋体" w:hAnsi="Arial" w:cs="Arial"/>
          <w:color w:val="000000"/>
          <w:sz w:val="17"/>
          <w:szCs w:val="17"/>
        </w:rPr>
        <w:t>ating hours and the timeline to return to normal production volumes in factories impacted by COVID-19. Such developments and other potential impacts of COVID-19, such as new or prolonged factory closures, higher inventory levels or inventory shortages in v</w:t>
      </w:r>
      <w:r>
        <w:rPr>
          <w:rFonts w:ascii="Arial" w:eastAsia="宋体" w:hAnsi="Arial" w:cs="Arial"/>
          <w:color w:val="000000"/>
          <w:sz w:val="17"/>
          <w:szCs w:val="17"/>
        </w:rPr>
        <w:t>arious markets, other adverse impacts on the global supply chain, revised payment terms with certain of our wholesale customers, higher sales-related reserves, factory cancellation costs and a volatile effective tax rate driven by changes in the mix of ear</w:t>
      </w:r>
      <w:r>
        <w:rPr>
          <w:rFonts w:ascii="Arial" w:eastAsia="宋体" w:hAnsi="Arial" w:cs="Arial"/>
          <w:color w:val="000000"/>
          <w:sz w:val="17"/>
          <w:szCs w:val="17"/>
        </w:rPr>
        <w:t>nings across our jurisdictions, among other factors, could have material adverse impacts on our revenue growth as well as our overall profitability in future periods. As a result of these circumstances, COVID-19 related disruptions are making it more chall</w:t>
      </w:r>
      <w:r>
        <w:rPr>
          <w:rFonts w:ascii="Arial" w:eastAsia="宋体" w:hAnsi="Arial" w:cs="Arial"/>
          <w:color w:val="000000"/>
          <w:sz w:val="17"/>
          <w:szCs w:val="17"/>
        </w:rPr>
        <w:t>enging to compare our performance, including our revenue growth and overall profitability, across quarters and fiscal years, and we expect that the operating environment could remain volatile as COVID-19 variants may continue to cause disruptions to our op</w:t>
      </w:r>
      <w:r>
        <w:rPr>
          <w:rFonts w:ascii="Arial" w:eastAsia="宋体" w:hAnsi="Arial" w:cs="Arial"/>
          <w:color w:val="000000"/>
          <w:sz w:val="17"/>
          <w:szCs w:val="17"/>
        </w:rPr>
        <w:t xml:space="preserve">erations. </w:t>
      </w:r>
    </w:p>
    <w:p w14:paraId="26E9D8FB" w14:textId="77777777" w:rsidR="008A3BAC" w:rsidRDefault="005C75B9">
      <w:pPr>
        <w:spacing w:before="120"/>
      </w:pPr>
      <w:r>
        <w:rPr>
          <w:rFonts w:ascii="sans-serif" w:eastAsia="sans-serif" w:hAnsi="sans-serif" w:cs="sans-serif"/>
          <w:b/>
          <w:bCs/>
          <w:color w:val="808080"/>
          <w:sz w:val="22"/>
          <w:szCs w:val="22"/>
        </w:rPr>
        <w:t>THIRD QUARTER OVERVIEW</w:t>
      </w:r>
    </w:p>
    <w:p w14:paraId="26E9D8FC" w14:textId="77777777" w:rsidR="008A3BAC" w:rsidRDefault="005C75B9">
      <w:pPr>
        <w:spacing w:after="120"/>
      </w:pPr>
      <w:r>
        <w:rPr>
          <w:rFonts w:ascii="Arial" w:eastAsia="宋体" w:hAnsi="Arial" w:cs="Arial"/>
          <w:color w:val="000000"/>
          <w:sz w:val="17"/>
          <w:szCs w:val="17"/>
        </w:rPr>
        <w:t>For the third quarter of fiscal 2022, NIKE, Inc. Revenues increased 5% to $10.9 billion compared to the third quarter of fiscal 2021 and increased 8% on a currency-neutral basis. Net income was $1,396 million and diluted e</w:t>
      </w:r>
      <w:r>
        <w:rPr>
          <w:rFonts w:ascii="Arial" w:eastAsia="宋体" w:hAnsi="Arial" w:cs="Arial"/>
          <w:color w:val="000000"/>
          <w:sz w:val="17"/>
          <w:szCs w:val="17"/>
        </w:rPr>
        <w:t>arnings per common share was $0.87 for the third quarter of fiscal 2022, compared to Net income of $1,449 million and diluted earnings per common share of $0.90 for the third quarter of fiscal 2021.</w:t>
      </w:r>
    </w:p>
    <w:p w14:paraId="26E9D8FD" w14:textId="77777777" w:rsidR="008A3BAC" w:rsidRDefault="005C75B9">
      <w:pPr>
        <w:spacing w:before="120" w:after="120"/>
      </w:pPr>
      <w:r>
        <w:rPr>
          <w:rFonts w:ascii="Arial" w:eastAsia="宋体" w:hAnsi="Arial" w:cs="Arial"/>
          <w:color w:val="000000"/>
          <w:sz w:val="17"/>
          <w:szCs w:val="17"/>
        </w:rPr>
        <w:t>Income before income taxes increased 2% compared to the t</w:t>
      </w:r>
      <w:r>
        <w:rPr>
          <w:rFonts w:ascii="Arial" w:eastAsia="宋体" w:hAnsi="Arial" w:cs="Arial"/>
          <w:color w:val="000000"/>
          <w:sz w:val="17"/>
          <w:szCs w:val="17"/>
        </w:rPr>
        <w:t xml:space="preserve">hird quarter of fiscal 2021, due to higher Revenues and gross margin expansion, partially offset by higher Selling and administrative expense. NIKE Brand revenues, which represent over 90% of NIKE, Inc. Revenues, increased 6% compared to the third quarter </w:t>
      </w:r>
      <w:r>
        <w:rPr>
          <w:rFonts w:ascii="Arial" w:eastAsia="宋体" w:hAnsi="Arial" w:cs="Arial"/>
          <w:color w:val="000000"/>
          <w:sz w:val="17"/>
          <w:szCs w:val="17"/>
        </w:rPr>
        <w:t>of fiscal 2021. On a currency-neutral basis, NIKE Brand revenues increased 8%, driven by higher revenues in EMEA, North America and APLA, partially offset by declines in Greater China. Additionally, NIKE Brand currency-neutral revenues were higher across a</w:t>
      </w:r>
      <w:r>
        <w:rPr>
          <w:rFonts w:ascii="Arial" w:eastAsia="宋体" w:hAnsi="Arial" w:cs="Arial"/>
          <w:color w:val="000000"/>
          <w:sz w:val="17"/>
          <w:szCs w:val="17"/>
        </w:rPr>
        <w:t xml:space="preserve">pparel and footwear, as well as Men's, the Jordan Brand, Kids' and Women's. Revenues for Converse decreased 1% and increased 2% compared to the third quarter of fiscal 2021, on a reported and currency-neutral basis, respectively, led by strong performance </w:t>
      </w:r>
      <w:r>
        <w:rPr>
          <w:rFonts w:ascii="Arial" w:eastAsia="宋体" w:hAnsi="Arial" w:cs="Arial"/>
          <w:color w:val="000000"/>
          <w:sz w:val="17"/>
          <w:szCs w:val="17"/>
        </w:rPr>
        <w:t>in North America and Western Europe, partially offset by declines in Asia.</w:t>
      </w:r>
    </w:p>
    <w:p w14:paraId="26E9D8FE" w14:textId="77777777" w:rsidR="008A3BAC" w:rsidRDefault="005C75B9">
      <w:pPr>
        <w:spacing w:before="120" w:after="120"/>
      </w:pPr>
      <w:r>
        <w:rPr>
          <w:rFonts w:ascii="Arial" w:eastAsia="宋体" w:hAnsi="Arial" w:cs="Arial"/>
          <w:color w:val="000000"/>
          <w:sz w:val="17"/>
          <w:szCs w:val="17"/>
        </w:rPr>
        <w:t>Our effective tax rate was 16.4% for the third quarter of fiscal 2022, compared to 11.4% for the third quarter of fiscal 2021, due to a shift in our earnings mix, the effects of sto</w:t>
      </w:r>
      <w:r>
        <w:rPr>
          <w:rFonts w:ascii="Arial" w:eastAsia="宋体" w:hAnsi="Arial" w:cs="Arial"/>
          <w:color w:val="000000"/>
          <w:sz w:val="17"/>
          <w:szCs w:val="17"/>
        </w:rPr>
        <w:t>ck-based compensation and recently finalized U.S. tax regulations.</w:t>
      </w:r>
    </w:p>
    <w:p w14:paraId="26E9D8FF" w14:textId="77777777" w:rsidR="008A3BAC" w:rsidRDefault="005C75B9">
      <w:r>
        <w:rPr>
          <w:rFonts w:ascii="Arial" w:eastAsia="宋体" w:hAnsi="Arial" w:cs="Arial"/>
          <w:color w:val="000000"/>
          <w:sz w:val="17"/>
          <w:szCs w:val="17"/>
        </w:rPr>
        <w:t>Consumer protection and data privacy laws have been coming into effect across the world, including recently introduced laws that became effective during the second quarter of fiscal 2022 in China, that provide for the comprehensive regulation of data and p</w:t>
      </w:r>
      <w:r>
        <w:rPr>
          <w:rFonts w:ascii="Arial" w:eastAsia="宋体" w:hAnsi="Arial" w:cs="Arial"/>
          <w:color w:val="000000"/>
          <w:sz w:val="17"/>
          <w:szCs w:val="17"/>
        </w:rPr>
        <w:t>ersonal data processing activities across all industries and operations such as collecting, utilizing, processing, sharing and transferring data and personal information in and out of China. Uncertainty regarding the interpretation and application of these</w:t>
      </w:r>
      <w:r>
        <w:rPr>
          <w:rFonts w:ascii="Arial" w:eastAsia="宋体" w:hAnsi="Arial" w:cs="Arial"/>
          <w:color w:val="000000"/>
          <w:sz w:val="17"/>
          <w:szCs w:val="17"/>
        </w:rPr>
        <w:t xml:space="preserve"> laws in practice may impact us and could impair our ability to execute on our operating plan and have adverse effects on our business and results of operations. Further, any non-compliance could subject us to, among other things, fines, legal proceedings,</w:t>
      </w:r>
      <w:r>
        <w:rPr>
          <w:rFonts w:ascii="Arial" w:eastAsia="宋体" w:hAnsi="Arial" w:cs="Arial"/>
          <w:color w:val="000000"/>
          <w:sz w:val="17"/>
          <w:szCs w:val="17"/>
        </w:rPr>
        <w:t xml:space="preserve"> regulatory orders or damage to our reputation. </w:t>
      </w:r>
    </w:p>
    <w:p w14:paraId="26E9D900" w14:textId="77777777" w:rsidR="008A3BAC" w:rsidRDefault="005C75B9">
      <w:pPr>
        <w:spacing w:before="120" w:after="120"/>
      </w:pPr>
      <w:r>
        <w:rPr>
          <w:rFonts w:ascii="Arial" w:eastAsia="宋体" w:hAnsi="Arial" w:cs="Arial"/>
          <w:color w:val="000000"/>
          <w:sz w:val="17"/>
          <w:szCs w:val="17"/>
        </w:rPr>
        <w:t>During fiscal 2021, the transaction with Grupo SBF S.A. to purchase substantially all of our NIKE Brand operations in Brazil closed. We remain committed to selling our Argentina, Chile and Uruguay legal enti</w:t>
      </w:r>
      <w:r>
        <w:rPr>
          <w:rFonts w:ascii="Arial" w:eastAsia="宋体" w:hAnsi="Arial" w:cs="Arial"/>
          <w:color w:val="000000"/>
          <w:sz w:val="17"/>
          <w:szCs w:val="17"/>
        </w:rPr>
        <w:t>ties and granting distribution rights to third-party distributors. As such, the assets and liabilities of these entities have remained classified as held-for-sale on the Unaudited Condensed Consolidated Balance Sheets. For more information see Note 13 — Ac</w:t>
      </w:r>
      <w:r>
        <w:rPr>
          <w:rFonts w:ascii="Arial" w:eastAsia="宋体" w:hAnsi="Arial" w:cs="Arial"/>
          <w:color w:val="000000"/>
          <w:sz w:val="17"/>
          <w:szCs w:val="17"/>
        </w:rPr>
        <w:t>quisitions and Divestitures within the accompanying Notes to the Unaudited Condensed Consolidated Financial Statements.</w:t>
      </w:r>
    </w:p>
    <w:p w14:paraId="26E9D901" w14:textId="77777777" w:rsidR="008A3BAC" w:rsidRDefault="008A3BAC">
      <w:pPr>
        <w:spacing w:after="120"/>
      </w:pPr>
    </w:p>
    <w:p w14:paraId="26E9D902" w14:textId="77777777" w:rsidR="008A3BAC" w:rsidRDefault="005C75B9">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26E9D903" w14:textId="77777777" w:rsidR="008A3BAC" w:rsidRDefault="005C75B9">
      <w:r>
        <w:pict w14:anchorId="26E9E861">
          <v:rect id="_x0000_i1052" style="width:415.3pt;height:1.5pt" o:hralign="center" o:hrstd="t" o:hr="t" fillcolor="#a0a0a0" stroked="f"/>
        </w:pict>
      </w:r>
    </w:p>
    <w:p w14:paraId="26E9D904" w14:textId="77777777" w:rsidR="008A3BAC" w:rsidRDefault="008A3BAC"/>
    <w:p w14:paraId="26E9D905" w14:textId="77777777" w:rsidR="008A3BAC" w:rsidRDefault="005C75B9">
      <w:hyperlink r:id="rId97" w:anchor="i46aba51c6a804f42b3595948c57d2023_7" w:history="1">
        <w:r>
          <w:rPr>
            <w:rStyle w:val="a5"/>
            <w:rFonts w:ascii="sans-serif" w:eastAsia="sans-serif" w:hAnsi="sans-serif" w:cs="sans-serif"/>
            <w:sz w:val="17"/>
            <w:szCs w:val="17"/>
          </w:rPr>
          <w:t>Table of Contents</w:t>
        </w:r>
      </w:hyperlink>
    </w:p>
    <w:p w14:paraId="26E9D906" w14:textId="77777777" w:rsidR="008A3BAC" w:rsidRDefault="008A3BAC"/>
    <w:p w14:paraId="26E9D907" w14:textId="77777777" w:rsidR="008A3BAC" w:rsidRDefault="005C75B9">
      <w:pPr>
        <w:spacing w:before="120"/>
      </w:pPr>
      <w:r>
        <w:rPr>
          <w:rFonts w:ascii="sans-serif" w:eastAsia="sans-serif" w:hAnsi="sans-serif" w:cs="sans-serif"/>
          <w:b/>
          <w:bCs/>
          <w:color w:val="808080"/>
          <w:sz w:val="22"/>
          <w:szCs w:val="22"/>
        </w:rPr>
        <w:t>USE OF NON-GAAP FINANCIAL MEASURES</w:t>
      </w:r>
    </w:p>
    <w:p w14:paraId="26E9D908" w14:textId="77777777" w:rsidR="008A3BAC" w:rsidRDefault="005C75B9">
      <w:pPr>
        <w:spacing w:after="120"/>
      </w:pPr>
      <w:r>
        <w:rPr>
          <w:rFonts w:ascii="Arial" w:eastAsia="宋体" w:hAnsi="Arial" w:cs="Arial"/>
          <w:color w:val="000000"/>
          <w:sz w:val="17"/>
          <w:szCs w:val="17"/>
        </w:rPr>
        <w:t xml:space="preserve">Throughout this Quarterly Report on Form 10-Q, we </w:t>
      </w:r>
      <w:r>
        <w:rPr>
          <w:rFonts w:ascii="Arial" w:eastAsia="宋体" w:hAnsi="Arial" w:cs="Arial"/>
          <w:color w:val="000000"/>
          <w:sz w:val="17"/>
          <w:szCs w:val="17"/>
        </w:rPr>
        <w:t xml:space="preserve">discuss non-GAAP financial measures, including references to wholesale equivalent revenues, currency-neutral revenues, as well as Total NIKE Brand earnings before interest and taxes (EBIT), Total NIKE, Inc. EBIT and EBIT Margin, which should be considered </w:t>
      </w:r>
      <w:r>
        <w:rPr>
          <w:rFonts w:ascii="Arial" w:eastAsia="宋体" w:hAnsi="Arial" w:cs="Arial"/>
          <w:color w:val="000000"/>
          <w:sz w:val="17"/>
          <w:szCs w:val="17"/>
        </w:rPr>
        <w:t>in addition to, and not in lieu of, the financial measures calculated and presented in accordance with accounting principles generally accepted in the United States of America (“U.S. GAAP”). References to wholesale equivalent revenues are intended to provi</w:t>
      </w:r>
      <w:r>
        <w:rPr>
          <w:rFonts w:ascii="Arial" w:eastAsia="宋体" w:hAnsi="Arial" w:cs="Arial"/>
          <w:color w:val="000000"/>
          <w:sz w:val="17"/>
          <w:szCs w:val="17"/>
        </w:rPr>
        <w:t>de context as to the total size of our NIKE Brand market footprint if we had no NIKE Direct operations. NIKE Brand wholesale equivalent revenues consist of (1) sales to external wholesale customers and (2) internal sales from our wholesale operations to ou</w:t>
      </w:r>
      <w:r>
        <w:rPr>
          <w:rFonts w:ascii="Arial" w:eastAsia="宋体" w:hAnsi="Arial" w:cs="Arial"/>
          <w:color w:val="000000"/>
          <w:sz w:val="17"/>
          <w:szCs w:val="17"/>
        </w:rPr>
        <w:t>r NIKE Direct operations, which are charged at prices comparable to those charged to external wholesale customers. Additionally, currency-neutral revenues are calculated using actual exchange rates in use during the comparative prior year period to enhance</w:t>
      </w:r>
      <w:r>
        <w:rPr>
          <w:rFonts w:ascii="Arial" w:eastAsia="宋体" w:hAnsi="Arial" w:cs="Arial"/>
          <w:color w:val="000000"/>
          <w:sz w:val="17"/>
          <w:szCs w:val="17"/>
        </w:rPr>
        <w:t xml:space="preserve"> the visibility of the underlying business trends excluding the impact of translation arising from foreign currency exchange rate fluctuations. EBIT is calculated as Net Income before Interest expense (income), net and Income tax expense in the Unaudited C</w:t>
      </w:r>
      <w:r>
        <w:rPr>
          <w:rFonts w:ascii="Arial" w:eastAsia="宋体" w:hAnsi="Arial" w:cs="Arial"/>
          <w:color w:val="000000"/>
          <w:sz w:val="17"/>
          <w:szCs w:val="17"/>
        </w:rPr>
        <w:t>ondensed Consolidated Statements of Income. EBIT Margin is calculated as EBIT divided by total NIKE, Inc. Revenues.</w:t>
      </w:r>
    </w:p>
    <w:p w14:paraId="26E9D909" w14:textId="77777777" w:rsidR="008A3BAC" w:rsidRDefault="005C75B9">
      <w:pPr>
        <w:spacing w:before="120" w:after="120"/>
      </w:pPr>
      <w:r>
        <w:rPr>
          <w:rFonts w:ascii="Arial" w:eastAsia="宋体" w:hAnsi="Arial" w:cs="Arial"/>
          <w:color w:val="000000"/>
          <w:sz w:val="17"/>
          <w:szCs w:val="17"/>
        </w:rPr>
        <w:t>Management uses these non-GAAP financial measures when evaluating the Company's performance, including when making financial and operating d</w:t>
      </w:r>
      <w:r>
        <w:rPr>
          <w:rFonts w:ascii="Arial" w:eastAsia="宋体" w:hAnsi="Arial" w:cs="Arial"/>
          <w:color w:val="000000"/>
          <w:sz w:val="17"/>
          <w:szCs w:val="17"/>
        </w:rPr>
        <w:t xml:space="preserve">ecisions. Additionally, management believes these non-GAAP financial measures provide investors with additional financial information that should be considered when assessing our underlying business performance and trends. However, references to wholesale </w:t>
      </w:r>
      <w:r>
        <w:rPr>
          <w:rFonts w:ascii="Arial" w:eastAsia="宋体" w:hAnsi="Arial" w:cs="Arial"/>
          <w:color w:val="000000"/>
          <w:sz w:val="17"/>
          <w:szCs w:val="17"/>
        </w:rPr>
        <w:t>equivalent revenues, currency-neutral revenues, EBIT and EBIT margin should not be considered in isolation or as a substitute for other financial measures calculated and presented in accordance with U.S. GAAP and may not be comparable to similarly titled n</w:t>
      </w:r>
      <w:r>
        <w:rPr>
          <w:rFonts w:ascii="Arial" w:eastAsia="宋体" w:hAnsi="Arial" w:cs="Arial"/>
          <w:color w:val="000000"/>
          <w:sz w:val="17"/>
          <w:szCs w:val="17"/>
        </w:rPr>
        <w:t>on-GAAP measures used by other companies.</w:t>
      </w:r>
    </w:p>
    <w:p w14:paraId="26E9D90A" w14:textId="77777777" w:rsidR="008A3BAC" w:rsidRDefault="005C75B9">
      <w:pPr>
        <w:spacing w:before="120" w:after="120"/>
        <w:jc w:val="right"/>
      </w:pPr>
      <w:r>
        <w:rPr>
          <w:rFonts w:ascii="Arial" w:eastAsia="宋体" w:hAnsi="Arial" w:cs="Arial"/>
          <w:color w:val="E87722"/>
          <w:sz w:val="17"/>
          <w:szCs w:val="17"/>
        </w:rPr>
        <w:t>27</w:t>
      </w:r>
    </w:p>
    <w:p w14:paraId="26E9D90B" w14:textId="77777777" w:rsidR="008A3BAC" w:rsidRDefault="005C75B9">
      <w:r>
        <w:pict w14:anchorId="26E9E862">
          <v:rect id="_x0000_i1053" style="width:415.3pt;height:1.5pt" o:hralign="center" o:hrstd="t" o:hr="t" fillcolor="#a0a0a0" stroked="f"/>
        </w:pict>
      </w:r>
    </w:p>
    <w:p w14:paraId="26E9D90C" w14:textId="77777777" w:rsidR="008A3BAC" w:rsidRDefault="008A3BAC"/>
    <w:p w14:paraId="26E9D90D" w14:textId="77777777" w:rsidR="008A3BAC" w:rsidRDefault="005C75B9">
      <w:hyperlink r:id="rId98" w:anchor="i46aba51c6a804f42b3595948c57d2023_7" w:history="1">
        <w:r>
          <w:rPr>
            <w:rStyle w:val="a5"/>
            <w:rFonts w:ascii="sans-serif" w:eastAsia="sans-serif" w:hAnsi="sans-serif" w:cs="sans-serif"/>
            <w:sz w:val="17"/>
            <w:szCs w:val="17"/>
          </w:rPr>
          <w:t>Table of Contents</w:t>
        </w:r>
      </w:hyperlink>
    </w:p>
    <w:p w14:paraId="26E9D90E" w14:textId="77777777" w:rsidR="008A3BAC" w:rsidRDefault="008A3BAC"/>
    <w:p w14:paraId="26E9D90F" w14:textId="77777777" w:rsidR="008A3BAC" w:rsidRDefault="005C75B9">
      <w:pPr>
        <w:spacing w:before="300" w:after="120"/>
      </w:pPr>
      <w:r>
        <w:rPr>
          <w:rFonts w:ascii="sans-serif" w:eastAsia="sans-serif" w:hAnsi="sans-serif" w:cs="sans-serif"/>
          <w:b/>
          <w:bCs/>
          <w:color w:val="E87722"/>
          <w:sz w:val="36"/>
          <w:szCs w:val="36"/>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23"/>
        <w:gridCol w:w="38"/>
        <w:gridCol w:w="115"/>
        <w:gridCol w:w="568"/>
        <w:gridCol w:w="172"/>
        <w:gridCol w:w="115"/>
        <w:gridCol w:w="568"/>
        <w:gridCol w:w="172"/>
        <w:gridCol w:w="66"/>
        <w:gridCol w:w="572"/>
        <w:gridCol w:w="172"/>
        <w:gridCol w:w="36"/>
        <w:gridCol w:w="36"/>
        <w:gridCol w:w="36"/>
        <w:gridCol w:w="115"/>
        <w:gridCol w:w="568"/>
        <w:gridCol w:w="172"/>
        <w:gridCol w:w="115"/>
        <w:gridCol w:w="568"/>
        <w:gridCol w:w="172"/>
        <w:gridCol w:w="66"/>
        <w:gridCol w:w="572"/>
        <w:gridCol w:w="172"/>
        <w:gridCol w:w="36"/>
        <w:gridCol w:w="36"/>
        <w:gridCol w:w="36"/>
        <w:gridCol w:w="36"/>
        <w:gridCol w:w="36"/>
        <w:gridCol w:w="36"/>
        <w:gridCol w:w="36"/>
        <w:gridCol w:w="36"/>
      </w:tblGrid>
      <w:tr w:rsidR="008A3BAC" w14:paraId="26E9D92C" w14:textId="77777777">
        <w:tc>
          <w:tcPr>
            <w:tcW w:w="50" w:type="pct"/>
            <w:shd w:val="clear" w:color="auto" w:fill="auto"/>
            <w:vAlign w:val="bottom"/>
          </w:tcPr>
          <w:p w14:paraId="26E9D910" w14:textId="77777777" w:rsidR="008A3BAC" w:rsidRDefault="008A3BAC">
            <w:pPr>
              <w:rPr>
                <w:rFonts w:ascii="宋体"/>
              </w:rPr>
            </w:pPr>
          </w:p>
        </w:tc>
        <w:tc>
          <w:tcPr>
            <w:tcW w:w="1943" w:type="pct"/>
            <w:shd w:val="clear" w:color="auto" w:fill="auto"/>
            <w:vAlign w:val="bottom"/>
          </w:tcPr>
          <w:p w14:paraId="26E9D911" w14:textId="77777777" w:rsidR="008A3BAC" w:rsidRDefault="008A3BAC">
            <w:pPr>
              <w:rPr>
                <w:rFonts w:ascii="宋体"/>
              </w:rPr>
            </w:pPr>
          </w:p>
        </w:tc>
        <w:tc>
          <w:tcPr>
            <w:tcW w:w="5" w:type="pct"/>
            <w:shd w:val="clear" w:color="auto" w:fill="auto"/>
            <w:vAlign w:val="bottom"/>
          </w:tcPr>
          <w:p w14:paraId="26E9D912" w14:textId="77777777" w:rsidR="008A3BAC" w:rsidRDefault="008A3BAC">
            <w:pPr>
              <w:rPr>
                <w:rFonts w:ascii="宋体"/>
              </w:rPr>
            </w:pPr>
          </w:p>
        </w:tc>
        <w:tc>
          <w:tcPr>
            <w:tcW w:w="50" w:type="pct"/>
            <w:shd w:val="clear" w:color="auto" w:fill="auto"/>
            <w:vAlign w:val="bottom"/>
          </w:tcPr>
          <w:p w14:paraId="26E9D913" w14:textId="77777777" w:rsidR="008A3BAC" w:rsidRDefault="008A3BAC">
            <w:pPr>
              <w:rPr>
                <w:rFonts w:ascii="宋体"/>
              </w:rPr>
            </w:pPr>
          </w:p>
        </w:tc>
        <w:tc>
          <w:tcPr>
            <w:tcW w:w="438" w:type="pct"/>
            <w:shd w:val="clear" w:color="auto" w:fill="auto"/>
            <w:vAlign w:val="bottom"/>
          </w:tcPr>
          <w:p w14:paraId="26E9D914" w14:textId="77777777" w:rsidR="008A3BAC" w:rsidRDefault="008A3BAC">
            <w:pPr>
              <w:rPr>
                <w:rFonts w:ascii="宋体"/>
              </w:rPr>
            </w:pPr>
          </w:p>
        </w:tc>
        <w:tc>
          <w:tcPr>
            <w:tcW w:w="5" w:type="pct"/>
            <w:shd w:val="clear" w:color="auto" w:fill="auto"/>
            <w:vAlign w:val="bottom"/>
          </w:tcPr>
          <w:p w14:paraId="26E9D915" w14:textId="77777777" w:rsidR="008A3BAC" w:rsidRDefault="008A3BAC">
            <w:pPr>
              <w:rPr>
                <w:rFonts w:ascii="宋体"/>
              </w:rPr>
            </w:pPr>
          </w:p>
        </w:tc>
        <w:tc>
          <w:tcPr>
            <w:tcW w:w="50" w:type="pct"/>
            <w:shd w:val="clear" w:color="auto" w:fill="auto"/>
            <w:vAlign w:val="bottom"/>
          </w:tcPr>
          <w:p w14:paraId="26E9D916" w14:textId="77777777" w:rsidR="008A3BAC" w:rsidRDefault="008A3BAC">
            <w:pPr>
              <w:rPr>
                <w:rFonts w:ascii="宋体"/>
              </w:rPr>
            </w:pPr>
          </w:p>
        </w:tc>
        <w:tc>
          <w:tcPr>
            <w:tcW w:w="438" w:type="pct"/>
            <w:shd w:val="clear" w:color="auto" w:fill="auto"/>
            <w:vAlign w:val="bottom"/>
          </w:tcPr>
          <w:p w14:paraId="26E9D917" w14:textId="77777777" w:rsidR="008A3BAC" w:rsidRDefault="008A3BAC">
            <w:pPr>
              <w:rPr>
                <w:rFonts w:ascii="宋体"/>
              </w:rPr>
            </w:pPr>
          </w:p>
        </w:tc>
        <w:tc>
          <w:tcPr>
            <w:tcW w:w="5" w:type="pct"/>
            <w:shd w:val="clear" w:color="auto" w:fill="auto"/>
            <w:vAlign w:val="bottom"/>
          </w:tcPr>
          <w:p w14:paraId="26E9D918" w14:textId="77777777" w:rsidR="008A3BAC" w:rsidRDefault="008A3BAC">
            <w:pPr>
              <w:rPr>
                <w:rFonts w:ascii="宋体"/>
              </w:rPr>
            </w:pPr>
          </w:p>
        </w:tc>
        <w:tc>
          <w:tcPr>
            <w:tcW w:w="50" w:type="pct"/>
            <w:shd w:val="clear" w:color="auto" w:fill="auto"/>
            <w:vAlign w:val="bottom"/>
          </w:tcPr>
          <w:p w14:paraId="26E9D919" w14:textId="77777777" w:rsidR="008A3BAC" w:rsidRDefault="008A3BAC">
            <w:pPr>
              <w:rPr>
                <w:rFonts w:ascii="宋体"/>
              </w:rPr>
            </w:pPr>
          </w:p>
        </w:tc>
        <w:tc>
          <w:tcPr>
            <w:tcW w:w="438" w:type="pct"/>
            <w:shd w:val="clear" w:color="auto" w:fill="auto"/>
            <w:vAlign w:val="bottom"/>
          </w:tcPr>
          <w:p w14:paraId="26E9D91A" w14:textId="77777777" w:rsidR="008A3BAC" w:rsidRDefault="008A3BAC">
            <w:pPr>
              <w:rPr>
                <w:rFonts w:ascii="宋体"/>
              </w:rPr>
            </w:pPr>
          </w:p>
        </w:tc>
        <w:tc>
          <w:tcPr>
            <w:tcW w:w="5" w:type="pct"/>
            <w:shd w:val="clear" w:color="auto" w:fill="auto"/>
            <w:vAlign w:val="bottom"/>
          </w:tcPr>
          <w:p w14:paraId="26E9D91B" w14:textId="77777777" w:rsidR="008A3BAC" w:rsidRDefault="008A3BAC">
            <w:pPr>
              <w:rPr>
                <w:rFonts w:ascii="宋体"/>
              </w:rPr>
            </w:pPr>
          </w:p>
        </w:tc>
        <w:tc>
          <w:tcPr>
            <w:tcW w:w="5" w:type="pct"/>
            <w:shd w:val="clear" w:color="auto" w:fill="auto"/>
            <w:vAlign w:val="bottom"/>
          </w:tcPr>
          <w:p w14:paraId="26E9D91C" w14:textId="77777777" w:rsidR="008A3BAC" w:rsidRDefault="008A3BAC">
            <w:pPr>
              <w:rPr>
                <w:rFonts w:ascii="宋体"/>
              </w:rPr>
            </w:pPr>
          </w:p>
        </w:tc>
        <w:tc>
          <w:tcPr>
            <w:tcW w:w="28" w:type="pct"/>
            <w:shd w:val="clear" w:color="auto" w:fill="auto"/>
            <w:vAlign w:val="bottom"/>
          </w:tcPr>
          <w:p w14:paraId="26E9D91D" w14:textId="77777777" w:rsidR="008A3BAC" w:rsidRDefault="008A3BAC">
            <w:pPr>
              <w:rPr>
                <w:rFonts w:ascii="宋体"/>
              </w:rPr>
            </w:pPr>
          </w:p>
        </w:tc>
        <w:tc>
          <w:tcPr>
            <w:tcW w:w="5" w:type="pct"/>
            <w:shd w:val="clear" w:color="auto" w:fill="auto"/>
            <w:vAlign w:val="bottom"/>
          </w:tcPr>
          <w:p w14:paraId="26E9D91E" w14:textId="77777777" w:rsidR="008A3BAC" w:rsidRDefault="008A3BAC">
            <w:pPr>
              <w:rPr>
                <w:rFonts w:ascii="宋体"/>
              </w:rPr>
            </w:pPr>
          </w:p>
        </w:tc>
        <w:tc>
          <w:tcPr>
            <w:tcW w:w="50" w:type="pct"/>
            <w:shd w:val="clear" w:color="auto" w:fill="auto"/>
            <w:vAlign w:val="bottom"/>
          </w:tcPr>
          <w:p w14:paraId="26E9D91F" w14:textId="77777777" w:rsidR="008A3BAC" w:rsidRDefault="008A3BAC">
            <w:pPr>
              <w:rPr>
                <w:rFonts w:ascii="宋体"/>
              </w:rPr>
            </w:pPr>
          </w:p>
        </w:tc>
        <w:tc>
          <w:tcPr>
            <w:tcW w:w="438" w:type="pct"/>
            <w:shd w:val="clear" w:color="auto" w:fill="auto"/>
            <w:vAlign w:val="bottom"/>
          </w:tcPr>
          <w:p w14:paraId="26E9D920" w14:textId="77777777" w:rsidR="008A3BAC" w:rsidRDefault="008A3BAC">
            <w:pPr>
              <w:rPr>
                <w:rFonts w:ascii="宋体"/>
              </w:rPr>
            </w:pPr>
          </w:p>
        </w:tc>
        <w:tc>
          <w:tcPr>
            <w:tcW w:w="5" w:type="pct"/>
            <w:shd w:val="clear" w:color="auto" w:fill="auto"/>
            <w:vAlign w:val="bottom"/>
          </w:tcPr>
          <w:p w14:paraId="26E9D921" w14:textId="77777777" w:rsidR="008A3BAC" w:rsidRDefault="008A3BAC">
            <w:pPr>
              <w:rPr>
                <w:rFonts w:ascii="宋体"/>
              </w:rPr>
            </w:pPr>
          </w:p>
        </w:tc>
        <w:tc>
          <w:tcPr>
            <w:tcW w:w="50" w:type="pct"/>
            <w:shd w:val="clear" w:color="auto" w:fill="auto"/>
            <w:vAlign w:val="bottom"/>
          </w:tcPr>
          <w:p w14:paraId="26E9D922" w14:textId="77777777" w:rsidR="008A3BAC" w:rsidRDefault="008A3BAC">
            <w:pPr>
              <w:rPr>
                <w:rFonts w:ascii="宋体"/>
              </w:rPr>
            </w:pPr>
          </w:p>
        </w:tc>
        <w:tc>
          <w:tcPr>
            <w:tcW w:w="438" w:type="pct"/>
            <w:shd w:val="clear" w:color="auto" w:fill="auto"/>
            <w:vAlign w:val="bottom"/>
          </w:tcPr>
          <w:p w14:paraId="26E9D923" w14:textId="77777777" w:rsidR="008A3BAC" w:rsidRDefault="008A3BAC">
            <w:pPr>
              <w:rPr>
                <w:rFonts w:ascii="宋体"/>
              </w:rPr>
            </w:pPr>
          </w:p>
        </w:tc>
        <w:tc>
          <w:tcPr>
            <w:tcW w:w="5" w:type="pct"/>
            <w:shd w:val="clear" w:color="auto" w:fill="auto"/>
            <w:vAlign w:val="bottom"/>
          </w:tcPr>
          <w:p w14:paraId="26E9D924" w14:textId="77777777" w:rsidR="008A3BAC" w:rsidRDefault="008A3BAC">
            <w:pPr>
              <w:rPr>
                <w:rFonts w:ascii="宋体"/>
              </w:rPr>
            </w:pPr>
          </w:p>
        </w:tc>
        <w:tc>
          <w:tcPr>
            <w:tcW w:w="50" w:type="pct"/>
            <w:shd w:val="clear" w:color="auto" w:fill="auto"/>
            <w:vAlign w:val="bottom"/>
          </w:tcPr>
          <w:p w14:paraId="26E9D925" w14:textId="77777777" w:rsidR="008A3BAC" w:rsidRDefault="008A3BAC">
            <w:pPr>
              <w:rPr>
                <w:rFonts w:ascii="宋体"/>
              </w:rPr>
            </w:pPr>
          </w:p>
        </w:tc>
        <w:tc>
          <w:tcPr>
            <w:tcW w:w="438" w:type="pct"/>
            <w:shd w:val="clear" w:color="auto" w:fill="auto"/>
            <w:vAlign w:val="bottom"/>
          </w:tcPr>
          <w:p w14:paraId="26E9D926" w14:textId="77777777" w:rsidR="008A3BAC" w:rsidRDefault="008A3BAC">
            <w:pPr>
              <w:rPr>
                <w:rFonts w:ascii="宋体"/>
              </w:rPr>
            </w:pPr>
          </w:p>
        </w:tc>
        <w:tc>
          <w:tcPr>
            <w:tcW w:w="5" w:type="pct"/>
            <w:shd w:val="clear" w:color="auto" w:fill="auto"/>
            <w:vAlign w:val="bottom"/>
          </w:tcPr>
          <w:p w14:paraId="26E9D927" w14:textId="77777777" w:rsidR="008A3BAC" w:rsidRDefault="008A3BAC">
            <w:pPr>
              <w:rPr>
                <w:rFonts w:ascii="宋体"/>
              </w:rPr>
            </w:pPr>
          </w:p>
        </w:tc>
        <w:tc>
          <w:tcPr>
            <w:tcW w:w="0" w:type="auto"/>
            <w:shd w:val="clear" w:color="auto" w:fill="auto"/>
            <w:vAlign w:val="bottom"/>
          </w:tcPr>
          <w:p w14:paraId="26E9D928" w14:textId="77777777" w:rsidR="008A3BAC" w:rsidRDefault="008A3BAC">
            <w:pPr>
              <w:rPr>
                <w:rFonts w:ascii="宋体"/>
                <w:vanish/>
              </w:rPr>
            </w:pPr>
          </w:p>
        </w:tc>
        <w:tc>
          <w:tcPr>
            <w:tcW w:w="0" w:type="auto"/>
            <w:shd w:val="clear" w:color="auto" w:fill="auto"/>
            <w:vAlign w:val="bottom"/>
          </w:tcPr>
          <w:p w14:paraId="26E9D929" w14:textId="77777777" w:rsidR="008A3BAC" w:rsidRDefault="008A3BAC">
            <w:pPr>
              <w:rPr>
                <w:rFonts w:ascii="宋体"/>
                <w:vanish/>
              </w:rPr>
            </w:pPr>
          </w:p>
        </w:tc>
        <w:tc>
          <w:tcPr>
            <w:tcW w:w="0" w:type="auto"/>
            <w:gridSpan w:val="3"/>
            <w:shd w:val="clear" w:color="auto" w:fill="auto"/>
            <w:vAlign w:val="bottom"/>
          </w:tcPr>
          <w:p w14:paraId="26E9D92A" w14:textId="77777777" w:rsidR="008A3BAC" w:rsidRDefault="008A3BAC">
            <w:pPr>
              <w:rPr>
                <w:rFonts w:ascii="宋体"/>
                <w:vanish/>
              </w:rPr>
            </w:pPr>
          </w:p>
        </w:tc>
        <w:tc>
          <w:tcPr>
            <w:tcW w:w="0" w:type="auto"/>
            <w:gridSpan w:val="3"/>
            <w:shd w:val="clear" w:color="auto" w:fill="auto"/>
            <w:vAlign w:val="bottom"/>
          </w:tcPr>
          <w:p w14:paraId="26E9D92B" w14:textId="77777777" w:rsidR="008A3BAC" w:rsidRDefault="008A3BAC">
            <w:pPr>
              <w:rPr>
                <w:rFonts w:ascii="宋体"/>
                <w:vanish/>
              </w:rPr>
            </w:pPr>
          </w:p>
        </w:tc>
      </w:tr>
      <w:tr w:rsidR="008A3BAC" w14:paraId="26E9D939" w14:textId="77777777">
        <w:tc>
          <w:tcPr>
            <w:tcW w:w="0" w:type="auto"/>
            <w:gridSpan w:val="3"/>
            <w:shd w:val="clear" w:color="auto" w:fill="auto"/>
            <w:tcMar>
              <w:top w:w="0" w:type="dxa"/>
              <w:left w:w="20" w:type="dxa"/>
              <w:bottom w:w="0" w:type="dxa"/>
              <w:right w:w="20" w:type="dxa"/>
            </w:tcMar>
            <w:vAlign w:val="bottom"/>
          </w:tcPr>
          <w:p w14:paraId="26E9D92D"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92E"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92F"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930"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931" w14:textId="77777777" w:rsidR="008A3BAC" w:rsidRDefault="008A3BAC">
            <w:pPr>
              <w:rPr>
                <w:rFonts w:ascii="宋体"/>
                <w:vanish/>
              </w:rPr>
            </w:pPr>
          </w:p>
        </w:tc>
        <w:tc>
          <w:tcPr>
            <w:tcW w:w="0" w:type="auto"/>
            <w:shd w:val="clear" w:color="auto" w:fill="auto"/>
            <w:vAlign w:val="bottom"/>
          </w:tcPr>
          <w:p w14:paraId="26E9D932" w14:textId="77777777" w:rsidR="008A3BAC" w:rsidRDefault="008A3BAC">
            <w:pPr>
              <w:rPr>
                <w:rFonts w:ascii="宋体"/>
                <w:vanish/>
              </w:rPr>
            </w:pPr>
          </w:p>
        </w:tc>
        <w:tc>
          <w:tcPr>
            <w:tcW w:w="0" w:type="auto"/>
            <w:shd w:val="clear" w:color="auto" w:fill="auto"/>
            <w:vAlign w:val="bottom"/>
          </w:tcPr>
          <w:p w14:paraId="26E9D933" w14:textId="77777777" w:rsidR="008A3BAC" w:rsidRDefault="008A3BAC">
            <w:pPr>
              <w:rPr>
                <w:rFonts w:ascii="宋体"/>
              </w:rPr>
            </w:pPr>
          </w:p>
        </w:tc>
        <w:tc>
          <w:tcPr>
            <w:tcW w:w="0" w:type="auto"/>
            <w:shd w:val="clear" w:color="auto" w:fill="auto"/>
            <w:vAlign w:val="bottom"/>
          </w:tcPr>
          <w:p w14:paraId="26E9D934" w14:textId="77777777" w:rsidR="008A3BAC" w:rsidRDefault="008A3BAC">
            <w:pPr>
              <w:rPr>
                <w:rFonts w:ascii="宋体"/>
              </w:rPr>
            </w:pPr>
          </w:p>
        </w:tc>
        <w:tc>
          <w:tcPr>
            <w:tcW w:w="0" w:type="auto"/>
            <w:shd w:val="clear" w:color="auto" w:fill="auto"/>
            <w:vAlign w:val="bottom"/>
          </w:tcPr>
          <w:p w14:paraId="26E9D935" w14:textId="77777777" w:rsidR="008A3BAC" w:rsidRDefault="008A3BAC">
            <w:pPr>
              <w:rPr>
                <w:rFonts w:ascii="宋体"/>
              </w:rPr>
            </w:pPr>
          </w:p>
        </w:tc>
        <w:tc>
          <w:tcPr>
            <w:tcW w:w="0" w:type="auto"/>
            <w:shd w:val="clear" w:color="auto" w:fill="auto"/>
            <w:vAlign w:val="bottom"/>
          </w:tcPr>
          <w:p w14:paraId="26E9D936" w14:textId="77777777" w:rsidR="008A3BAC" w:rsidRDefault="008A3BAC">
            <w:pPr>
              <w:rPr>
                <w:rFonts w:ascii="宋体"/>
              </w:rPr>
            </w:pPr>
          </w:p>
        </w:tc>
        <w:tc>
          <w:tcPr>
            <w:tcW w:w="0" w:type="auto"/>
            <w:shd w:val="clear" w:color="auto" w:fill="auto"/>
            <w:vAlign w:val="bottom"/>
          </w:tcPr>
          <w:p w14:paraId="26E9D937" w14:textId="77777777" w:rsidR="008A3BAC" w:rsidRDefault="008A3BAC">
            <w:pPr>
              <w:rPr>
                <w:rFonts w:ascii="宋体"/>
              </w:rPr>
            </w:pPr>
          </w:p>
        </w:tc>
        <w:tc>
          <w:tcPr>
            <w:tcW w:w="0" w:type="auto"/>
            <w:shd w:val="clear" w:color="auto" w:fill="auto"/>
            <w:vAlign w:val="bottom"/>
          </w:tcPr>
          <w:p w14:paraId="26E9D938" w14:textId="77777777" w:rsidR="008A3BAC" w:rsidRDefault="008A3BAC">
            <w:pPr>
              <w:rPr>
                <w:rFonts w:ascii="宋体"/>
              </w:rPr>
            </w:pPr>
          </w:p>
        </w:tc>
      </w:tr>
      <w:tr w:rsidR="008A3BAC" w14:paraId="26E9D946" w14:textId="77777777">
        <w:tc>
          <w:tcPr>
            <w:tcW w:w="0" w:type="auto"/>
            <w:gridSpan w:val="3"/>
            <w:shd w:val="clear" w:color="auto" w:fill="auto"/>
            <w:tcMar>
              <w:top w:w="40" w:type="dxa"/>
              <w:left w:w="20" w:type="dxa"/>
              <w:bottom w:w="40" w:type="dxa"/>
              <w:right w:w="20" w:type="dxa"/>
            </w:tcMar>
            <w:vAlign w:val="bottom"/>
          </w:tcPr>
          <w:p w14:paraId="26E9D93A" w14:textId="77777777" w:rsidR="008A3BAC" w:rsidRDefault="005C75B9">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3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3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3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D93E"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3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4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41" w14:textId="77777777" w:rsidR="008A3BAC" w:rsidRDefault="005C75B9">
            <w:pPr>
              <w:jc w:val="right"/>
              <w:textAlignment w:val="bottom"/>
            </w:pPr>
            <w:r>
              <w:rPr>
                <w:rFonts w:ascii="sans-serif" w:eastAsia="sans-serif" w:hAnsi="sans-serif" w:cs="sans-serif"/>
                <w:b/>
                <w:bCs/>
                <w:color w:val="000000"/>
                <w:sz w:val="17"/>
                <w:szCs w:val="17"/>
              </w:rPr>
              <w:t xml:space="preserve">% </w:t>
            </w:r>
            <w:r>
              <w:rPr>
                <w:rFonts w:ascii="sans-serif" w:eastAsia="sans-serif" w:hAnsi="sans-serif" w:cs="sans-serif"/>
                <w:b/>
                <w:bCs/>
                <w:color w:val="000000"/>
                <w:sz w:val="17"/>
                <w:szCs w:val="17"/>
              </w:rPr>
              <w:t>CHANGE</w:t>
            </w:r>
          </w:p>
        </w:tc>
        <w:tc>
          <w:tcPr>
            <w:tcW w:w="0" w:type="auto"/>
            <w:shd w:val="clear" w:color="auto" w:fill="auto"/>
            <w:vAlign w:val="bottom"/>
          </w:tcPr>
          <w:p w14:paraId="26E9D942" w14:textId="77777777" w:rsidR="008A3BAC" w:rsidRDefault="008A3BAC">
            <w:pPr>
              <w:rPr>
                <w:rFonts w:ascii="宋体"/>
                <w:vanish/>
              </w:rPr>
            </w:pPr>
          </w:p>
        </w:tc>
        <w:tc>
          <w:tcPr>
            <w:tcW w:w="0" w:type="auto"/>
            <w:shd w:val="clear" w:color="auto" w:fill="auto"/>
            <w:vAlign w:val="bottom"/>
          </w:tcPr>
          <w:p w14:paraId="26E9D943" w14:textId="77777777" w:rsidR="008A3BAC" w:rsidRDefault="008A3BAC">
            <w:pPr>
              <w:rPr>
                <w:rFonts w:ascii="宋体"/>
                <w:vanish/>
              </w:rPr>
            </w:pPr>
          </w:p>
        </w:tc>
        <w:tc>
          <w:tcPr>
            <w:tcW w:w="0" w:type="auto"/>
            <w:gridSpan w:val="3"/>
            <w:shd w:val="clear" w:color="auto" w:fill="auto"/>
            <w:vAlign w:val="bottom"/>
          </w:tcPr>
          <w:p w14:paraId="26E9D944" w14:textId="77777777" w:rsidR="008A3BAC" w:rsidRDefault="008A3BAC">
            <w:pPr>
              <w:rPr>
                <w:rFonts w:ascii="宋体"/>
                <w:vanish/>
              </w:rPr>
            </w:pPr>
          </w:p>
        </w:tc>
        <w:tc>
          <w:tcPr>
            <w:tcW w:w="0" w:type="auto"/>
            <w:gridSpan w:val="3"/>
            <w:shd w:val="clear" w:color="auto" w:fill="auto"/>
            <w:vAlign w:val="bottom"/>
          </w:tcPr>
          <w:p w14:paraId="26E9D945" w14:textId="77777777" w:rsidR="008A3BAC" w:rsidRDefault="008A3BAC">
            <w:pPr>
              <w:rPr>
                <w:rFonts w:ascii="宋体"/>
                <w:vanish/>
              </w:rPr>
            </w:pPr>
          </w:p>
        </w:tc>
      </w:tr>
      <w:tr w:rsidR="008A3BAC" w14:paraId="26E9D95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947"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26E9D948"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6E9D949" w14:textId="77777777" w:rsidR="008A3BAC" w:rsidRDefault="005C75B9">
            <w:pPr>
              <w:jc w:val="right"/>
              <w:textAlignment w:val="center"/>
            </w:pPr>
            <w:r>
              <w:rPr>
                <w:rFonts w:ascii="Arial" w:eastAsia="宋体" w:hAnsi="Arial" w:cs="Arial"/>
                <w:color w:val="000000"/>
                <w:sz w:val="17"/>
                <w:szCs w:val="17"/>
              </w:rPr>
              <w:t>10,871 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4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6E9D94B"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6E9D94C" w14:textId="77777777" w:rsidR="008A3BAC" w:rsidRDefault="005C75B9">
            <w:pPr>
              <w:jc w:val="right"/>
              <w:textAlignment w:val="center"/>
            </w:pPr>
            <w:r>
              <w:rPr>
                <w:rFonts w:ascii="Arial" w:eastAsia="宋体" w:hAnsi="Arial" w:cs="Arial"/>
                <w:color w:val="000000"/>
                <w:sz w:val="17"/>
                <w:szCs w:val="17"/>
              </w:rPr>
              <w:t>10,357 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4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4E" w14:textId="77777777" w:rsidR="008A3BAC" w:rsidRDefault="005C75B9">
            <w:pPr>
              <w:jc w:val="right"/>
              <w:textAlignment w:val="center"/>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4F"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950"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26E9D951"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6E9D952" w14:textId="77777777" w:rsidR="008A3BAC" w:rsidRDefault="005C75B9">
            <w:pPr>
              <w:jc w:val="right"/>
              <w:textAlignment w:val="center"/>
            </w:pPr>
            <w:r>
              <w:rPr>
                <w:rFonts w:ascii="Arial" w:eastAsia="宋体" w:hAnsi="Arial" w:cs="Arial"/>
                <w:color w:val="000000"/>
                <w:sz w:val="17"/>
                <w:szCs w:val="17"/>
              </w:rPr>
              <w:t>34,476 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5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6E9D954"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6E9D955" w14:textId="77777777" w:rsidR="008A3BAC" w:rsidRDefault="005C75B9">
            <w:pPr>
              <w:jc w:val="right"/>
              <w:textAlignment w:val="center"/>
            </w:pPr>
            <w:r>
              <w:rPr>
                <w:rFonts w:ascii="Arial" w:eastAsia="宋体" w:hAnsi="Arial" w:cs="Arial"/>
                <w:color w:val="000000"/>
                <w:sz w:val="17"/>
                <w:szCs w:val="17"/>
              </w:rPr>
              <w:t>32,194 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5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57" w14:textId="77777777" w:rsidR="008A3BAC" w:rsidRDefault="005C75B9">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58"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59" w14:textId="77777777" w:rsidR="008A3BAC" w:rsidRDefault="008A3BAC">
            <w:pPr>
              <w:rPr>
                <w:rFonts w:ascii="宋体"/>
                <w:vanish/>
              </w:rPr>
            </w:pPr>
          </w:p>
        </w:tc>
        <w:tc>
          <w:tcPr>
            <w:tcW w:w="0" w:type="auto"/>
            <w:shd w:val="clear" w:color="auto" w:fill="auto"/>
            <w:vAlign w:val="bottom"/>
          </w:tcPr>
          <w:p w14:paraId="26E9D95A" w14:textId="77777777" w:rsidR="008A3BAC" w:rsidRDefault="008A3BAC">
            <w:pPr>
              <w:rPr>
                <w:rFonts w:ascii="宋体"/>
                <w:vanish/>
              </w:rPr>
            </w:pPr>
          </w:p>
        </w:tc>
        <w:tc>
          <w:tcPr>
            <w:tcW w:w="0" w:type="auto"/>
            <w:gridSpan w:val="3"/>
            <w:shd w:val="clear" w:color="auto" w:fill="auto"/>
            <w:vAlign w:val="bottom"/>
          </w:tcPr>
          <w:p w14:paraId="26E9D95B" w14:textId="77777777" w:rsidR="008A3BAC" w:rsidRDefault="008A3BAC">
            <w:pPr>
              <w:rPr>
                <w:rFonts w:ascii="宋体"/>
                <w:vanish/>
              </w:rPr>
            </w:pPr>
          </w:p>
        </w:tc>
        <w:tc>
          <w:tcPr>
            <w:tcW w:w="0" w:type="auto"/>
            <w:gridSpan w:val="3"/>
            <w:shd w:val="clear" w:color="auto" w:fill="auto"/>
            <w:vAlign w:val="bottom"/>
          </w:tcPr>
          <w:p w14:paraId="26E9D95C" w14:textId="77777777" w:rsidR="008A3BAC" w:rsidRDefault="008A3BAC">
            <w:pPr>
              <w:rPr>
                <w:rFonts w:ascii="宋体"/>
                <w:vanish/>
              </w:rPr>
            </w:pPr>
          </w:p>
        </w:tc>
      </w:tr>
      <w:tr w:rsidR="008A3BAC" w14:paraId="26E9D97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95E" w14:textId="77777777" w:rsidR="008A3BAC" w:rsidRDefault="005C75B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5F" w14:textId="77777777" w:rsidR="008A3BAC" w:rsidRDefault="005C75B9">
            <w:pPr>
              <w:jc w:val="right"/>
              <w:textAlignment w:val="center"/>
            </w:pPr>
            <w:r>
              <w:rPr>
                <w:rFonts w:ascii="Arial" w:eastAsia="宋体" w:hAnsi="Arial" w:cs="Arial"/>
                <w:color w:val="000000"/>
                <w:sz w:val="17"/>
                <w:szCs w:val="17"/>
              </w:rPr>
              <w:t>5,804 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6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61" w14:textId="77777777" w:rsidR="008A3BAC" w:rsidRDefault="005C75B9">
            <w:pPr>
              <w:jc w:val="right"/>
              <w:textAlignment w:val="center"/>
            </w:pPr>
            <w:r>
              <w:rPr>
                <w:rFonts w:ascii="Arial" w:eastAsia="宋体" w:hAnsi="Arial" w:cs="Arial"/>
                <w:color w:val="000000"/>
                <w:sz w:val="17"/>
                <w:szCs w:val="17"/>
              </w:rPr>
              <w:t>5,638 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6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63" w14:textId="77777777" w:rsidR="008A3BAC" w:rsidRDefault="005C75B9">
            <w:pPr>
              <w:jc w:val="right"/>
              <w:textAlignment w:val="center"/>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64"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6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66" w14:textId="77777777" w:rsidR="008A3BAC" w:rsidRDefault="005C75B9">
            <w:pPr>
              <w:jc w:val="right"/>
              <w:textAlignment w:val="center"/>
            </w:pPr>
            <w:r>
              <w:rPr>
                <w:rFonts w:ascii="Arial" w:eastAsia="宋体" w:hAnsi="Arial" w:cs="Arial"/>
                <w:color w:val="000000"/>
                <w:sz w:val="17"/>
                <w:szCs w:val="17"/>
              </w:rPr>
              <w:t>18,500 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6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68" w14:textId="77777777" w:rsidR="008A3BAC" w:rsidRDefault="005C75B9">
            <w:pPr>
              <w:jc w:val="right"/>
              <w:textAlignment w:val="center"/>
            </w:pPr>
            <w:r>
              <w:rPr>
                <w:rFonts w:ascii="Arial" w:eastAsia="宋体" w:hAnsi="Arial" w:cs="Arial"/>
                <w:color w:val="000000"/>
                <w:sz w:val="17"/>
                <w:szCs w:val="17"/>
              </w:rPr>
              <w:t>17,887 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6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6A" w14:textId="77777777" w:rsidR="008A3BAC" w:rsidRDefault="005C75B9">
            <w:pPr>
              <w:jc w:val="right"/>
              <w:textAlignment w:val="center"/>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6B"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6C" w14:textId="77777777" w:rsidR="008A3BAC" w:rsidRDefault="008A3BAC">
            <w:pPr>
              <w:rPr>
                <w:rFonts w:ascii="宋体"/>
                <w:vanish/>
              </w:rPr>
            </w:pPr>
          </w:p>
        </w:tc>
        <w:tc>
          <w:tcPr>
            <w:tcW w:w="0" w:type="auto"/>
            <w:shd w:val="clear" w:color="auto" w:fill="auto"/>
            <w:vAlign w:val="bottom"/>
          </w:tcPr>
          <w:p w14:paraId="26E9D96D" w14:textId="77777777" w:rsidR="008A3BAC" w:rsidRDefault="008A3BAC">
            <w:pPr>
              <w:rPr>
                <w:rFonts w:ascii="宋体"/>
                <w:vanish/>
              </w:rPr>
            </w:pPr>
          </w:p>
        </w:tc>
        <w:tc>
          <w:tcPr>
            <w:tcW w:w="0" w:type="auto"/>
            <w:gridSpan w:val="3"/>
            <w:shd w:val="clear" w:color="auto" w:fill="auto"/>
            <w:vAlign w:val="bottom"/>
          </w:tcPr>
          <w:p w14:paraId="26E9D96E" w14:textId="77777777" w:rsidR="008A3BAC" w:rsidRDefault="008A3BAC">
            <w:pPr>
              <w:rPr>
                <w:rFonts w:ascii="宋体"/>
                <w:vanish/>
              </w:rPr>
            </w:pPr>
          </w:p>
        </w:tc>
        <w:tc>
          <w:tcPr>
            <w:tcW w:w="0" w:type="auto"/>
            <w:gridSpan w:val="3"/>
            <w:shd w:val="clear" w:color="auto" w:fill="auto"/>
            <w:vAlign w:val="bottom"/>
          </w:tcPr>
          <w:p w14:paraId="26E9D96F" w14:textId="77777777" w:rsidR="008A3BAC" w:rsidRDefault="008A3BAC">
            <w:pPr>
              <w:rPr>
                <w:rFonts w:ascii="宋体"/>
                <w:vanish/>
              </w:rPr>
            </w:pPr>
          </w:p>
        </w:tc>
      </w:tr>
      <w:tr w:rsidR="008A3BAC" w14:paraId="26E9D983"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6E9D971" w14:textId="77777777" w:rsidR="008A3BAC" w:rsidRDefault="005C75B9">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972" w14:textId="77777777" w:rsidR="008A3BAC" w:rsidRDefault="005C75B9">
            <w:pPr>
              <w:jc w:val="right"/>
              <w:textAlignment w:val="center"/>
            </w:pPr>
            <w:r>
              <w:rPr>
                <w:rFonts w:ascii="Arial" w:eastAsia="宋体" w:hAnsi="Arial" w:cs="Arial"/>
                <w:color w:val="000000"/>
                <w:sz w:val="17"/>
                <w:szCs w:val="17"/>
              </w:rPr>
              <w:t>5,067 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7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74" w14:textId="77777777" w:rsidR="008A3BAC" w:rsidRDefault="005C75B9">
            <w:pPr>
              <w:jc w:val="right"/>
              <w:textAlignment w:val="center"/>
            </w:pPr>
            <w:r>
              <w:rPr>
                <w:rFonts w:ascii="Arial" w:eastAsia="宋体" w:hAnsi="Arial" w:cs="Arial"/>
                <w:color w:val="000000"/>
                <w:sz w:val="17"/>
                <w:szCs w:val="17"/>
              </w:rPr>
              <w:t>4,719 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7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76" w14:textId="77777777" w:rsidR="008A3BAC" w:rsidRDefault="005C75B9">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77"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978"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979" w14:textId="77777777" w:rsidR="008A3BAC" w:rsidRDefault="005C75B9">
            <w:pPr>
              <w:jc w:val="right"/>
              <w:textAlignment w:val="center"/>
            </w:pPr>
            <w:r>
              <w:rPr>
                <w:rFonts w:ascii="Arial" w:eastAsia="宋体" w:hAnsi="Arial" w:cs="Arial"/>
                <w:color w:val="000000"/>
                <w:sz w:val="17"/>
                <w:szCs w:val="17"/>
              </w:rPr>
              <w:t>15,976 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7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7B" w14:textId="77777777" w:rsidR="008A3BAC" w:rsidRDefault="005C75B9">
            <w:pPr>
              <w:jc w:val="right"/>
              <w:textAlignment w:val="center"/>
            </w:pPr>
            <w:r>
              <w:rPr>
                <w:rFonts w:ascii="Arial" w:eastAsia="宋体" w:hAnsi="Arial" w:cs="Arial"/>
                <w:color w:val="000000"/>
                <w:sz w:val="17"/>
                <w:szCs w:val="17"/>
              </w:rPr>
              <w:t>14,307 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7C"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7D" w14:textId="77777777" w:rsidR="008A3BAC" w:rsidRDefault="005C75B9">
            <w:pPr>
              <w:jc w:val="right"/>
              <w:textAlignment w:val="center"/>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7E"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7F" w14:textId="77777777" w:rsidR="008A3BAC" w:rsidRDefault="008A3BAC">
            <w:pPr>
              <w:rPr>
                <w:rFonts w:ascii="宋体"/>
                <w:vanish/>
              </w:rPr>
            </w:pPr>
          </w:p>
        </w:tc>
        <w:tc>
          <w:tcPr>
            <w:tcW w:w="0" w:type="auto"/>
            <w:shd w:val="clear" w:color="auto" w:fill="auto"/>
            <w:vAlign w:val="bottom"/>
          </w:tcPr>
          <w:p w14:paraId="26E9D980" w14:textId="77777777" w:rsidR="008A3BAC" w:rsidRDefault="008A3BAC">
            <w:pPr>
              <w:rPr>
                <w:rFonts w:ascii="宋体"/>
                <w:vanish/>
              </w:rPr>
            </w:pPr>
          </w:p>
        </w:tc>
        <w:tc>
          <w:tcPr>
            <w:tcW w:w="0" w:type="auto"/>
            <w:gridSpan w:val="3"/>
            <w:shd w:val="clear" w:color="auto" w:fill="auto"/>
            <w:vAlign w:val="bottom"/>
          </w:tcPr>
          <w:p w14:paraId="26E9D981" w14:textId="77777777" w:rsidR="008A3BAC" w:rsidRDefault="008A3BAC">
            <w:pPr>
              <w:rPr>
                <w:rFonts w:ascii="宋体"/>
                <w:vanish/>
              </w:rPr>
            </w:pPr>
          </w:p>
        </w:tc>
        <w:tc>
          <w:tcPr>
            <w:tcW w:w="0" w:type="auto"/>
            <w:gridSpan w:val="3"/>
            <w:shd w:val="clear" w:color="auto" w:fill="auto"/>
            <w:vAlign w:val="bottom"/>
          </w:tcPr>
          <w:p w14:paraId="26E9D982" w14:textId="77777777" w:rsidR="008A3BAC" w:rsidRDefault="008A3BAC">
            <w:pPr>
              <w:rPr>
                <w:rFonts w:ascii="宋体"/>
                <w:vanish/>
              </w:rPr>
            </w:pPr>
          </w:p>
        </w:tc>
      </w:tr>
      <w:tr w:rsidR="008A3BAC" w14:paraId="26E9D99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984" w14:textId="77777777" w:rsidR="008A3BAC" w:rsidRDefault="005C75B9">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85" w14:textId="77777777" w:rsidR="008A3BAC" w:rsidRDefault="005C75B9">
            <w:pPr>
              <w:jc w:val="right"/>
              <w:textAlignment w:val="center"/>
            </w:pPr>
            <w:r>
              <w:rPr>
                <w:rFonts w:ascii="Arial" w:eastAsia="宋体" w:hAnsi="Arial" w:cs="Arial"/>
                <w:i/>
                <w:iCs/>
                <w:color w:val="000000"/>
                <w:sz w:val="17"/>
                <w:szCs w:val="17"/>
              </w:rPr>
              <w:t>46.6 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86"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87" w14:textId="77777777" w:rsidR="008A3BAC" w:rsidRDefault="005C75B9">
            <w:pPr>
              <w:jc w:val="right"/>
              <w:textAlignment w:val="center"/>
            </w:pPr>
            <w:r>
              <w:rPr>
                <w:rFonts w:ascii="Arial" w:eastAsia="宋体" w:hAnsi="Arial" w:cs="Arial"/>
                <w:i/>
                <w:iCs/>
                <w:color w:val="000000"/>
                <w:sz w:val="17"/>
                <w:szCs w:val="17"/>
              </w:rPr>
              <w:t>45.6 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88"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8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8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8B" w14:textId="77777777" w:rsidR="008A3BAC" w:rsidRDefault="005C75B9">
            <w:pPr>
              <w:jc w:val="right"/>
              <w:textAlignment w:val="center"/>
            </w:pPr>
            <w:r>
              <w:rPr>
                <w:rFonts w:ascii="Arial" w:eastAsia="宋体" w:hAnsi="Arial" w:cs="Arial"/>
                <w:i/>
                <w:iCs/>
                <w:color w:val="000000"/>
                <w:sz w:val="17"/>
                <w:szCs w:val="17"/>
              </w:rPr>
              <w:t>46.3 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8C"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8D" w14:textId="77777777" w:rsidR="008A3BAC" w:rsidRDefault="005C75B9">
            <w:pPr>
              <w:jc w:val="right"/>
              <w:textAlignment w:val="center"/>
            </w:pPr>
            <w:r>
              <w:rPr>
                <w:rFonts w:ascii="Arial" w:eastAsia="宋体" w:hAnsi="Arial" w:cs="Arial"/>
                <w:i/>
                <w:iCs/>
                <w:color w:val="000000"/>
                <w:sz w:val="17"/>
                <w:szCs w:val="17"/>
              </w:rPr>
              <w:t>44.4 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8E"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8F" w14:textId="77777777" w:rsidR="008A3BAC" w:rsidRDefault="008A3BAC">
            <w:pPr>
              <w:rPr>
                <w:rFonts w:ascii="宋体"/>
              </w:rPr>
            </w:pPr>
          </w:p>
        </w:tc>
        <w:tc>
          <w:tcPr>
            <w:tcW w:w="0" w:type="auto"/>
            <w:shd w:val="clear" w:color="auto" w:fill="auto"/>
            <w:vAlign w:val="bottom"/>
          </w:tcPr>
          <w:p w14:paraId="26E9D990" w14:textId="77777777" w:rsidR="008A3BAC" w:rsidRDefault="008A3BAC">
            <w:pPr>
              <w:rPr>
                <w:rFonts w:ascii="宋体"/>
                <w:vanish/>
              </w:rPr>
            </w:pPr>
          </w:p>
        </w:tc>
        <w:tc>
          <w:tcPr>
            <w:tcW w:w="0" w:type="auto"/>
            <w:shd w:val="clear" w:color="auto" w:fill="auto"/>
            <w:vAlign w:val="bottom"/>
          </w:tcPr>
          <w:p w14:paraId="26E9D991" w14:textId="77777777" w:rsidR="008A3BAC" w:rsidRDefault="008A3BAC">
            <w:pPr>
              <w:rPr>
                <w:rFonts w:ascii="宋体"/>
                <w:vanish/>
              </w:rPr>
            </w:pPr>
          </w:p>
        </w:tc>
        <w:tc>
          <w:tcPr>
            <w:tcW w:w="0" w:type="auto"/>
            <w:gridSpan w:val="3"/>
            <w:shd w:val="clear" w:color="auto" w:fill="auto"/>
            <w:vAlign w:val="bottom"/>
          </w:tcPr>
          <w:p w14:paraId="26E9D992" w14:textId="77777777" w:rsidR="008A3BAC" w:rsidRDefault="008A3BAC">
            <w:pPr>
              <w:rPr>
                <w:rFonts w:ascii="宋体"/>
                <w:vanish/>
              </w:rPr>
            </w:pPr>
          </w:p>
        </w:tc>
        <w:tc>
          <w:tcPr>
            <w:tcW w:w="0" w:type="auto"/>
            <w:gridSpan w:val="3"/>
            <w:shd w:val="clear" w:color="auto" w:fill="auto"/>
            <w:vAlign w:val="bottom"/>
          </w:tcPr>
          <w:p w14:paraId="26E9D993" w14:textId="77777777" w:rsidR="008A3BAC" w:rsidRDefault="008A3BAC">
            <w:pPr>
              <w:rPr>
                <w:rFonts w:ascii="宋体"/>
                <w:vanish/>
              </w:rPr>
            </w:pPr>
          </w:p>
        </w:tc>
      </w:tr>
      <w:tr w:rsidR="008A3BAC" w14:paraId="26E9D9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995" w14:textId="77777777" w:rsidR="008A3BAC" w:rsidRDefault="005C75B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96" w14:textId="77777777" w:rsidR="008A3BAC" w:rsidRDefault="005C75B9">
            <w:pPr>
              <w:jc w:val="right"/>
              <w:textAlignment w:val="center"/>
            </w:pPr>
            <w:r>
              <w:rPr>
                <w:rFonts w:ascii="Arial" w:eastAsia="宋体" w:hAnsi="Arial" w:cs="Arial"/>
                <w:color w:val="000000"/>
                <w:sz w:val="17"/>
                <w:szCs w:val="17"/>
              </w:rPr>
              <w:t>854 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9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98" w14:textId="77777777" w:rsidR="008A3BAC" w:rsidRDefault="005C75B9">
            <w:pPr>
              <w:jc w:val="right"/>
              <w:textAlignment w:val="center"/>
            </w:pPr>
            <w:r>
              <w:rPr>
                <w:rFonts w:ascii="Arial" w:eastAsia="宋体" w:hAnsi="Arial" w:cs="Arial"/>
                <w:color w:val="000000"/>
                <w:sz w:val="17"/>
                <w:szCs w:val="17"/>
              </w:rPr>
              <w:t>711 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9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9A" w14:textId="77777777" w:rsidR="008A3BAC" w:rsidRDefault="005C75B9">
            <w:pPr>
              <w:jc w:val="right"/>
              <w:textAlignment w:val="center"/>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9B"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9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9D" w14:textId="77777777" w:rsidR="008A3BAC" w:rsidRDefault="005C75B9">
            <w:pPr>
              <w:jc w:val="right"/>
              <w:textAlignment w:val="center"/>
            </w:pPr>
            <w:r>
              <w:rPr>
                <w:rFonts w:ascii="Arial" w:eastAsia="宋体" w:hAnsi="Arial" w:cs="Arial"/>
                <w:color w:val="000000"/>
                <w:sz w:val="17"/>
                <w:szCs w:val="17"/>
              </w:rPr>
              <w:t>2,789 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9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9F" w14:textId="77777777" w:rsidR="008A3BAC" w:rsidRDefault="005C75B9">
            <w:pPr>
              <w:jc w:val="right"/>
              <w:textAlignment w:val="center"/>
            </w:pPr>
            <w:r>
              <w:rPr>
                <w:rFonts w:ascii="Arial" w:eastAsia="宋体" w:hAnsi="Arial" w:cs="Arial"/>
                <w:color w:val="000000"/>
                <w:sz w:val="17"/>
                <w:szCs w:val="17"/>
              </w:rPr>
              <w:t>2,117 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A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A1" w14:textId="77777777" w:rsidR="008A3BAC" w:rsidRDefault="005C75B9">
            <w:pPr>
              <w:jc w:val="right"/>
              <w:textAlignment w:val="center"/>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A2"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A3" w14:textId="77777777" w:rsidR="008A3BAC" w:rsidRDefault="008A3BAC">
            <w:pPr>
              <w:rPr>
                <w:rFonts w:ascii="宋体"/>
                <w:vanish/>
              </w:rPr>
            </w:pPr>
          </w:p>
        </w:tc>
        <w:tc>
          <w:tcPr>
            <w:tcW w:w="0" w:type="auto"/>
            <w:shd w:val="clear" w:color="auto" w:fill="auto"/>
            <w:vAlign w:val="bottom"/>
          </w:tcPr>
          <w:p w14:paraId="26E9D9A4" w14:textId="77777777" w:rsidR="008A3BAC" w:rsidRDefault="008A3BAC">
            <w:pPr>
              <w:rPr>
                <w:rFonts w:ascii="宋体"/>
                <w:vanish/>
              </w:rPr>
            </w:pPr>
          </w:p>
        </w:tc>
        <w:tc>
          <w:tcPr>
            <w:tcW w:w="0" w:type="auto"/>
            <w:gridSpan w:val="3"/>
            <w:shd w:val="clear" w:color="auto" w:fill="auto"/>
            <w:vAlign w:val="bottom"/>
          </w:tcPr>
          <w:p w14:paraId="26E9D9A5" w14:textId="77777777" w:rsidR="008A3BAC" w:rsidRDefault="008A3BAC">
            <w:pPr>
              <w:rPr>
                <w:rFonts w:ascii="宋体"/>
                <w:vanish/>
              </w:rPr>
            </w:pPr>
          </w:p>
        </w:tc>
        <w:tc>
          <w:tcPr>
            <w:tcW w:w="0" w:type="auto"/>
            <w:gridSpan w:val="3"/>
            <w:shd w:val="clear" w:color="auto" w:fill="auto"/>
            <w:vAlign w:val="bottom"/>
          </w:tcPr>
          <w:p w14:paraId="26E9D9A6" w14:textId="77777777" w:rsidR="008A3BAC" w:rsidRDefault="008A3BAC">
            <w:pPr>
              <w:rPr>
                <w:rFonts w:ascii="宋体"/>
                <w:vanish/>
              </w:rPr>
            </w:pPr>
          </w:p>
        </w:tc>
      </w:tr>
      <w:tr w:rsidR="008A3BAC" w14:paraId="26E9D9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9A8" w14:textId="77777777" w:rsidR="008A3BAC" w:rsidRDefault="005C75B9">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A9" w14:textId="77777777" w:rsidR="008A3BAC" w:rsidRDefault="005C75B9">
            <w:pPr>
              <w:jc w:val="right"/>
              <w:textAlignment w:val="center"/>
            </w:pPr>
            <w:r>
              <w:rPr>
                <w:rFonts w:ascii="Arial" w:eastAsia="宋体" w:hAnsi="Arial" w:cs="Arial"/>
                <w:color w:val="000000"/>
                <w:sz w:val="17"/>
                <w:szCs w:val="17"/>
              </w:rPr>
              <w:t>2,584 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A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AB" w14:textId="77777777" w:rsidR="008A3BAC" w:rsidRDefault="005C75B9">
            <w:pPr>
              <w:jc w:val="right"/>
              <w:textAlignment w:val="center"/>
            </w:pPr>
            <w:r>
              <w:rPr>
                <w:rFonts w:ascii="Arial" w:eastAsia="宋体" w:hAnsi="Arial" w:cs="Arial"/>
                <w:color w:val="000000"/>
                <w:sz w:val="17"/>
                <w:szCs w:val="17"/>
              </w:rPr>
              <w:t>2,330 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A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AD" w14:textId="77777777" w:rsidR="008A3BAC" w:rsidRDefault="005C75B9">
            <w:pPr>
              <w:jc w:val="right"/>
              <w:textAlignment w:val="center"/>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AE"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A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B0" w14:textId="77777777" w:rsidR="008A3BAC" w:rsidRDefault="005C75B9">
            <w:pPr>
              <w:jc w:val="right"/>
              <w:textAlignment w:val="center"/>
            </w:pPr>
            <w:r>
              <w:rPr>
                <w:rFonts w:ascii="Arial" w:eastAsia="宋体" w:hAnsi="Arial" w:cs="Arial"/>
                <w:color w:val="000000"/>
                <w:sz w:val="17"/>
                <w:szCs w:val="17"/>
              </w:rPr>
              <w:t>7,980 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B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B2" w14:textId="77777777" w:rsidR="008A3BAC" w:rsidRDefault="005C75B9">
            <w:pPr>
              <w:jc w:val="right"/>
              <w:textAlignment w:val="center"/>
            </w:pPr>
            <w:r>
              <w:rPr>
                <w:rFonts w:ascii="Arial" w:eastAsia="宋体" w:hAnsi="Arial" w:cs="Arial"/>
                <w:color w:val="000000"/>
                <w:sz w:val="17"/>
                <w:szCs w:val="17"/>
              </w:rPr>
              <w:t>7,166 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B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B4" w14:textId="77777777" w:rsidR="008A3BAC" w:rsidRDefault="005C75B9">
            <w:pPr>
              <w:jc w:val="right"/>
              <w:textAlignment w:val="center"/>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B5"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B6" w14:textId="77777777" w:rsidR="008A3BAC" w:rsidRDefault="008A3BAC">
            <w:pPr>
              <w:rPr>
                <w:rFonts w:ascii="宋体"/>
                <w:vanish/>
              </w:rPr>
            </w:pPr>
          </w:p>
        </w:tc>
        <w:tc>
          <w:tcPr>
            <w:tcW w:w="0" w:type="auto"/>
            <w:shd w:val="clear" w:color="auto" w:fill="auto"/>
            <w:vAlign w:val="bottom"/>
          </w:tcPr>
          <w:p w14:paraId="26E9D9B7" w14:textId="77777777" w:rsidR="008A3BAC" w:rsidRDefault="008A3BAC">
            <w:pPr>
              <w:rPr>
                <w:rFonts w:ascii="宋体"/>
                <w:vanish/>
              </w:rPr>
            </w:pPr>
          </w:p>
        </w:tc>
        <w:tc>
          <w:tcPr>
            <w:tcW w:w="0" w:type="auto"/>
            <w:gridSpan w:val="3"/>
            <w:shd w:val="clear" w:color="auto" w:fill="auto"/>
            <w:vAlign w:val="bottom"/>
          </w:tcPr>
          <w:p w14:paraId="26E9D9B8" w14:textId="77777777" w:rsidR="008A3BAC" w:rsidRDefault="008A3BAC">
            <w:pPr>
              <w:rPr>
                <w:rFonts w:ascii="宋体"/>
                <w:vanish/>
              </w:rPr>
            </w:pPr>
          </w:p>
        </w:tc>
        <w:tc>
          <w:tcPr>
            <w:tcW w:w="0" w:type="auto"/>
            <w:gridSpan w:val="3"/>
            <w:shd w:val="clear" w:color="auto" w:fill="auto"/>
            <w:vAlign w:val="bottom"/>
          </w:tcPr>
          <w:p w14:paraId="26E9D9B9" w14:textId="77777777" w:rsidR="008A3BAC" w:rsidRDefault="008A3BAC">
            <w:pPr>
              <w:rPr>
                <w:rFonts w:ascii="宋体"/>
                <w:vanish/>
              </w:rPr>
            </w:pPr>
          </w:p>
        </w:tc>
      </w:tr>
      <w:tr w:rsidR="008A3BAC" w14:paraId="26E9D9CD"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6E9D9BB" w14:textId="77777777" w:rsidR="008A3BAC" w:rsidRDefault="005C75B9">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9BC" w14:textId="77777777" w:rsidR="008A3BAC" w:rsidRDefault="005C75B9">
            <w:pPr>
              <w:jc w:val="right"/>
              <w:textAlignment w:val="center"/>
            </w:pPr>
            <w:r>
              <w:rPr>
                <w:rFonts w:ascii="Arial" w:eastAsia="宋体" w:hAnsi="Arial" w:cs="Arial"/>
                <w:color w:val="000000"/>
                <w:sz w:val="17"/>
                <w:szCs w:val="17"/>
              </w:rPr>
              <w:t>3,438 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B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BE" w14:textId="77777777" w:rsidR="008A3BAC" w:rsidRDefault="005C75B9">
            <w:pPr>
              <w:jc w:val="right"/>
              <w:textAlignment w:val="center"/>
            </w:pPr>
            <w:r>
              <w:rPr>
                <w:rFonts w:ascii="Arial" w:eastAsia="宋体" w:hAnsi="Arial" w:cs="Arial"/>
                <w:color w:val="000000"/>
                <w:sz w:val="17"/>
                <w:szCs w:val="17"/>
              </w:rPr>
              <w:t>3,041 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B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C0" w14:textId="77777777" w:rsidR="008A3BAC" w:rsidRDefault="005C75B9">
            <w:pPr>
              <w:jc w:val="right"/>
              <w:textAlignment w:val="center"/>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C1"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9C2"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9C3" w14:textId="77777777" w:rsidR="008A3BAC" w:rsidRDefault="005C75B9">
            <w:pPr>
              <w:jc w:val="right"/>
              <w:textAlignment w:val="center"/>
            </w:pPr>
            <w:r>
              <w:rPr>
                <w:rFonts w:ascii="Arial" w:eastAsia="宋体" w:hAnsi="Arial" w:cs="Arial"/>
                <w:color w:val="000000"/>
                <w:sz w:val="17"/>
                <w:szCs w:val="17"/>
              </w:rPr>
              <w:t>10,769 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9C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C5" w14:textId="77777777" w:rsidR="008A3BAC" w:rsidRDefault="005C75B9">
            <w:pPr>
              <w:jc w:val="right"/>
              <w:textAlignment w:val="center"/>
            </w:pPr>
            <w:r>
              <w:rPr>
                <w:rFonts w:ascii="Arial" w:eastAsia="宋体" w:hAnsi="Arial" w:cs="Arial"/>
                <w:color w:val="000000"/>
                <w:sz w:val="17"/>
                <w:szCs w:val="17"/>
              </w:rPr>
              <w:t>9,283 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C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9C7" w14:textId="77777777" w:rsidR="008A3BAC" w:rsidRDefault="005C75B9">
            <w:pPr>
              <w:jc w:val="right"/>
              <w:textAlignment w:val="center"/>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9C8"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9C9" w14:textId="77777777" w:rsidR="008A3BAC" w:rsidRDefault="008A3BAC">
            <w:pPr>
              <w:rPr>
                <w:rFonts w:ascii="宋体"/>
                <w:vanish/>
              </w:rPr>
            </w:pPr>
          </w:p>
        </w:tc>
        <w:tc>
          <w:tcPr>
            <w:tcW w:w="0" w:type="auto"/>
            <w:shd w:val="clear" w:color="auto" w:fill="auto"/>
            <w:vAlign w:val="bottom"/>
          </w:tcPr>
          <w:p w14:paraId="26E9D9CA" w14:textId="77777777" w:rsidR="008A3BAC" w:rsidRDefault="008A3BAC">
            <w:pPr>
              <w:rPr>
                <w:rFonts w:ascii="宋体"/>
                <w:vanish/>
              </w:rPr>
            </w:pPr>
          </w:p>
        </w:tc>
        <w:tc>
          <w:tcPr>
            <w:tcW w:w="0" w:type="auto"/>
            <w:gridSpan w:val="3"/>
            <w:shd w:val="clear" w:color="auto" w:fill="auto"/>
            <w:vAlign w:val="bottom"/>
          </w:tcPr>
          <w:p w14:paraId="26E9D9CB" w14:textId="77777777" w:rsidR="008A3BAC" w:rsidRDefault="008A3BAC">
            <w:pPr>
              <w:rPr>
                <w:rFonts w:ascii="宋体"/>
                <w:vanish/>
              </w:rPr>
            </w:pPr>
          </w:p>
        </w:tc>
        <w:tc>
          <w:tcPr>
            <w:tcW w:w="0" w:type="auto"/>
            <w:gridSpan w:val="3"/>
            <w:shd w:val="clear" w:color="auto" w:fill="auto"/>
            <w:vAlign w:val="bottom"/>
          </w:tcPr>
          <w:p w14:paraId="26E9D9CC" w14:textId="77777777" w:rsidR="008A3BAC" w:rsidRDefault="008A3BAC">
            <w:pPr>
              <w:rPr>
                <w:rFonts w:ascii="宋体"/>
                <w:vanish/>
              </w:rPr>
            </w:pPr>
          </w:p>
        </w:tc>
      </w:tr>
      <w:tr w:rsidR="008A3BAC" w14:paraId="26E9D9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9CE" w14:textId="77777777" w:rsidR="008A3BAC" w:rsidRDefault="005C75B9">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CF" w14:textId="77777777" w:rsidR="008A3BAC" w:rsidRDefault="005C75B9">
            <w:pPr>
              <w:jc w:val="right"/>
              <w:textAlignment w:val="center"/>
            </w:pPr>
            <w:r>
              <w:rPr>
                <w:rFonts w:ascii="Arial" w:eastAsia="宋体" w:hAnsi="Arial" w:cs="Arial"/>
                <w:i/>
                <w:iCs/>
                <w:color w:val="000000"/>
                <w:sz w:val="17"/>
                <w:szCs w:val="17"/>
              </w:rPr>
              <w:t>31.6 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D0"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D1" w14:textId="77777777" w:rsidR="008A3BAC" w:rsidRDefault="005C75B9">
            <w:pPr>
              <w:jc w:val="right"/>
              <w:textAlignment w:val="center"/>
            </w:pPr>
            <w:r>
              <w:rPr>
                <w:rFonts w:ascii="Arial" w:eastAsia="宋体" w:hAnsi="Arial" w:cs="Arial"/>
                <w:i/>
                <w:iCs/>
                <w:color w:val="000000"/>
                <w:sz w:val="17"/>
                <w:szCs w:val="17"/>
              </w:rPr>
              <w:t>29.4 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D2"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D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D4"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D5" w14:textId="77777777" w:rsidR="008A3BAC" w:rsidRDefault="005C75B9">
            <w:pPr>
              <w:jc w:val="right"/>
              <w:textAlignment w:val="center"/>
            </w:pPr>
            <w:r>
              <w:rPr>
                <w:rFonts w:ascii="Arial" w:eastAsia="宋体" w:hAnsi="Arial" w:cs="Arial"/>
                <w:i/>
                <w:iCs/>
                <w:color w:val="000000"/>
                <w:sz w:val="17"/>
                <w:szCs w:val="17"/>
              </w:rPr>
              <w:t>31.2 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D6"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D7" w14:textId="77777777" w:rsidR="008A3BAC" w:rsidRDefault="005C75B9">
            <w:pPr>
              <w:jc w:val="right"/>
              <w:textAlignment w:val="center"/>
            </w:pPr>
            <w:r>
              <w:rPr>
                <w:rFonts w:ascii="Arial" w:eastAsia="宋体" w:hAnsi="Arial" w:cs="Arial"/>
                <w:i/>
                <w:iCs/>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D8"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D9" w14:textId="77777777" w:rsidR="008A3BAC" w:rsidRDefault="008A3BAC">
            <w:pPr>
              <w:rPr>
                <w:rFonts w:ascii="宋体"/>
              </w:rPr>
            </w:pPr>
          </w:p>
        </w:tc>
        <w:tc>
          <w:tcPr>
            <w:tcW w:w="0" w:type="auto"/>
            <w:shd w:val="clear" w:color="auto" w:fill="auto"/>
            <w:vAlign w:val="bottom"/>
          </w:tcPr>
          <w:p w14:paraId="26E9D9DA" w14:textId="77777777" w:rsidR="008A3BAC" w:rsidRDefault="008A3BAC">
            <w:pPr>
              <w:rPr>
                <w:rFonts w:ascii="宋体"/>
                <w:vanish/>
              </w:rPr>
            </w:pPr>
          </w:p>
        </w:tc>
        <w:tc>
          <w:tcPr>
            <w:tcW w:w="0" w:type="auto"/>
            <w:shd w:val="clear" w:color="auto" w:fill="auto"/>
            <w:vAlign w:val="bottom"/>
          </w:tcPr>
          <w:p w14:paraId="26E9D9DB" w14:textId="77777777" w:rsidR="008A3BAC" w:rsidRDefault="008A3BAC">
            <w:pPr>
              <w:rPr>
                <w:rFonts w:ascii="宋体"/>
                <w:vanish/>
              </w:rPr>
            </w:pPr>
          </w:p>
        </w:tc>
        <w:tc>
          <w:tcPr>
            <w:tcW w:w="0" w:type="auto"/>
            <w:gridSpan w:val="3"/>
            <w:shd w:val="clear" w:color="auto" w:fill="auto"/>
            <w:vAlign w:val="bottom"/>
          </w:tcPr>
          <w:p w14:paraId="26E9D9DC" w14:textId="77777777" w:rsidR="008A3BAC" w:rsidRDefault="008A3BAC">
            <w:pPr>
              <w:rPr>
                <w:rFonts w:ascii="宋体"/>
                <w:vanish/>
              </w:rPr>
            </w:pPr>
          </w:p>
        </w:tc>
        <w:tc>
          <w:tcPr>
            <w:tcW w:w="0" w:type="auto"/>
            <w:gridSpan w:val="3"/>
            <w:shd w:val="clear" w:color="auto" w:fill="auto"/>
            <w:vAlign w:val="bottom"/>
          </w:tcPr>
          <w:p w14:paraId="26E9D9DD" w14:textId="77777777" w:rsidR="008A3BAC" w:rsidRDefault="008A3BAC">
            <w:pPr>
              <w:rPr>
                <w:rFonts w:ascii="宋体"/>
                <w:vanish/>
              </w:rPr>
            </w:pPr>
          </w:p>
        </w:tc>
      </w:tr>
      <w:tr w:rsidR="008A3BAC" w14:paraId="26E9D9F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9DF" w14:textId="77777777" w:rsidR="008A3BAC" w:rsidRDefault="005C75B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E0" w14:textId="77777777" w:rsidR="008A3BAC" w:rsidRDefault="005C75B9">
            <w:pPr>
              <w:jc w:val="right"/>
              <w:textAlignment w:val="center"/>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E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E2" w14:textId="77777777" w:rsidR="008A3BAC" w:rsidRDefault="005C75B9">
            <w:pPr>
              <w:jc w:val="right"/>
              <w:textAlignment w:val="center"/>
            </w:pPr>
            <w:r>
              <w:rPr>
                <w:rFonts w:ascii="Arial" w:eastAsia="宋体" w:hAnsi="Arial" w:cs="Arial"/>
                <w:color w:val="000000"/>
                <w:sz w:val="17"/>
                <w:szCs w:val="17"/>
              </w:rPr>
              <w:t>64 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E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E4" w14:textId="77777777" w:rsidR="008A3BAC" w:rsidRDefault="005C75B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E5"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E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E7" w14:textId="77777777" w:rsidR="008A3BAC" w:rsidRDefault="005C75B9">
            <w:pPr>
              <w:jc w:val="right"/>
              <w:textAlignment w:val="center"/>
            </w:pPr>
            <w:r>
              <w:rPr>
                <w:rFonts w:ascii="Arial" w:eastAsia="宋体" w:hAnsi="Arial" w:cs="Arial"/>
                <w:color w:val="000000"/>
                <w:sz w:val="17"/>
                <w:szCs w:val="17"/>
              </w:rPr>
              <w:t>165 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E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E9" w14:textId="77777777" w:rsidR="008A3BAC" w:rsidRDefault="005C75B9">
            <w:pPr>
              <w:jc w:val="right"/>
              <w:textAlignment w:val="center"/>
            </w:pPr>
            <w:r>
              <w:rPr>
                <w:rFonts w:ascii="Arial" w:eastAsia="宋体" w:hAnsi="Arial" w:cs="Arial"/>
                <w:color w:val="000000"/>
                <w:sz w:val="17"/>
                <w:szCs w:val="17"/>
              </w:rPr>
              <w:t>199 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E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EB" w14:textId="77777777" w:rsidR="008A3BAC" w:rsidRDefault="005C75B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EC" w14:textId="77777777" w:rsidR="008A3BAC" w:rsidRDefault="008A3BAC">
            <w:pPr>
              <w:jc w:val="right"/>
              <w:rPr>
                <w:rFonts w:ascii="宋体"/>
              </w:rPr>
            </w:pPr>
          </w:p>
        </w:tc>
        <w:tc>
          <w:tcPr>
            <w:tcW w:w="0" w:type="auto"/>
            <w:shd w:val="clear" w:color="auto" w:fill="auto"/>
            <w:vAlign w:val="bottom"/>
          </w:tcPr>
          <w:p w14:paraId="26E9D9ED" w14:textId="77777777" w:rsidR="008A3BAC" w:rsidRDefault="008A3BAC">
            <w:pPr>
              <w:rPr>
                <w:rFonts w:ascii="宋体"/>
                <w:vanish/>
              </w:rPr>
            </w:pPr>
          </w:p>
        </w:tc>
        <w:tc>
          <w:tcPr>
            <w:tcW w:w="0" w:type="auto"/>
            <w:shd w:val="clear" w:color="auto" w:fill="auto"/>
            <w:vAlign w:val="bottom"/>
          </w:tcPr>
          <w:p w14:paraId="26E9D9EE" w14:textId="77777777" w:rsidR="008A3BAC" w:rsidRDefault="008A3BAC">
            <w:pPr>
              <w:rPr>
                <w:rFonts w:ascii="宋体"/>
                <w:vanish/>
              </w:rPr>
            </w:pPr>
          </w:p>
        </w:tc>
        <w:tc>
          <w:tcPr>
            <w:tcW w:w="0" w:type="auto"/>
            <w:gridSpan w:val="3"/>
            <w:shd w:val="clear" w:color="auto" w:fill="auto"/>
            <w:vAlign w:val="bottom"/>
          </w:tcPr>
          <w:p w14:paraId="26E9D9EF" w14:textId="77777777" w:rsidR="008A3BAC" w:rsidRDefault="008A3BAC">
            <w:pPr>
              <w:rPr>
                <w:rFonts w:ascii="宋体"/>
                <w:vanish/>
              </w:rPr>
            </w:pPr>
          </w:p>
        </w:tc>
        <w:tc>
          <w:tcPr>
            <w:tcW w:w="0" w:type="auto"/>
            <w:gridSpan w:val="3"/>
            <w:shd w:val="clear" w:color="auto" w:fill="auto"/>
            <w:vAlign w:val="bottom"/>
          </w:tcPr>
          <w:p w14:paraId="26E9D9F0" w14:textId="77777777" w:rsidR="008A3BAC" w:rsidRDefault="008A3BAC">
            <w:pPr>
              <w:rPr>
                <w:rFonts w:ascii="宋体"/>
                <w:vanish/>
              </w:rPr>
            </w:pPr>
          </w:p>
        </w:tc>
      </w:tr>
      <w:tr w:rsidR="008A3BAC" w14:paraId="26E9DA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9F2" w14:textId="77777777" w:rsidR="008A3BAC" w:rsidRDefault="005C75B9">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F3" w14:textId="77777777" w:rsidR="008A3BAC" w:rsidRDefault="005C75B9">
            <w:pPr>
              <w:jc w:val="right"/>
              <w:textAlignment w:val="center"/>
            </w:pPr>
            <w:r>
              <w:rPr>
                <w:rFonts w:ascii="Arial" w:eastAsia="宋体" w:hAnsi="Arial" w:cs="Arial"/>
                <w:color w:val="000000"/>
                <w:sz w:val="17"/>
                <w:szCs w:val="17"/>
              </w:rPr>
              <w:t>(94)</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F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F5" w14:textId="77777777" w:rsidR="008A3BAC" w:rsidRDefault="005C75B9">
            <w:pPr>
              <w:jc w:val="right"/>
              <w:textAlignment w:val="center"/>
            </w:pPr>
            <w:r>
              <w:rPr>
                <w:rFonts w:ascii="Arial" w:eastAsia="宋体" w:hAnsi="Arial" w:cs="Arial"/>
                <w:color w:val="000000"/>
                <w:sz w:val="17"/>
                <w:szCs w:val="17"/>
              </w:rPr>
              <w:t>(22)</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F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F7" w14:textId="77777777" w:rsidR="008A3BAC" w:rsidRDefault="005C75B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F8"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9F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9FA" w14:textId="77777777" w:rsidR="008A3BAC" w:rsidRDefault="005C75B9">
            <w:pPr>
              <w:jc w:val="right"/>
              <w:textAlignment w:val="center"/>
            </w:pPr>
            <w:r>
              <w:rPr>
                <w:rFonts w:ascii="Arial" w:eastAsia="宋体" w:hAnsi="Arial" w:cs="Arial"/>
                <w:color w:val="000000"/>
                <w:sz w:val="17"/>
                <w:szCs w:val="17"/>
              </w:rPr>
              <w:t>(235)</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9F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FC" w14:textId="77777777" w:rsidR="008A3BAC" w:rsidRDefault="005C75B9">
            <w:pPr>
              <w:jc w:val="right"/>
              <w:textAlignment w:val="center"/>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F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9FE" w14:textId="77777777" w:rsidR="008A3BAC" w:rsidRDefault="005C75B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9FF" w14:textId="77777777" w:rsidR="008A3BAC" w:rsidRDefault="008A3BAC">
            <w:pPr>
              <w:jc w:val="right"/>
              <w:rPr>
                <w:rFonts w:ascii="宋体"/>
              </w:rPr>
            </w:pPr>
          </w:p>
        </w:tc>
        <w:tc>
          <w:tcPr>
            <w:tcW w:w="0" w:type="auto"/>
            <w:shd w:val="clear" w:color="auto" w:fill="auto"/>
            <w:vAlign w:val="bottom"/>
          </w:tcPr>
          <w:p w14:paraId="26E9DA00" w14:textId="77777777" w:rsidR="008A3BAC" w:rsidRDefault="008A3BAC">
            <w:pPr>
              <w:rPr>
                <w:rFonts w:ascii="宋体"/>
                <w:vanish/>
              </w:rPr>
            </w:pPr>
          </w:p>
        </w:tc>
        <w:tc>
          <w:tcPr>
            <w:tcW w:w="0" w:type="auto"/>
            <w:shd w:val="clear" w:color="auto" w:fill="auto"/>
            <w:vAlign w:val="bottom"/>
          </w:tcPr>
          <w:p w14:paraId="26E9DA01" w14:textId="77777777" w:rsidR="008A3BAC" w:rsidRDefault="008A3BAC">
            <w:pPr>
              <w:rPr>
                <w:rFonts w:ascii="宋体"/>
                <w:vanish/>
              </w:rPr>
            </w:pPr>
          </w:p>
        </w:tc>
        <w:tc>
          <w:tcPr>
            <w:tcW w:w="0" w:type="auto"/>
            <w:gridSpan w:val="3"/>
            <w:shd w:val="clear" w:color="auto" w:fill="auto"/>
            <w:vAlign w:val="bottom"/>
          </w:tcPr>
          <w:p w14:paraId="26E9DA02" w14:textId="77777777" w:rsidR="008A3BAC" w:rsidRDefault="008A3BAC">
            <w:pPr>
              <w:rPr>
                <w:rFonts w:ascii="宋体"/>
                <w:vanish/>
              </w:rPr>
            </w:pPr>
          </w:p>
        </w:tc>
        <w:tc>
          <w:tcPr>
            <w:tcW w:w="0" w:type="auto"/>
            <w:gridSpan w:val="3"/>
            <w:shd w:val="clear" w:color="auto" w:fill="auto"/>
            <w:vAlign w:val="bottom"/>
          </w:tcPr>
          <w:p w14:paraId="26E9DA03" w14:textId="77777777" w:rsidR="008A3BAC" w:rsidRDefault="008A3BAC">
            <w:pPr>
              <w:rPr>
                <w:rFonts w:ascii="宋体"/>
                <w:vanish/>
              </w:rPr>
            </w:pPr>
          </w:p>
        </w:tc>
      </w:tr>
      <w:tr w:rsidR="008A3BAC" w14:paraId="26E9DA1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05" w14:textId="77777777" w:rsidR="008A3BAC" w:rsidRDefault="005C75B9">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A06" w14:textId="77777777" w:rsidR="008A3BAC" w:rsidRDefault="005C75B9">
            <w:pPr>
              <w:jc w:val="right"/>
              <w:textAlignment w:val="center"/>
            </w:pPr>
            <w:r>
              <w:rPr>
                <w:rFonts w:ascii="Arial" w:eastAsia="宋体" w:hAnsi="Arial" w:cs="Arial"/>
                <w:color w:val="000000"/>
                <w:sz w:val="17"/>
                <w:szCs w:val="17"/>
              </w:rPr>
              <w:t>1,670 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A07"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08" w14:textId="77777777" w:rsidR="008A3BAC" w:rsidRDefault="005C75B9">
            <w:pPr>
              <w:jc w:val="right"/>
              <w:textAlignment w:val="center"/>
            </w:pPr>
            <w:r>
              <w:rPr>
                <w:rFonts w:ascii="Arial" w:eastAsia="宋体" w:hAnsi="Arial" w:cs="Arial"/>
                <w:color w:val="000000"/>
                <w:sz w:val="17"/>
                <w:szCs w:val="17"/>
              </w:rPr>
              <w:t>1,636 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09"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0A" w14:textId="77777777" w:rsidR="008A3BAC" w:rsidRDefault="005C75B9">
            <w:pPr>
              <w:jc w:val="right"/>
              <w:textAlignment w:val="center"/>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0B"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0C"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6E9DA0D" w14:textId="77777777" w:rsidR="008A3BAC" w:rsidRDefault="005C75B9">
            <w:pPr>
              <w:jc w:val="right"/>
              <w:textAlignment w:val="center"/>
            </w:pPr>
            <w:r>
              <w:rPr>
                <w:rFonts w:ascii="Arial" w:eastAsia="宋体" w:hAnsi="Arial" w:cs="Arial"/>
                <w:color w:val="000000"/>
                <w:sz w:val="17"/>
                <w:szCs w:val="17"/>
              </w:rPr>
              <w:t>5,277 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A0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0F" w14:textId="77777777" w:rsidR="008A3BAC" w:rsidRDefault="005C75B9">
            <w:pPr>
              <w:jc w:val="right"/>
              <w:textAlignment w:val="center"/>
            </w:pPr>
            <w:r>
              <w:rPr>
                <w:rFonts w:ascii="Arial" w:eastAsia="宋体" w:hAnsi="Arial" w:cs="Arial"/>
                <w:color w:val="000000"/>
                <w:sz w:val="17"/>
                <w:szCs w:val="17"/>
              </w:rPr>
              <w:t>4,807 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1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11" w14:textId="77777777" w:rsidR="008A3BAC" w:rsidRDefault="005C75B9">
            <w:pPr>
              <w:jc w:val="right"/>
              <w:textAlignment w:val="center"/>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12"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A13" w14:textId="77777777" w:rsidR="008A3BAC" w:rsidRDefault="008A3BAC">
            <w:pPr>
              <w:rPr>
                <w:rFonts w:ascii="宋体"/>
                <w:vanish/>
              </w:rPr>
            </w:pPr>
          </w:p>
        </w:tc>
        <w:tc>
          <w:tcPr>
            <w:tcW w:w="0" w:type="auto"/>
            <w:shd w:val="clear" w:color="auto" w:fill="auto"/>
            <w:vAlign w:val="bottom"/>
          </w:tcPr>
          <w:p w14:paraId="26E9DA14" w14:textId="77777777" w:rsidR="008A3BAC" w:rsidRDefault="008A3BAC">
            <w:pPr>
              <w:rPr>
                <w:rFonts w:ascii="宋体"/>
                <w:vanish/>
              </w:rPr>
            </w:pPr>
          </w:p>
        </w:tc>
        <w:tc>
          <w:tcPr>
            <w:tcW w:w="0" w:type="auto"/>
            <w:gridSpan w:val="3"/>
            <w:shd w:val="clear" w:color="auto" w:fill="auto"/>
            <w:vAlign w:val="bottom"/>
          </w:tcPr>
          <w:p w14:paraId="26E9DA15" w14:textId="77777777" w:rsidR="008A3BAC" w:rsidRDefault="008A3BAC">
            <w:pPr>
              <w:rPr>
                <w:rFonts w:ascii="宋体"/>
                <w:vanish/>
              </w:rPr>
            </w:pPr>
          </w:p>
        </w:tc>
        <w:tc>
          <w:tcPr>
            <w:tcW w:w="0" w:type="auto"/>
            <w:gridSpan w:val="3"/>
            <w:shd w:val="clear" w:color="auto" w:fill="auto"/>
            <w:vAlign w:val="bottom"/>
          </w:tcPr>
          <w:p w14:paraId="26E9DA16" w14:textId="77777777" w:rsidR="008A3BAC" w:rsidRDefault="008A3BAC">
            <w:pPr>
              <w:rPr>
                <w:rFonts w:ascii="宋体"/>
                <w:vanish/>
              </w:rPr>
            </w:pPr>
          </w:p>
        </w:tc>
      </w:tr>
      <w:tr w:rsidR="008A3BAC" w14:paraId="26E9DA2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A18" w14:textId="77777777" w:rsidR="008A3BAC" w:rsidRDefault="005C75B9">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A19" w14:textId="77777777" w:rsidR="008A3BAC" w:rsidRDefault="005C75B9">
            <w:pPr>
              <w:jc w:val="right"/>
              <w:textAlignment w:val="center"/>
            </w:pPr>
            <w:r>
              <w:rPr>
                <w:rFonts w:ascii="Arial" w:eastAsia="宋体" w:hAnsi="Arial" w:cs="Arial"/>
                <w:color w:val="000000"/>
                <w:sz w:val="17"/>
                <w:szCs w:val="17"/>
              </w:rPr>
              <w:t>274 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A1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1B" w14:textId="77777777" w:rsidR="008A3BAC" w:rsidRDefault="005C75B9">
            <w:pPr>
              <w:jc w:val="right"/>
              <w:textAlignment w:val="center"/>
            </w:pPr>
            <w:r>
              <w:rPr>
                <w:rFonts w:ascii="Arial" w:eastAsia="宋体" w:hAnsi="Arial" w:cs="Arial"/>
                <w:color w:val="000000"/>
                <w:sz w:val="17"/>
                <w:szCs w:val="17"/>
              </w:rPr>
              <w:t>187 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1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1D" w14:textId="77777777" w:rsidR="008A3BAC" w:rsidRDefault="005C75B9">
            <w:pPr>
              <w:jc w:val="right"/>
              <w:textAlignment w:val="center"/>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1E"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1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A20" w14:textId="77777777" w:rsidR="008A3BAC" w:rsidRDefault="005C75B9">
            <w:pPr>
              <w:jc w:val="right"/>
              <w:textAlignment w:val="center"/>
            </w:pPr>
            <w:r>
              <w:rPr>
                <w:rFonts w:ascii="Arial" w:eastAsia="宋体" w:hAnsi="Arial" w:cs="Arial"/>
                <w:color w:val="000000"/>
                <w:sz w:val="17"/>
                <w:szCs w:val="17"/>
              </w:rPr>
              <w:t>670 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A2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22" w14:textId="77777777" w:rsidR="008A3BAC" w:rsidRDefault="005C75B9">
            <w:pPr>
              <w:jc w:val="right"/>
              <w:textAlignment w:val="center"/>
            </w:pPr>
            <w:r>
              <w:rPr>
                <w:rFonts w:ascii="Arial" w:eastAsia="宋体" w:hAnsi="Arial" w:cs="Arial"/>
                <w:color w:val="000000"/>
                <w:sz w:val="17"/>
                <w:szCs w:val="17"/>
              </w:rPr>
              <w:t>589 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2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24" w14:textId="77777777" w:rsidR="008A3BAC" w:rsidRDefault="005C75B9">
            <w:pPr>
              <w:jc w:val="right"/>
              <w:textAlignment w:val="center"/>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25"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A26" w14:textId="77777777" w:rsidR="008A3BAC" w:rsidRDefault="008A3BAC">
            <w:pPr>
              <w:rPr>
                <w:rFonts w:ascii="宋体"/>
                <w:vanish/>
              </w:rPr>
            </w:pPr>
          </w:p>
        </w:tc>
        <w:tc>
          <w:tcPr>
            <w:tcW w:w="0" w:type="auto"/>
            <w:shd w:val="clear" w:color="auto" w:fill="auto"/>
            <w:vAlign w:val="bottom"/>
          </w:tcPr>
          <w:p w14:paraId="26E9DA27" w14:textId="77777777" w:rsidR="008A3BAC" w:rsidRDefault="008A3BAC">
            <w:pPr>
              <w:rPr>
                <w:rFonts w:ascii="宋体"/>
                <w:vanish/>
              </w:rPr>
            </w:pPr>
          </w:p>
        </w:tc>
        <w:tc>
          <w:tcPr>
            <w:tcW w:w="0" w:type="auto"/>
            <w:gridSpan w:val="3"/>
            <w:shd w:val="clear" w:color="auto" w:fill="auto"/>
            <w:vAlign w:val="bottom"/>
          </w:tcPr>
          <w:p w14:paraId="26E9DA28" w14:textId="77777777" w:rsidR="008A3BAC" w:rsidRDefault="008A3BAC">
            <w:pPr>
              <w:rPr>
                <w:rFonts w:ascii="宋体"/>
                <w:vanish/>
              </w:rPr>
            </w:pPr>
          </w:p>
        </w:tc>
        <w:tc>
          <w:tcPr>
            <w:tcW w:w="0" w:type="auto"/>
            <w:gridSpan w:val="3"/>
            <w:shd w:val="clear" w:color="auto" w:fill="auto"/>
            <w:vAlign w:val="bottom"/>
          </w:tcPr>
          <w:p w14:paraId="26E9DA29" w14:textId="77777777" w:rsidR="008A3BAC" w:rsidRDefault="008A3BAC">
            <w:pPr>
              <w:rPr>
                <w:rFonts w:ascii="宋体"/>
                <w:vanish/>
              </w:rPr>
            </w:pPr>
          </w:p>
        </w:tc>
      </w:tr>
      <w:tr w:rsidR="008A3BAC" w14:paraId="26E9DA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A2B" w14:textId="77777777" w:rsidR="008A3BAC" w:rsidRDefault="005C75B9">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A2C" w14:textId="77777777" w:rsidR="008A3BAC" w:rsidRDefault="005C75B9">
            <w:pPr>
              <w:jc w:val="right"/>
              <w:textAlignment w:val="center"/>
            </w:pPr>
            <w:r>
              <w:rPr>
                <w:rFonts w:ascii="Arial" w:eastAsia="宋体" w:hAnsi="Arial" w:cs="Arial"/>
                <w:i/>
                <w:iCs/>
                <w:color w:val="000000"/>
                <w:sz w:val="17"/>
                <w:szCs w:val="17"/>
              </w:rPr>
              <w:t>16.4 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A2D"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2E" w14:textId="77777777" w:rsidR="008A3BAC" w:rsidRDefault="005C75B9">
            <w:pPr>
              <w:jc w:val="right"/>
              <w:textAlignment w:val="center"/>
            </w:pPr>
            <w:r>
              <w:rPr>
                <w:rFonts w:ascii="Arial" w:eastAsia="宋体" w:hAnsi="Arial" w:cs="Arial"/>
                <w:i/>
                <w:iCs/>
                <w:color w:val="000000"/>
                <w:sz w:val="17"/>
                <w:szCs w:val="17"/>
              </w:rPr>
              <w:t>11.4 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2F"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30"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3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6E9DA32" w14:textId="77777777" w:rsidR="008A3BAC" w:rsidRDefault="005C75B9">
            <w:pPr>
              <w:jc w:val="right"/>
              <w:textAlignment w:val="center"/>
            </w:pPr>
            <w:r>
              <w:rPr>
                <w:rFonts w:ascii="Arial" w:eastAsia="宋体" w:hAnsi="Arial" w:cs="Arial"/>
                <w:i/>
                <w:iCs/>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center"/>
          </w:tcPr>
          <w:p w14:paraId="26E9DA33"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6E9DA34" w14:textId="77777777" w:rsidR="008A3BAC" w:rsidRDefault="005C75B9">
            <w:pPr>
              <w:jc w:val="right"/>
              <w:textAlignment w:val="center"/>
            </w:pPr>
            <w:r>
              <w:rPr>
                <w:rFonts w:ascii="Arial" w:eastAsia="宋体" w:hAnsi="Arial" w:cs="Arial"/>
                <w:i/>
                <w:iCs/>
                <w:color w:val="000000"/>
                <w:sz w:val="17"/>
                <w:szCs w:val="17"/>
              </w:rPr>
              <w:t>12.3 </w:t>
            </w:r>
          </w:p>
        </w:tc>
        <w:tc>
          <w:tcPr>
            <w:tcW w:w="0" w:type="auto"/>
            <w:tcBorders>
              <w:top w:val="single" w:sz="4" w:space="0" w:color="808080"/>
            </w:tcBorders>
            <w:shd w:val="clear" w:color="auto" w:fill="auto"/>
            <w:tcMar>
              <w:top w:w="40" w:type="dxa"/>
              <w:left w:w="0" w:type="dxa"/>
              <w:bottom w:w="40" w:type="dxa"/>
              <w:right w:w="20" w:type="dxa"/>
            </w:tcMar>
            <w:vAlign w:val="center"/>
          </w:tcPr>
          <w:p w14:paraId="26E9DA35" w14:textId="77777777" w:rsidR="008A3BAC" w:rsidRDefault="005C75B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36" w14:textId="77777777" w:rsidR="008A3BAC" w:rsidRDefault="008A3BAC">
            <w:pPr>
              <w:rPr>
                <w:rFonts w:ascii="宋体"/>
              </w:rPr>
            </w:pPr>
          </w:p>
        </w:tc>
        <w:tc>
          <w:tcPr>
            <w:tcW w:w="0" w:type="auto"/>
            <w:shd w:val="clear" w:color="auto" w:fill="auto"/>
            <w:vAlign w:val="bottom"/>
          </w:tcPr>
          <w:p w14:paraId="26E9DA37" w14:textId="77777777" w:rsidR="008A3BAC" w:rsidRDefault="008A3BAC">
            <w:pPr>
              <w:rPr>
                <w:rFonts w:ascii="宋体"/>
                <w:vanish/>
              </w:rPr>
            </w:pPr>
          </w:p>
        </w:tc>
        <w:tc>
          <w:tcPr>
            <w:tcW w:w="0" w:type="auto"/>
            <w:shd w:val="clear" w:color="auto" w:fill="auto"/>
            <w:vAlign w:val="bottom"/>
          </w:tcPr>
          <w:p w14:paraId="26E9DA38" w14:textId="77777777" w:rsidR="008A3BAC" w:rsidRDefault="008A3BAC">
            <w:pPr>
              <w:rPr>
                <w:rFonts w:ascii="宋体"/>
                <w:vanish/>
              </w:rPr>
            </w:pPr>
          </w:p>
        </w:tc>
        <w:tc>
          <w:tcPr>
            <w:tcW w:w="0" w:type="auto"/>
            <w:gridSpan w:val="3"/>
            <w:shd w:val="clear" w:color="auto" w:fill="auto"/>
            <w:vAlign w:val="bottom"/>
          </w:tcPr>
          <w:p w14:paraId="26E9DA39" w14:textId="77777777" w:rsidR="008A3BAC" w:rsidRDefault="008A3BAC">
            <w:pPr>
              <w:rPr>
                <w:rFonts w:ascii="宋体"/>
                <w:vanish/>
              </w:rPr>
            </w:pPr>
          </w:p>
        </w:tc>
        <w:tc>
          <w:tcPr>
            <w:tcW w:w="0" w:type="auto"/>
            <w:gridSpan w:val="3"/>
            <w:shd w:val="clear" w:color="auto" w:fill="auto"/>
            <w:vAlign w:val="bottom"/>
          </w:tcPr>
          <w:p w14:paraId="26E9DA3A" w14:textId="77777777" w:rsidR="008A3BAC" w:rsidRDefault="008A3BAC">
            <w:pPr>
              <w:rPr>
                <w:rFonts w:ascii="宋体"/>
                <w:vanish/>
              </w:rPr>
            </w:pPr>
          </w:p>
        </w:tc>
      </w:tr>
      <w:tr w:rsidR="008A3BAC" w14:paraId="26E9DA5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3C" w14:textId="77777777" w:rsidR="008A3BAC" w:rsidRDefault="005C75B9">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26E9DA3D" w14:textId="77777777" w:rsidR="008A3BAC" w:rsidRDefault="005C75B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6E9DA3E" w14:textId="77777777" w:rsidR="008A3BAC" w:rsidRDefault="005C75B9">
            <w:pPr>
              <w:jc w:val="right"/>
              <w:textAlignment w:val="center"/>
            </w:pPr>
            <w:r>
              <w:rPr>
                <w:rFonts w:ascii="Arial" w:eastAsia="宋体" w:hAnsi="Arial" w:cs="Arial"/>
                <w:b/>
                <w:bCs/>
                <w:color w:val="000000"/>
                <w:sz w:val="17"/>
                <w:szCs w:val="17"/>
              </w:rPr>
              <w:t>1,396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A3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6E9DA40" w14:textId="77777777" w:rsidR="008A3BAC" w:rsidRDefault="005C75B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6E9DA41" w14:textId="77777777" w:rsidR="008A3BAC" w:rsidRDefault="005C75B9">
            <w:pPr>
              <w:jc w:val="right"/>
              <w:textAlignment w:val="center"/>
            </w:pPr>
            <w:r>
              <w:rPr>
                <w:rFonts w:ascii="Arial" w:eastAsia="宋体" w:hAnsi="Arial" w:cs="Arial"/>
                <w:b/>
                <w:bCs/>
                <w:color w:val="000000"/>
                <w:sz w:val="17"/>
                <w:szCs w:val="17"/>
              </w:rPr>
              <w:t>1,449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4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43" w14:textId="77777777" w:rsidR="008A3BAC" w:rsidRDefault="005C75B9">
            <w:pPr>
              <w:jc w:val="right"/>
              <w:textAlignment w:val="center"/>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44" w14:textId="77777777" w:rsidR="008A3BAC" w:rsidRDefault="005C75B9">
            <w:pPr>
              <w:jc w:val="right"/>
              <w:textAlignment w:val="center"/>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45"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26E9DA46" w14:textId="77777777" w:rsidR="008A3BAC" w:rsidRDefault="005C75B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6E9DA47" w14:textId="77777777" w:rsidR="008A3BAC" w:rsidRDefault="005C75B9">
            <w:pPr>
              <w:jc w:val="right"/>
              <w:textAlignment w:val="center"/>
            </w:pPr>
            <w:r>
              <w:rPr>
                <w:rFonts w:ascii="Arial" w:eastAsia="宋体" w:hAnsi="Arial" w:cs="Arial"/>
                <w:b/>
                <w:bCs/>
                <w:color w:val="000000"/>
                <w:sz w:val="17"/>
                <w:szCs w:val="17"/>
              </w:rPr>
              <w:t>4,607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6E9DA4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6E9DA49" w14:textId="77777777" w:rsidR="008A3BAC" w:rsidRDefault="005C75B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6E9DA4A" w14:textId="77777777" w:rsidR="008A3BAC" w:rsidRDefault="005C75B9">
            <w:pPr>
              <w:jc w:val="right"/>
              <w:textAlignment w:val="center"/>
            </w:pPr>
            <w:r>
              <w:rPr>
                <w:rFonts w:ascii="Arial" w:eastAsia="宋体" w:hAnsi="Arial" w:cs="Arial"/>
                <w:b/>
                <w:bCs/>
                <w:color w:val="000000"/>
                <w:sz w:val="17"/>
                <w:szCs w:val="17"/>
              </w:rPr>
              <w:t>4,218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4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6E9DA4C" w14:textId="77777777" w:rsidR="008A3BAC" w:rsidRDefault="005C75B9">
            <w:pPr>
              <w:jc w:val="right"/>
              <w:textAlignment w:val="center"/>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6E9DA4D" w14:textId="77777777" w:rsidR="008A3BAC" w:rsidRDefault="005C75B9">
            <w:pPr>
              <w:jc w:val="right"/>
              <w:textAlignment w:val="center"/>
            </w:pPr>
            <w:r>
              <w:rPr>
                <w:rFonts w:ascii="Arial" w:eastAsia="宋体" w:hAnsi="Arial" w:cs="Arial"/>
                <w:b/>
                <w:bCs/>
                <w:color w:val="000000"/>
                <w:sz w:val="17"/>
                <w:szCs w:val="17"/>
              </w:rPr>
              <w:t>%</w:t>
            </w:r>
          </w:p>
        </w:tc>
        <w:tc>
          <w:tcPr>
            <w:tcW w:w="0" w:type="auto"/>
            <w:shd w:val="clear" w:color="auto" w:fill="auto"/>
            <w:vAlign w:val="bottom"/>
          </w:tcPr>
          <w:p w14:paraId="26E9DA4E" w14:textId="77777777" w:rsidR="008A3BAC" w:rsidRDefault="008A3BAC">
            <w:pPr>
              <w:rPr>
                <w:rFonts w:ascii="宋体"/>
                <w:vanish/>
              </w:rPr>
            </w:pPr>
          </w:p>
        </w:tc>
        <w:tc>
          <w:tcPr>
            <w:tcW w:w="0" w:type="auto"/>
            <w:shd w:val="clear" w:color="auto" w:fill="auto"/>
            <w:vAlign w:val="bottom"/>
          </w:tcPr>
          <w:p w14:paraId="26E9DA4F" w14:textId="77777777" w:rsidR="008A3BAC" w:rsidRDefault="008A3BAC">
            <w:pPr>
              <w:rPr>
                <w:rFonts w:ascii="宋体"/>
                <w:vanish/>
              </w:rPr>
            </w:pPr>
          </w:p>
        </w:tc>
        <w:tc>
          <w:tcPr>
            <w:tcW w:w="0" w:type="auto"/>
            <w:gridSpan w:val="3"/>
            <w:shd w:val="clear" w:color="auto" w:fill="auto"/>
            <w:vAlign w:val="bottom"/>
          </w:tcPr>
          <w:p w14:paraId="26E9DA50" w14:textId="77777777" w:rsidR="008A3BAC" w:rsidRDefault="008A3BAC">
            <w:pPr>
              <w:rPr>
                <w:rFonts w:ascii="宋体"/>
                <w:vanish/>
              </w:rPr>
            </w:pPr>
          </w:p>
        </w:tc>
        <w:tc>
          <w:tcPr>
            <w:tcW w:w="0" w:type="auto"/>
            <w:gridSpan w:val="3"/>
            <w:shd w:val="clear" w:color="auto" w:fill="auto"/>
            <w:vAlign w:val="bottom"/>
          </w:tcPr>
          <w:p w14:paraId="26E9DA51" w14:textId="77777777" w:rsidR="008A3BAC" w:rsidRDefault="008A3BAC">
            <w:pPr>
              <w:rPr>
                <w:rFonts w:ascii="宋体"/>
                <w:vanish/>
              </w:rPr>
            </w:pPr>
          </w:p>
        </w:tc>
      </w:tr>
      <w:tr w:rsidR="008A3BAC" w14:paraId="26E9DA6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A53" w14:textId="77777777" w:rsidR="008A3BAC" w:rsidRDefault="005C75B9">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6E9DA54"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6E9DA55" w14:textId="77777777" w:rsidR="008A3BAC" w:rsidRDefault="005C75B9">
            <w:pPr>
              <w:jc w:val="right"/>
              <w:textAlignment w:val="center"/>
            </w:pPr>
            <w:r>
              <w:rPr>
                <w:rFonts w:ascii="Arial" w:eastAsia="宋体" w:hAnsi="Arial" w:cs="Arial"/>
                <w:color w:val="000000"/>
                <w:sz w:val="17"/>
                <w:szCs w:val="17"/>
              </w:rPr>
              <w:t>0.87 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6E9DA5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6E9DA57"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6E9DA58" w14:textId="77777777" w:rsidR="008A3BAC" w:rsidRDefault="005C75B9">
            <w:pPr>
              <w:jc w:val="right"/>
              <w:textAlignment w:val="center"/>
            </w:pPr>
            <w:r>
              <w:rPr>
                <w:rFonts w:ascii="Arial" w:eastAsia="宋体" w:hAnsi="Arial" w:cs="Arial"/>
                <w:color w:val="000000"/>
                <w:sz w:val="17"/>
                <w:szCs w:val="17"/>
              </w:rPr>
              <w:t>0.90 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6E9DA59"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6E9DA5A" w14:textId="77777777" w:rsidR="008A3BAC" w:rsidRDefault="005C75B9">
            <w:pPr>
              <w:jc w:val="right"/>
              <w:textAlignment w:val="center"/>
            </w:pPr>
            <w:r>
              <w:rPr>
                <w:rFonts w:ascii="Arial" w:eastAsia="宋体" w:hAnsi="Arial" w:cs="Arial"/>
                <w:color w:val="000000"/>
                <w:sz w:val="17"/>
                <w:szCs w:val="17"/>
              </w:rPr>
              <w:t>-3 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6E9DA5B" w14:textId="77777777" w:rsidR="008A3BAC" w:rsidRDefault="005C75B9">
            <w:pPr>
              <w:jc w:val="right"/>
              <w:textAlignment w:val="center"/>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A5C"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6E9DA5D"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6E9DA5E" w14:textId="77777777" w:rsidR="008A3BAC" w:rsidRDefault="005C75B9">
            <w:pPr>
              <w:jc w:val="right"/>
              <w:textAlignment w:val="center"/>
            </w:pPr>
            <w:r>
              <w:rPr>
                <w:rFonts w:ascii="Arial" w:eastAsia="宋体" w:hAnsi="Arial" w:cs="Arial"/>
                <w:color w:val="000000"/>
                <w:sz w:val="17"/>
                <w:szCs w:val="17"/>
              </w:rPr>
              <w:t>2.85 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6E9DA5F"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6E9DA60" w14:textId="77777777" w:rsidR="008A3BAC" w:rsidRDefault="005C75B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6E9DA61" w14:textId="77777777" w:rsidR="008A3BAC" w:rsidRDefault="005C75B9">
            <w:pPr>
              <w:jc w:val="right"/>
              <w:textAlignment w:val="center"/>
            </w:pPr>
            <w:r>
              <w:rPr>
                <w:rFonts w:ascii="Arial" w:eastAsia="宋体" w:hAnsi="Arial" w:cs="Arial"/>
                <w:color w:val="000000"/>
                <w:sz w:val="17"/>
                <w:szCs w:val="17"/>
              </w:rPr>
              <w:t>2.62 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6E9DA62"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6E9DA63" w14:textId="77777777" w:rsidR="008A3BAC" w:rsidRDefault="005C75B9">
            <w:pPr>
              <w:jc w:val="right"/>
              <w:textAlignment w:val="center"/>
            </w:pPr>
            <w:r>
              <w:rPr>
                <w:rFonts w:ascii="Arial" w:eastAsia="宋体" w:hAnsi="Arial" w:cs="Arial"/>
                <w:color w:val="000000"/>
                <w:sz w:val="17"/>
                <w:szCs w:val="17"/>
              </w:rPr>
              <w:t>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6E9DA64" w14:textId="77777777" w:rsidR="008A3BAC" w:rsidRDefault="005C75B9">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6E9DA65" w14:textId="77777777" w:rsidR="008A3BAC" w:rsidRDefault="008A3BAC">
            <w:pPr>
              <w:rPr>
                <w:rFonts w:ascii="宋体"/>
                <w:vanish/>
              </w:rPr>
            </w:pPr>
          </w:p>
        </w:tc>
        <w:tc>
          <w:tcPr>
            <w:tcW w:w="0" w:type="auto"/>
            <w:shd w:val="clear" w:color="auto" w:fill="auto"/>
            <w:vAlign w:val="bottom"/>
          </w:tcPr>
          <w:p w14:paraId="26E9DA66" w14:textId="77777777" w:rsidR="008A3BAC" w:rsidRDefault="008A3BAC">
            <w:pPr>
              <w:rPr>
                <w:rFonts w:ascii="宋体"/>
                <w:vanish/>
              </w:rPr>
            </w:pPr>
          </w:p>
        </w:tc>
        <w:tc>
          <w:tcPr>
            <w:tcW w:w="0" w:type="auto"/>
            <w:gridSpan w:val="3"/>
            <w:shd w:val="clear" w:color="auto" w:fill="auto"/>
            <w:vAlign w:val="bottom"/>
          </w:tcPr>
          <w:p w14:paraId="26E9DA67" w14:textId="77777777" w:rsidR="008A3BAC" w:rsidRDefault="008A3BAC">
            <w:pPr>
              <w:rPr>
                <w:rFonts w:ascii="宋体"/>
                <w:vanish/>
              </w:rPr>
            </w:pPr>
          </w:p>
        </w:tc>
        <w:tc>
          <w:tcPr>
            <w:tcW w:w="0" w:type="auto"/>
            <w:gridSpan w:val="3"/>
            <w:shd w:val="clear" w:color="auto" w:fill="auto"/>
            <w:vAlign w:val="bottom"/>
          </w:tcPr>
          <w:p w14:paraId="26E9DA68" w14:textId="77777777" w:rsidR="008A3BAC" w:rsidRDefault="008A3BAC">
            <w:pPr>
              <w:rPr>
                <w:rFonts w:ascii="宋体"/>
                <w:vanish/>
              </w:rPr>
            </w:pPr>
          </w:p>
        </w:tc>
      </w:tr>
    </w:tbl>
    <w:p w14:paraId="26E9DA6A" w14:textId="77777777" w:rsidR="008A3BAC" w:rsidRDefault="005C75B9">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26E9DA6B" w14:textId="77777777" w:rsidR="008A3BAC" w:rsidRDefault="005C75B9">
      <w:r>
        <w:pict w14:anchorId="26E9E863">
          <v:rect id="_x0000_i1054" style="width:415.3pt;height:1.5pt" o:hralign="center" o:hrstd="t" o:hr="t" fillcolor="#a0a0a0" stroked="f"/>
        </w:pict>
      </w:r>
    </w:p>
    <w:p w14:paraId="26E9DA6C" w14:textId="77777777" w:rsidR="008A3BAC" w:rsidRDefault="008A3BAC"/>
    <w:p w14:paraId="26E9DA6D" w14:textId="77777777" w:rsidR="008A3BAC" w:rsidRDefault="005C75B9">
      <w:hyperlink r:id="rId99" w:anchor="i46aba51c6a804f42b3595948c57d2023_7" w:history="1">
        <w:r>
          <w:rPr>
            <w:rStyle w:val="a5"/>
            <w:rFonts w:ascii="sans-serif" w:eastAsia="sans-serif" w:hAnsi="sans-serif" w:cs="sans-serif"/>
            <w:sz w:val="17"/>
            <w:szCs w:val="17"/>
          </w:rPr>
          <w:t>Table of Contents</w:t>
        </w:r>
      </w:hyperlink>
    </w:p>
    <w:p w14:paraId="26E9DA6E" w14:textId="77777777" w:rsidR="008A3BAC" w:rsidRDefault="008A3BAC"/>
    <w:p w14:paraId="26E9DA6F" w14:textId="77777777" w:rsidR="008A3BAC" w:rsidRDefault="005C75B9">
      <w:pPr>
        <w:spacing w:before="300" w:after="120"/>
      </w:pPr>
      <w:r>
        <w:rPr>
          <w:rFonts w:ascii="sans-serif" w:eastAsia="sans-serif" w:hAnsi="sans-serif" w:cs="sans-serif"/>
          <w:b/>
          <w:bCs/>
          <w:color w:val="E87722"/>
          <w:sz w:val="36"/>
          <w:szCs w:val="36"/>
        </w:rPr>
        <w:t>CONSOLIDATED OPERATING RESULTS</w:t>
      </w:r>
    </w:p>
    <w:p w14:paraId="26E9DA70" w14:textId="77777777" w:rsidR="008A3BAC" w:rsidRDefault="005C75B9">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1605"/>
        <w:gridCol w:w="39"/>
        <w:gridCol w:w="115"/>
        <w:gridCol w:w="568"/>
        <w:gridCol w:w="36"/>
        <w:gridCol w:w="115"/>
        <w:gridCol w:w="568"/>
        <w:gridCol w:w="36"/>
        <w:gridCol w:w="76"/>
        <w:gridCol w:w="561"/>
        <w:gridCol w:w="172"/>
        <w:gridCol w:w="102"/>
        <w:gridCol w:w="751"/>
        <w:gridCol w:w="172"/>
        <w:gridCol w:w="36"/>
        <w:gridCol w:w="36"/>
        <w:gridCol w:w="36"/>
        <w:gridCol w:w="115"/>
        <w:gridCol w:w="568"/>
        <w:gridCol w:w="36"/>
        <w:gridCol w:w="115"/>
        <w:gridCol w:w="568"/>
        <w:gridCol w:w="36"/>
        <w:gridCol w:w="76"/>
        <w:gridCol w:w="561"/>
        <w:gridCol w:w="172"/>
        <w:gridCol w:w="101"/>
        <w:gridCol w:w="752"/>
        <w:gridCol w:w="172"/>
      </w:tblGrid>
      <w:tr w:rsidR="008A3BAC" w14:paraId="26E9DA8F" w14:textId="77777777">
        <w:tc>
          <w:tcPr>
            <w:tcW w:w="50" w:type="pct"/>
            <w:shd w:val="clear" w:color="auto" w:fill="auto"/>
            <w:vAlign w:val="bottom"/>
          </w:tcPr>
          <w:p w14:paraId="26E9DA71" w14:textId="77777777" w:rsidR="008A3BAC" w:rsidRDefault="008A3BAC">
            <w:pPr>
              <w:rPr>
                <w:rFonts w:ascii="宋体"/>
              </w:rPr>
            </w:pPr>
          </w:p>
        </w:tc>
        <w:tc>
          <w:tcPr>
            <w:tcW w:w="1484" w:type="pct"/>
            <w:shd w:val="clear" w:color="auto" w:fill="auto"/>
            <w:vAlign w:val="bottom"/>
          </w:tcPr>
          <w:p w14:paraId="26E9DA72" w14:textId="77777777" w:rsidR="008A3BAC" w:rsidRDefault="008A3BAC">
            <w:pPr>
              <w:rPr>
                <w:rFonts w:ascii="宋体"/>
              </w:rPr>
            </w:pPr>
          </w:p>
        </w:tc>
        <w:tc>
          <w:tcPr>
            <w:tcW w:w="5" w:type="pct"/>
            <w:shd w:val="clear" w:color="auto" w:fill="auto"/>
            <w:vAlign w:val="bottom"/>
          </w:tcPr>
          <w:p w14:paraId="26E9DA73" w14:textId="77777777" w:rsidR="008A3BAC" w:rsidRDefault="008A3BAC">
            <w:pPr>
              <w:rPr>
                <w:rFonts w:ascii="宋体"/>
              </w:rPr>
            </w:pPr>
          </w:p>
        </w:tc>
        <w:tc>
          <w:tcPr>
            <w:tcW w:w="50" w:type="pct"/>
            <w:shd w:val="clear" w:color="auto" w:fill="auto"/>
            <w:vAlign w:val="bottom"/>
          </w:tcPr>
          <w:p w14:paraId="26E9DA74" w14:textId="77777777" w:rsidR="008A3BAC" w:rsidRDefault="008A3BAC">
            <w:pPr>
              <w:rPr>
                <w:rFonts w:ascii="宋体"/>
              </w:rPr>
            </w:pPr>
          </w:p>
        </w:tc>
        <w:tc>
          <w:tcPr>
            <w:tcW w:w="372" w:type="pct"/>
            <w:shd w:val="clear" w:color="auto" w:fill="auto"/>
            <w:vAlign w:val="bottom"/>
          </w:tcPr>
          <w:p w14:paraId="26E9DA75" w14:textId="77777777" w:rsidR="008A3BAC" w:rsidRDefault="008A3BAC">
            <w:pPr>
              <w:rPr>
                <w:rFonts w:ascii="宋体"/>
              </w:rPr>
            </w:pPr>
          </w:p>
        </w:tc>
        <w:tc>
          <w:tcPr>
            <w:tcW w:w="5" w:type="pct"/>
            <w:shd w:val="clear" w:color="auto" w:fill="auto"/>
            <w:vAlign w:val="bottom"/>
          </w:tcPr>
          <w:p w14:paraId="26E9DA76" w14:textId="77777777" w:rsidR="008A3BAC" w:rsidRDefault="008A3BAC">
            <w:pPr>
              <w:rPr>
                <w:rFonts w:ascii="宋体"/>
              </w:rPr>
            </w:pPr>
          </w:p>
        </w:tc>
        <w:tc>
          <w:tcPr>
            <w:tcW w:w="50" w:type="pct"/>
            <w:shd w:val="clear" w:color="auto" w:fill="auto"/>
            <w:vAlign w:val="bottom"/>
          </w:tcPr>
          <w:p w14:paraId="26E9DA77" w14:textId="77777777" w:rsidR="008A3BAC" w:rsidRDefault="008A3BAC">
            <w:pPr>
              <w:rPr>
                <w:rFonts w:ascii="宋体"/>
              </w:rPr>
            </w:pPr>
          </w:p>
        </w:tc>
        <w:tc>
          <w:tcPr>
            <w:tcW w:w="372" w:type="pct"/>
            <w:shd w:val="clear" w:color="auto" w:fill="auto"/>
            <w:vAlign w:val="bottom"/>
          </w:tcPr>
          <w:p w14:paraId="26E9DA78" w14:textId="77777777" w:rsidR="008A3BAC" w:rsidRDefault="008A3BAC">
            <w:pPr>
              <w:rPr>
                <w:rFonts w:ascii="宋体"/>
              </w:rPr>
            </w:pPr>
          </w:p>
        </w:tc>
        <w:tc>
          <w:tcPr>
            <w:tcW w:w="5" w:type="pct"/>
            <w:shd w:val="clear" w:color="auto" w:fill="auto"/>
            <w:vAlign w:val="bottom"/>
          </w:tcPr>
          <w:p w14:paraId="26E9DA79" w14:textId="77777777" w:rsidR="008A3BAC" w:rsidRDefault="008A3BAC">
            <w:pPr>
              <w:rPr>
                <w:rFonts w:ascii="宋体"/>
              </w:rPr>
            </w:pPr>
          </w:p>
        </w:tc>
        <w:tc>
          <w:tcPr>
            <w:tcW w:w="50" w:type="pct"/>
            <w:shd w:val="clear" w:color="auto" w:fill="auto"/>
            <w:vAlign w:val="bottom"/>
          </w:tcPr>
          <w:p w14:paraId="26E9DA7A" w14:textId="77777777" w:rsidR="008A3BAC" w:rsidRDefault="008A3BAC">
            <w:pPr>
              <w:rPr>
                <w:rFonts w:ascii="宋体"/>
              </w:rPr>
            </w:pPr>
          </w:p>
        </w:tc>
        <w:tc>
          <w:tcPr>
            <w:tcW w:w="372" w:type="pct"/>
            <w:shd w:val="clear" w:color="auto" w:fill="auto"/>
            <w:vAlign w:val="bottom"/>
          </w:tcPr>
          <w:p w14:paraId="26E9DA7B" w14:textId="77777777" w:rsidR="008A3BAC" w:rsidRDefault="008A3BAC">
            <w:pPr>
              <w:rPr>
                <w:rFonts w:ascii="宋体"/>
              </w:rPr>
            </w:pPr>
          </w:p>
        </w:tc>
        <w:tc>
          <w:tcPr>
            <w:tcW w:w="5" w:type="pct"/>
            <w:shd w:val="clear" w:color="auto" w:fill="auto"/>
            <w:vAlign w:val="bottom"/>
          </w:tcPr>
          <w:p w14:paraId="26E9DA7C" w14:textId="77777777" w:rsidR="008A3BAC" w:rsidRDefault="008A3BAC">
            <w:pPr>
              <w:rPr>
                <w:rFonts w:ascii="宋体"/>
              </w:rPr>
            </w:pPr>
          </w:p>
        </w:tc>
        <w:tc>
          <w:tcPr>
            <w:tcW w:w="50" w:type="pct"/>
            <w:shd w:val="clear" w:color="auto" w:fill="auto"/>
            <w:vAlign w:val="bottom"/>
          </w:tcPr>
          <w:p w14:paraId="26E9DA7D" w14:textId="77777777" w:rsidR="008A3BAC" w:rsidRDefault="008A3BAC">
            <w:pPr>
              <w:rPr>
                <w:rFonts w:ascii="宋体"/>
              </w:rPr>
            </w:pPr>
          </w:p>
        </w:tc>
        <w:tc>
          <w:tcPr>
            <w:tcW w:w="372" w:type="pct"/>
            <w:shd w:val="clear" w:color="auto" w:fill="auto"/>
            <w:vAlign w:val="bottom"/>
          </w:tcPr>
          <w:p w14:paraId="26E9DA7E" w14:textId="77777777" w:rsidR="008A3BAC" w:rsidRDefault="008A3BAC">
            <w:pPr>
              <w:rPr>
                <w:rFonts w:ascii="宋体"/>
              </w:rPr>
            </w:pPr>
          </w:p>
        </w:tc>
        <w:tc>
          <w:tcPr>
            <w:tcW w:w="5" w:type="pct"/>
            <w:shd w:val="clear" w:color="auto" w:fill="auto"/>
            <w:vAlign w:val="bottom"/>
          </w:tcPr>
          <w:p w14:paraId="26E9DA7F" w14:textId="77777777" w:rsidR="008A3BAC" w:rsidRDefault="008A3BAC">
            <w:pPr>
              <w:rPr>
                <w:rFonts w:ascii="宋体"/>
              </w:rPr>
            </w:pPr>
          </w:p>
        </w:tc>
        <w:tc>
          <w:tcPr>
            <w:tcW w:w="5" w:type="pct"/>
            <w:shd w:val="clear" w:color="auto" w:fill="auto"/>
            <w:vAlign w:val="bottom"/>
          </w:tcPr>
          <w:p w14:paraId="26E9DA80" w14:textId="77777777" w:rsidR="008A3BAC" w:rsidRDefault="008A3BAC">
            <w:pPr>
              <w:rPr>
                <w:rFonts w:ascii="宋体"/>
              </w:rPr>
            </w:pPr>
          </w:p>
        </w:tc>
        <w:tc>
          <w:tcPr>
            <w:tcW w:w="27" w:type="pct"/>
            <w:shd w:val="clear" w:color="auto" w:fill="auto"/>
            <w:vAlign w:val="bottom"/>
          </w:tcPr>
          <w:p w14:paraId="26E9DA81" w14:textId="77777777" w:rsidR="008A3BAC" w:rsidRDefault="008A3BAC">
            <w:pPr>
              <w:rPr>
                <w:rFonts w:ascii="宋体"/>
              </w:rPr>
            </w:pPr>
          </w:p>
        </w:tc>
        <w:tc>
          <w:tcPr>
            <w:tcW w:w="5" w:type="pct"/>
            <w:shd w:val="clear" w:color="auto" w:fill="auto"/>
            <w:vAlign w:val="bottom"/>
          </w:tcPr>
          <w:p w14:paraId="26E9DA82" w14:textId="77777777" w:rsidR="008A3BAC" w:rsidRDefault="008A3BAC">
            <w:pPr>
              <w:rPr>
                <w:rFonts w:ascii="宋体"/>
              </w:rPr>
            </w:pPr>
          </w:p>
        </w:tc>
        <w:tc>
          <w:tcPr>
            <w:tcW w:w="50" w:type="pct"/>
            <w:shd w:val="clear" w:color="auto" w:fill="auto"/>
            <w:vAlign w:val="bottom"/>
          </w:tcPr>
          <w:p w14:paraId="26E9DA83" w14:textId="77777777" w:rsidR="008A3BAC" w:rsidRDefault="008A3BAC">
            <w:pPr>
              <w:rPr>
                <w:rFonts w:ascii="宋体"/>
              </w:rPr>
            </w:pPr>
          </w:p>
        </w:tc>
        <w:tc>
          <w:tcPr>
            <w:tcW w:w="372" w:type="pct"/>
            <w:shd w:val="clear" w:color="auto" w:fill="auto"/>
            <w:vAlign w:val="bottom"/>
          </w:tcPr>
          <w:p w14:paraId="26E9DA84" w14:textId="77777777" w:rsidR="008A3BAC" w:rsidRDefault="008A3BAC">
            <w:pPr>
              <w:rPr>
                <w:rFonts w:ascii="宋体"/>
              </w:rPr>
            </w:pPr>
          </w:p>
        </w:tc>
        <w:tc>
          <w:tcPr>
            <w:tcW w:w="5" w:type="pct"/>
            <w:shd w:val="clear" w:color="auto" w:fill="auto"/>
            <w:vAlign w:val="bottom"/>
          </w:tcPr>
          <w:p w14:paraId="26E9DA85" w14:textId="77777777" w:rsidR="008A3BAC" w:rsidRDefault="008A3BAC">
            <w:pPr>
              <w:rPr>
                <w:rFonts w:ascii="宋体"/>
              </w:rPr>
            </w:pPr>
          </w:p>
        </w:tc>
        <w:tc>
          <w:tcPr>
            <w:tcW w:w="50" w:type="pct"/>
            <w:shd w:val="clear" w:color="auto" w:fill="auto"/>
            <w:vAlign w:val="bottom"/>
          </w:tcPr>
          <w:p w14:paraId="26E9DA86" w14:textId="77777777" w:rsidR="008A3BAC" w:rsidRDefault="008A3BAC">
            <w:pPr>
              <w:rPr>
                <w:rFonts w:ascii="宋体"/>
              </w:rPr>
            </w:pPr>
          </w:p>
        </w:tc>
        <w:tc>
          <w:tcPr>
            <w:tcW w:w="372" w:type="pct"/>
            <w:shd w:val="clear" w:color="auto" w:fill="auto"/>
            <w:vAlign w:val="bottom"/>
          </w:tcPr>
          <w:p w14:paraId="26E9DA87" w14:textId="77777777" w:rsidR="008A3BAC" w:rsidRDefault="008A3BAC">
            <w:pPr>
              <w:rPr>
                <w:rFonts w:ascii="宋体"/>
              </w:rPr>
            </w:pPr>
          </w:p>
        </w:tc>
        <w:tc>
          <w:tcPr>
            <w:tcW w:w="5" w:type="pct"/>
            <w:shd w:val="clear" w:color="auto" w:fill="auto"/>
            <w:vAlign w:val="bottom"/>
          </w:tcPr>
          <w:p w14:paraId="26E9DA88" w14:textId="77777777" w:rsidR="008A3BAC" w:rsidRDefault="008A3BAC">
            <w:pPr>
              <w:rPr>
                <w:rFonts w:ascii="宋体"/>
              </w:rPr>
            </w:pPr>
          </w:p>
        </w:tc>
        <w:tc>
          <w:tcPr>
            <w:tcW w:w="50" w:type="pct"/>
            <w:shd w:val="clear" w:color="auto" w:fill="auto"/>
            <w:vAlign w:val="bottom"/>
          </w:tcPr>
          <w:p w14:paraId="26E9DA89" w14:textId="77777777" w:rsidR="008A3BAC" w:rsidRDefault="008A3BAC">
            <w:pPr>
              <w:rPr>
                <w:rFonts w:ascii="宋体"/>
              </w:rPr>
            </w:pPr>
          </w:p>
        </w:tc>
        <w:tc>
          <w:tcPr>
            <w:tcW w:w="372" w:type="pct"/>
            <w:shd w:val="clear" w:color="auto" w:fill="auto"/>
            <w:vAlign w:val="bottom"/>
          </w:tcPr>
          <w:p w14:paraId="26E9DA8A" w14:textId="77777777" w:rsidR="008A3BAC" w:rsidRDefault="008A3BAC">
            <w:pPr>
              <w:rPr>
                <w:rFonts w:ascii="宋体"/>
              </w:rPr>
            </w:pPr>
          </w:p>
        </w:tc>
        <w:tc>
          <w:tcPr>
            <w:tcW w:w="5" w:type="pct"/>
            <w:shd w:val="clear" w:color="auto" w:fill="auto"/>
            <w:vAlign w:val="bottom"/>
          </w:tcPr>
          <w:p w14:paraId="26E9DA8B" w14:textId="77777777" w:rsidR="008A3BAC" w:rsidRDefault="008A3BAC">
            <w:pPr>
              <w:rPr>
                <w:rFonts w:ascii="宋体"/>
              </w:rPr>
            </w:pPr>
          </w:p>
        </w:tc>
        <w:tc>
          <w:tcPr>
            <w:tcW w:w="50" w:type="pct"/>
            <w:shd w:val="clear" w:color="auto" w:fill="auto"/>
            <w:vAlign w:val="bottom"/>
          </w:tcPr>
          <w:p w14:paraId="26E9DA8C" w14:textId="77777777" w:rsidR="008A3BAC" w:rsidRDefault="008A3BAC">
            <w:pPr>
              <w:rPr>
                <w:rFonts w:ascii="宋体"/>
              </w:rPr>
            </w:pPr>
          </w:p>
        </w:tc>
        <w:tc>
          <w:tcPr>
            <w:tcW w:w="373" w:type="pct"/>
            <w:shd w:val="clear" w:color="auto" w:fill="auto"/>
            <w:vAlign w:val="bottom"/>
          </w:tcPr>
          <w:p w14:paraId="26E9DA8D" w14:textId="77777777" w:rsidR="008A3BAC" w:rsidRDefault="008A3BAC">
            <w:pPr>
              <w:rPr>
                <w:rFonts w:ascii="宋体"/>
              </w:rPr>
            </w:pPr>
          </w:p>
        </w:tc>
        <w:tc>
          <w:tcPr>
            <w:tcW w:w="5" w:type="pct"/>
            <w:shd w:val="clear" w:color="auto" w:fill="auto"/>
            <w:vAlign w:val="bottom"/>
          </w:tcPr>
          <w:p w14:paraId="26E9DA8E" w14:textId="77777777" w:rsidR="008A3BAC" w:rsidRDefault="008A3BAC">
            <w:pPr>
              <w:rPr>
                <w:rFonts w:ascii="宋体"/>
              </w:rPr>
            </w:pPr>
          </w:p>
        </w:tc>
      </w:tr>
      <w:tr w:rsidR="008A3BAC" w14:paraId="26E9DA94" w14:textId="77777777">
        <w:tc>
          <w:tcPr>
            <w:tcW w:w="0" w:type="auto"/>
            <w:gridSpan w:val="3"/>
            <w:shd w:val="clear" w:color="auto" w:fill="auto"/>
            <w:tcMar>
              <w:top w:w="0" w:type="dxa"/>
              <w:left w:w="20" w:type="dxa"/>
              <w:bottom w:w="0" w:type="dxa"/>
              <w:right w:w="20" w:type="dxa"/>
            </w:tcMar>
            <w:vAlign w:val="bottom"/>
          </w:tcPr>
          <w:p w14:paraId="26E9DA90"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A91"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A92"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A93"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DA9F" w14:textId="77777777">
        <w:tc>
          <w:tcPr>
            <w:tcW w:w="0" w:type="auto"/>
            <w:gridSpan w:val="3"/>
            <w:shd w:val="clear" w:color="auto" w:fill="auto"/>
            <w:tcMar>
              <w:top w:w="40" w:type="dxa"/>
              <w:left w:w="20" w:type="dxa"/>
              <w:bottom w:w="40" w:type="dxa"/>
              <w:right w:w="20" w:type="dxa"/>
            </w:tcMar>
            <w:vAlign w:val="bottom"/>
          </w:tcPr>
          <w:p w14:paraId="26E9DA95"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6"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7"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8"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9" w14:textId="77777777" w:rsidR="008A3BAC" w:rsidRDefault="005C75B9">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26E9DA9A"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9E"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r>
      <w:tr w:rsidR="008A3BAC" w14:paraId="26E9DAA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AA0" w14:textId="77777777" w:rsidR="008A3BAC" w:rsidRDefault="005C75B9">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AA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5"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AA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AA9" w14:textId="77777777" w:rsidR="008A3BAC" w:rsidRDefault="008A3BAC">
            <w:pPr>
              <w:rPr>
                <w:rFonts w:ascii="宋体"/>
              </w:rPr>
            </w:pPr>
          </w:p>
        </w:tc>
      </w:tr>
      <w:tr w:rsidR="008A3BAC" w14:paraId="26E9DAB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AAB" w14:textId="77777777" w:rsidR="008A3BAC" w:rsidRDefault="005C75B9">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DAAC"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AD"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AE"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AF"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B0"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DAB1"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B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B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B4" w14:textId="77777777" w:rsidR="008A3BAC" w:rsidRDefault="008A3BAC">
            <w:pPr>
              <w:rPr>
                <w:rFonts w:ascii="宋体"/>
              </w:rPr>
            </w:pPr>
          </w:p>
        </w:tc>
      </w:tr>
      <w:tr w:rsidR="008A3BAC" w14:paraId="26E9DAC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AB6"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AB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AB8" w14:textId="77777777" w:rsidR="008A3BAC" w:rsidRDefault="005C75B9">
            <w:pPr>
              <w:jc w:val="right"/>
              <w:textAlignment w:val="bottom"/>
            </w:pPr>
            <w:r>
              <w:rPr>
                <w:rFonts w:ascii="Arial" w:eastAsia="宋体" w:hAnsi="Arial" w:cs="Arial"/>
                <w:color w:val="000000"/>
                <w:sz w:val="17"/>
                <w:szCs w:val="17"/>
              </w:rPr>
              <w:t>6,660 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B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AB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ABB" w14:textId="77777777" w:rsidR="008A3BAC" w:rsidRDefault="005C75B9">
            <w:pPr>
              <w:jc w:val="right"/>
              <w:textAlignment w:val="bottom"/>
            </w:pPr>
            <w:r>
              <w:rPr>
                <w:rFonts w:ascii="Arial" w:eastAsia="宋体" w:hAnsi="Arial" w:cs="Arial"/>
                <w:color w:val="000000"/>
                <w:sz w:val="17"/>
                <w:szCs w:val="17"/>
              </w:rPr>
              <w:t>6,505 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B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BD"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BE"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BF"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C0"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C1"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AC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AC3" w14:textId="77777777" w:rsidR="008A3BAC" w:rsidRDefault="005C75B9">
            <w:pPr>
              <w:jc w:val="right"/>
              <w:textAlignment w:val="bottom"/>
            </w:pPr>
            <w:r>
              <w:rPr>
                <w:rFonts w:ascii="Arial" w:eastAsia="宋体" w:hAnsi="Arial" w:cs="Arial"/>
                <w:color w:val="000000"/>
                <w:sz w:val="17"/>
                <w:szCs w:val="17"/>
              </w:rPr>
              <w:t>21,158 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C4"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AC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AC6" w14:textId="77777777" w:rsidR="008A3BAC" w:rsidRDefault="005C75B9">
            <w:pPr>
              <w:jc w:val="right"/>
              <w:textAlignment w:val="bottom"/>
            </w:pPr>
            <w:r>
              <w:rPr>
                <w:rFonts w:ascii="Arial" w:eastAsia="宋体" w:hAnsi="Arial" w:cs="Arial"/>
                <w:color w:val="000000"/>
                <w:sz w:val="17"/>
                <w:szCs w:val="17"/>
              </w:rPr>
              <w:t>20,074 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C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C8"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C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CA"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CB" w14:textId="77777777" w:rsidR="008A3BAC" w:rsidRDefault="005C75B9">
            <w:pPr>
              <w:jc w:val="right"/>
              <w:textAlignment w:val="bottom"/>
            </w:pPr>
            <w:r>
              <w:rPr>
                <w:rFonts w:ascii="Arial" w:eastAsia="宋体" w:hAnsi="Arial" w:cs="Arial"/>
                <w:color w:val="000000"/>
                <w:sz w:val="17"/>
                <w:szCs w:val="17"/>
              </w:rPr>
              <w:t>%</w:t>
            </w:r>
          </w:p>
        </w:tc>
      </w:tr>
      <w:tr w:rsidR="008A3BAC" w14:paraId="26E9DAD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ACD"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CE" w14:textId="77777777" w:rsidR="008A3BAC" w:rsidRDefault="005C75B9">
            <w:pPr>
              <w:jc w:val="right"/>
              <w:textAlignment w:val="bottom"/>
            </w:pPr>
            <w:r>
              <w:rPr>
                <w:rFonts w:ascii="Arial" w:eastAsia="宋体" w:hAnsi="Arial" w:cs="Arial"/>
                <w:color w:val="000000"/>
                <w:sz w:val="17"/>
                <w:szCs w:val="17"/>
              </w:rPr>
              <w:t>3,232 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C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0" w14:textId="77777777" w:rsidR="008A3BAC" w:rsidRDefault="005C75B9">
            <w:pPr>
              <w:jc w:val="right"/>
              <w:textAlignment w:val="bottom"/>
            </w:pPr>
            <w:r>
              <w:rPr>
                <w:rFonts w:ascii="Arial" w:eastAsia="宋体" w:hAnsi="Arial" w:cs="Arial"/>
                <w:color w:val="000000"/>
                <w:sz w:val="17"/>
                <w:szCs w:val="17"/>
              </w:rPr>
              <w:t>2,966 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2"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4"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5"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D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D7" w14:textId="77777777" w:rsidR="008A3BAC" w:rsidRDefault="005C75B9">
            <w:pPr>
              <w:jc w:val="right"/>
              <w:textAlignment w:val="bottom"/>
            </w:pPr>
            <w:r>
              <w:rPr>
                <w:rFonts w:ascii="Arial" w:eastAsia="宋体" w:hAnsi="Arial" w:cs="Arial"/>
                <w:color w:val="000000"/>
                <w:sz w:val="17"/>
                <w:szCs w:val="17"/>
              </w:rPr>
              <w:t>10,330 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D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9" w14:textId="77777777" w:rsidR="008A3BAC" w:rsidRDefault="005C75B9">
            <w:pPr>
              <w:jc w:val="right"/>
              <w:textAlignment w:val="bottom"/>
            </w:pPr>
            <w:r>
              <w:rPr>
                <w:rFonts w:ascii="Arial" w:eastAsia="宋体" w:hAnsi="Arial" w:cs="Arial"/>
                <w:color w:val="000000"/>
                <w:sz w:val="17"/>
                <w:szCs w:val="17"/>
              </w:rPr>
              <w:t>9,426 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B"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DD"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DE" w14:textId="77777777" w:rsidR="008A3BAC" w:rsidRDefault="005C75B9">
            <w:pPr>
              <w:jc w:val="right"/>
              <w:textAlignment w:val="bottom"/>
            </w:pPr>
            <w:r>
              <w:rPr>
                <w:rFonts w:ascii="Arial" w:eastAsia="宋体" w:hAnsi="Arial" w:cs="Arial"/>
                <w:color w:val="000000"/>
                <w:sz w:val="17"/>
                <w:szCs w:val="17"/>
              </w:rPr>
              <w:t>%</w:t>
            </w:r>
          </w:p>
        </w:tc>
      </w:tr>
      <w:tr w:rsidR="008A3BAC" w14:paraId="26E9DA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AE0"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E1" w14:textId="77777777" w:rsidR="008A3BAC" w:rsidRDefault="005C75B9">
            <w:pPr>
              <w:jc w:val="right"/>
              <w:textAlignment w:val="bottom"/>
            </w:pPr>
            <w:r>
              <w:rPr>
                <w:rFonts w:ascii="Arial" w:eastAsia="宋体" w:hAnsi="Arial" w:cs="Arial"/>
                <w:color w:val="000000"/>
                <w:sz w:val="17"/>
                <w:szCs w:val="17"/>
              </w:rPr>
              <w:t>390 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E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E3" w14:textId="77777777" w:rsidR="008A3BAC" w:rsidRDefault="005C75B9">
            <w:pPr>
              <w:jc w:val="right"/>
              <w:textAlignment w:val="bottom"/>
            </w:pPr>
            <w:r>
              <w:rPr>
                <w:rFonts w:ascii="Arial" w:eastAsia="宋体" w:hAnsi="Arial" w:cs="Arial"/>
                <w:color w:val="000000"/>
                <w:sz w:val="17"/>
                <w:szCs w:val="17"/>
              </w:rPr>
              <w:t>296 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E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E5" w14:textId="77777777" w:rsidR="008A3BAC" w:rsidRDefault="005C75B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E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E7" w14:textId="77777777" w:rsidR="008A3BAC" w:rsidRDefault="005C75B9">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E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E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EA" w14:textId="77777777" w:rsidR="008A3BAC" w:rsidRDefault="005C75B9">
            <w:pPr>
              <w:jc w:val="right"/>
              <w:textAlignment w:val="bottom"/>
            </w:pPr>
            <w:r>
              <w:rPr>
                <w:rFonts w:ascii="Arial" w:eastAsia="宋体" w:hAnsi="Arial" w:cs="Arial"/>
                <w:color w:val="000000"/>
                <w:sz w:val="17"/>
                <w:szCs w:val="17"/>
              </w:rPr>
              <w:t>1,237 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E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EC" w14:textId="77777777" w:rsidR="008A3BAC" w:rsidRDefault="005C75B9">
            <w:pPr>
              <w:jc w:val="right"/>
              <w:textAlignment w:val="bottom"/>
            </w:pPr>
            <w:r>
              <w:rPr>
                <w:rFonts w:ascii="Arial" w:eastAsia="宋体" w:hAnsi="Arial" w:cs="Arial"/>
                <w:color w:val="000000"/>
                <w:sz w:val="17"/>
                <w:szCs w:val="17"/>
              </w:rPr>
              <w:t>1,014 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E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EE"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E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F0"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F1" w14:textId="77777777" w:rsidR="008A3BAC" w:rsidRDefault="005C75B9">
            <w:pPr>
              <w:jc w:val="right"/>
              <w:textAlignment w:val="bottom"/>
            </w:pPr>
            <w:r>
              <w:rPr>
                <w:rFonts w:ascii="Arial" w:eastAsia="宋体" w:hAnsi="Arial" w:cs="Arial"/>
                <w:color w:val="000000"/>
                <w:sz w:val="17"/>
                <w:szCs w:val="17"/>
              </w:rPr>
              <w:t>%</w:t>
            </w:r>
          </w:p>
        </w:tc>
      </w:tr>
      <w:tr w:rsidR="008A3BAC" w14:paraId="26E9DB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AF3" w14:textId="77777777" w:rsidR="008A3BAC" w:rsidRDefault="005C75B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F4"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F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F6"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F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F8" w14:textId="77777777" w:rsidR="008A3BAC" w:rsidRDefault="005C75B9">
            <w:pPr>
              <w:jc w:val="right"/>
              <w:textAlignment w:val="bottom"/>
            </w:pPr>
            <w:r>
              <w:rPr>
                <w:rFonts w:ascii="Arial" w:eastAsia="宋体" w:hAnsi="Arial" w:cs="Arial"/>
                <w:color w:val="000000"/>
                <w:sz w:val="17"/>
                <w:szCs w:val="17"/>
              </w:rPr>
              <w:t>583 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F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FA" w14:textId="77777777" w:rsidR="008A3BAC" w:rsidRDefault="005C75B9">
            <w:pPr>
              <w:jc w:val="right"/>
              <w:textAlignment w:val="bottom"/>
            </w:pPr>
            <w:r>
              <w:rPr>
                <w:rFonts w:ascii="Arial" w:eastAsia="宋体" w:hAnsi="Arial" w:cs="Arial"/>
                <w:color w:val="000000"/>
                <w:sz w:val="17"/>
                <w:szCs w:val="17"/>
              </w:rPr>
              <w:t>561 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AFB"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AF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AFD"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AF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AFF"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0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01" w14:textId="77777777" w:rsidR="008A3BAC" w:rsidRDefault="005C75B9">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0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03" w14:textId="77777777" w:rsidR="008A3BAC" w:rsidRDefault="005C75B9">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04" w14:textId="77777777" w:rsidR="008A3BAC" w:rsidRDefault="005C75B9">
            <w:pPr>
              <w:jc w:val="right"/>
              <w:textAlignment w:val="bottom"/>
            </w:pPr>
            <w:r>
              <w:rPr>
                <w:rFonts w:ascii="Arial" w:eastAsia="宋体" w:hAnsi="Arial" w:cs="Arial"/>
                <w:color w:val="000000"/>
                <w:sz w:val="17"/>
                <w:szCs w:val="17"/>
              </w:rPr>
              <w:t>%</w:t>
            </w:r>
          </w:p>
        </w:tc>
      </w:tr>
      <w:tr w:rsidR="008A3BAC" w14:paraId="26E9DB1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B06" w14:textId="77777777" w:rsidR="008A3BAC" w:rsidRDefault="005C75B9">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B07" w14:textId="77777777" w:rsidR="008A3BAC" w:rsidRDefault="005C75B9">
            <w:pPr>
              <w:jc w:val="right"/>
              <w:textAlignment w:val="bottom"/>
            </w:pPr>
            <w:r>
              <w:rPr>
                <w:rFonts w:ascii="Arial" w:eastAsia="宋体" w:hAnsi="Arial" w:cs="Arial"/>
                <w:b/>
                <w:bCs/>
                <w:color w:val="000000"/>
                <w:sz w:val="17"/>
                <w:szCs w:val="17"/>
              </w:rPr>
              <w:t>10,323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0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09" w14:textId="77777777" w:rsidR="008A3BAC" w:rsidRDefault="005C75B9">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0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0B"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0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0D"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0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0F"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B10" w14:textId="77777777" w:rsidR="008A3BAC" w:rsidRDefault="005C75B9">
            <w:pPr>
              <w:jc w:val="right"/>
              <w:textAlignment w:val="bottom"/>
            </w:pPr>
            <w:r>
              <w:rPr>
                <w:rFonts w:ascii="Arial" w:eastAsia="宋体" w:hAnsi="Arial" w:cs="Arial"/>
                <w:b/>
                <w:bCs/>
                <w:color w:val="000000"/>
                <w:sz w:val="17"/>
                <w:szCs w:val="17"/>
              </w:rPr>
              <w:t>32,779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1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12" w14:textId="77777777" w:rsidR="008A3BAC" w:rsidRDefault="005C75B9">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1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14"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15"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16"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17" w14:textId="77777777" w:rsidR="008A3BAC" w:rsidRDefault="005C75B9">
            <w:pPr>
              <w:jc w:val="right"/>
              <w:textAlignment w:val="bottom"/>
            </w:pPr>
            <w:r>
              <w:rPr>
                <w:rFonts w:ascii="Arial" w:eastAsia="宋体" w:hAnsi="Arial" w:cs="Arial"/>
                <w:b/>
                <w:bCs/>
                <w:color w:val="000000"/>
                <w:sz w:val="17"/>
                <w:szCs w:val="17"/>
              </w:rPr>
              <w:t>%</w:t>
            </w:r>
          </w:p>
        </w:tc>
      </w:tr>
      <w:tr w:rsidR="008A3BAC" w14:paraId="26E9DB2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6E9DB19"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B1A" w14:textId="77777777" w:rsidR="008A3BAC" w:rsidRDefault="005C75B9">
            <w:pPr>
              <w:jc w:val="right"/>
              <w:textAlignment w:val="bottom"/>
            </w:pPr>
            <w:r>
              <w:rPr>
                <w:rFonts w:ascii="Arial" w:eastAsia="宋体" w:hAnsi="Arial" w:cs="Arial"/>
                <w:color w:val="000000"/>
                <w:sz w:val="17"/>
                <w:szCs w:val="17"/>
              </w:rPr>
              <w:t>567 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1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1C" w14:textId="77777777" w:rsidR="008A3BAC" w:rsidRDefault="005C75B9">
            <w:pPr>
              <w:jc w:val="right"/>
              <w:textAlignment w:val="bottom"/>
            </w:pPr>
            <w:r>
              <w:rPr>
                <w:rFonts w:ascii="Arial" w:eastAsia="宋体" w:hAnsi="Arial" w:cs="Arial"/>
                <w:color w:val="000000"/>
                <w:sz w:val="17"/>
                <w:szCs w:val="17"/>
              </w:rPr>
              <w:t>570 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1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1E"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1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20"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21"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22"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B23" w14:textId="77777777" w:rsidR="008A3BAC" w:rsidRDefault="005C75B9">
            <w:pPr>
              <w:jc w:val="right"/>
              <w:textAlignment w:val="bottom"/>
            </w:pPr>
            <w:r>
              <w:rPr>
                <w:rFonts w:ascii="Arial" w:eastAsia="宋体" w:hAnsi="Arial" w:cs="Arial"/>
                <w:color w:val="000000"/>
                <w:sz w:val="17"/>
                <w:szCs w:val="17"/>
              </w:rPr>
              <w:t>1,753 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2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25" w14:textId="77777777" w:rsidR="008A3BAC" w:rsidRDefault="005C75B9">
            <w:pPr>
              <w:jc w:val="right"/>
              <w:textAlignment w:val="bottom"/>
            </w:pPr>
            <w:r>
              <w:rPr>
                <w:rFonts w:ascii="Arial" w:eastAsia="宋体" w:hAnsi="Arial" w:cs="Arial"/>
                <w:color w:val="000000"/>
                <w:sz w:val="17"/>
                <w:szCs w:val="17"/>
              </w:rPr>
              <w:t>1,609 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2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27"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2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29"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2A" w14:textId="77777777" w:rsidR="008A3BAC" w:rsidRDefault="005C75B9">
            <w:pPr>
              <w:jc w:val="right"/>
              <w:textAlignment w:val="bottom"/>
            </w:pPr>
            <w:r>
              <w:rPr>
                <w:rFonts w:ascii="Arial" w:eastAsia="宋体" w:hAnsi="Arial" w:cs="Arial"/>
                <w:color w:val="000000"/>
                <w:sz w:val="17"/>
                <w:szCs w:val="17"/>
              </w:rPr>
              <w:t>%</w:t>
            </w:r>
          </w:p>
        </w:tc>
      </w:tr>
      <w:tr w:rsidR="008A3BAC" w14:paraId="26E9DB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B2C" w14:textId="77777777" w:rsidR="008A3BAC" w:rsidRDefault="005C75B9">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2D"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2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2F"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3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3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4"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3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36"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3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38"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3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3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3D" w14:textId="77777777" w:rsidR="008A3BAC" w:rsidRDefault="008A3BAC">
            <w:pPr>
              <w:jc w:val="right"/>
              <w:rPr>
                <w:rFonts w:ascii="宋体"/>
              </w:rPr>
            </w:pPr>
          </w:p>
        </w:tc>
      </w:tr>
      <w:tr w:rsidR="008A3BAC" w14:paraId="26E9DB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B3F" w14:textId="77777777" w:rsidR="008A3BAC" w:rsidRDefault="005C75B9">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B4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B41" w14:textId="77777777" w:rsidR="008A3BAC" w:rsidRDefault="005C75B9">
            <w:pPr>
              <w:jc w:val="right"/>
              <w:textAlignment w:val="bottom"/>
            </w:pPr>
            <w:r>
              <w:rPr>
                <w:rFonts w:ascii="Arial" w:eastAsia="宋体" w:hAnsi="Arial" w:cs="Arial"/>
                <w:b/>
                <w:bCs/>
                <w:color w:val="000000"/>
                <w:sz w:val="17"/>
                <w:szCs w:val="17"/>
              </w:rPr>
              <w:t>10,871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4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B4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B44" w14:textId="77777777" w:rsidR="008A3BAC" w:rsidRDefault="005C75B9">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4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46" w14:textId="77777777" w:rsidR="008A3BAC" w:rsidRDefault="005C75B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4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48"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49"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4A"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B4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B4C" w14:textId="77777777" w:rsidR="008A3BAC" w:rsidRDefault="005C75B9">
            <w:pPr>
              <w:jc w:val="right"/>
              <w:textAlignment w:val="bottom"/>
            </w:pPr>
            <w:r>
              <w:rPr>
                <w:rFonts w:ascii="Arial" w:eastAsia="宋体" w:hAnsi="Arial" w:cs="Arial"/>
                <w:b/>
                <w:bCs/>
                <w:color w:val="000000"/>
                <w:sz w:val="17"/>
                <w:szCs w:val="17"/>
              </w:rPr>
              <w:t>34,476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B4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B4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B4F" w14:textId="77777777" w:rsidR="008A3BAC" w:rsidRDefault="005C75B9">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5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51"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5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B53"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B54" w14:textId="77777777" w:rsidR="008A3BAC" w:rsidRDefault="005C75B9">
            <w:pPr>
              <w:jc w:val="right"/>
              <w:textAlignment w:val="bottom"/>
            </w:pPr>
            <w:r>
              <w:rPr>
                <w:rFonts w:ascii="Arial" w:eastAsia="宋体" w:hAnsi="Arial" w:cs="Arial"/>
                <w:b/>
                <w:bCs/>
                <w:color w:val="000000"/>
                <w:sz w:val="17"/>
                <w:szCs w:val="17"/>
              </w:rPr>
              <w:t>%</w:t>
            </w:r>
          </w:p>
        </w:tc>
      </w:tr>
      <w:tr w:rsidR="008A3BAC" w14:paraId="26E9DB6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B56" w14:textId="77777777" w:rsidR="008A3BAC" w:rsidRDefault="005C75B9">
            <w:pPr>
              <w:textAlignment w:val="bottom"/>
            </w:pPr>
            <w:r>
              <w:rPr>
                <w:rFonts w:ascii="Arial" w:eastAsia="宋体" w:hAnsi="Arial" w:cs="Arial"/>
                <w:b/>
                <w:bCs/>
                <w:i/>
                <w:iCs/>
                <w:color w:val="000000"/>
                <w:sz w:val="17"/>
                <w:szCs w:val="17"/>
              </w:rPr>
              <w:t>Supplemental NIKE Br</w:t>
            </w:r>
            <w:r>
              <w:rPr>
                <w:rFonts w:ascii="Arial" w:eastAsia="宋体" w:hAnsi="Arial" w:cs="Arial"/>
                <w:b/>
                <w:bCs/>
                <w:i/>
                <w:iCs/>
                <w:color w:val="000000"/>
                <w:sz w:val="17"/>
                <w:szCs w:val="17"/>
              </w:rPr>
              <w:t>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B5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B"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DB5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B5F" w14:textId="77777777" w:rsidR="008A3BAC" w:rsidRDefault="008A3BAC">
            <w:pPr>
              <w:rPr>
                <w:rFonts w:ascii="宋体"/>
              </w:rPr>
            </w:pPr>
          </w:p>
        </w:tc>
      </w:tr>
      <w:tr w:rsidR="008A3BAC" w14:paraId="26E9DB6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B61" w14:textId="77777777" w:rsidR="008A3BAC" w:rsidRDefault="005C75B9">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DB62"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3"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4"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5"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6" w14:textId="77777777" w:rsidR="008A3BAC" w:rsidRDefault="008A3BAC">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6E9DB67"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8"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9" w14:textId="77777777" w:rsidR="008A3BAC" w:rsidRDefault="008A3BAC">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6A" w14:textId="77777777" w:rsidR="008A3BAC" w:rsidRDefault="008A3BAC">
            <w:pPr>
              <w:rPr>
                <w:rFonts w:ascii="宋体"/>
              </w:rPr>
            </w:pPr>
          </w:p>
        </w:tc>
      </w:tr>
      <w:tr w:rsidR="008A3BAC" w14:paraId="26E9DB8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B6C"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DB6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B6E" w14:textId="77777777" w:rsidR="008A3BAC" w:rsidRDefault="005C75B9">
            <w:pPr>
              <w:jc w:val="right"/>
              <w:textAlignment w:val="bottom"/>
            </w:pPr>
            <w:r>
              <w:rPr>
                <w:rFonts w:ascii="Arial" w:eastAsia="宋体" w:hAnsi="Arial" w:cs="Arial"/>
                <w:color w:val="000000"/>
                <w:sz w:val="17"/>
                <w:szCs w:val="17"/>
              </w:rPr>
              <w:t>5,728 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6F"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B7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B71" w14:textId="77777777" w:rsidR="008A3BAC" w:rsidRDefault="005C75B9">
            <w:pPr>
              <w:jc w:val="right"/>
              <w:textAlignment w:val="bottom"/>
            </w:pPr>
            <w:r>
              <w:rPr>
                <w:rFonts w:ascii="Arial" w:eastAsia="宋体" w:hAnsi="Arial" w:cs="Arial"/>
                <w:color w:val="000000"/>
                <w:sz w:val="17"/>
                <w:szCs w:val="17"/>
              </w:rPr>
              <w:t>5,814 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7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73"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7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75"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76"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7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DB7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DB79" w14:textId="77777777" w:rsidR="008A3BAC" w:rsidRDefault="005C75B9">
            <w:pPr>
              <w:jc w:val="right"/>
              <w:textAlignment w:val="bottom"/>
            </w:pPr>
            <w:r>
              <w:rPr>
                <w:rFonts w:ascii="Arial" w:eastAsia="宋体" w:hAnsi="Arial" w:cs="Arial"/>
                <w:color w:val="000000"/>
                <w:sz w:val="17"/>
                <w:szCs w:val="17"/>
              </w:rPr>
              <w:t>18,790 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7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DB7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DB7C" w14:textId="77777777" w:rsidR="008A3BAC" w:rsidRDefault="005C75B9">
            <w:pPr>
              <w:jc w:val="right"/>
              <w:textAlignment w:val="bottom"/>
            </w:pPr>
            <w:r>
              <w:rPr>
                <w:rFonts w:ascii="Arial" w:eastAsia="宋体" w:hAnsi="Arial" w:cs="Arial"/>
                <w:color w:val="000000"/>
                <w:sz w:val="17"/>
                <w:szCs w:val="17"/>
              </w:rPr>
              <w:t>18,601 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7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7E"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7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80" w14:textId="77777777" w:rsidR="008A3BAC" w:rsidRDefault="005C75B9">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81" w14:textId="77777777" w:rsidR="008A3BAC" w:rsidRDefault="005C75B9">
            <w:pPr>
              <w:jc w:val="right"/>
              <w:textAlignment w:val="bottom"/>
            </w:pPr>
            <w:r>
              <w:rPr>
                <w:rFonts w:ascii="Arial" w:eastAsia="宋体" w:hAnsi="Arial" w:cs="Arial"/>
                <w:color w:val="000000"/>
                <w:sz w:val="17"/>
                <w:szCs w:val="17"/>
              </w:rPr>
              <w:t>%</w:t>
            </w:r>
          </w:p>
        </w:tc>
      </w:tr>
      <w:tr w:rsidR="008A3BAC" w14:paraId="26E9DB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DB83" w14:textId="77777777" w:rsidR="008A3BAC" w:rsidRDefault="005C75B9">
            <w:pPr>
              <w:textAlignment w:val="bottom"/>
            </w:pPr>
            <w:r>
              <w:rPr>
                <w:rFonts w:ascii="Arial" w:eastAsia="宋体" w:hAnsi="Arial" w:cs="Arial"/>
                <w:color w:val="000000"/>
                <w:sz w:val="17"/>
                <w:szCs w:val="17"/>
              </w:rPr>
              <w:t>Sales through NIK</w:t>
            </w:r>
            <w:r>
              <w:rPr>
                <w:rFonts w:ascii="Arial" w:eastAsia="宋体" w:hAnsi="Arial" w:cs="Arial"/>
                <w:color w:val="000000"/>
                <w:sz w:val="17"/>
                <w:szCs w:val="17"/>
              </w:rPr>
              <w:t>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84" w14:textId="77777777" w:rsidR="008A3BAC" w:rsidRDefault="005C75B9">
            <w:pPr>
              <w:jc w:val="right"/>
              <w:textAlignment w:val="bottom"/>
            </w:pPr>
            <w:r>
              <w:rPr>
                <w:rFonts w:ascii="Arial" w:eastAsia="宋体" w:hAnsi="Arial" w:cs="Arial"/>
                <w:color w:val="000000"/>
                <w:sz w:val="17"/>
                <w:szCs w:val="17"/>
              </w:rPr>
              <w:t>4,554 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8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86" w14:textId="77777777" w:rsidR="008A3BAC" w:rsidRDefault="005C75B9">
            <w:pPr>
              <w:jc w:val="right"/>
              <w:textAlignment w:val="bottom"/>
            </w:pPr>
            <w:r>
              <w:rPr>
                <w:rFonts w:ascii="Arial" w:eastAsia="宋体" w:hAnsi="Arial" w:cs="Arial"/>
                <w:color w:val="000000"/>
                <w:sz w:val="17"/>
                <w:szCs w:val="17"/>
              </w:rPr>
              <w:t>3,953 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8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88"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8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8A"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8B"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8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8D" w14:textId="77777777" w:rsidR="008A3BAC" w:rsidRDefault="005C75B9">
            <w:pPr>
              <w:jc w:val="right"/>
              <w:textAlignment w:val="bottom"/>
            </w:pPr>
            <w:r>
              <w:rPr>
                <w:rFonts w:ascii="Arial" w:eastAsia="宋体" w:hAnsi="Arial" w:cs="Arial"/>
                <w:color w:val="000000"/>
                <w:sz w:val="17"/>
                <w:szCs w:val="17"/>
              </w:rPr>
              <w:t>13,935 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8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8F" w14:textId="77777777" w:rsidR="008A3BAC" w:rsidRDefault="005C75B9">
            <w:pPr>
              <w:jc w:val="right"/>
              <w:textAlignment w:val="bottom"/>
            </w:pPr>
            <w:r>
              <w:rPr>
                <w:rFonts w:ascii="Arial" w:eastAsia="宋体" w:hAnsi="Arial" w:cs="Arial"/>
                <w:color w:val="000000"/>
                <w:sz w:val="17"/>
                <w:szCs w:val="17"/>
              </w:rPr>
              <w:t>11,913 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91"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93"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4" w14:textId="77777777" w:rsidR="008A3BAC" w:rsidRDefault="005C75B9">
            <w:pPr>
              <w:jc w:val="right"/>
              <w:textAlignment w:val="bottom"/>
            </w:pPr>
            <w:r>
              <w:rPr>
                <w:rFonts w:ascii="Arial" w:eastAsia="宋体" w:hAnsi="Arial" w:cs="Arial"/>
                <w:color w:val="000000"/>
                <w:sz w:val="17"/>
                <w:szCs w:val="17"/>
              </w:rPr>
              <w:t>%</w:t>
            </w:r>
          </w:p>
        </w:tc>
      </w:tr>
      <w:tr w:rsidR="008A3BAC" w14:paraId="26E9DBA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B96" w14:textId="77777777" w:rsidR="008A3BAC" w:rsidRDefault="005C75B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97"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9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99"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9B" w14:textId="77777777" w:rsidR="008A3BAC" w:rsidRDefault="005C75B9">
            <w:pPr>
              <w:jc w:val="right"/>
              <w:textAlignment w:val="bottom"/>
            </w:pPr>
            <w:r>
              <w:rPr>
                <w:rFonts w:ascii="Arial" w:eastAsia="宋体" w:hAnsi="Arial" w:cs="Arial"/>
                <w:color w:val="000000"/>
                <w:sz w:val="17"/>
                <w:szCs w:val="17"/>
              </w:rPr>
              <w:t>583 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9D" w14:textId="77777777" w:rsidR="008A3BAC" w:rsidRDefault="005C75B9">
            <w:pPr>
              <w:jc w:val="right"/>
              <w:textAlignment w:val="bottom"/>
            </w:pPr>
            <w:r>
              <w:rPr>
                <w:rFonts w:ascii="Arial" w:eastAsia="宋体" w:hAnsi="Arial" w:cs="Arial"/>
                <w:color w:val="000000"/>
                <w:sz w:val="17"/>
                <w:szCs w:val="17"/>
              </w:rPr>
              <w:t>561 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9E"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B9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BA0"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BA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A2"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A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A4" w14:textId="77777777" w:rsidR="008A3BAC" w:rsidRDefault="005C75B9">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A5"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BA6" w14:textId="77777777" w:rsidR="008A3BAC" w:rsidRDefault="005C75B9">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BA7" w14:textId="77777777" w:rsidR="008A3BAC" w:rsidRDefault="005C75B9">
            <w:pPr>
              <w:jc w:val="right"/>
              <w:textAlignment w:val="bottom"/>
            </w:pPr>
            <w:r>
              <w:rPr>
                <w:rFonts w:ascii="Arial" w:eastAsia="宋体" w:hAnsi="Arial" w:cs="Arial"/>
                <w:color w:val="000000"/>
                <w:sz w:val="17"/>
                <w:szCs w:val="17"/>
              </w:rPr>
              <w:t>%</w:t>
            </w:r>
          </w:p>
        </w:tc>
      </w:tr>
      <w:tr w:rsidR="008A3BAC" w14:paraId="26E9DBB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BA9" w14:textId="77777777" w:rsidR="008A3BAC" w:rsidRDefault="005C75B9">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BA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BAB" w14:textId="77777777" w:rsidR="008A3BAC" w:rsidRDefault="005C75B9">
            <w:pPr>
              <w:jc w:val="right"/>
              <w:textAlignment w:val="bottom"/>
            </w:pPr>
            <w:r>
              <w:rPr>
                <w:rFonts w:ascii="Arial" w:eastAsia="宋体" w:hAnsi="Arial" w:cs="Arial"/>
                <w:b/>
                <w:bCs/>
                <w:color w:val="000000"/>
                <w:sz w:val="17"/>
                <w:szCs w:val="17"/>
              </w:rPr>
              <w:t>10,323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BAC"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A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BAE" w14:textId="77777777" w:rsidR="008A3BAC" w:rsidRDefault="005C75B9">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AF"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B0"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B1"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B2"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B3"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BB4"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BB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BB6" w14:textId="77777777" w:rsidR="008A3BAC" w:rsidRDefault="005C75B9">
            <w:pPr>
              <w:jc w:val="right"/>
              <w:textAlignment w:val="bottom"/>
            </w:pPr>
            <w:r>
              <w:rPr>
                <w:rFonts w:ascii="Arial" w:eastAsia="宋体" w:hAnsi="Arial" w:cs="Arial"/>
                <w:b/>
                <w:bCs/>
                <w:color w:val="000000"/>
                <w:sz w:val="17"/>
                <w:szCs w:val="17"/>
              </w:rPr>
              <w:t>32,779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BB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B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BB9" w14:textId="77777777" w:rsidR="008A3BAC" w:rsidRDefault="005C75B9">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BA"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BB"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B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BBD"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BBE" w14:textId="77777777" w:rsidR="008A3BAC" w:rsidRDefault="005C75B9">
            <w:pPr>
              <w:jc w:val="right"/>
              <w:textAlignment w:val="bottom"/>
            </w:pPr>
            <w:r>
              <w:rPr>
                <w:rFonts w:ascii="Arial" w:eastAsia="宋体" w:hAnsi="Arial" w:cs="Arial"/>
                <w:b/>
                <w:bCs/>
                <w:color w:val="000000"/>
                <w:sz w:val="17"/>
                <w:szCs w:val="17"/>
              </w:rPr>
              <w:t>%</w:t>
            </w:r>
          </w:p>
        </w:tc>
      </w:tr>
    </w:tbl>
    <w:p w14:paraId="26E9DBC0" w14:textId="77777777" w:rsidR="008A3BAC" w:rsidRDefault="005C75B9">
      <w:pPr>
        <w:spacing w:before="60" w:after="60"/>
        <w:ind w:hanging="360"/>
      </w:pPr>
      <w:r>
        <w:rPr>
          <w:rFonts w:ascii="Arial" w:eastAsia="宋体" w:hAnsi="Arial" w:cs="Arial"/>
          <w:i/>
          <w:iCs/>
          <w:color w:val="000000"/>
          <w:sz w:val="14"/>
          <w:szCs w:val="14"/>
        </w:rPr>
        <w:t>(1)The percent change</w:t>
      </w:r>
      <w:r>
        <w:rPr>
          <w:rFonts w:ascii="Arial" w:eastAsia="宋体" w:hAnsi="Arial" w:cs="Arial"/>
          <w:i/>
          <w:iCs/>
          <w:color w:val="000000"/>
          <w:sz w:val="14"/>
          <w:szCs w:val="14"/>
        </w:rPr>
        <w:t xml:space="preserve"> excluding currency changes represents a non-GAAP financial measure. See "Use of Non-GAAP Financial Measures" for further information.</w:t>
      </w:r>
    </w:p>
    <w:p w14:paraId="26E9DBC1" w14:textId="77777777" w:rsidR="008A3BAC" w:rsidRDefault="005C75B9">
      <w:pPr>
        <w:spacing w:before="60" w:after="60"/>
        <w:ind w:hanging="360"/>
      </w:pPr>
      <w:r>
        <w:rPr>
          <w:rFonts w:ascii="Arial" w:eastAsia="宋体" w:hAnsi="Arial" w:cs="Arial"/>
          <w:i/>
          <w:iCs/>
          <w:color w:val="000000"/>
          <w:sz w:val="14"/>
          <w:szCs w:val="14"/>
        </w:rPr>
        <w:t>(2)Global Brand Divisions revenues include NIKE Brand licensing and other miscellaneous revenues that are not part of a g</w:t>
      </w:r>
      <w:r>
        <w:rPr>
          <w:rFonts w:ascii="Arial" w:eastAsia="宋体" w:hAnsi="Arial" w:cs="Arial"/>
          <w:i/>
          <w:iCs/>
          <w:color w:val="000000"/>
          <w:sz w:val="14"/>
          <w:szCs w:val="14"/>
        </w:rPr>
        <w:t>eographic operating segment.</w:t>
      </w:r>
    </w:p>
    <w:p w14:paraId="26E9DBC2" w14:textId="77777777" w:rsidR="008A3BAC" w:rsidRDefault="005C75B9">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central fore</w:t>
      </w:r>
      <w:r>
        <w:rPr>
          <w:rFonts w:ascii="Arial" w:eastAsia="宋体" w:hAnsi="Arial" w:cs="Arial"/>
          <w:i/>
          <w:iCs/>
          <w:color w:val="000000"/>
          <w:sz w:val="14"/>
          <w:szCs w:val="14"/>
        </w:rPr>
        <w:t>ign exchange risk management program.</w:t>
      </w:r>
    </w:p>
    <w:p w14:paraId="26E9DBC3" w14:textId="77777777" w:rsidR="008A3BAC" w:rsidRDefault="005C75B9">
      <w:pPr>
        <w:spacing w:before="120"/>
      </w:pPr>
      <w:r>
        <w:rPr>
          <w:rFonts w:ascii="sans-serif" w:eastAsia="sans-serif" w:hAnsi="sans-serif" w:cs="sans-serif"/>
          <w:b/>
          <w:bCs/>
          <w:color w:val="808080"/>
          <w:sz w:val="22"/>
          <w:szCs w:val="22"/>
        </w:rPr>
        <w:t>THIRD QUARTER OF FISCAL 2022 COMPARED TO THIRD QUARTER OF FISCAL 2021</w:t>
      </w:r>
    </w:p>
    <w:p w14:paraId="26E9DBC4" w14:textId="77777777" w:rsidR="008A3BAC" w:rsidRDefault="005C75B9">
      <w:pPr>
        <w:spacing w:after="120"/>
      </w:pPr>
      <w:r>
        <w:rPr>
          <w:rFonts w:ascii="Arial" w:eastAsia="宋体" w:hAnsi="Arial" w:cs="Arial"/>
          <w:color w:val="000000"/>
          <w:sz w:val="17"/>
          <w:szCs w:val="17"/>
        </w:rPr>
        <w:t>On a currency-neutral basis, NIKE, Inc. Revenues increased 8% for the third quarter of fiscal 2022, driven by growth in EMEA, North America and APLA</w:t>
      </w:r>
      <w:r>
        <w:rPr>
          <w:rFonts w:ascii="Arial" w:eastAsia="宋体" w:hAnsi="Arial" w:cs="Arial"/>
          <w:color w:val="000000"/>
          <w:sz w:val="17"/>
          <w:szCs w:val="17"/>
        </w:rPr>
        <w:t>, partially offset by lower revenues in Greater China. Higher revenues in EMEA, North America and APLA contributed approximately 4, 3 and 3 percentage points to NIKE, Inc. Revenues, respectively, while lower revenues in Greater China reduced NIKE, Inc. Rev</w:t>
      </w:r>
      <w:r>
        <w:rPr>
          <w:rFonts w:ascii="Arial" w:eastAsia="宋体" w:hAnsi="Arial" w:cs="Arial"/>
          <w:color w:val="000000"/>
          <w:sz w:val="17"/>
          <w:szCs w:val="17"/>
        </w:rPr>
        <w:t>enues by approximately 2 percentage points.</w:t>
      </w:r>
    </w:p>
    <w:p w14:paraId="26E9DBC5" w14:textId="77777777" w:rsidR="008A3BAC" w:rsidRDefault="005C75B9">
      <w:pPr>
        <w:spacing w:before="120" w:after="120"/>
      </w:pPr>
      <w:r>
        <w:rPr>
          <w:rFonts w:ascii="Arial" w:eastAsia="宋体" w:hAnsi="Arial" w:cs="Arial"/>
          <w:color w:val="000000"/>
          <w:sz w:val="17"/>
          <w:szCs w:val="17"/>
        </w:rPr>
        <w:t xml:space="preserve">On a currency-neutral basis, NIKE Brand footwear revenues increased 5% in the third quarter of fiscal 2022, driven by growth in NIKE Direct, partially offset by a decline in our wholesale business. Unit sales of </w:t>
      </w:r>
      <w:r>
        <w:rPr>
          <w:rFonts w:ascii="Arial" w:eastAsia="宋体" w:hAnsi="Arial" w:cs="Arial"/>
          <w:color w:val="000000"/>
          <w:sz w:val="17"/>
          <w:szCs w:val="17"/>
        </w:rPr>
        <w:t>footwear decreased 3%, while higher average selling price (ASP) per pair contributed approximately 8 percentage points of footwear revenue growth, primarily due to higher NIKE Direct ASP, the favorable impact of growth in our NIKE Direct business, higher f</w:t>
      </w:r>
      <w:r>
        <w:rPr>
          <w:rFonts w:ascii="Arial" w:eastAsia="宋体" w:hAnsi="Arial" w:cs="Arial"/>
          <w:color w:val="000000"/>
          <w:sz w:val="17"/>
          <w:szCs w:val="17"/>
        </w:rPr>
        <w:t>ull-price ASP, net of discounts, on a wholesale equivalent basis, and a higher mix of full-price sales.</w:t>
      </w:r>
    </w:p>
    <w:p w14:paraId="26E9DBC6" w14:textId="77777777" w:rsidR="008A3BAC" w:rsidRDefault="005C75B9">
      <w:pPr>
        <w:spacing w:before="120" w:after="120"/>
      </w:pPr>
      <w:r>
        <w:rPr>
          <w:rFonts w:ascii="Arial" w:eastAsia="宋体" w:hAnsi="Arial" w:cs="Arial"/>
          <w:color w:val="000000"/>
          <w:sz w:val="17"/>
          <w:szCs w:val="17"/>
        </w:rPr>
        <w:t>Currency-neutral NIKE Brand apparel revenues, for the third quarter of fiscal 2022, increased 12%, driven primarily by growth in Men's. Unit sales of ap</w:t>
      </w:r>
      <w:r>
        <w:rPr>
          <w:rFonts w:ascii="Arial" w:eastAsia="宋体" w:hAnsi="Arial" w:cs="Arial"/>
          <w:color w:val="000000"/>
          <w:sz w:val="17"/>
          <w:szCs w:val="17"/>
        </w:rPr>
        <w:t>parel increased 5%, and higher ASP per unit contributed approximately 7 percentage points of apparel revenue growth, primarily due to higher full-price and NIKE Direct ASPs.</w:t>
      </w:r>
    </w:p>
    <w:p w14:paraId="26E9DBC7" w14:textId="77777777" w:rsidR="008A3BAC" w:rsidRDefault="005C75B9">
      <w:pPr>
        <w:spacing w:before="120" w:after="120"/>
      </w:pPr>
      <w:r>
        <w:rPr>
          <w:rFonts w:ascii="Arial" w:eastAsia="宋体" w:hAnsi="Arial" w:cs="Arial"/>
          <w:color w:val="000000"/>
          <w:sz w:val="17"/>
          <w:szCs w:val="17"/>
        </w:rPr>
        <w:t>On a reported basis, NIKE Direct revenues represented approximately 44% of our total NIKE Brand revenues for the third quarter of fiscal 2022 compared to 40% for the third quarter of fiscal 2021. Digital commerce sales were $2.7 billion for the third quart</w:t>
      </w:r>
      <w:r>
        <w:rPr>
          <w:rFonts w:ascii="Arial" w:eastAsia="宋体" w:hAnsi="Arial" w:cs="Arial"/>
          <w:color w:val="000000"/>
          <w:sz w:val="17"/>
          <w:szCs w:val="17"/>
        </w:rPr>
        <w:t xml:space="preserve">er of fiscal 2022 compared to $2.2 billion for the third quarter of fiscal 2021. On a currency-neutral basis, NIKE Direct revenues increased 17%, driven by digital commerce sales growth of 22%, comparable store sales growth of 12%, in part due to improved </w:t>
      </w:r>
      <w:r>
        <w:rPr>
          <w:rFonts w:ascii="Arial" w:eastAsia="宋体" w:hAnsi="Arial" w:cs="Arial"/>
          <w:color w:val="000000"/>
          <w:sz w:val="17"/>
          <w:szCs w:val="17"/>
        </w:rPr>
        <w:t>physical retail traffic, and the addition of new stores. Comparable store sales, which exclude digital commerce sales, comprises revenues from NIKE-owned in-line and factory stores for which all three of the following requirements have been met: (1) the st</w:t>
      </w:r>
      <w:r>
        <w:rPr>
          <w:rFonts w:ascii="Arial" w:eastAsia="宋体" w:hAnsi="Arial" w:cs="Arial"/>
          <w:color w:val="000000"/>
          <w:sz w:val="17"/>
          <w:szCs w:val="17"/>
        </w:rPr>
        <w:t>ore has been open at least one year, (2) square footage has not changed by more than 15% within the past year and (3) the store has not been permanently repositioned within the past year. Comparable store sales includes revenues from stores that were tempo</w:t>
      </w:r>
      <w:r>
        <w:rPr>
          <w:rFonts w:ascii="Arial" w:eastAsia="宋体" w:hAnsi="Arial" w:cs="Arial"/>
          <w:color w:val="000000"/>
          <w:sz w:val="17"/>
          <w:szCs w:val="17"/>
        </w:rPr>
        <w:t>rarily closed during the period as a result of COVID-19. Comparable store sales represents a performance measure that we believe is useful information for management and investors in understanding the performance of our established NIKE-owned in-line and f</w:t>
      </w:r>
      <w:r>
        <w:rPr>
          <w:rFonts w:ascii="Arial" w:eastAsia="宋体" w:hAnsi="Arial" w:cs="Arial"/>
          <w:color w:val="000000"/>
          <w:sz w:val="17"/>
          <w:szCs w:val="17"/>
        </w:rPr>
        <w:t xml:space="preserve">actory stores. Management considers this metric when making financial and operating decisions. The method of calculating comparable </w:t>
      </w:r>
    </w:p>
    <w:p w14:paraId="26E9DBC8" w14:textId="77777777" w:rsidR="008A3BAC" w:rsidRDefault="005C75B9">
      <w:pPr>
        <w:spacing w:before="120" w:after="120"/>
        <w:jc w:val="right"/>
      </w:pPr>
      <w:r>
        <w:rPr>
          <w:rFonts w:ascii="Arial" w:eastAsia="宋体" w:hAnsi="Arial" w:cs="Arial"/>
          <w:color w:val="E87722"/>
          <w:sz w:val="17"/>
          <w:szCs w:val="17"/>
        </w:rPr>
        <w:t>29</w:t>
      </w:r>
    </w:p>
    <w:p w14:paraId="26E9DBC9" w14:textId="77777777" w:rsidR="008A3BAC" w:rsidRDefault="005C75B9">
      <w:r>
        <w:pict w14:anchorId="26E9E864">
          <v:rect id="_x0000_i1055" style="width:415.3pt;height:1.5pt" o:hralign="center" o:hrstd="t" o:hr="t" fillcolor="#a0a0a0" stroked="f"/>
        </w:pict>
      </w:r>
    </w:p>
    <w:p w14:paraId="26E9DBCA" w14:textId="77777777" w:rsidR="008A3BAC" w:rsidRDefault="008A3BAC"/>
    <w:p w14:paraId="26E9DBCB" w14:textId="77777777" w:rsidR="008A3BAC" w:rsidRDefault="005C75B9">
      <w:hyperlink r:id="rId100" w:anchor="i46aba51c6a804f42b3595948c57d2023_7" w:history="1">
        <w:r>
          <w:rPr>
            <w:rStyle w:val="a5"/>
            <w:rFonts w:ascii="sans-serif" w:eastAsia="sans-serif" w:hAnsi="sans-serif" w:cs="sans-serif"/>
            <w:sz w:val="17"/>
            <w:szCs w:val="17"/>
          </w:rPr>
          <w:t>Table of Contents</w:t>
        </w:r>
      </w:hyperlink>
    </w:p>
    <w:p w14:paraId="26E9DBCC" w14:textId="77777777" w:rsidR="008A3BAC" w:rsidRDefault="008A3BAC"/>
    <w:p w14:paraId="26E9DBCD" w14:textId="77777777" w:rsidR="008A3BAC" w:rsidRDefault="005C75B9">
      <w:pPr>
        <w:spacing w:before="120" w:after="120"/>
      </w:pPr>
      <w:r>
        <w:rPr>
          <w:rFonts w:ascii="Arial" w:eastAsia="宋体" w:hAnsi="Arial" w:cs="Arial"/>
          <w:color w:val="000000"/>
          <w:sz w:val="17"/>
          <w:szCs w:val="17"/>
        </w:rPr>
        <w:t>store sales varies across the retail industry. As a result, our calculation of this m</w:t>
      </w:r>
      <w:r>
        <w:rPr>
          <w:rFonts w:ascii="Arial" w:eastAsia="宋体" w:hAnsi="Arial" w:cs="Arial"/>
          <w:color w:val="000000"/>
          <w:sz w:val="17"/>
          <w:szCs w:val="17"/>
        </w:rPr>
        <w:t>etric may not be comparable to similarly titled measures used by other companies.</w:t>
      </w:r>
    </w:p>
    <w:p w14:paraId="26E9DBCE"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OF FISCAL 2021</w:t>
      </w:r>
    </w:p>
    <w:p w14:paraId="26E9DBCF" w14:textId="77777777" w:rsidR="008A3BAC" w:rsidRDefault="005C75B9">
      <w:pPr>
        <w:spacing w:after="120"/>
      </w:pPr>
      <w:r>
        <w:rPr>
          <w:rFonts w:ascii="Arial" w:eastAsia="宋体" w:hAnsi="Arial" w:cs="Arial"/>
          <w:color w:val="000000"/>
          <w:sz w:val="17"/>
          <w:szCs w:val="17"/>
        </w:rPr>
        <w:t>On a currency-neutral basis, NIKE, Inc. Revenues increased 7% for the first nine months of fisca</w:t>
      </w:r>
      <w:r>
        <w:rPr>
          <w:rFonts w:ascii="Arial" w:eastAsia="宋体" w:hAnsi="Arial" w:cs="Arial"/>
          <w:color w:val="000000"/>
          <w:sz w:val="17"/>
          <w:szCs w:val="17"/>
        </w:rPr>
        <w:t>l 2022, driven by higher revenues in North America, EMEA, APLA and Converse, partially offset by lower revenues in Greater China. Higher revenues in North America, EMEA, APLA and Converse contributed approximately 4, 2, 2 and 1 percentage points to NIKE, I</w:t>
      </w:r>
      <w:r>
        <w:rPr>
          <w:rFonts w:ascii="Arial" w:eastAsia="宋体" w:hAnsi="Arial" w:cs="Arial"/>
          <w:color w:val="000000"/>
          <w:sz w:val="17"/>
          <w:szCs w:val="17"/>
        </w:rPr>
        <w:t>nc. Revenues, respectively, while lower revenues in Greater China reduced NIKE, Inc. Revenues by approximately 2 percentage points.</w:t>
      </w:r>
    </w:p>
    <w:p w14:paraId="26E9DBD0" w14:textId="77777777" w:rsidR="008A3BAC" w:rsidRDefault="005C75B9">
      <w:pPr>
        <w:spacing w:before="120" w:after="120"/>
      </w:pPr>
      <w:r>
        <w:rPr>
          <w:rFonts w:ascii="Arial" w:eastAsia="宋体" w:hAnsi="Arial" w:cs="Arial"/>
          <w:color w:val="000000"/>
          <w:sz w:val="17"/>
          <w:szCs w:val="17"/>
        </w:rPr>
        <w:t>On a currency-neutral basis, NIKE Brand footwear revenues increased 5%, driven by growth in NIKE Direct, partially offset by</w:t>
      </w:r>
      <w:r>
        <w:rPr>
          <w:rFonts w:ascii="Arial" w:eastAsia="宋体" w:hAnsi="Arial" w:cs="Arial"/>
          <w:color w:val="000000"/>
          <w:sz w:val="17"/>
          <w:szCs w:val="17"/>
        </w:rPr>
        <w:t xml:space="preserve"> a decline in our wholesale business. Unit sales of footwear decreased 2%, while higher ASP per pair contributed approximately 7 percentage points of footwear revenue growth, primarily due to higher NIKE Direct ASP, a higher mix of full-price sales and the</w:t>
      </w:r>
      <w:r>
        <w:rPr>
          <w:rFonts w:ascii="Arial" w:eastAsia="宋体" w:hAnsi="Arial" w:cs="Arial"/>
          <w:color w:val="000000"/>
          <w:sz w:val="17"/>
          <w:szCs w:val="17"/>
        </w:rPr>
        <w:t xml:space="preserve"> favorable impact of growth in our NIKE Direct business.</w:t>
      </w:r>
    </w:p>
    <w:p w14:paraId="26E9DBD1" w14:textId="77777777" w:rsidR="008A3BAC" w:rsidRDefault="005C75B9">
      <w:pPr>
        <w:spacing w:before="120" w:after="120"/>
      </w:pPr>
      <w:r>
        <w:rPr>
          <w:rFonts w:ascii="Arial" w:eastAsia="宋体" w:hAnsi="Arial" w:cs="Arial"/>
          <w:color w:val="000000"/>
          <w:sz w:val="17"/>
          <w:szCs w:val="17"/>
        </w:rPr>
        <w:t>Currency-neutral NIKE Brand apparel revenues increased 9%, driven primarily by growth in Men's. Unit sales of apparel increased 2%, and higher ASP per unit contributed approximately 7 percentage poin</w:t>
      </w:r>
      <w:r>
        <w:rPr>
          <w:rFonts w:ascii="Arial" w:eastAsia="宋体" w:hAnsi="Arial" w:cs="Arial"/>
          <w:color w:val="000000"/>
          <w:sz w:val="17"/>
          <w:szCs w:val="17"/>
        </w:rPr>
        <w:t>ts of apparel revenue growth. Higher ASP per unit was primarily due to higher full-price and NIKE Direct ASPs, as well as a higher mix of full-price sales.</w:t>
      </w:r>
    </w:p>
    <w:p w14:paraId="26E9DBD2" w14:textId="77777777" w:rsidR="008A3BAC" w:rsidRDefault="005C75B9">
      <w:pPr>
        <w:spacing w:before="120" w:after="120"/>
      </w:pPr>
      <w:r>
        <w:rPr>
          <w:rFonts w:ascii="Arial" w:eastAsia="宋体" w:hAnsi="Arial" w:cs="Arial"/>
          <w:color w:val="000000"/>
          <w:sz w:val="17"/>
          <w:szCs w:val="17"/>
        </w:rPr>
        <w:t>On a reported basis, NIKE Direct revenues represented approximately 43% of our total NIKE Brand reve</w:t>
      </w:r>
      <w:r>
        <w:rPr>
          <w:rFonts w:ascii="Arial" w:eastAsia="宋体" w:hAnsi="Arial" w:cs="Arial"/>
          <w:color w:val="000000"/>
          <w:sz w:val="17"/>
          <w:szCs w:val="17"/>
        </w:rPr>
        <w:t xml:space="preserve">nues for the first nine months of fiscal 2022 compared to 39% for the first nine months of fiscal 2021. Digital commerce sales were $7.9 billion for the first nine months of fiscal 2022 compared to $6.6 billion for the first nine months of fiscal 2021. On </w:t>
      </w:r>
      <w:r>
        <w:rPr>
          <w:rFonts w:ascii="Arial" w:eastAsia="宋体" w:hAnsi="Arial" w:cs="Arial"/>
          <w:color w:val="000000"/>
          <w:sz w:val="17"/>
          <w:szCs w:val="17"/>
        </w:rPr>
        <w:t>a currency-neutral basis, NIKE Direct revenues increased 16%, driven by digital commerce sales growth of 19%, comparable store sales growth of 12%, in part due to improved physical retail traffic, and the addition of new stores.</w:t>
      </w:r>
    </w:p>
    <w:p w14:paraId="26E9DBD3" w14:textId="77777777" w:rsidR="008A3BAC" w:rsidRDefault="005C75B9">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993"/>
        <w:gridCol w:w="36"/>
        <w:gridCol w:w="115"/>
        <w:gridCol w:w="485"/>
        <w:gridCol w:w="172"/>
        <w:gridCol w:w="115"/>
        <w:gridCol w:w="485"/>
        <w:gridCol w:w="172"/>
        <w:gridCol w:w="68"/>
        <w:gridCol w:w="570"/>
        <w:gridCol w:w="172"/>
        <w:gridCol w:w="36"/>
        <w:gridCol w:w="36"/>
        <w:gridCol w:w="36"/>
        <w:gridCol w:w="115"/>
        <w:gridCol w:w="568"/>
        <w:gridCol w:w="172"/>
        <w:gridCol w:w="115"/>
        <w:gridCol w:w="568"/>
        <w:gridCol w:w="172"/>
        <w:gridCol w:w="68"/>
        <w:gridCol w:w="570"/>
        <w:gridCol w:w="172"/>
        <w:gridCol w:w="36"/>
        <w:gridCol w:w="36"/>
        <w:gridCol w:w="36"/>
        <w:gridCol w:w="36"/>
        <w:gridCol w:w="36"/>
        <w:gridCol w:w="36"/>
        <w:gridCol w:w="36"/>
        <w:gridCol w:w="36"/>
      </w:tblGrid>
      <w:tr w:rsidR="008A3BAC" w14:paraId="26E9DBF0" w14:textId="77777777">
        <w:trPr>
          <w:jc w:val="center"/>
        </w:trPr>
        <w:tc>
          <w:tcPr>
            <w:tcW w:w="50" w:type="pct"/>
            <w:shd w:val="clear" w:color="auto" w:fill="auto"/>
            <w:vAlign w:val="bottom"/>
          </w:tcPr>
          <w:p w14:paraId="26E9DBD4" w14:textId="77777777" w:rsidR="008A3BAC" w:rsidRDefault="008A3BAC">
            <w:pPr>
              <w:rPr>
                <w:rFonts w:ascii="宋体"/>
              </w:rPr>
            </w:pPr>
          </w:p>
        </w:tc>
        <w:tc>
          <w:tcPr>
            <w:tcW w:w="2024" w:type="pct"/>
            <w:shd w:val="clear" w:color="auto" w:fill="auto"/>
            <w:vAlign w:val="bottom"/>
          </w:tcPr>
          <w:p w14:paraId="26E9DBD5" w14:textId="77777777" w:rsidR="008A3BAC" w:rsidRDefault="008A3BAC">
            <w:pPr>
              <w:rPr>
                <w:rFonts w:ascii="宋体"/>
              </w:rPr>
            </w:pPr>
          </w:p>
        </w:tc>
        <w:tc>
          <w:tcPr>
            <w:tcW w:w="5" w:type="pct"/>
            <w:shd w:val="clear" w:color="auto" w:fill="auto"/>
            <w:vAlign w:val="bottom"/>
          </w:tcPr>
          <w:p w14:paraId="26E9DBD6" w14:textId="77777777" w:rsidR="008A3BAC" w:rsidRDefault="008A3BAC">
            <w:pPr>
              <w:rPr>
                <w:rFonts w:ascii="宋体"/>
              </w:rPr>
            </w:pPr>
          </w:p>
        </w:tc>
        <w:tc>
          <w:tcPr>
            <w:tcW w:w="50" w:type="pct"/>
            <w:shd w:val="clear" w:color="auto" w:fill="auto"/>
            <w:vAlign w:val="bottom"/>
          </w:tcPr>
          <w:p w14:paraId="26E9DBD7" w14:textId="77777777" w:rsidR="008A3BAC" w:rsidRDefault="008A3BAC">
            <w:pPr>
              <w:rPr>
                <w:rFonts w:ascii="宋体"/>
              </w:rPr>
            </w:pPr>
          </w:p>
        </w:tc>
        <w:tc>
          <w:tcPr>
            <w:tcW w:w="425" w:type="pct"/>
            <w:shd w:val="clear" w:color="auto" w:fill="auto"/>
            <w:vAlign w:val="bottom"/>
          </w:tcPr>
          <w:p w14:paraId="26E9DBD8" w14:textId="77777777" w:rsidR="008A3BAC" w:rsidRDefault="008A3BAC">
            <w:pPr>
              <w:rPr>
                <w:rFonts w:ascii="宋体"/>
              </w:rPr>
            </w:pPr>
          </w:p>
        </w:tc>
        <w:tc>
          <w:tcPr>
            <w:tcW w:w="5" w:type="pct"/>
            <w:shd w:val="clear" w:color="auto" w:fill="auto"/>
            <w:vAlign w:val="bottom"/>
          </w:tcPr>
          <w:p w14:paraId="26E9DBD9" w14:textId="77777777" w:rsidR="008A3BAC" w:rsidRDefault="008A3BAC">
            <w:pPr>
              <w:rPr>
                <w:rFonts w:ascii="宋体"/>
              </w:rPr>
            </w:pPr>
          </w:p>
        </w:tc>
        <w:tc>
          <w:tcPr>
            <w:tcW w:w="50" w:type="pct"/>
            <w:shd w:val="clear" w:color="auto" w:fill="auto"/>
            <w:vAlign w:val="bottom"/>
          </w:tcPr>
          <w:p w14:paraId="26E9DBDA" w14:textId="77777777" w:rsidR="008A3BAC" w:rsidRDefault="008A3BAC">
            <w:pPr>
              <w:rPr>
                <w:rFonts w:ascii="宋体"/>
              </w:rPr>
            </w:pPr>
          </w:p>
        </w:tc>
        <w:tc>
          <w:tcPr>
            <w:tcW w:w="425" w:type="pct"/>
            <w:shd w:val="clear" w:color="auto" w:fill="auto"/>
            <w:vAlign w:val="bottom"/>
          </w:tcPr>
          <w:p w14:paraId="26E9DBDB" w14:textId="77777777" w:rsidR="008A3BAC" w:rsidRDefault="008A3BAC">
            <w:pPr>
              <w:rPr>
                <w:rFonts w:ascii="宋体"/>
              </w:rPr>
            </w:pPr>
          </w:p>
        </w:tc>
        <w:tc>
          <w:tcPr>
            <w:tcW w:w="5" w:type="pct"/>
            <w:shd w:val="clear" w:color="auto" w:fill="auto"/>
            <w:vAlign w:val="bottom"/>
          </w:tcPr>
          <w:p w14:paraId="26E9DBDC" w14:textId="77777777" w:rsidR="008A3BAC" w:rsidRDefault="008A3BAC">
            <w:pPr>
              <w:rPr>
                <w:rFonts w:ascii="宋体"/>
              </w:rPr>
            </w:pPr>
          </w:p>
        </w:tc>
        <w:tc>
          <w:tcPr>
            <w:tcW w:w="50" w:type="pct"/>
            <w:shd w:val="clear" w:color="auto" w:fill="auto"/>
            <w:vAlign w:val="bottom"/>
          </w:tcPr>
          <w:p w14:paraId="26E9DBDD" w14:textId="77777777" w:rsidR="008A3BAC" w:rsidRDefault="008A3BAC">
            <w:pPr>
              <w:rPr>
                <w:rFonts w:ascii="宋体"/>
              </w:rPr>
            </w:pPr>
          </w:p>
        </w:tc>
        <w:tc>
          <w:tcPr>
            <w:tcW w:w="425" w:type="pct"/>
            <w:shd w:val="clear" w:color="auto" w:fill="auto"/>
            <w:vAlign w:val="bottom"/>
          </w:tcPr>
          <w:p w14:paraId="26E9DBDE" w14:textId="77777777" w:rsidR="008A3BAC" w:rsidRDefault="008A3BAC">
            <w:pPr>
              <w:rPr>
                <w:rFonts w:ascii="宋体"/>
              </w:rPr>
            </w:pPr>
          </w:p>
        </w:tc>
        <w:tc>
          <w:tcPr>
            <w:tcW w:w="5" w:type="pct"/>
            <w:shd w:val="clear" w:color="auto" w:fill="auto"/>
            <w:vAlign w:val="bottom"/>
          </w:tcPr>
          <w:p w14:paraId="26E9DBDF" w14:textId="77777777" w:rsidR="008A3BAC" w:rsidRDefault="008A3BAC">
            <w:pPr>
              <w:rPr>
                <w:rFonts w:ascii="宋体"/>
              </w:rPr>
            </w:pPr>
          </w:p>
        </w:tc>
        <w:tc>
          <w:tcPr>
            <w:tcW w:w="5" w:type="pct"/>
            <w:shd w:val="clear" w:color="auto" w:fill="auto"/>
            <w:vAlign w:val="bottom"/>
          </w:tcPr>
          <w:p w14:paraId="26E9DBE0" w14:textId="77777777" w:rsidR="008A3BAC" w:rsidRDefault="008A3BAC">
            <w:pPr>
              <w:rPr>
                <w:rFonts w:ascii="宋体"/>
              </w:rPr>
            </w:pPr>
          </w:p>
        </w:tc>
        <w:tc>
          <w:tcPr>
            <w:tcW w:w="27" w:type="pct"/>
            <w:shd w:val="clear" w:color="auto" w:fill="auto"/>
            <w:vAlign w:val="bottom"/>
          </w:tcPr>
          <w:p w14:paraId="26E9DBE1" w14:textId="77777777" w:rsidR="008A3BAC" w:rsidRDefault="008A3BAC">
            <w:pPr>
              <w:rPr>
                <w:rFonts w:ascii="宋体"/>
              </w:rPr>
            </w:pPr>
          </w:p>
        </w:tc>
        <w:tc>
          <w:tcPr>
            <w:tcW w:w="5" w:type="pct"/>
            <w:shd w:val="clear" w:color="auto" w:fill="auto"/>
            <w:vAlign w:val="bottom"/>
          </w:tcPr>
          <w:p w14:paraId="26E9DBE2" w14:textId="77777777" w:rsidR="008A3BAC" w:rsidRDefault="008A3BAC">
            <w:pPr>
              <w:rPr>
                <w:rFonts w:ascii="宋体"/>
              </w:rPr>
            </w:pPr>
          </w:p>
        </w:tc>
        <w:tc>
          <w:tcPr>
            <w:tcW w:w="50" w:type="pct"/>
            <w:shd w:val="clear" w:color="auto" w:fill="auto"/>
            <w:vAlign w:val="bottom"/>
          </w:tcPr>
          <w:p w14:paraId="26E9DBE3" w14:textId="77777777" w:rsidR="008A3BAC" w:rsidRDefault="008A3BAC">
            <w:pPr>
              <w:rPr>
                <w:rFonts w:ascii="宋体"/>
              </w:rPr>
            </w:pPr>
          </w:p>
        </w:tc>
        <w:tc>
          <w:tcPr>
            <w:tcW w:w="425" w:type="pct"/>
            <w:shd w:val="clear" w:color="auto" w:fill="auto"/>
            <w:vAlign w:val="bottom"/>
          </w:tcPr>
          <w:p w14:paraId="26E9DBE4" w14:textId="77777777" w:rsidR="008A3BAC" w:rsidRDefault="008A3BAC">
            <w:pPr>
              <w:rPr>
                <w:rFonts w:ascii="宋体"/>
              </w:rPr>
            </w:pPr>
          </w:p>
        </w:tc>
        <w:tc>
          <w:tcPr>
            <w:tcW w:w="5" w:type="pct"/>
            <w:shd w:val="clear" w:color="auto" w:fill="auto"/>
            <w:vAlign w:val="bottom"/>
          </w:tcPr>
          <w:p w14:paraId="26E9DBE5" w14:textId="77777777" w:rsidR="008A3BAC" w:rsidRDefault="008A3BAC">
            <w:pPr>
              <w:rPr>
                <w:rFonts w:ascii="宋体"/>
              </w:rPr>
            </w:pPr>
          </w:p>
        </w:tc>
        <w:tc>
          <w:tcPr>
            <w:tcW w:w="50" w:type="pct"/>
            <w:shd w:val="clear" w:color="auto" w:fill="auto"/>
            <w:vAlign w:val="bottom"/>
          </w:tcPr>
          <w:p w14:paraId="26E9DBE6" w14:textId="77777777" w:rsidR="008A3BAC" w:rsidRDefault="008A3BAC">
            <w:pPr>
              <w:rPr>
                <w:rFonts w:ascii="宋体"/>
              </w:rPr>
            </w:pPr>
          </w:p>
        </w:tc>
        <w:tc>
          <w:tcPr>
            <w:tcW w:w="425" w:type="pct"/>
            <w:shd w:val="clear" w:color="auto" w:fill="auto"/>
            <w:vAlign w:val="bottom"/>
          </w:tcPr>
          <w:p w14:paraId="26E9DBE7" w14:textId="77777777" w:rsidR="008A3BAC" w:rsidRDefault="008A3BAC">
            <w:pPr>
              <w:rPr>
                <w:rFonts w:ascii="宋体"/>
              </w:rPr>
            </w:pPr>
          </w:p>
        </w:tc>
        <w:tc>
          <w:tcPr>
            <w:tcW w:w="5" w:type="pct"/>
            <w:shd w:val="clear" w:color="auto" w:fill="auto"/>
            <w:vAlign w:val="bottom"/>
          </w:tcPr>
          <w:p w14:paraId="26E9DBE8" w14:textId="77777777" w:rsidR="008A3BAC" w:rsidRDefault="008A3BAC">
            <w:pPr>
              <w:rPr>
                <w:rFonts w:ascii="宋体"/>
              </w:rPr>
            </w:pPr>
          </w:p>
        </w:tc>
        <w:tc>
          <w:tcPr>
            <w:tcW w:w="50" w:type="pct"/>
            <w:shd w:val="clear" w:color="auto" w:fill="auto"/>
            <w:vAlign w:val="bottom"/>
          </w:tcPr>
          <w:p w14:paraId="26E9DBE9" w14:textId="77777777" w:rsidR="008A3BAC" w:rsidRDefault="008A3BAC">
            <w:pPr>
              <w:rPr>
                <w:rFonts w:ascii="宋体"/>
              </w:rPr>
            </w:pPr>
          </w:p>
        </w:tc>
        <w:tc>
          <w:tcPr>
            <w:tcW w:w="425" w:type="pct"/>
            <w:shd w:val="clear" w:color="auto" w:fill="auto"/>
            <w:vAlign w:val="bottom"/>
          </w:tcPr>
          <w:p w14:paraId="26E9DBEA" w14:textId="77777777" w:rsidR="008A3BAC" w:rsidRDefault="008A3BAC">
            <w:pPr>
              <w:rPr>
                <w:rFonts w:ascii="宋体"/>
              </w:rPr>
            </w:pPr>
          </w:p>
        </w:tc>
        <w:tc>
          <w:tcPr>
            <w:tcW w:w="5" w:type="pct"/>
            <w:shd w:val="clear" w:color="auto" w:fill="auto"/>
            <w:vAlign w:val="bottom"/>
          </w:tcPr>
          <w:p w14:paraId="26E9DBEB" w14:textId="77777777" w:rsidR="008A3BAC" w:rsidRDefault="008A3BAC">
            <w:pPr>
              <w:rPr>
                <w:rFonts w:ascii="宋体"/>
              </w:rPr>
            </w:pPr>
          </w:p>
        </w:tc>
        <w:tc>
          <w:tcPr>
            <w:tcW w:w="0" w:type="auto"/>
            <w:shd w:val="clear" w:color="auto" w:fill="auto"/>
            <w:vAlign w:val="bottom"/>
          </w:tcPr>
          <w:p w14:paraId="26E9DBEC" w14:textId="77777777" w:rsidR="008A3BAC" w:rsidRDefault="008A3BAC">
            <w:pPr>
              <w:rPr>
                <w:rFonts w:ascii="宋体"/>
                <w:vanish/>
              </w:rPr>
            </w:pPr>
          </w:p>
        </w:tc>
        <w:tc>
          <w:tcPr>
            <w:tcW w:w="0" w:type="auto"/>
            <w:shd w:val="clear" w:color="auto" w:fill="auto"/>
            <w:vAlign w:val="bottom"/>
          </w:tcPr>
          <w:p w14:paraId="26E9DBED" w14:textId="77777777" w:rsidR="008A3BAC" w:rsidRDefault="008A3BAC">
            <w:pPr>
              <w:rPr>
                <w:rFonts w:ascii="宋体"/>
                <w:vanish/>
              </w:rPr>
            </w:pPr>
          </w:p>
        </w:tc>
        <w:tc>
          <w:tcPr>
            <w:tcW w:w="0" w:type="auto"/>
            <w:gridSpan w:val="3"/>
            <w:shd w:val="clear" w:color="auto" w:fill="auto"/>
            <w:vAlign w:val="bottom"/>
          </w:tcPr>
          <w:p w14:paraId="26E9DBEE" w14:textId="77777777" w:rsidR="008A3BAC" w:rsidRDefault="008A3BAC">
            <w:pPr>
              <w:rPr>
                <w:rFonts w:ascii="宋体"/>
                <w:vanish/>
              </w:rPr>
            </w:pPr>
          </w:p>
        </w:tc>
        <w:tc>
          <w:tcPr>
            <w:tcW w:w="0" w:type="auto"/>
            <w:gridSpan w:val="3"/>
            <w:shd w:val="clear" w:color="auto" w:fill="auto"/>
            <w:vAlign w:val="bottom"/>
          </w:tcPr>
          <w:p w14:paraId="26E9DBEF" w14:textId="77777777" w:rsidR="008A3BAC" w:rsidRDefault="008A3BAC">
            <w:pPr>
              <w:rPr>
                <w:rFonts w:ascii="宋体"/>
                <w:vanish/>
              </w:rPr>
            </w:pPr>
          </w:p>
        </w:tc>
      </w:tr>
      <w:tr w:rsidR="008A3BAC" w14:paraId="26E9DBFD" w14:textId="77777777">
        <w:trPr>
          <w:jc w:val="center"/>
        </w:trPr>
        <w:tc>
          <w:tcPr>
            <w:tcW w:w="0" w:type="auto"/>
            <w:gridSpan w:val="3"/>
            <w:shd w:val="clear" w:color="auto" w:fill="auto"/>
            <w:tcMar>
              <w:top w:w="0" w:type="dxa"/>
              <w:left w:w="20" w:type="dxa"/>
              <w:bottom w:w="0" w:type="dxa"/>
              <w:right w:w="20" w:type="dxa"/>
            </w:tcMar>
            <w:vAlign w:val="bottom"/>
          </w:tcPr>
          <w:p w14:paraId="26E9DBF1"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BF2"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BF3"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BF4"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BF5" w14:textId="77777777" w:rsidR="008A3BAC" w:rsidRDefault="008A3BAC">
            <w:pPr>
              <w:rPr>
                <w:rFonts w:ascii="宋体"/>
                <w:vanish/>
              </w:rPr>
            </w:pPr>
          </w:p>
        </w:tc>
        <w:tc>
          <w:tcPr>
            <w:tcW w:w="0" w:type="auto"/>
            <w:shd w:val="clear" w:color="auto" w:fill="auto"/>
            <w:vAlign w:val="bottom"/>
          </w:tcPr>
          <w:p w14:paraId="26E9DBF6" w14:textId="77777777" w:rsidR="008A3BAC" w:rsidRDefault="008A3BAC">
            <w:pPr>
              <w:rPr>
                <w:rFonts w:ascii="宋体"/>
                <w:vanish/>
              </w:rPr>
            </w:pPr>
          </w:p>
        </w:tc>
        <w:tc>
          <w:tcPr>
            <w:tcW w:w="0" w:type="auto"/>
            <w:shd w:val="clear" w:color="auto" w:fill="auto"/>
            <w:vAlign w:val="bottom"/>
          </w:tcPr>
          <w:p w14:paraId="26E9DBF7" w14:textId="77777777" w:rsidR="008A3BAC" w:rsidRDefault="008A3BAC">
            <w:pPr>
              <w:rPr>
                <w:rFonts w:ascii="宋体"/>
              </w:rPr>
            </w:pPr>
          </w:p>
        </w:tc>
        <w:tc>
          <w:tcPr>
            <w:tcW w:w="0" w:type="auto"/>
            <w:shd w:val="clear" w:color="auto" w:fill="auto"/>
            <w:vAlign w:val="bottom"/>
          </w:tcPr>
          <w:p w14:paraId="26E9DBF8" w14:textId="77777777" w:rsidR="008A3BAC" w:rsidRDefault="008A3BAC">
            <w:pPr>
              <w:rPr>
                <w:rFonts w:ascii="宋体"/>
              </w:rPr>
            </w:pPr>
          </w:p>
        </w:tc>
        <w:tc>
          <w:tcPr>
            <w:tcW w:w="0" w:type="auto"/>
            <w:shd w:val="clear" w:color="auto" w:fill="auto"/>
            <w:vAlign w:val="bottom"/>
          </w:tcPr>
          <w:p w14:paraId="26E9DBF9" w14:textId="77777777" w:rsidR="008A3BAC" w:rsidRDefault="008A3BAC">
            <w:pPr>
              <w:rPr>
                <w:rFonts w:ascii="宋体"/>
              </w:rPr>
            </w:pPr>
          </w:p>
        </w:tc>
        <w:tc>
          <w:tcPr>
            <w:tcW w:w="0" w:type="auto"/>
            <w:shd w:val="clear" w:color="auto" w:fill="auto"/>
            <w:vAlign w:val="bottom"/>
          </w:tcPr>
          <w:p w14:paraId="26E9DBFA" w14:textId="77777777" w:rsidR="008A3BAC" w:rsidRDefault="008A3BAC">
            <w:pPr>
              <w:rPr>
                <w:rFonts w:ascii="宋体"/>
              </w:rPr>
            </w:pPr>
          </w:p>
        </w:tc>
        <w:tc>
          <w:tcPr>
            <w:tcW w:w="0" w:type="auto"/>
            <w:shd w:val="clear" w:color="auto" w:fill="auto"/>
            <w:vAlign w:val="bottom"/>
          </w:tcPr>
          <w:p w14:paraId="26E9DBFB" w14:textId="77777777" w:rsidR="008A3BAC" w:rsidRDefault="008A3BAC">
            <w:pPr>
              <w:rPr>
                <w:rFonts w:ascii="宋体"/>
              </w:rPr>
            </w:pPr>
          </w:p>
        </w:tc>
        <w:tc>
          <w:tcPr>
            <w:tcW w:w="0" w:type="auto"/>
            <w:shd w:val="clear" w:color="auto" w:fill="auto"/>
            <w:vAlign w:val="bottom"/>
          </w:tcPr>
          <w:p w14:paraId="26E9DBFC" w14:textId="77777777" w:rsidR="008A3BAC" w:rsidRDefault="008A3BAC">
            <w:pPr>
              <w:rPr>
                <w:rFonts w:ascii="宋体"/>
              </w:rPr>
            </w:pPr>
          </w:p>
        </w:tc>
      </w:tr>
      <w:tr w:rsidR="008A3BAC" w14:paraId="26E9DC0A" w14:textId="77777777">
        <w:trPr>
          <w:jc w:val="center"/>
        </w:trPr>
        <w:tc>
          <w:tcPr>
            <w:tcW w:w="0" w:type="auto"/>
            <w:gridSpan w:val="3"/>
            <w:shd w:val="clear" w:color="auto" w:fill="auto"/>
            <w:tcMar>
              <w:top w:w="40" w:type="dxa"/>
              <w:left w:w="20" w:type="dxa"/>
              <w:bottom w:w="40" w:type="dxa"/>
              <w:right w:w="20" w:type="dxa"/>
            </w:tcMar>
            <w:vAlign w:val="bottom"/>
          </w:tcPr>
          <w:p w14:paraId="26E9DBFE" w14:textId="77777777" w:rsidR="008A3BAC" w:rsidRDefault="005C75B9">
            <w:pP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BF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1"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DC02"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3"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4"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5"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6E9DC06" w14:textId="77777777" w:rsidR="008A3BAC" w:rsidRDefault="008A3BAC">
            <w:pPr>
              <w:rPr>
                <w:rFonts w:ascii="宋体"/>
                <w:vanish/>
              </w:rPr>
            </w:pPr>
          </w:p>
        </w:tc>
        <w:tc>
          <w:tcPr>
            <w:tcW w:w="0" w:type="auto"/>
            <w:shd w:val="clear" w:color="auto" w:fill="auto"/>
            <w:vAlign w:val="bottom"/>
          </w:tcPr>
          <w:p w14:paraId="26E9DC07" w14:textId="77777777" w:rsidR="008A3BAC" w:rsidRDefault="008A3BAC">
            <w:pPr>
              <w:rPr>
                <w:rFonts w:ascii="宋体"/>
                <w:vanish/>
              </w:rPr>
            </w:pPr>
          </w:p>
        </w:tc>
        <w:tc>
          <w:tcPr>
            <w:tcW w:w="0" w:type="auto"/>
            <w:gridSpan w:val="3"/>
            <w:shd w:val="clear" w:color="auto" w:fill="auto"/>
            <w:vAlign w:val="bottom"/>
          </w:tcPr>
          <w:p w14:paraId="26E9DC08" w14:textId="77777777" w:rsidR="008A3BAC" w:rsidRDefault="008A3BAC">
            <w:pPr>
              <w:rPr>
                <w:rFonts w:ascii="宋体"/>
                <w:vanish/>
              </w:rPr>
            </w:pPr>
          </w:p>
        </w:tc>
        <w:tc>
          <w:tcPr>
            <w:tcW w:w="0" w:type="auto"/>
            <w:gridSpan w:val="3"/>
            <w:shd w:val="clear" w:color="auto" w:fill="auto"/>
            <w:vAlign w:val="bottom"/>
          </w:tcPr>
          <w:p w14:paraId="26E9DC09" w14:textId="77777777" w:rsidR="008A3BAC" w:rsidRDefault="008A3BAC">
            <w:pPr>
              <w:rPr>
                <w:rFonts w:ascii="宋体"/>
                <w:vanish/>
              </w:rPr>
            </w:pPr>
          </w:p>
        </w:tc>
      </w:tr>
      <w:tr w:rsidR="008A3BAC" w14:paraId="26E9DC2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0B" w14:textId="77777777" w:rsidR="008A3BAC" w:rsidRDefault="005C75B9">
            <w:pPr>
              <w:textAlignment w:val="bottom"/>
            </w:pPr>
            <w:r>
              <w:rPr>
                <w:rFonts w:ascii="Arial" w:eastAsia="宋体" w:hAnsi="Arial" w:cs="Arial"/>
                <w:color w:val="000000"/>
                <w:sz w:val="17"/>
                <w:szCs w:val="17"/>
              </w:rPr>
              <w:t xml:space="preserve">Gross </w:t>
            </w:r>
            <w:r>
              <w:rPr>
                <w:rFonts w:ascii="Arial" w:eastAsia="宋体" w:hAnsi="Arial" w:cs="Arial"/>
                <w:color w:val="000000"/>
                <w:sz w:val="17"/>
                <w:szCs w:val="17"/>
              </w:rPr>
              <w:t>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C0C"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0D" w14:textId="77777777" w:rsidR="008A3BAC" w:rsidRDefault="005C75B9">
            <w:pPr>
              <w:jc w:val="right"/>
              <w:textAlignment w:val="bottom"/>
            </w:pPr>
            <w:r>
              <w:rPr>
                <w:rFonts w:ascii="Arial" w:eastAsia="宋体" w:hAnsi="Arial" w:cs="Arial"/>
                <w:color w:val="000000"/>
                <w:sz w:val="17"/>
                <w:szCs w:val="17"/>
              </w:rPr>
              <w:t>5,067 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0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0F"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10" w14:textId="77777777" w:rsidR="008A3BAC" w:rsidRDefault="005C75B9">
            <w:pPr>
              <w:jc w:val="right"/>
              <w:textAlignment w:val="bottom"/>
            </w:pPr>
            <w:r>
              <w:rPr>
                <w:rFonts w:ascii="Arial" w:eastAsia="宋体" w:hAnsi="Arial" w:cs="Arial"/>
                <w:color w:val="000000"/>
                <w:sz w:val="17"/>
                <w:szCs w:val="17"/>
              </w:rPr>
              <w:t>4,719 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1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12"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13" w14:textId="77777777" w:rsidR="008A3BAC" w:rsidRDefault="005C75B9">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C14"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C15"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16" w14:textId="77777777" w:rsidR="008A3BAC" w:rsidRDefault="005C75B9">
            <w:pPr>
              <w:jc w:val="right"/>
              <w:textAlignment w:val="bottom"/>
            </w:pPr>
            <w:r>
              <w:rPr>
                <w:rFonts w:ascii="Arial" w:eastAsia="宋体" w:hAnsi="Arial" w:cs="Arial"/>
                <w:color w:val="000000"/>
                <w:sz w:val="17"/>
                <w:szCs w:val="17"/>
              </w:rPr>
              <w:t>15,976 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1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18"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19" w14:textId="77777777" w:rsidR="008A3BAC" w:rsidRDefault="005C75B9">
            <w:pPr>
              <w:jc w:val="right"/>
              <w:textAlignment w:val="bottom"/>
            </w:pPr>
            <w:r>
              <w:rPr>
                <w:rFonts w:ascii="Arial" w:eastAsia="宋体" w:hAnsi="Arial" w:cs="Arial"/>
                <w:color w:val="000000"/>
                <w:sz w:val="17"/>
                <w:szCs w:val="17"/>
              </w:rPr>
              <w:t>14,307 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1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1B"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1C" w14:textId="77777777" w:rsidR="008A3BAC" w:rsidRDefault="005C75B9">
            <w:pPr>
              <w:textAlignment w:val="bottom"/>
            </w:pPr>
            <w:r>
              <w:rPr>
                <w:rFonts w:ascii="Arial" w:eastAsia="宋体" w:hAnsi="Arial" w:cs="Arial"/>
                <w:color w:val="000000"/>
                <w:sz w:val="17"/>
                <w:szCs w:val="17"/>
              </w:rPr>
              <w:t>%</w:t>
            </w:r>
          </w:p>
        </w:tc>
        <w:tc>
          <w:tcPr>
            <w:tcW w:w="0" w:type="auto"/>
            <w:shd w:val="clear" w:color="auto" w:fill="auto"/>
            <w:vAlign w:val="bottom"/>
          </w:tcPr>
          <w:p w14:paraId="26E9DC1D" w14:textId="77777777" w:rsidR="008A3BAC" w:rsidRDefault="008A3BAC">
            <w:pPr>
              <w:rPr>
                <w:rFonts w:ascii="宋体"/>
                <w:vanish/>
              </w:rPr>
            </w:pPr>
          </w:p>
        </w:tc>
        <w:tc>
          <w:tcPr>
            <w:tcW w:w="0" w:type="auto"/>
            <w:shd w:val="clear" w:color="auto" w:fill="auto"/>
            <w:vAlign w:val="bottom"/>
          </w:tcPr>
          <w:p w14:paraId="26E9DC1E" w14:textId="77777777" w:rsidR="008A3BAC" w:rsidRDefault="008A3BAC">
            <w:pPr>
              <w:rPr>
                <w:rFonts w:ascii="宋体"/>
                <w:vanish/>
              </w:rPr>
            </w:pPr>
          </w:p>
        </w:tc>
        <w:tc>
          <w:tcPr>
            <w:tcW w:w="0" w:type="auto"/>
            <w:gridSpan w:val="3"/>
            <w:shd w:val="clear" w:color="auto" w:fill="auto"/>
            <w:vAlign w:val="bottom"/>
          </w:tcPr>
          <w:p w14:paraId="26E9DC1F" w14:textId="77777777" w:rsidR="008A3BAC" w:rsidRDefault="008A3BAC">
            <w:pPr>
              <w:rPr>
                <w:rFonts w:ascii="宋体"/>
                <w:vanish/>
              </w:rPr>
            </w:pPr>
          </w:p>
        </w:tc>
        <w:tc>
          <w:tcPr>
            <w:tcW w:w="0" w:type="auto"/>
            <w:gridSpan w:val="3"/>
            <w:shd w:val="clear" w:color="auto" w:fill="auto"/>
            <w:vAlign w:val="bottom"/>
          </w:tcPr>
          <w:p w14:paraId="26E9DC20" w14:textId="77777777" w:rsidR="008A3BAC" w:rsidRDefault="008A3BAC">
            <w:pPr>
              <w:rPr>
                <w:rFonts w:ascii="宋体"/>
                <w:vanish/>
              </w:rPr>
            </w:pPr>
          </w:p>
        </w:tc>
      </w:tr>
      <w:tr w:rsidR="008A3BAC" w14:paraId="26E9DC32" w14:textId="77777777">
        <w:trPr>
          <w:jc w:val="center"/>
        </w:trPr>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DC22" w14:textId="77777777" w:rsidR="008A3BAC" w:rsidRDefault="005C75B9">
            <w:pPr>
              <w:textAlignment w:val="bottom"/>
            </w:pPr>
            <w:r>
              <w:rPr>
                <w:rFonts w:ascii="Arial" w:eastAsia="宋体" w:hAnsi="Arial" w:cs="Arial"/>
                <w:color w:val="000000"/>
                <w:sz w:val="17"/>
                <w:szCs w:val="17"/>
              </w:rPr>
              <w:t>Gross margin</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DC23" w14:textId="77777777" w:rsidR="008A3BAC" w:rsidRDefault="005C75B9">
            <w:pPr>
              <w:jc w:val="right"/>
              <w:textAlignment w:val="bottom"/>
            </w:pPr>
            <w:r>
              <w:rPr>
                <w:rFonts w:ascii="Arial" w:eastAsia="宋体" w:hAnsi="Arial" w:cs="Arial"/>
                <w:color w:val="000000"/>
                <w:sz w:val="17"/>
                <w:szCs w:val="17"/>
              </w:rPr>
              <w:t>46.6 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DC2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DC25" w14:textId="77777777" w:rsidR="008A3BAC" w:rsidRDefault="005C75B9">
            <w:pPr>
              <w:jc w:val="right"/>
              <w:textAlignment w:val="bottom"/>
            </w:pPr>
            <w:r>
              <w:rPr>
                <w:rFonts w:ascii="Arial" w:eastAsia="宋体" w:hAnsi="Arial" w:cs="Arial"/>
                <w:color w:val="000000"/>
                <w:sz w:val="17"/>
                <w:szCs w:val="17"/>
              </w:rPr>
              <w:t>45.6 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DC26"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6E9DC27" w14:textId="77777777" w:rsidR="008A3BAC" w:rsidRDefault="005C75B9">
            <w:pPr>
              <w:jc w:val="right"/>
              <w:textAlignment w:val="top"/>
            </w:pPr>
            <w:r>
              <w:rPr>
                <w:rFonts w:ascii="Arial" w:eastAsia="宋体" w:hAnsi="Arial" w:cs="Arial"/>
                <w:color w:val="000000"/>
                <w:sz w:val="17"/>
                <w:szCs w:val="17"/>
              </w:rPr>
              <w:t>100 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DC28"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DC29" w14:textId="77777777" w:rsidR="008A3BAC" w:rsidRDefault="005C75B9">
            <w:pPr>
              <w:jc w:val="right"/>
              <w:textAlignment w:val="bottom"/>
            </w:pPr>
            <w:r>
              <w:rPr>
                <w:rFonts w:ascii="Arial" w:eastAsia="宋体" w:hAnsi="Arial" w:cs="Arial"/>
                <w:color w:val="000000"/>
                <w:sz w:val="17"/>
                <w:szCs w:val="17"/>
              </w:rPr>
              <w:t>46.3 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DC2A"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DC2B" w14:textId="77777777" w:rsidR="008A3BAC" w:rsidRDefault="005C75B9">
            <w:pPr>
              <w:jc w:val="right"/>
              <w:textAlignment w:val="bottom"/>
            </w:pPr>
            <w:r>
              <w:rPr>
                <w:rFonts w:ascii="Arial" w:eastAsia="宋体" w:hAnsi="Arial" w:cs="Arial"/>
                <w:color w:val="000000"/>
                <w:sz w:val="17"/>
                <w:szCs w:val="17"/>
              </w:rPr>
              <w:t>44.4 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DC2C"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6E9DC2D" w14:textId="77777777" w:rsidR="008A3BAC" w:rsidRDefault="005C75B9">
            <w:pPr>
              <w:jc w:val="right"/>
              <w:textAlignment w:val="top"/>
            </w:pPr>
            <w:r>
              <w:rPr>
                <w:rFonts w:ascii="Arial" w:eastAsia="宋体" w:hAnsi="Arial" w:cs="Arial"/>
                <w:color w:val="000000"/>
                <w:sz w:val="17"/>
                <w:szCs w:val="17"/>
              </w:rPr>
              <w:t>190 bps</w:t>
            </w:r>
          </w:p>
        </w:tc>
        <w:tc>
          <w:tcPr>
            <w:tcW w:w="0" w:type="auto"/>
            <w:shd w:val="clear" w:color="auto" w:fill="auto"/>
            <w:vAlign w:val="bottom"/>
          </w:tcPr>
          <w:p w14:paraId="26E9DC2E" w14:textId="77777777" w:rsidR="008A3BAC" w:rsidRDefault="008A3BAC">
            <w:pPr>
              <w:rPr>
                <w:rFonts w:ascii="宋体"/>
                <w:vanish/>
              </w:rPr>
            </w:pPr>
          </w:p>
        </w:tc>
        <w:tc>
          <w:tcPr>
            <w:tcW w:w="0" w:type="auto"/>
            <w:shd w:val="clear" w:color="auto" w:fill="auto"/>
            <w:vAlign w:val="bottom"/>
          </w:tcPr>
          <w:p w14:paraId="26E9DC2F" w14:textId="77777777" w:rsidR="008A3BAC" w:rsidRDefault="008A3BAC">
            <w:pPr>
              <w:rPr>
                <w:rFonts w:ascii="宋体"/>
                <w:vanish/>
              </w:rPr>
            </w:pPr>
          </w:p>
        </w:tc>
        <w:tc>
          <w:tcPr>
            <w:tcW w:w="0" w:type="auto"/>
            <w:gridSpan w:val="3"/>
            <w:shd w:val="clear" w:color="auto" w:fill="auto"/>
            <w:vAlign w:val="bottom"/>
          </w:tcPr>
          <w:p w14:paraId="26E9DC30" w14:textId="77777777" w:rsidR="008A3BAC" w:rsidRDefault="008A3BAC">
            <w:pPr>
              <w:rPr>
                <w:rFonts w:ascii="宋体"/>
                <w:vanish/>
              </w:rPr>
            </w:pPr>
          </w:p>
        </w:tc>
        <w:tc>
          <w:tcPr>
            <w:tcW w:w="0" w:type="auto"/>
            <w:gridSpan w:val="3"/>
            <w:shd w:val="clear" w:color="auto" w:fill="auto"/>
            <w:vAlign w:val="bottom"/>
          </w:tcPr>
          <w:p w14:paraId="26E9DC31" w14:textId="77777777" w:rsidR="008A3BAC" w:rsidRDefault="008A3BAC">
            <w:pPr>
              <w:rPr>
                <w:rFonts w:ascii="宋体"/>
                <w:vanish/>
              </w:rPr>
            </w:pPr>
          </w:p>
        </w:tc>
      </w:tr>
    </w:tbl>
    <w:p w14:paraId="26E9DC33" w14:textId="77777777" w:rsidR="008A3BAC" w:rsidRDefault="005C75B9">
      <w:pPr>
        <w:spacing w:before="120" w:after="120"/>
      </w:pPr>
      <w:r>
        <w:rPr>
          <w:rFonts w:ascii="Arial" w:eastAsia="宋体" w:hAnsi="Arial" w:cs="Arial"/>
          <w:color w:val="000000"/>
          <w:sz w:val="17"/>
          <w:szCs w:val="17"/>
        </w:rPr>
        <w:t>For the third quarter of fiscal 2022, our consolidated gross margin was 100 basis points higher than the prior year period and primarily reflected the following factors:</w:t>
      </w:r>
    </w:p>
    <w:p w14:paraId="26E9DC34"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margin in</w:t>
      </w:r>
      <w:r>
        <w:rPr>
          <w:rFonts w:ascii="Arial" w:eastAsia="宋体" w:hAnsi="Arial" w:cs="Arial"/>
          <w:color w:val="000000"/>
          <w:sz w:val="17"/>
          <w:szCs w:val="17"/>
        </w:rPr>
        <w:t xml:space="preserve"> our NIKE Direct business, primarily driven by lower promotional activity in the current period reflecting limited available for sale inventory due to supply chain constraints compared to higher promotional activity in the prior year as we managed the impa</w:t>
      </w:r>
      <w:r>
        <w:rPr>
          <w:rFonts w:ascii="Arial" w:eastAsia="宋体" w:hAnsi="Arial" w:cs="Arial"/>
          <w:color w:val="000000"/>
          <w:sz w:val="17"/>
          <w:szCs w:val="17"/>
        </w:rPr>
        <w:t xml:space="preserve">cts from COVID-19, (increasing gross margin approximately 140 basis points); </w:t>
      </w:r>
    </w:p>
    <w:p w14:paraId="26E9DC35"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Favorable changes in net foreign currency exchange rates, including hedges, (increasing gross margin approximately 80 basis points);</w:t>
      </w:r>
    </w:p>
    <w:p w14:paraId="26E9DC36"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mix of full-price sales, on a wholes</w:t>
      </w:r>
      <w:r>
        <w:rPr>
          <w:rFonts w:ascii="Arial" w:eastAsia="宋体" w:hAnsi="Arial" w:cs="Arial"/>
          <w:color w:val="000000"/>
          <w:sz w:val="17"/>
          <w:szCs w:val="17"/>
        </w:rPr>
        <w:t>ale equivalent basis, (increasing gross margin approximately 70 basis points);</w:t>
      </w:r>
    </w:p>
    <w:p w14:paraId="26E9DC37"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NIKE Brand full-price product margins, on a wholesale equivalent basis, (decreasing gross margin approximately 170 basis points) reflecting:</w:t>
      </w:r>
    </w:p>
    <w:p w14:paraId="26E9DC38"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product costs (decrea</w:t>
      </w:r>
      <w:r>
        <w:rPr>
          <w:rFonts w:ascii="Arial" w:eastAsia="宋体" w:hAnsi="Arial" w:cs="Arial"/>
          <w:color w:val="000000"/>
          <w:sz w:val="17"/>
          <w:szCs w:val="17"/>
        </w:rPr>
        <w:t xml:space="preserve">sing gross margin approximately 120 basis points) largely due to increased freight and logistics costs as well as product mix; </w:t>
      </w:r>
    </w:p>
    <w:p w14:paraId="26E9DC39"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full-price ASP, net of discounts, (decreasing gross margin approximately 50 basis points) driven by product mix, partiall</w:t>
      </w:r>
      <w:r>
        <w:rPr>
          <w:rFonts w:ascii="Arial" w:eastAsia="宋体" w:hAnsi="Arial" w:cs="Arial"/>
          <w:color w:val="000000"/>
          <w:sz w:val="17"/>
          <w:szCs w:val="17"/>
        </w:rPr>
        <w:t xml:space="preserve">y offset by strategic pricing increases; and </w:t>
      </w:r>
    </w:p>
    <w:p w14:paraId="26E9DC3A"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other costs, in part due to higher warehousing and freight costs, among other factors (decreasing gross margin approximately 30 basis points).</w:t>
      </w:r>
    </w:p>
    <w:p w14:paraId="26E9DC3B" w14:textId="77777777" w:rsidR="008A3BAC" w:rsidRDefault="005C75B9">
      <w:pPr>
        <w:spacing w:before="60" w:after="60"/>
      </w:pPr>
      <w:r>
        <w:rPr>
          <w:rFonts w:ascii="Arial" w:eastAsia="宋体" w:hAnsi="Arial" w:cs="Arial"/>
          <w:color w:val="000000"/>
          <w:sz w:val="17"/>
          <w:szCs w:val="17"/>
        </w:rPr>
        <w:t xml:space="preserve">For the first nine months of fiscal 2022, our </w:t>
      </w:r>
      <w:r>
        <w:rPr>
          <w:rFonts w:ascii="Arial" w:eastAsia="宋体" w:hAnsi="Arial" w:cs="Arial"/>
          <w:color w:val="000000"/>
          <w:sz w:val="17"/>
          <w:szCs w:val="17"/>
        </w:rPr>
        <w:t>consolidated gross margin was 190 basis points higher than the prior year period and primarily reflected the following factors:</w:t>
      </w:r>
    </w:p>
    <w:p w14:paraId="26E9DC3C"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margin in our NIKE Direct business, primarily driven by lower promotional activity in the current period reflecting limi</w:t>
      </w:r>
      <w:r>
        <w:rPr>
          <w:rFonts w:ascii="Arial" w:eastAsia="宋体" w:hAnsi="Arial" w:cs="Arial"/>
          <w:color w:val="000000"/>
          <w:sz w:val="17"/>
          <w:szCs w:val="17"/>
        </w:rPr>
        <w:t xml:space="preserve">ted available for sale inventory due to supply chain constraints compared to higher promotional activity in the prior year as we managed the impacts from COVID-19 (increasing gross margin approximately 160 basis points); </w:t>
      </w:r>
    </w:p>
    <w:p w14:paraId="26E9DC3D"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mix of full-price sales, o</w:t>
      </w:r>
      <w:r>
        <w:rPr>
          <w:rFonts w:ascii="Arial" w:eastAsia="宋体" w:hAnsi="Arial" w:cs="Arial"/>
          <w:color w:val="000000"/>
          <w:sz w:val="17"/>
          <w:szCs w:val="17"/>
        </w:rPr>
        <w:t>n a wholesale equivalent basis, (increasing gross margin approximately 70 basis points);</w:t>
      </w:r>
    </w:p>
    <w:p w14:paraId="26E9DC3E"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Favorable changes in net foreign currency exchange rates, including hedges, (increasing gross margin approximately 50 basis points); and</w:t>
      </w:r>
    </w:p>
    <w:p w14:paraId="26E9DC3F"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Brand product co</w:t>
      </w:r>
      <w:r>
        <w:rPr>
          <w:rFonts w:ascii="Arial" w:eastAsia="宋体" w:hAnsi="Arial" w:cs="Arial"/>
          <w:color w:val="000000"/>
          <w:sz w:val="17"/>
          <w:szCs w:val="17"/>
        </w:rPr>
        <w:t>sts, on a wholesale equivalent basis, primarily due to increased freight and logistics costs (decreasing gross margin approximately 90 basis points).</w:t>
      </w:r>
    </w:p>
    <w:p w14:paraId="26E9DC40" w14:textId="77777777" w:rsidR="008A3BAC" w:rsidRDefault="005C75B9">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26E9DC41" w14:textId="77777777" w:rsidR="008A3BAC" w:rsidRDefault="005C75B9">
      <w:r>
        <w:pict w14:anchorId="26E9E865">
          <v:rect id="_x0000_i1056" style="width:415.3pt;height:1.5pt" o:hralign="center" o:hrstd="t" o:hr="t" fillcolor="#a0a0a0" stroked="f"/>
        </w:pict>
      </w:r>
    </w:p>
    <w:p w14:paraId="26E9DC42" w14:textId="77777777" w:rsidR="008A3BAC" w:rsidRDefault="008A3BAC"/>
    <w:p w14:paraId="26E9DC43" w14:textId="77777777" w:rsidR="008A3BAC" w:rsidRDefault="005C75B9">
      <w:hyperlink r:id="rId101" w:anchor="i46aba51c6a804f42b3595948c57d2023_7" w:history="1">
        <w:r>
          <w:rPr>
            <w:rStyle w:val="a5"/>
            <w:rFonts w:ascii="sans-serif" w:eastAsia="sans-serif" w:hAnsi="sans-serif" w:cs="sans-serif"/>
            <w:sz w:val="17"/>
            <w:szCs w:val="17"/>
          </w:rPr>
          <w:t>Table of Contents</w:t>
        </w:r>
      </w:hyperlink>
    </w:p>
    <w:p w14:paraId="26E9DC44" w14:textId="77777777" w:rsidR="008A3BAC" w:rsidRDefault="008A3BAC"/>
    <w:p w14:paraId="26E9DC45" w14:textId="77777777" w:rsidR="008A3BAC" w:rsidRDefault="005C75B9">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022"/>
        <w:gridCol w:w="38"/>
        <w:gridCol w:w="115"/>
        <w:gridCol w:w="516"/>
        <w:gridCol w:w="172"/>
        <w:gridCol w:w="115"/>
        <w:gridCol w:w="516"/>
        <w:gridCol w:w="172"/>
        <w:gridCol w:w="68"/>
        <w:gridCol w:w="570"/>
        <w:gridCol w:w="172"/>
        <w:gridCol w:w="36"/>
        <w:gridCol w:w="36"/>
        <w:gridCol w:w="36"/>
        <w:gridCol w:w="115"/>
        <w:gridCol w:w="568"/>
        <w:gridCol w:w="172"/>
        <w:gridCol w:w="115"/>
        <w:gridCol w:w="473"/>
        <w:gridCol w:w="172"/>
        <w:gridCol w:w="68"/>
        <w:gridCol w:w="570"/>
        <w:gridCol w:w="172"/>
        <w:gridCol w:w="36"/>
        <w:gridCol w:w="36"/>
        <w:gridCol w:w="36"/>
        <w:gridCol w:w="36"/>
        <w:gridCol w:w="36"/>
        <w:gridCol w:w="36"/>
        <w:gridCol w:w="36"/>
        <w:gridCol w:w="36"/>
      </w:tblGrid>
      <w:tr w:rsidR="008A3BAC" w14:paraId="26E9DC62" w14:textId="77777777">
        <w:tc>
          <w:tcPr>
            <w:tcW w:w="50" w:type="pct"/>
            <w:shd w:val="clear" w:color="auto" w:fill="auto"/>
            <w:vAlign w:val="bottom"/>
          </w:tcPr>
          <w:p w14:paraId="26E9DC46" w14:textId="77777777" w:rsidR="008A3BAC" w:rsidRDefault="008A3BAC">
            <w:pPr>
              <w:rPr>
                <w:rFonts w:ascii="宋体"/>
              </w:rPr>
            </w:pPr>
          </w:p>
        </w:tc>
        <w:tc>
          <w:tcPr>
            <w:tcW w:w="2024" w:type="pct"/>
            <w:shd w:val="clear" w:color="auto" w:fill="auto"/>
            <w:vAlign w:val="bottom"/>
          </w:tcPr>
          <w:p w14:paraId="26E9DC47" w14:textId="77777777" w:rsidR="008A3BAC" w:rsidRDefault="008A3BAC">
            <w:pPr>
              <w:rPr>
                <w:rFonts w:ascii="宋体"/>
              </w:rPr>
            </w:pPr>
          </w:p>
        </w:tc>
        <w:tc>
          <w:tcPr>
            <w:tcW w:w="5" w:type="pct"/>
            <w:shd w:val="clear" w:color="auto" w:fill="auto"/>
            <w:vAlign w:val="bottom"/>
          </w:tcPr>
          <w:p w14:paraId="26E9DC48" w14:textId="77777777" w:rsidR="008A3BAC" w:rsidRDefault="008A3BAC">
            <w:pPr>
              <w:rPr>
                <w:rFonts w:ascii="宋体"/>
              </w:rPr>
            </w:pPr>
          </w:p>
        </w:tc>
        <w:tc>
          <w:tcPr>
            <w:tcW w:w="50" w:type="pct"/>
            <w:shd w:val="clear" w:color="auto" w:fill="auto"/>
            <w:vAlign w:val="bottom"/>
          </w:tcPr>
          <w:p w14:paraId="26E9DC49" w14:textId="77777777" w:rsidR="008A3BAC" w:rsidRDefault="008A3BAC">
            <w:pPr>
              <w:rPr>
                <w:rFonts w:ascii="宋体"/>
              </w:rPr>
            </w:pPr>
          </w:p>
        </w:tc>
        <w:tc>
          <w:tcPr>
            <w:tcW w:w="425" w:type="pct"/>
            <w:shd w:val="clear" w:color="auto" w:fill="auto"/>
            <w:vAlign w:val="bottom"/>
          </w:tcPr>
          <w:p w14:paraId="26E9DC4A" w14:textId="77777777" w:rsidR="008A3BAC" w:rsidRDefault="008A3BAC">
            <w:pPr>
              <w:rPr>
                <w:rFonts w:ascii="宋体"/>
              </w:rPr>
            </w:pPr>
          </w:p>
        </w:tc>
        <w:tc>
          <w:tcPr>
            <w:tcW w:w="5" w:type="pct"/>
            <w:shd w:val="clear" w:color="auto" w:fill="auto"/>
            <w:vAlign w:val="bottom"/>
          </w:tcPr>
          <w:p w14:paraId="26E9DC4B" w14:textId="77777777" w:rsidR="008A3BAC" w:rsidRDefault="008A3BAC">
            <w:pPr>
              <w:rPr>
                <w:rFonts w:ascii="宋体"/>
              </w:rPr>
            </w:pPr>
          </w:p>
        </w:tc>
        <w:tc>
          <w:tcPr>
            <w:tcW w:w="50" w:type="pct"/>
            <w:shd w:val="clear" w:color="auto" w:fill="auto"/>
            <w:vAlign w:val="bottom"/>
          </w:tcPr>
          <w:p w14:paraId="26E9DC4C" w14:textId="77777777" w:rsidR="008A3BAC" w:rsidRDefault="008A3BAC">
            <w:pPr>
              <w:rPr>
                <w:rFonts w:ascii="宋体"/>
              </w:rPr>
            </w:pPr>
          </w:p>
        </w:tc>
        <w:tc>
          <w:tcPr>
            <w:tcW w:w="425" w:type="pct"/>
            <w:shd w:val="clear" w:color="auto" w:fill="auto"/>
            <w:vAlign w:val="bottom"/>
          </w:tcPr>
          <w:p w14:paraId="26E9DC4D" w14:textId="77777777" w:rsidR="008A3BAC" w:rsidRDefault="008A3BAC">
            <w:pPr>
              <w:rPr>
                <w:rFonts w:ascii="宋体"/>
              </w:rPr>
            </w:pPr>
          </w:p>
        </w:tc>
        <w:tc>
          <w:tcPr>
            <w:tcW w:w="5" w:type="pct"/>
            <w:shd w:val="clear" w:color="auto" w:fill="auto"/>
            <w:vAlign w:val="bottom"/>
          </w:tcPr>
          <w:p w14:paraId="26E9DC4E" w14:textId="77777777" w:rsidR="008A3BAC" w:rsidRDefault="008A3BAC">
            <w:pPr>
              <w:rPr>
                <w:rFonts w:ascii="宋体"/>
              </w:rPr>
            </w:pPr>
          </w:p>
        </w:tc>
        <w:tc>
          <w:tcPr>
            <w:tcW w:w="50" w:type="pct"/>
            <w:shd w:val="clear" w:color="auto" w:fill="auto"/>
            <w:vAlign w:val="bottom"/>
          </w:tcPr>
          <w:p w14:paraId="26E9DC4F" w14:textId="77777777" w:rsidR="008A3BAC" w:rsidRDefault="008A3BAC">
            <w:pPr>
              <w:rPr>
                <w:rFonts w:ascii="宋体"/>
              </w:rPr>
            </w:pPr>
          </w:p>
        </w:tc>
        <w:tc>
          <w:tcPr>
            <w:tcW w:w="425" w:type="pct"/>
            <w:shd w:val="clear" w:color="auto" w:fill="auto"/>
            <w:vAlign w:val="bottom"/>
          </w:tcPr>
          <w:p w14:paraId="26E9DC50" w14:textId="77777777" w:rsidR="008A3BAC" w:rsidRDefault="008A3BAC">
            <w:pPr>
              <w:rPr>
                <w:rFonts w:ascii="宋体"/>
              </w:rPr>
            </w:pPr>
          </w:p>
        </w:tc>
        <w:tc>
          <w:tcPr>
            <w:tcW w:w="5" w:type="pct"/>
            <w:shd w:val="clear" w:color="auto" w:fill="auto"/>
            <w:vAlign w:val="bottom"/>
          </w:tcPr>
          <w:p w14:paraId="26E9DC51" w14:textId="77777777" w:rsidR="008A3BAC" w:rsidRDefault="008A3BAC">
            <w:pPr>
              <w:rPr>
                <w:rFonts w:ascii="宋体"/>
              </w:rPr>
            </w:pPr>
          </w:p>
        </w:tc>
        <w:tc>
          <w:tcPr>
            <w:tcW w:w="5" w:type="pct"/>
            <w:shd w:val="clear" w:color="auto" w:fill="auto"/>
            <w:vAlign w:val="bottom"/>
          </w:tcPr>
          <w:p w14:paraId="26E9DC52" w14:textId="77777777" w:rsidR="008A3BAC" w:rsidRDefault="008A3BAC">
            <w:pPr>
              <w:rPr>
                <w:rFonts w:ascii="宋体"/>
              </w:rPr>
            </w:pPr>
          </w:p>
        </w:tc>
        <w:tc>
          <w:tcPr>
            <w:tcW w:w="27" w:type="pct"/>
            <w:shd w:val="clear" w:color="auto" w:fill="auto"/>
            <w:vAlign w:val="bottom"/>
          </w:tcPr>
          <w:p w14:paraId="26E9DC53" w14:textId="77777777" w:rsidR="008A3BAC" w:rsidRDefault="008A3BAC">
            <w:pPr>
              <w:rPr>
                <w:rFonts w:ascii="宋体"/>
              </w:rPr>
            </w:pPr>
          </w:p>
        </w:tc>
        <w:tc>
          <w:tcPr>
            <w:tcW w:w="5" w:type="pct"/>
            <w:shd w:val="clear" w:color="auto" w:fill="auto"/>
            <w:vAlign w:val="bottom"/>
          </w:tcPr>
          <w:p w14:paraId="26E9DC54" w14:textId="77777777" w:rsidR="008A3BAC" w:rsidRDefault="008A3BAC">
            <w:pPr>
              <w:rPr>
                <w:rFonts w:ascii="宋体"/>
              </w:rPr>
            </w:pPr>
          </w:p>
        </w:tc>
        <w:tc>
          <w:tcPr>
            <w:tcW w:w="50" w:type="pct"/>
            <w:shd w:val="clear" w:color="auto" w:fill="auto"/>
            <w:vAlign w:val="bottom"/>
          </w:tcPr>
          <w:p w14:paraId="26E9DC55" w14:textId="77777777" w:rsidR="008A3BAC" w:rsidRDefault="008A3BAC">
            <w:pPr>
              <w:rPr>
                <w:rFonts w:ascii="宋体"/>
              </w:rPr>
            </w:pPr>
          </w:p>
        </w:tc>
        <w:tc>
          <w:tcPr>
            <w:tcW w:w="425" w:type="pct"/>
            <w:shd w:val="clear" w:color="auto" w:fill="auto"/>
            <w:vAlign w:val="bottom"/>
          </w:tcPr>
          <w:p w14:paraId="26E9DC56" w14:textId="77777777" w:rsidR="008A3BAC" w:rsidRDefault="008A3BAC">
            <w:pPr>
              <w:rPr>
                <w:rFonts w:ascii="宋体"/>
              </w:rPr>
            </w:pPr>
          </w:p>
        </w:tc>
        <w:tc>
          <w:tcPr>
            <w:tcW w:w="5" w:type="pct"/>
            <w:shd w:val="clear" w:color="auto" w:fill="auto"/>
            <w:vAlign w:val="bottom"/>
          </w:tcPr>
          <w:p w14:paraId="26E9DC57" w14:textId="77777777" w:rsidR="008A3BAC" w:rsidRDefault="008A3BAC">
            <w:pPr>
              <w:rPr>
                <w:rFonts w:ascii="宋体"/>
              </w:rPr>
            </w:pPr>
          </w:p>
        </w:tc>
        <w:tc>
          <w:tcPr>
            <w:tcW w:w="50" w:type="pct"/>
            <w:shd w:val="clear" w:color="auto" w:fill="auto"/>
            <w:vAlign w:val="bottom"/>
          </w:tcPr>
          <w:p w14:paraId="26E9DC58" w14:textId="77777777" w:rsidR="008A3BAC" w:rsidRDefault="008A3BAC">
            <w:pPr>
              <w:rPr>
                <w:rFonts w:ascii="宋体"/>
              </w:rPr>
            </w:pPr>
          </w:p>
        </w:tc>
        <w:tc>
          <w:tcPr>
            <w:tcW w:w="425" w:type="pct"/>
            <w:shd w:val="clear" w:color="auto" w:fill="auto"/>
            <w:vAlign w:val="bottom"/>
          </w:tcPr>
          <w:p w14:paraId="26E9DC59" w14:textId="77777777" w:rsidR="008A3BAC" w:rsidRDefault="008A3BAC">
            <w:pPr>
              <w:rPr>
                <w:rFonts w:ascii="宋体"/>
              </w:rPr>
            </w:pPr>
          </w:p>
        </w:tc>
        <w:tc>
          <w:tcPr>
            <w:tcW w:w="5" w:type="pct"/>
            <w:shd w:val="clear" w:color="auto" w:fill="auto"/>
            <w:vAlign w:val="bottom"/>
          </w:tcPr>
          <w:p w14:paraId="26E9DC5A" w14:textId="77777777" w:rsidR="008A3BAC" w:rsidRDefault="008A3BAC">
            <w:pPr>
              <w:rPr>
                <w:rFonts w:ascii="宋体"/>
              </w:rPr>
            </w:pPr>
          </w:p>
        </w:tc>
        <w:tc>
          <w:tcPr>
            <w:tcW w:w="50" w:type="pct"/>
            <w:shd w:val="clear" w:color="auto" w:fill="auto"/>
            <w:vAlign w:val="bottom"/>
          </w:tcPr>
          <w:p w14:paraId="26E9DC5B" w14:textId="77777777" w:rsidR="008A3BAC" w:rsidRDefault="008A3BAC">
            <w:pPr>
              <w:rPr>
                <w:rFonts w:ascii="宋体"/>
              </w:rPr>
            </w:pPr>
          </w:p>
        </w:tc>
        <w:tc>
          <w:tcPr>
            <w:tcW w:w="425" w:type="pct"/>
            <w:shd w:val="clear" w:color="auto" w:fill="auto"/>
            <w:vAlign w:val="bottom"/>
          </w:tcPr>
          <w:p w14:paraId="26E9DC5C" w14:textId="77777777" w:rsidR="008A3BAC" w:rsidRDefault="008A3BAC">
            <w:pPr>
              <w:rPr>
                <w:rFonts w:ascii="宋体"/>
              </w:rPr>
            </w:pPr>
          </w:p>
        </w:tc>
        <w:tc>
          <w:tcPr>
            <w:tcW w:w="5" w:type="pct"/>
            <w:shd w:val="clear" w:color="auto" w:fill="auto"/>
            <w:vAlign w:val="bottom"/>
          </w:tcPr>
          <w:p w14:paraId="26E9DC5D" w14:textId="77777777" w:rsidR="008A3BAC" w:rsidRDefault="008A3BAC">
            <w:pPr>
              <w:rPr>
                <w:rFonts w:ascii="宋体"/>
              </w:rPr>
            </w:pPr>
          </w:p>
        </w:tc>
        <w:tc>
          <w:tcPr>
            <w:tcW w:w="0" w:type="auto"/>
            <w:shd w:val="clear" w:color="auto" w:fill="auto"/>
            <w:vAlign w:val="bottom"/>
          </w:tcPr>
          <w:p w14:paraId="26E9DC5E" w14:textId="77777777" w:rsidR="008A3BAC" w:rsidRDefault="008A3BAC">
            <w:pPr>
              <w:rPr>
                <w:rFonts w:ascii="宋体"/>
                <w:vanish/>
              </w:rPr>
            </w:pPr>
          </w:p>
        </w:tc>
        <w:tc>
          <w:tcPr>
            <w:tcW w:w="0" w:type="auto"/>
            <w:shd w:val="clear" w:color="auto" w:fill="auto"/>
            <w:vAlign w:val="bottom"/>
          </w:tcPr>
          <w:p w14:paraId="26E9DC5F" w14:textId="77777777" w:rsidR="008A3BAC" w:rsidRDefault="008A3BAC">
            <w:pPr>
              <w:rPr>
                <w:rFonts w:ascii="宋体"/>
                <w:vanish/>
              </w:rPr>
            </w:pPr>
          </w:p>
        </w:tc>
        <w:tc>
          <w:tcPr>
            <w:tcW w:w="0" w:type="auto"/>
            <w:gridSpan w:val="3"/>
            <w:shd w:val="clear" w:color="auto" w:fill="auto"/>
            <w:vAlign w:val="bottom"/>
          </w:tcPr>
          <w:p w14:paraId="26E9DC60" w14:textId="77777777" w:rsidR="008A3BAC" w:rsidRDefault="008A3BAC">
            <w:pPr>
              <w:rPr>
                <w:rFonts w:ascii="宋体"/>
                <w:vanish/>
              </w:rPr>
            </w:pPr>
          </w:p>
        </w:tc>
        <w:tc>
          <w:tcPr>
            <w:tcW w:w="0" w:type="auto"/>
            <w:gridSpan w:val="3"/>
            <w:shd w:val="clear" w:color="auto" w:fill="auto"/>
            <w:vAlign w:val="bottom"/>
          </w:tcPr>
          <w:p w14:paraId="26E9DC61" w14:textId="77777777" w:rsidR="008A3BAC" w:rsidRDefault="008A3BAC">
            <w:pPr>
              <w:rPr>
                <w:rFonts w:ascii="宋体"/>
                <w:vanish/>
              </w:rPr>
            </w:pPr>
          </w:p>
        </w:tc>
      </w:tr>
      <w:tr w:rsidR="008A3BAC" w14:paraId="26E9DC6F" w14:textId="77777777">
        <w:tc>
          <w:tcPr>
            <w:tcW w:w="0" w:type="auto"/>
            <w:gridSpan w:val="3"/>
            <w:shd w:val="clear" w:color="auto" w:fill="auto"/>
            <w:tcMar>
              <w:top w:w="0" w:type="dxa"/>
              <w:left w:w="20" w:type="dxa"/>
              <w:bottom w:w="0" w:type="dxa"/>
              <w:right w:w="20" w:type="dxa"/>
            </w:tcMar>
            <w:vAlign w:val="bottom"/>
          </w:tcPr>
          <w:p w14:paraId="26E9DC63"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C64"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C65"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C66"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C67" w14:textId="77777777" w:rsidR="008A3BAC" w:rsidRDefault="008A3BAC">
            <w:pPr>
              <w:rPr>
                <w:rFonts w:ascii="宋体"/>
                <w:vanish/>
              </w:rPr>
            </w:pPr>
          </w:p>
        </w:tc>
        <w:tc>
          <w:tcPr>
            <w:tcW w:w="0" w:type="auto"/>
            <w:shd w:val="clear" w:color="auto" w:fill="auto"/>
            <w:vAlign w:val="bottom"/>
          </w:tcPr>
          <w:p w14:paraId="26E9DC68" w14:textId="77777777" w:rsidR="008A3BAC" w:rsidRDefault="008A3BAC">
            <w:pPr>
              <w:rPr>
                <w:rFonts w:ascii="宋体"/>
                <w:vanish/>
              </w:rPr>
            </w:pPr>
          </w:p>
        </w:tc>
        <w:tc>
          <w:tcPr>
            <w:tcW w:w="0" w:type="auto"/>
            <w:shd w:val="clear" w:color="auto" w:fill="auto"/>
            <w:vAlign w:val="bottom"/>
          </w:tcPr>
          <w:p w14:paraId="26E9DC69" w14:textId="77777777" w:rsidR="008A3BAC" w:rsidRDefault="008A3BAC">
            <w:pPr>
              <w:rPr>
                <w:rFonts w:ascii="宋体"/>
              </w:rPr>
            </w:pPr>
          </w:p>
        </w:tc>
        <w:tc>
          <w:tcPr>
            <w:tcW w:w="0" w:type="auto"/>
            <w:shd w:val="clear" w:color="auto" w:fill="auto"/>
            <w:vAlign w:val="bottom"/>
          </w:tcPr>
          <w:p w14:paraId="26E9DC6A" w14:textId="77777777" w:rsidR="008A3BAC" w:rsidRDefault="008A3BAC">
            <w:pPr>
              <w:rPr>
                <w:rFonts w:ascii="宋体"/>
              </w:rPr>
            </w:pPr>
          </w:p>
        </w:tc>
        <w:tc>
          <w:tcPr>
            <w:tcW w:w="0" w:type="auto"/>
            <w:shd w:val="clear" w:color="auto" w:fill="auto"/>
            <w:vAlign w:val="bottom"/>
          </w:tcPr>
          <w:p w14:paraId="26E9DC6B" w14:textId="77777777" w:rsidR="008A3BAC" w:rsidRDefault="008A3BAC">
            <w:pPr>
              <w:rPr>
                <w:rFonts w:ascii="宋体"/>
              </w:rPr>
            </w:pPr>
          </w:p>
        </w:tc>
        <w:tc>
          <w:tcPr>
            <w:tcW w:w="0" w:type="auto"/>
            <w:shd w:val="clear" w:color="auto" w:fill="auto"/>
            <w:vAlign w:val="bottom"/>
          </w:tcPr>
          <w:p w14:paraId="26E9DC6C" w14:textId="77777777" w:rsidR="008A3BAC" w:rsidRDefault="008A3BAC">
            <w:pPr>
              <w:rPr>
                <w:rFonts w:ascii="宋体"/>
              </w:rPr>
            </w:pPr>
          </w:p>
        </w:tc>
        <w:tc>
          <w:tcPr>
            <w:tcW w:w="0" w:type="auto"/>
            <w:shd w:val="clear" w:color="auto" w:fill="auto"/>
            <w:vAlign w:val="bottom"/>
          </w:tcPr>
          <w:p w14:paraId="26E9DC6D" w14:textId="77777777" w:rsidR="008A3BAC" w:rsidRDefault="008A3BAC">
            <w:pPr>
              <w:rPr>
                <w:rFonts w:ascii="宋体"/>
              </w:rPr>
            </w:pPr>
          </w:p>
        </w:tc>
        <w:tc>
          <w:tcPr>
            <w:tcW w:w="0" w:type="auto"/>
            <w:shd w:val="clear" w:color="auto" w:fill="auto"/>
            <w:vAlign w:val="bottom"/>
          </w:tcPr>
          <w:p w14:paraId="26E9DC6E" w14:textId="77777777" w:rsidR="008A3BAC" w:rsidRDefault="008A3BAC">
            <w:pPr>
              <w:rPr>
                <w:rFonts w:ascii="宋体"/>
              </w:rPr>
            </w:pPr>
          </w:p>
        </w:tc>
      </w:tr>
      <w:tr w:rsidR="008A3BAC" w14:paraId="26E9DC7C" w14:textId="77777777">
        <w:tc>
          <w:tcPr>
            <w:tcW w:w="0" w:type="auto"/>
            <w:gridSpan w:val="3"/>
            <w:shd w:val="clear" w:color="auto" w:fill="auto"/>
            <w:tcMar>
              <w:top w:w="40" w:type="dxa"/>
              <w:left w:w="20" w:type="dxa"/>
              <w:bottom w:w="40" w:type="dxa"/>
              <w:right w:w="20" w:type="dxa"/>
            </w:tcMar>
            <w:vAlign w:val="bottom"/>
          </w:tcPr>
          <w:p w14:paraId="26E9DC70"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1"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2"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3"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DC74"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5"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6"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7"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6E9DC78" w14:textId="77777777" w:rsidR="008A3BAC" w:rsidRDefault="008A3BAC">
            <w:pPr>
              <w:rPr>
                <w:rFonts w:ascii="宋体"/>
                <w:vanish/>
              </w:rPr>
            </w:pPr>
          </w:p>
        </w:tc>
        <w:tc>
          <w:tcPr>
            <w:tcW w:w="0" w:type="auto"/>
            <w:shd w:val="clear" w:color="auto" w:fill="auto"/>
            <w:vAlign w:val="bottom"/>
          </w:tcPr>
          <w:p w14:paraId="26E9DC79" w14:textId="77777777" w:rsidR="008A3BAC" w:rsidRDefault="008A3BAC">
            <w:pPr>
              <w:rPr>
                <w:rFonts w:ascii="宋体"/>
                <w:vanish/>
              </w:rPr>
            </w:pPr>
          </w:p>
        </w:tc>
        <w:tc>
          <w:tcPr>
            <w:tcW w:w="0" w:type="auto"/>
            <w:gridSpan w:val="3"/>
            <w:shd w:val="clear" w:color="auto" w:fill="auto"/>
            <w:vAlign w:val="bottom"/>
          </w:tcPr>
          <w:p w14:paraId="26E9DC7A" w14:textId="77777777" w:rsidR="008A3BAC" w:rsidRDefault="008A3BAC">
            <w:pPr>
              <w:rPr>
                <w:rFonts w:ascii="宋体"/>
                <w:vanish/>
              </w:rPr>
            </w:pPr>
          </w:p>
        </w:tc>
        <w:tc>
          <w:tcPr>
            <w:tcW w:w="0" w:type="auto"/>
            <w:gridSpan w:val="3"/>
            <w:shd w:val="clear" w:color="auto" w:fill="auto"/>
            <w:vAlign w:val="bottom"/>
          </w:tcPr>
          <w:p w14:paraId="26E9DC7B" w14:textId="77777777" w:rsidR="008A3BAC" w:rsidRDefault="008A3BAC">
            <w:pPr>
              <w:rPr>
                <w:rFonts w:ascii="宋体"/>
                <w:vanish/>
              </w:rPr>
            </w:pPr>
          </w:p>
        </w:tc>
      </w:tr>
      <w:tr w:rsidR="008A3BAC" w14:paraId="26E9DC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7D" w14:textId="77777777" w:rsidR="008A3BAC" w:rsidRDefault="005C75B9">
            <w:pPr>
              <w:textAlignment w:val="bottom"/>
            </w:pPr>
            <w:r>
              <w:rPr>
                <w:rFonts w:ascii="Arial" w:eastAsia="宋体" w:hAnsi="Arial" w:cs="Arial"/>
                <w:color w:val="000000"/>
                <w:sz w:val="17"/>
                <w:szCs w:val="17"/>
              </w:rPr>
              <w:t xml:space="preserve">Demand creation </w:t>
            </w:r>
            <w:r>
              <w:rPr>
                <w:rFonts w:ascii="Arial" w:eastAsia="宋体" w:hAnsi="Arial" w:cs="Arial"/>
                <w:color w:val="000000"/>
                <w:sz w:val="17"/>
                <w:szCs w:val="17"/>
              </w:rPr>
              <w:t>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C7E"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7F" w14:textId="77777777" w:rsidR="008A3BAC" w:rsidRDefault="005C75B9">
            <w:pPr>
              <w:jc w:val="right"/>
              <w:textAlignment w:val="bottom"/>
            </w:pPr>
            <w:r>
              <w:rPr>
                <w:rFonts w:ascii="Arial" w:eastAsia="宋体" w:hAnsi="Arial" w:cs="Arial"/>
                <w:color w:val="000000"/>
                <w:sz w:val="17"/>
                <w:szCs w:val="17"/>
              </w:rPr>
              <w:t>854 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80"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81"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82" w14:textId="77777777" w:rsidR="008A3BAC" w:rsidRDefault="005C75B9">
            <w:pPr>
              <w:jc w:val="right"/>
              <w:textAlignment w:val="bottom"/>
            </w:pPr>
            <w:r>
              <w:rPr>
                <w:rFonts w:ascii="Arial" w:eastAsia="宋体" w:hAnsi="Arial" w:cs="Arial"/>
                <w:color w:val="000000"/>
                <w:sz w:val="17"/>
                <w:szCs w:val="17"/>
              </w:rPr>
              <w:t>711 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8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84" w14:textId="77777777" w:rsidR="008A3BAC" w:rsidRDefault="005C75B9">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85" w14:textId="77777777" w:rsidR="008A3BAC" w:rsidRDefault="005C75B9">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C86"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C8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88" w14:textId="77777777" w:rsidR="008A3BAC" w:rsidRDefault="005C75B9">
            <w:pPr>
              <w:jc w:val="right"/>
              <w:textAlignment w:val="bottom"/>
            </w:pPr>
            <w:r>
              <w:rPr>
                <w:rFonts w:ascii="Arial" w:eastAsia="宋体" w:hAnsi="Arial" w:cs="Arial"/>
                <w:color w:val="000000"/>
                <w:sz w:val="17"/>
                <w:szCs w:val="17"/>
              </w:rPr>
              <w:t>2,789 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89"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8A"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8B" w14:textId="77777777" w:rsidR="008A3BAC" w:rsidRDefault="005C75B9">
            <w:pPr>
              <w:jc w:val="right"/>
              <w:textAlignment w:val="bottom"/>
            </w:pPr>
            <w:r>
              <w:rPr>
                <w:rFonts w:ascii="Arial" w:eastAsia="宋体" w:hAnsi="Arial" w:cs="Arial"/>
                <w:color w:val="000000"/>
                <w:sz w:val="17"/>
                <w:szCs w:val="17"/>
              </w:rPr>
              <w:t>2,117 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8C"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8D" w14:textId="77777777" w:rsidR="008A3BAC" w:rsidRDefault="005C75B9">
            <w:pPr>
              <w:jc w:val="right"/>
              <w:textAlignment w:val="bottom"/>
            </w:pPr>
            <w:r>
              <w:rPr>
                <w:rFonts w:ascii="Arial" w:eastAsia="宋体" w:hAnsi="Arial" w:cs="Arial"/>
                <w:color w:val="000000"/>
                <w:sz w:val="17"/>
                <w:szCs w:val="17"/>
              </w:rPr>
              <w:t>32 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8E" w14:textId="77777777" w:rsidR="008A3BAC" w:rsidRDefault="005C75B9">
            <w:pPr>
              <w:textAlignment w:val="bottom"/>
            </w:pPr>
            <w:r>
              <w:rPr>
                <w:rFonts w:ascii="Arial" w:eastAsia="宋体" w:hAnsi="Arial" w:cs="Arial"/>
                <w:color w:val="000000"/>
                <w:sz w:val="17"/>
                <w:szCs w:val="17"/>
              </w:rPr>
              <w:t>%</w:t>
            </w:r>
          </w:p>
        </w:tc>
        <w:tc>
          <w:tcPr>
            <w:tcW w:w="0" w:type="auto"/>
            <w:shd w:val="clear" w:color="auto" w:fill="auto"/>
            <w:vAlign w:val="bottom"/>
          </w:tcPr>
          <w:p w14:paraId="26E9DC8F" w14:textId="77777777" w:rsidR="008A3BAC" w:rsidRDefault="008A3BAC">
            <w:pPr>
              <w:rPr>
                <w:rFonts w:ascii="宋体"/>
                <w:vanish/>
              </w:rPr>
            </w:pPr>
          </w:p>
        </w:tc>
        <w:tc>
          <w:tcPr>
            <w:tcW w:w="0" w:type="auto"/>
            <w:shd w:val="clear" w:color="auto" w:fill="auto"/>
            <w:vAlign w:val="bottom"/>
          </w:tcPr>
          <w:p w14:paraId="26E9DC90" w14:textId="77777777" w:rsidR="008A3BAC" w:rsidRDefault="008A3BAC">
            <w:pPr>
              <w:rPr>
                <w:rFonts w:ascii="宋体"/>
                <w:vanish/>
              </w:rPr>
            </w:pPr>
          </w:p>
        </w:tc>
        <w:tc>
          <w:tcPr>
            <w:tcW w:w="0" w:type="auto"/>
            <w:gridSpan w:val="3"/>
            <w:shd w:val="clear" w:color="auto" w:fill="auto"/>
            <w:vAlign w:val="bottom"/>
          </w:tcPr>
          <w:p w14:paraId="26E9DC91" w14:textId="77777777" w:rsidR="008A3BAC" w:rsidRDefault="008A3BAC">
            <w:pPr>
              <w:rPr>
                <w:rFonts w:ascii="宋体"/>
                <w:vanish/>
              </w:rPr>
            </w:pPr>
          </w:p>
        </w:tc>
        <w:tc>
          <w:tcPr>
            <w:tcW w:w="0" w:type="auto"/>
            <w:gridSpan w:val="3"/>
            <w:shd w:val="clear" w:color="auto" w:fill="auto"/>
            <w:vAlign w:val="bottom"/>
          </w:tcPr>
          <w:p w14:paraId="26E9DC92" w14:textId="77777777" w:rsidR="008A3BAC" w:rsidRDefault="008A3BAC">
            <w:pPr>
              <w:rPr>
                <w:rFonts w:ascii="宋体"/>
                <w:vanish/>
              </w:rPr>
            </w:pPr>
          </w:p>
        </w:tc>
      </w:tr>
      <w:tr w:rsidR="008A3BAC" w14:paraId="26E9DCA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C94" w14:textId="77777777" w:rsidR="008A3BAC" w:rsidRDefault="005C75B9">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C95" w14:textId="77777777" w:rsidR="008A3BAC" w:rsidRDefault="005C75B9">
            <w:pPr>
              <w:jc w:val="right"/>
              <w:textAlignment w:val="bottom"/>
            </w:pPr>
            <w:r>
              <w:rPr>
                <w:rFonts w:ascii="Arial" w:eastAsia="宋体" w:hAnsi="Arial" w:cs="Arial"/>
                <w:color w:val="000000"/>
                <w:sz w:val="17"/>
                <w:szCs w:val="17"/>
              </w:rPr>
              <w:t>2,584 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C9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C97" w14:textId="77777777" w:rsidR="008A3BAC" w:rsidRDefault="005C75B9">
            <w:pPr>
              <w:jc w:val="right"/>
              <w:textAlignment w:val="bottom"/>
            </w:pPr>
            <w:r>
              <w:rPr>
                <w:rFonts w:ascii="Arial" w:eastAsia="宋体" w:hAnsi="Arial" w:cs="Arial"/>
                <w:color w:val="000000"/>
                <w:sz w:val="17"/>
                <w:szCs w:val="17"/>
              </w:rPr>
              <w:t>2,330 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C9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C99"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C9A" w14:textId="77777777" w:rsidR="008A3BAC" w:rsidRDefault="005C75B9">
            <w:pPr>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C9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C9C" w14:textId="77777777" w:rsidR="008A3BAC" w:rsidRDefault="005C75B9">
            <w:pPr>
              <w:jc w:val="right"/>
              <w:textAlignment w:val="bottom"/>
            </w:pPr>
            <w:r>
              <w:rPr>
                <w:rFonts w:ascii="Arial" w:eastAsia="宋体" w:hAnsi="Arial" w:cs="Arial"/>
                <w:color w:val="000000"/>
                <w:sz w:val="17"/>
                <w:szCs w:val="17"/>
              </w:rPr>
              <w:t>7,980 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C9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C9E" w14:textId="77777777" w:rsidR="008A3BAC" w:rsidRDefault="005C75B9">
            <w:pPr>
              <w:jc w:val="right"/>
              <w:textAlignment w:val="bottom"/>
            </w:pPr>
            <w:r>
              <w:rPr>
                <w:rFonts w:ascii="Arial" w:eastAsia="宋体" w:hAnsi="Arial" w:cs="Arial"/>
                <w:color w:val="000000"/>
                <w:sz w:val="17"/>
                <w:szCs w:val="17"/>
              </w:rPr>
              <w:t>7,166 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C9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CA0"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CA1" w14:textId="77777777" w:rsidR="008A3BAC" w:rsidRDefault="005C75B9">
            <w:pPr>
              <w:textAlignment w:val="bottom"/>
            </w:pPr>
            <w:r>
              <w:rPr>
                <w:rFonts w:ascii="Arial" w:eastAsia="宋体" w:hAnsi="Arial" w:cs="Arial"/>
                <w:color w:val="000000"/>
                <w:sz w:val="17"/>
                <w:szCs w:val="17"/>
              </w:rPr>
              <w:t>%</w:t>
            </w:r>
          </w:p>
        </w:tc>
        <w:tc>
          <w:tcPr>
            <w:tcW w:w="0" w:type="auto"/>
            <w:shd w:val="clear" w:color="auto" w:fill="auto"/>
            <w:vAlign w:val="bottom"/>
          </w:tcPr>
          <w:p w14:paraId="26E9DCA2" w14:textId="77777777" w:rsidR="008A3BAC" w:rsidRDefault="008A3BAC">
            <w:pPr>
              <w:rPr>
                <w:rFonts w:ascii="宋体"/>
                <w:vanish/>
              </w:rPr>
            </w:pPr>
          </w:p>
        </w:tc>
        <w:tc>
          <w:tcPr>
            <w:tcW w:w="0" w:type="auto"/>
            <w:shd w:val="clear" w:color="auto" w:fill="auto"/>
            <w:vAlign w:val="bottom"/>
          </w:tcPr>
          <w:p w14:paraId="26E9DCA3" w14:textId="77777777" w:rsidR="008A3BAC" w:rsidRDefault="008A3BAC">
            <w:pPr>
              <w:rPr>
                <w:rFonts w:ascii="宋体"/>
                <w:vanish/>
              </w:rPr>
            </w:pPr>
          </w:p>
        </w:tc>
        <w:tc>
          <w:tcPr>
            <w:tcW w:w="0" w:type="auto"/>
            <w:gridSpan w:val="3"/>
            <w:shd w:val="clear" w:color="auto" w:fill="auto"/>
            <w:vAlign w:val="bottom"/>
          </w:tcPr>
          <w:p w14:paraId="26E9DCA4" w14:textId="77777777" w:rsidR="008A3BAC" w:rsidRDefault="008A3BAC">
            <w:pPr>
              <w:rPr>
                <w:rFonts w:ascii="宋体"/>
                <w:vanish/>
              </w:rPr>
            </w:pPr>
          </w:p>
        </w:tc>
        <w:tc>
          <w:tcPr>
            <w:tcW w:w="0" w:type="auto"/>
            <w:gridSpan w:val="3"/>
            <w:shd w:val="clear" w:color="auto" w:fill="auto"/>
            <w:vAlign w:val="bottom"/>
          </w:tcPr>
          <w:p w14:paraId="26E9DCA5" w14:textId="77777777" w:rsidR="008A3BAC" w:rsidRDefault="008A3BAC">
            <w:pPr>
              <w:rPr>
                <w:rFonts w:ascii="宋体"/>
                <w:vanish/>
              </w:rPr>
            </w:pPr>
          </w:p>
        </w:tc>
      </w:tr>
      <w:tr w:rsidR="008A3BAC" w14:paraId="26E9DCB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A7" w14:textId="77777777" w:rsidR="008A3BAC" w:rsidRDefault="005C75B9">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CA8"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A9" w14:textId="77777777" w:rsidR="008A3BAC" w:rsidRDefault="005C75B9">
            <w:pPr>
              <w:jc w:val="right"/>
              <w:textAlignment w:val="bottom"/>
            </w:pPr>
            <w:r>
              <w:rPr>
                <w:rFonts w:ascii="Arial" w:eastAsia="宋体" w:hAnsi="Arial" w:cs="Arial"/>
                <w:color w:val="000000"/>
                <w:sz w:val="17"/>
                <w:szCs w:val="17"/>
              </w:rPr>
              <w:t>3,438 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AA"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AB"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AC" w14:textId="77777777" w:rsidR="008A3BAC" w:rsidRDefault="005C75B9">
            <w:pPr>
              <w:jc w:val="right"/>
              <w:textAlignment w:val="bottom"/>
            </w:pPr>
            <w:r>
              <w:rPr>
                <w:rFonts w:ascii="Arial" w:eastAsia="宋体" w:hAnsi="Arial" w:cs="Arial"/>
                <w:color w:val="000000"/>
                <w:sz w:val="17"/>
                <w:szCs w:val="17"/>
              </w:rPr>
              <w:t>3,041 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A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AE"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AF"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CB0"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CB1"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CB2" w14:textId="77777777" w:rsidR="008A3BAC" w:rsidRDefault="005C75B9">
            <w:pPr>
              <w:jc w:val="right"/>
              <w:textAlignment w:val="bottom"/>
            </w:pPr>
            <w:r>
              <w:rPr>
                <w:rFonts w:ascii="Arial" w:eastAsia="宋体" w:hAnsi="Arial" w:cs="Arial"/>
                <w:color w:val="000000"/>
                <w:sz w:val="17"/>
                <w:szCs w:val="17"/>
              </w:rPr>
              <w:t>10,769 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CB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CB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CB5" w14:textId="77777777" w:rsidR="008A3BAC" w:rsidRDefault="005C75B9">
            <w:pPr>
              <w:jc w:val="right"/>
              <w:textAlignment w:val="bottom"/>
            </w:pPr>
            <w:r>
              <w:rPr>
                <w:rFonts w:ascii="Arial" w:eastAsia="宋体" w:hAnsi="Arial" w:cs="Arial"/>
                <w:color w:val="000000"/>
                <w:sz w:val="17"/>
                <w:szCs w:val="17"/>
              </w:rPr>
              <w:t>9,283 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B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CB7"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CB8"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CB9" w14:textId="77777777" w:rsidR="008A3BAC" w:rsidRDefault="008A3BAC">
            <w:pPr>
              <w:rPr>
                <w:rFonts w:ascii="宋体"/>
                <w:vanish/>
              </w:rPr>
            </w:pPr>
          </w:p>
        </w:tc>
        <w:tc>
          <w:tcPr>
            <w:tcW w:w="0" w:type="auto"/>
            <w:shd w:val="clear" w:color="auto" w:fill="auto"/>
            <w:vAlign w:val="bottom"/>
          </w:tcPr>
          <w:p w14:paraId="26E9DCBA" w14:textId="77777777" w:rsidR="008A3BAC" w:rsidRDefault="008A3BAC">
            <w:pPr>
              <w:rPr>
                <w:rFonts w:ascii="宋体"/>
                <w:vanish/>
              </w:rPr>
            </w:pPr>
          </w:p>
        </w:tc>
        <w:tc>
          <w:tcPr>
            <w:tcW w:w="0" w:type="auto"/>
            <w:gridSpan w:val="3"/>
            <w:shd w:val="clear" w:color="auto" w:fill="auto"/>
            <w:vAlign w:val="bottom"/>
          </w:tcPr>
          <w:p w14:paraId="26E9DCBB" w14:textId="77777777" w:rsidR="008A3BAC" w:rsidRDefault="008A3BAC">
            <w:pPr>
              <w:rPr>
                <w:rFonts w:ascii="宋体"/>
                <w:vanish/>
              </w:rPr>
            </w:pPr>
          </w:p>
        </w:tc>
        <w:tc>
          <w:tcPr>
            <w:tcW w:w="0" w:type="auto"/>
            <w:gridSpan w:val="3"/>
            <w:shd w:val="clear" w:color="auto" w:fill="auto"/>
            <w:vAlign w:val="bottom"/>
          </w:tcPr>
          <w:p w14:paraId="26E9DCBC" w14:textId="77777777" w:rsidR="008A3BAC" w:rsidRDefault="008A3BAC">
            <w:pPr>
              <w:rPr>
                <w:rFonts w:ascii="宋体"/>
                <w:vanish/>
              </w:rPr>
            </w:pPr>
          </w:p>
        </w:tc>
      </w:tr>
      <w:tr w:rsidR="008A3BAC" w14:paraId="26E9DCCE"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6E9DCBE" w14:textId="77777777" w:rsidR="008A3BAC" w:rsidRDefault="005C75B9">
            <w:pPr>
              <w:textAlignment w:val="bottom"/>
            </w:pPr>
            <w:r>
              <w:rPr>
                <w:rFonts w:ascii="Arial" w:eastAsia="宋体" w:hAnsi="Arial" w:cs="Arial"/>
                <w:color w:val="000000"/>
                <w:sz w:val="17"/>
                <w:szCs w:val="17"/>
              </w:rPr>
              <w:t>% of revenues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DCBF" w14:textId="77777777" w:rsidR="008A3BAC" w:rsidRDefault="005C75B9">
            <w:pPr>
              <w:jc w:val="right"/>
              <w:textAlignment w:val="bottom"/>
            </w:pPr>
            <w:r>
              <w:rPr>
                <w:rFonts w:ascii="Arial" w:eastAsia="宋体" w:hAnsi="Arial" w:cs="Arial"/>
                <w:color w:val="000000"/>
                <w:sz w:val="17"/>
                <w:szCs w:val="17"/>
              </w:rPr>
              <w:t>31.6 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DCC0"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DCC1" w14:textId="77777777" w:rsidR="008A3BAC" w:rsidRDefault="005C75B9">
            <w:pPr>
              <w:jc w:val="right"/>
              <w:textAlignment w:val="bottom"/>
            </w:pPr>
            <w:r>
              <w:rPr>
                <w:rFonts w:ascii="Arial" w:eastAsia="宋体" w:hAnsi="Arial" w:cs="Arial"/>
                <w:color w:val="000000"/>
                <w:sz w:val="17"/>
                <w:szCs w:val="17"/>
              </w:rPr>
              <w:t>29.4 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DCC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6E9DCC3" w14:textId="77777777" w:rsidR="008A3BAC" w:rsidRDefault="005C75B9">
            <w:pPr>
              <w:jc w:val="right"/>
              <w:textAlignment w:val="top"/>
            </w:pPr>
            <w:r>
              <w:rPr>
                <w:rFonts w:ascii="Arial" w:eastAsia="宋体" w:hAnsi="Arial" w:cs="Arial"/>
                <w:color w:val="000000"/>
                <w:sz w:val="17"/>
                <w:szCs w:val="17"/>
              </w:rPr>
              <w:t>220 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DCC4" w14:textId="77777777" w:rsidR="008A3BAC" w:rsidRDefault="008A3BAC">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DCC5" w14:textId="77777777" w:rsidR="008A3BAC" w:rsidRDefault="005C75B9">
            <w:pPr>
              <w:jc w:val="right"/>
              <w:textAlignment w:val="bottom"/>
            </w:pPr>
            <w:r>
              <w:rPr>
                <w:rFonts w:ascii="Arial" w:eastAsia="宋体" w:hAnsi="Arial" w:cs="Arial"/>
                <w:color w:val="000000"/>
                <w:sz w:val="17"/>
                <w:szCs w:val="17"/>
              </w:rPr>
              <w:t>31.2 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DCC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DCC7" w14:textId="77777777" w:rsidR="008A3BAC" w:rsidRDefault="005C75B9">
            <w:pPr>
              <w:jc w:val="right"/>
              <w:textAlignment w:val="bottom"/>
            </w:pPr>
            <w:r>
              <w:rPr>
                <w:rFonts w:ascii="Arial" w:eastAsia="宋体" w:hAnsi="Arial" w:cs="Arial"/>
                <w:color w:val="000000"/>
                <w:sz w:val="17"/>
                <w:szCs w:val="17"/>
              </w:rPr>
              <w:t>28.8 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DCC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6E9DCC9" w14:textId="77777777" w:rsidR="008A3BAC" w:rsidRDefault="005C75B9">
            <w:pPr>
              <w:jc w:val="right"/>
              <w:textAlignment w:val="top"/>
            </w:pPr>
            <w:r>
              <w:rPr>
                <w:rFonts w:ascii="Arial" w:eastAsia="宋体" w:hAnsi="Arial" w:cs="Arial"/>
                <w:color w:val="000000"/>
                <w:sz w:val="17"/>
                <w:szCs w:val="17"/>
              </w:rPr>
              <w:t>240 bps</w:t>
            </w:r>
          </w:p>
        </w:tc>
        <w:tc>
          <w:tcPr>
            <w:tcW w:w="0" w:type="auto"/>
            <w:shd w:val="clear" w:color="auto" w:fill="auto"/>
            <w:vAlign w:val="bottom"/>
          </w:tcPr>
          <w:p w14:paraId="26E9DCCA" w14:textId="77777777" w:rsidR="008A3BAC" w:rsidRDefault="008A3BAC">
            <w:pPr>
              <w:rPr>
                <w:rFonts w:ascii="宋体"/>
                <w:vanish/>
              </w:rPr>
            </w:pPr>
          </w:p>
        </w:tc>
        <w:tc>
          <w:tcPr>
            <w:tcW w:w="0" w:type="auto"/>
            <w:shd w:val="clear" w:color="auto" w:fill="auto"/>
            <w:vAlign w:val="bottom"/>
          </w:tcPr>
          <w:p w14:paraId="26E9DCCB" w14:textId="77777777" w:rsidR="008A3BAC" w:rsidRDefault="008A3BAC">
            <w:pPr>
              <w:rPr>
                <w:rFonts w:ascii="宋体"/>
                <w:vanish/>
              </w:rPr>
            </w:pPr>
          </w:p>
        </w:tc>
        <w:tc>
          <w:tcPr>
            <w:tcW w:w="0" w:type="auto"/>
            <w:gridSpan w:val="3"/>
            <w:shd w:val="clear" w:color="auto" w:fill="auto"/>
            <w:vAlign w:val="bottom"/>
          </w:tcPr>
          <w:p w14:paraId="26E9DCCC" w14:textId="77777777" w:rsidR="008A3BAC" w:rsidRDefault="008A3BAC">
            <w:pPr>
              <w:rPr>
                <w:rFonts w:ascii="宋体"/>
                <w:vanish/>
              </w:rPr>
            </w:pPr>
          </w:p>
        </w:tc>
        <w:tc>
          <w:tcPr>
            <w:tcW w:w="0" w:type="auto"/>
            <w:gridSpan w:val="3"/>
            <w:shd w:val="clear" w:color="auto" w:fill="auto"/>
            <w:vAlign w:val="bottom"/>
          </w:tcPr>
          <w:p w14:paraId="26E9DCCD" w14:textId="77777777" w:rsidR="008A3BAC" w:rsidRDefault="008A3BAC">
            <w:pPr>
              <w:rPr>
                <w:rFonts w:ascii="宋体"/>
                <w:vanish/>
              </w:rPr>
            </w:pPr>
          </w:p>
        </w:tc>
      </w:tr>
    </w:tbl>
    <w:p w14:paraId="26E9DCCF" w14:textId="77777777" w:rsidR="008A3BAC" w:rsidRDefault="005C75B9">
      <w:pP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products, television, digital and print advertising and </w:t>
      </w:r>
      <w:r>
        <w:rPr>
          <w:rFonts w:ascii="Arial" w:eastAsia="宋体" w:hAnsi="Arial" w:cs="Arial"/>
          <w:i/>
          <w:iCs/>
          <w:color w:val="000000"/>
          <w:sz w:val="14"/>
          <w:szCs w:val="14"/>
        </w:rPr>
        <w:t>media costs, brand events and retail brand presentation.</w:t>
      </w:r>
    </w:p>
    <w:p w14:paraId="26E9DCD0" w14:textId="77777777" w:rsidR="008A3BAC" w:rsidRDefault="005C75B9">
      <w:pPr>
        <w:spacing w:before="120"/>
      </w:pPr>
      <w:r>
        <w:rPr>
          <w:rFonts w:ascii="sans-serif" w:eastAsia="sans-serif" w:hAnsi="sans-serif" w:cs="sans-serif"/>
          <w:b/>
          <w:bCs/>
          <w:color w:val="808080"/>
          <w:sz w:val="22"/>
          <w:szCs w:val="22"/>
        </w:rPr>
        <w:t>THIRD QUARTER OF FISCAL 2022 COMPARED TO THIRD QUARTER OF FISCAL 2021</w:t>
      </w:r>
    </w:p>
    <w:p w14:paraId="26E9DCD1" w14:textId="77777777" w:rsidR="008A3BAC" w:rsidRDefault="005C75B9">
      <w:pPr>
        <w:spacing w:after="120"/>
      </w:pPr>
      <w:r>
        <w:rPr>
          <w:rFonts w:ascii="Arial" w:eastAsia="宋体" w:hAnsi="Arial" w:cs="Arial"/>
          <w:color w:val="000000"/>
          <w:sz w:val="17"/>
          <w:szCs w:val="17"/>
        </w:rPr>
        <w:t>Demand creation expense increased 20% for the third quarter of fiscal 2022 primarily due to higher advertising and marketing spen</w:t>
      </w:r>
      <w:r>
        <w:rPr>
          <w:rFonts w:ascii="Arial" w:eastAsia="宋体" w:hAnsi="Arial" w:cs="Arial"/>
          <w:color w:val="000000"/>
          <w:sz w:val="17"/>
          <w:szCs w:val="17"/>
        </w:rPr>
        <w:t>d reflecting normalization of spend against brand campaigns and continued investments in digital marketing to support heightened digital demand. Changes in foreign currency exchange rates decreased Demand creation expense by approximately 2 percentage poin</w:t>
      </w:r>
      <w:r>
        <w:rPr>
          <w:rFonts w:ascii="Arial" w:eastAsia="宋体" w:hAnsi="Arial" w:cs="Arial"/>
          <w:color w:val="000000"/>
          <w:sz w:val="17"/>
          <w:szCs w:val="17"/>
        </w:rPr>
        <w:t>ts.</w:t>
      </w:r>
    </w:p>
    <w:p w14:paraId="26E9DCD2" w14:textId="77777777" w:rsidR="008A3BAC" w:rsidRDefault="005C75B9">
      <w:pPr>
        <w:spacing w:before="120" w:after="120"/>
      </w:pPr>
      <w:r>
        <w:rPr>
          <w:rFonts w:ascii="Arial" w:eastAsia="宋体" w:hAnsi="Arial" w:cs="Arial"/>
          <w:color w:val="000000"/>
          <w:sz w:val="17"/>
          <w:szCs w:val="17"/>
        </w:rPr>
        <w:t>Operating overhead expense increased 11% primarily due to higher strategic technology investments and an increase in wage-related expenses. Changes in foreign currency exchange rates decreased Operating overhead expense by approximately 1 percentage po</w:t>
      </w:r>
      <w:r>
        <w:rPr>
          <w:rFonts w:ascii="Arial" w:eastAsia="宋体" w:hAnsi="Arial" w:cs="Arial"/>
          <w:color w:val="000000"/>
          <w:sz w:val="17"/>
          <w:szCs w:val="17"/>
        </w:rPr>
        <w:t xml:space="preserve">int. </w:t>
      </w:r>
    </w:p>
    <w:p w14:paraId="26E9DCD3"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OF FISCAL 2021</w:t>
      </w:r>
    </w:p>
    <w:p w14:paraId="26E9DCD4" w14:textId="77777777" w:rsidR="008A3BAC" w:rsidRDefault="005C75B9">
      <w:pPr>
        <w:spacing w:after="120"/>
      </w:pPr>
      <w:r>
        <w:rPr>
          <w:rFonts w:ascii="Arial" w:eastAsia="宋体" w:hAnsi="Arial" w:cs="Arial"/>
          <w:color w:val="000000"/>
          <w:sz w:val="17"/>
          <w:szCs w:val="17"/>
        </w:rPr>
        <w:t>Demand creation expense increased 32% for the first nine months of fiscal 2022 primarily due to higher advertising and marketing spend against brand campaigns as we experie</w:t>
      </w:r>
      <w:r>
        <w:rPr>
          <w:rFonts w:ascii="Arial" w:eastAsia="宋体" w:hAnsi="Arial" w:cs="Arial"/>
          <w:color w:val="000000"/>
          <w:sz w:val="17"/>
          <w:szCs w:val="17"/>
        </w:rPr>
        <w:t xml:space="preserve">nced marketplace closures in the prior year due to COVID-19, as well as continued investments in digital marketing to support heightened digital demand. Changes in foreign currency exchange rates had an insignificant impact on Demand creation expense. </w:t>
      </w:r>
    </w:p>
    <w:p w14:paraId="26E9DCD5" w14:textId="77777777" w:rsidR="008A3BAC" w:rsidRDefault="005C75B9">
      <w:pPr>
        <w:spacing w:before="120" w:after="120"/>
      </w:pPr>
      <w:r>
        <w:rPr>
          <w:rFonts w:ascii="Arial" w:eastAsia="宋体" w:hAnsi="Arial" w:cs="Arial"/>
          <w:color w:val="000000"/>
          <w:sz w:val="17"/>
          <w:szCs w:val="17"/>
        </w:rPr>
        <w:t>Ope</w:t>
      </w:r>
      <w:r>
        <w:rPr>
          <w:rFonts w:ascii="Arial" w:eastAsia="宋体" w:hAnsi="Arial" w:cs="Arial"/>
          <w:color w:val="000000"/>
          <w:sz w:val="17"/>
          <w:szCs w:val="17"/>
        </w:rPr>
        <w:t>rating overhead expense increased 11% primarily due to higher strategic technology investments and an increase in wage-related expenses. Changes in foreign currency exchange rates had an insignificant impact on Operating overhead expense.</w:t>
      </w:r>
    </w:p>
    <w:p w14:paraId="26E9DCD6" w14:textId="77777777" w:rsidR="008A3BAC" w:rsidRDefault="005C75B9">
      <w:pPr>
        <w:spacing w:before="240" w:after="120"/>
      </w:pPr>
      <w:r>
        <w:rPr>
          <w:rFonts w:ascii="sans-serif" w:eastAsia="sans-serif" w:hAnsi="sans-serif" w:cs="sans-serif"/>
          <w:b/>
          <w:bCs/>
          <w:color w:val="000000"/>
          <w:sz w:val="28"/>
          <w:szCs w:val="28"/>
        </w:rPr>
        <w:t>OTHER (INCOME) EX</w:t>
      </w:r>
      <w:r>
        <w:rPr>
          <w:rFonts w:ascii="sans-serif" w:eastAsia="sans-serif" w:hAnsi="sans-serif" w:cs="sans-serif"/>
          <w:b/>
          <w:bCs/>
          <w:color w:val="000000"/>
          <w:sz w:val="28"/>
          <w:szCs w:val="28"/>
        </w:rPr>
        <w:t>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3563"/>
        <w:gridCol w:w="37"/>
        <w:gridCol w:w="115"/>
        <w:gridCol w:w="933"/>
        <w:gridCol w:w="36"/>
        <w:gridCol w:w="115"/>
        <w:gridCol w:w="933"/>
        <w:gridCol w:w="36"/>
        <w:gridCol w:w="36"/>
        <w:gridCol w:w="36"/>
        <w:gridCol w:w="36"/>
        <w:gridCol w:w="115"/>
        <w:gridCol w:w="934"/>
        <w:gridCol w:w="36"/>
        <w:gridCol w:w="115"/>
        <w:gridCol w:w="934"/>
        <w:gridCol w:w="36"/>
        <w:gridCol w:w="36"/>
        <w:gridCol w:w="36"/>
        <w:gridCol w:w="36"/>
        <w:gridCol w:w="36"/>
        <w:gridCol w:w="36"/>
        <w:gridCol w:w="36"/>
        <w:gridCol w:w="36"/>
      </w:tblGrid>
      <w:tr w:rsidR="008A3BAC" w14:paraId="26E9DCEC" w14:textId="77777777">
        <w:tc>
          <w:tcPr>
            <w:tcW w:w="50" w:type="pct"/>
            <w:shd w:val="clear" w:color="auto" w:fill="auto"/>
            <w:vAlign w:val="bottom"/>
          </w:tcPr>
          <w:p w14:paraId="26E9DCD7" w14:textId="77777777" w:rsidR="008A3BAC" w:rsidRDefault="008A3BAC">
            <w:pPr>
              <w:rPr>
                <w:rFonts w:ascii="宋体"/>
              </w:rPr>
            </w:pPr>
          </w:p>
        </w:tc>
        <w:tc>
          <w:tcPr>
            <w:tcW w:w="2246" w:type="pct"/>
            <w:shd w:val="clear" w:color="auto" w:fill="auto"/>
            <w:vAlign w:val="bottom"/>
          </w:tcPr>
          <w:p w14:paraId="26E9DCD8" w14:textId="77777777" w:rsidR="008A3BAC" w:rsidRDefault="008A3BAC">
            <w:pPr>
              <w:rPr>
                <w:rFonts w:ascii="宋体"/>
              </w:rPr>
            </w:pPr>
          </w:p>
        </w:tc>
        <w:tc>
          <w:tcPr>
            <w:tcW w:w="5" w:type="pct"/>
            <w:shd w:val="clear" w:color="auto" w:fill="auto"/>
            <w:vAlign w:val="bottom"/>
          </w:tcPr>
          <w:p w14:paraId="26E9DCD9" w14:textId="77777777" w:rsidR="008A3BAC" w:rsidRDefault="008A3BAC">
            <w:pPr>
              <w:rPr>
                <w:rFonts w:ascii="宋体"/>
              </w:rPr>
            </w:pPr>
          </w:p>
        </w:tc>
        <w:tc>
          <w:tcPr>
            <w:tcW w:w="50" w:type="pct"/>
            <w:shd w:val="clear" w:color="auto" w:fill="auto"/>
            <w:vAlign w:val="bottom"/>
          </w:tcPr>
          <w:p w14:paraId="26E9DCDA" w14:textId="77777777" w:rsidR="008A3BAC" w:rsidRDefault="008A3BAC">
            <w:pPr>
              <w:rPr>
                <w:rFonts w:ascii="宋体"/>
              </w:rPr>
            </w:pPr>
          </w:p>
        </w:tc>
        <w:tc>
          <w:tcPr>
            <w:tcW w:w="612" w:type="pct"/>
            <w:shd w:val="clear" w:color="auto" w:fill="auto"/>
            <w:vAlign w:val="bottom"/>
          </w:tcPr>
          <w:p w14:paraId="26E9DCDB" w14:textId="77777777" w:rsidR="008A3BAC" w:rsidRDefault="008A3BAC">
            <w:pPr>
              <w:rPr>
                <w:rFonts w:ascii="宋体"/>
              </w:rPr>
            </w:pPr>
          </w:p>
        </w:tc>
        <w:tc>
          <w:tcPr>
            <w:tcW w:w="5" w:type="pct"/>
            <w:shd w:val="clear" w:color="auto" w:fill="auto"/>
            <w:vAlign w:val="bottom"/>
          </w:tcPr>
          <w:p w14:paraId="26E9DCDC" w14:textId="77777777" w:rsidR="008A3BAC" w:rsidRDefault="008A3BAC">
            <w:pPr>
              <w:rPr>
                <w:rFonts w:ascii="宋体"/>
              </w:rPr>
            </w:pPr>
          </w:p>
        </w:tc>
        <w:tc>
          <w:tcPr>
            <w:tcW w:w="50" w:type="pct"/>
            <w:shd w:val="clear" w:color="auto" w:fill="auto"/>
            <w:vAlign w:val="bottom"/>
          </w:tcPr>
          <w:p w14:paraId="26E9DCDD" w14:textId="77777777" w:rsidR="008A3BAC" w:rsidRDefault="008A3BAC">
            <w:pPr>
              <w:rPr>
                <w:rFonts w:ascii="宋体"/>
              </w:rPr>
            </w:pPr>
          </w:p>
        </w:tc>
        <w:tc>
          <w:tcPr>
            <w:tcW w:w="612" w:type="pct"/>
            <w:shd w:val="clear" w:color="auto" w:fill="auto"/>
            <w:vAlign w:val="bottom"/>
          </w:tcPr>
          <w:p w14:paraId="26E9DCDE" w14:textId="77777777" w:rsidR="008A3BAC" w:rsidRDefault="008A3BAC">
            <w:pPr>
              <w:rPr>
                <w:rFonts w:ascii="宋体"/>
              </w:rPr>
            </w:pPr>
          </w:p>
        </w:tc>
        <w:tc>
          <w:tcPr>
            <w:tcW w:w="5" w:type="pct"/>
            <w:shd w:val="clear" w:color="auto" w:fill="auto"/>
            <w:vAlign w:val="bottom"/>
          </w:tcPr>
          <w:p w14:paraId="26E9DCDF" w14:textId="77777777" w:rsidR="008A3BAC" w:rsidRDefault="008A3BAC">
            <w:pPr>
              <w:rPr>
                <w:rFonts w:ascii="宋体"/>
              </w:rPr>
            </w:pPr>
          </w:p>
        </w:tc>
        <w:tc>
          <w:tcPr>
            <w:tcW w:w="5" w:type="pct"/>
            <w:shd w:val="clear" w:color="auto" w:fill="auto"/>
            <w:vAlign w:val="bottom"/>
          </w:tcPr>
          <w:p w14:paraId="26E9DCE0" w14:textId="77777777" w:rsidR="008A3BAC" w:rsidRDefault="008A3BAC">
            <w:pPr>
              <w:rPr>
                <w:rFonts w:ascii="宋体"/>
              </w:rPr>
            </w:pPr>
          </w:p>
        </w:tc>
        <w:tc>
          <w:tcPr>
            <w:tcW w:w="19" w:type="pct"/>
            <w:shd w:val="clear" w:color="auto" w:fill="auto"/>
            <w:vAlign w:val="bottom"/>
          </w:tcPr>
          <w:p w14:paraId="26E9DCE1" w14:textId="77777777" w:rsidR="008A3BAC" w:rsidRDefault="008A3BAC">
            <w:pPr>
              <w:rPr>
                <w:rFonts w:ascii="宋体"/>
              </w:rPr>
            </w:pPr>
          </w:p>
        </w:tc>
        <w:tc>
          <w:tcPr>
            <w:tcW w:w="5" w:type="pct"/>
            <w:shd w:val="clear" w:color="auto" w:fill="auto"/>
            <w:vAlign w:val="bottom"/>
          </w:tcPr>
          <w:p w14:paraId="26E9DCE2" w14:textId="77777777" w:rsidR="008A3BAC" w:rsidRDefault="008A3BAC">
            <w:pPr>
              <w:rPr>
                <w:rFonts w:ascii="宋体"/>
              </w:rPr>
            </w:pPr>
          </w:p>
        </w:tc>
        <w:tc>
          <w:tcPr>
            <w:tcW w:w="50" w:type="pct"/>
            <w:shd w:val="clear" w:color="auto" w:fill="auto"/>
            <w:vAlign w:val="bottom"/>
          </w:tcPr>
          <w:p w14:paraId="26E9DCE3" w14:textId="77777777" w:rsidR="008A3BAC" w:rsidRDefault="008A3BAC">
            <w:pPr>
              <w:rPr>
                <w:rFonts w:ascii="宋体"/>
              </w:rPr>
            </w:pPr>
          </w:p>
        </w:tc>
        <w:tc>
          <w:tcPr>
            <w:tcW w:w="612" w:type="pct"/>
            <w:shd w:val="clear" w:color="auto" w:fill="auto"/>
            <w:vAlign w:val="bottom"/>
          </w:tcPr>
          <w:p w14:paraId="26E9DCE4" w14:textId="77777777" w:rsidR="008A3BAC" w:rsidRDefault="008A3BAC">
            <w:pPr>
              <w:rPr>
                <w:rFonts w:ascii="宋体"/>
              </w:rPr>
            </w:pPr>
          </w:p>
        </w:tc>
        <w:tc>
          <w:tcPr>
            <w:tcW w:w="5" w:type="pct"/>
            <w:shd w:val="clear" w:color="auto" w:fill="auto"/>
            <w:vAlign w:val="bottom"/>
          </w:tcPr>
          <w:p w14:paraId="26E9DCE5" w14:textId="77777777" w:rsidR="008A3BAC" w:rsidRDefault="008A3BAC">
            <w:pPr>
              <w:rPr>
                <w:rFonts w:ascii="宋体"/>
              </w:rPr>
            </w:pPr>
          </w:p>
        </w:tc>
        <w:tc>
          <w:tcPr>
            <w:tcW w:w="50" w:type="pct"/>
            <w:shd w:val="clear" w:color="auto" w:fill="auto"/>
            <w:vAlign w:val="bottom"/>
          </w:tcPr>
          <w:p w14:paraId="26E9DCE6" w14:textId="77777777" w:rsidR="008A3BAC" w:rsidRDefault="008A3BAC">
            <w:pPr>
              <w:rPr>
                <w:rFonts w:ascii="宋体"/>
              </w:rPr>
            </w:pPr>
          </w:p>
        </w:tc>
        <w:tc>
          <w:tcPr>
            <w:tcW w:w="612" w:type="pct"/>
            <w:shd w:val="clear" w:color="auto" w:fill="auto"/>
            <w:vAlign w:val="bottom"/>
          </w:tcPr>
          <w:p w14:paraId="26E9DCE7" w14:textId="77777777" w:rsidR="008A3BAC" w:rsidRDefault="008A3BAC">
            <w:pPr>
              <w:rPr>
                <w:rFonts w:ascii="宋体"/>
              </w:rPr>
            </w:pPr>
          </w:p>
        </w:tc>
        <w:tc>
          <w:tcPr>
            <w:tcW w:w="5" w:type="pct"/>
            <w:shd w:val="clear" w:color="auto" w:fill="auto"/>
            <w:vAlign w:val="bottom"/>
          </w:tcPr>
          <w:p w14:paraId="26E9DCE8" w14:textId="77777777" w:rsidR="008A3BAC" w:rsidRDefault="008A3BAC">
            <w:pPr>
              <w:rPr>
                <w:rFonts w:ascii="宋体"/>
              </w:rPr>
            </w:pPr>
          </w:p>
        </w:tc>
        <w:tc>
          <w:tcPr>
            <w:tcW w:w="0" w:type="auto"/>
            <w:shd w:val="clear" w:color="auto" w:fill="auto"/>
            <w:vAlign w:val="bottom"/>
          </w:tcPr>
          <w:p w14:paraId="26E9DCE9" w14:textId="77777777" w:rsidR="008A3BAC" w:rsidRDefault="008A3BAC">
            <w:pPr>
              <w:rPr>
                <w:rFonts w:ascii="宋体"/>
                <w:vanish/>
              </w:rPr>
            </w:pPr>
          </w:p>
        </w:tc>
        <w:tc>
          <w:tcPr>
            <w:tcW w:w="0" w:type="auto"/>
            <w:gridSpan w:val="3"/>
            <w:shd w:val="clear" w:color="auto" w:fill="auto"/>
            <w:vAlign w:val="bottom"/>
          </w:tcPr>
          <w:p w14:paraId="26E9DCEA" w14:textId="77777777" w:rsidR="008A3BAC" w:rsidRDefault="008A3BAC">
            <w:pPr>
              <w:rPr>
                <w:rFonts w:ascii="宋体"/>
                <w:vanish/>
              </w:rPr>
            </w:pPr>
          </w:p>
        </w:tc>
        <w:tc>
          <w:tcPr>
            <w:tcW w:w="0" w:type="auto"/>
            <w:gridSpan w:val="3"/>
            <w:shd w:val="clear" w:color="auto" w:fill="auto"/>
            <w:vAlign w:val="bottom"/>
          </w:tcPr>
          <w:p w14:paraId="26E9DCEB" w14:textId="77777777" w:rsidR="008A3BAC" w:rsidRDefault="008A3BAC">
            <w:pPr>
              <w:rPr>
                <w:rFonts w:ascii="宋体"/>
                <w:vanish/>
              </w:rPr>
            </w:pPr>
          </w:p>
        </w:tc>
      </w:tr>
      <w:tr w:rsidR="008A3BAC" w14:paraId="26E9DCF8" w14:textId="77777777">
        <w:tc>
          <w:tcPr>
            <w:tcW w:w="0" w:type="auto"/>
            <w:gridSpan w:val="3"/>
            <w:shd w:val="clear" w:color="auto" w:fill="auto"/>
            <w:tcMar>
              <w:top w:w="0" w:type="dxa"/>
              <w:left w:w="20" w:type="dxa"/>
              <w:bottom w:w="0" w:type="dxa"/>
              <w:right w:w="20" w:type="dxa"/>
            </w:tcMar>
            <w:vAlign w:val="bottom"/>
          </w:tcPr>
          <w:p w14:paraId="26E9DCED"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DCEE"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CEF" w14:textId="77777777" w:rsidR="008A3BAC" w:rsidRDefault="008A3BAC">
            <w:pPr>
              <w:rPr>
                <w:rFonts w:ascii="宋体"/>
              </w:rPr>
            </w:pPr>
          </w:p>
        </w:tc>
        <w:tc>
          <w:tcPr>
            <w:tcW w:w="0" w:type="auto"/>
            <w:gridSpan w:val="6"/>
            <w:shd w:val="clear" w:color="auto" w:fill="auto"/>
            <w:tcMar>
              <w:top w:w="40" w:type="dxa"/>
              <w:left w:w="20" w:type="dxa"/>
              <w:bottom w:w="40" w:type="dxa"/>
              <w:right w:w="20" w:type="dxa"/>
            </w:tcMar>
            <w:vAlign w:val="bottom"/>
          </w:tcPr>
          <w:p w14:paraId="26E9DCF0"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CF1" w14:textId="77777777" w:rsidR="008A3BAC" w:rsidRDefault="008A3BAC">
            <w:pPr>
              <w:rPr>
                <w:rFonts w:ascii="宋体"/>
                <w:vanish/>
              </w:rPr>
            </w:pPr>
          </w:p>
        </w:tc>
        <w:tc>
          <w:tcPr>
            <w:tcW w:w="0" w:type="auto"/>
            <w:shd w:val="clear" w:color="auto" w:fill="auto"/>
            <w:vAlign w:val="bottom"/>
          </w:tcPr>
          <w:p w14:paraId="26E9DCF2" w14:textId="77777777" w:rsidR="008A3BAC" w:rsidRDefault="008A3BAC">
            <w:pPr>
              <w:rPr>
                <w:rFonts w:ascii="宋体"/>
              </w:rPr>
            </w:pPr>
          </w:p>
        </w:tc>
        <w:tc>
          <w:tcPr>
            <w:tcW w:w="0" w:type="auto"/>
            <w:shd w:val="clear" w:color="auto" w:fill="auto"/>
            <w:vAlign w:val="bottom"/>
          </w:tcPr>
          <w:p w14:paraId="26E9DCF3" w14:textId="77777777" w:rsidR="008A3BAC" w:rsidRDefault="008A3BAC">
            <w:pPr>
              <w:rPr>
                <w:rFonts w:ascii="宋体"/>
              </w:rPr>
            </w:pPr>
          </w:p>
        </w:tc>
        <w:tc>
          <w:tcPr>
            <w:tcW w:w="0" w:type="auto"/>
            <w:shd w:val="clear" w:color="auto" w:fill="auto"/>
            <w:vAlign w:val="bottom"/>
          </w:tcPr>
          <w:p w14:paraId="26E9DCF4" w14:textId="77777777" w:rsidR="008A3BAC" w:rsidRDefault="008A3BAC">
            <w:pPr>
              <w:rPr>
                <w:rFonts w:ascii="宋体"/>
              </w:rPr>
            </w:pPr>
          </w:p>
        </w:tc>
        <w:tc>
          <w:tcPr>
            <w:tcW w:w="0" w:type="auto"/>
            <w:shd w:val="clear" w:color="auto" w:fill="auto"/>
            <w:vAlign w:val="bottom"/>
          </w:tcPr>
          <w:p w14:paraId="26E9DCF5" w14:textId="77777777" w:rsidR="008A3BAC" w:rsidRDefault="008A3BAC">
            <w:pPr>
              <w:rPr>
                <w:rFonts w:ascii="宋体"/>
              </w:rPr>
            </w:pPr>
          </w:p>
        </w:tc>
        <w:tc>
          <w:tcPr>
            <w:tcW w:w="0" w:type="auto"/>
            <w:shd w:val="clear" w:color="auto" w:fill="auto"/>
            <w:vAlign w:val="bottom"/>
          </w:tcPr>
          <w:p w14:paraId="26E9DCF6" w14:textId="77777777" w:rsidR="008A3BAC" w:rsidRDefault="008A3BAC">
            <w:pPr>
              <w:rPr>
                <w:rFonts w:ascii="宋体"/>
              </w:rPr>
            </w:pPr>
          </w:p>
        </w:tc>
        <w:tc>
          <w:tcPr>
            <w:tcW w:w="0" w:type="auto"/>
            <w:shd w:val="clear" w:color="auto" w:fill="auto"/>
            <w:vAlign w:val="bottom"/>
          </w:tcPr>
          <w:p w14:paraId="26E9DCF7" w14:textId="77777777" w:rsidR="008A3BAC" w:rsidRDefault="008A3BAC">
            <w:pPr>
              <w:rPr>
                <w:rFonts w:ascii="宋体"/>
              </w:rPr>
            </w:pPr>
          </w:p>
        </w:tc>
      </w:tr>
      <w:tr w:rsidR="008A3BAC" w14:paraId="26E9DD02" w14:textId="77777777">
        <w:tc>
          <w:tcPr>
            <w:tcW w:w="0" w:type="auto"/>
            <w:gridSpan w:val="3"/>
            <w:shd w:val="clear" w:color="auto" w:fill="auto"/>
            <w:tcMar>
              <w:top w:w="40" w:type="dxa"/>
              <w:left w:w="20" w:type="dxa"/>
              <w:bottom w:w="40" w:type="dxa"/>
              <w:right w:w="20" w:type="dxa"/>
            </w:tcMar>
            <w:vAlign w:val="bottom"/>
          </w:tcPr>
          <w:p w14:paraId="26E9DCF9"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FA"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FB"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6E9DCFC"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FD"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CFE"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shd w:val="clear" w:color="auto" w:fill="auto"/>
            <w:vAlign w:val="bottom"/>
          </w:tcPr>
          <w:p w14:paraId="26E9DCFF" w14:textId="77777777" w:rsidR="008A3BAC" w:rsidRDefault="008A3BAC">
            <w:pPr>
              <w:rPr>
                <w:rFonts w:ascii="宋体"/>
                <w:vanish/>
              </w:rPr>
            </w:pPr>
          </w:p>
        </w:tc>
        <w:tc>
          <w:tcPr>
            <w:tcW w:w="0" w:type="auto"/>
            <w:gridSpan w:val="3"/>
            <w:shd w:val="clear" w:color="auto" w:fill="auto"/>
            <w:vAlign w:val="bottom"/>
          </w:tcPr>
          <w:p w14:paraId="26E9DD00" w14:textId="77777777" w:rsidR="008A3BAC" w:rsidRDefault="008A3BAC">
            <w:pPr>
              <w:rPr>
                <w:rFonts w:ascii="宋体"/>
                <w:vanish/>
              </w:rPr>
            </w:pPr>
          </w:p>
        </w:tc>
        <w:tc>
          <w:tcPr>
            <w:tcW w:w="0" w:type="auto"/>
            <w:gridSpan w:val="3"/>
            <w:shd w:val="clear" w:color="auto" w:fill="auto"/>
            <w:vAlign w:val="bottom"/>
          </w:tcPr>
          <w:p w14:paraId="26E9DD01" w14:textId="77777777" w:rsidR="008A3BAC" w:rsidRDefault="008A3BAC">
            <w:pPr>
              <w:rPr>
                <w:rFonts w:ascii="宋体"/>
                <w:vanish/>
              </w:rPr>
            </w:pPr>
          </w:p>
        </w:tc>
      </w:tr>
      <w:tr w:rsidR="008A3BAC" w14:paraId="26E9DD1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D03" w14:textId="77777777" w:rsidR="008A3BAC" w:rsidRDefault="005C75B9">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D0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D05" w14:textId="77777777" w:rsidR="008A3BAC" w:rsidRDefault="005C75B9">
            <w:pPr>
              <w:jc w:val="right"/>
              <w:textAlignment w:val="bottom"/>
            </w:pPr>
            <w:r>
              <w:rPr>
                <w:rFonts w:ascii="Arial" w:eastAsia="宋体" w:hAnsi="Arial" w:cs="Arial"/>
                <w:color w:val="000000"/>
                <w:sz w:val="17"/>
                <w:szCs w:val="17"/>
              </w:rPr>
              <w:t>(94)</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D06"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D0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D08" w14:textId="77777777" w:rsidR="008A3BAC" w:rsidRDefault="005C75B9">
            <w:pPr>
              <w:jc w:val="right"/>
              <w:textAlignment w:val="bottom"/>
            </w:pPr>
            <w:r>
              <w:rPr>
                <w:rFonts w:ascii="Arial" w:eastAsia="宋体" w:hAnsi="Arial" w:cs="Arial"/>
                <w:color w:val="000000"/>
                <w:sz w:val="17"/>
                <w:szCs w:val="17"/>
              </w:rPr>
              <w:t>(22)</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D09"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D0A"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D0B"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D0C" w14:textId="77777777" w:rsidR="008A3BAC" w:rsidRDefault="005C75B9">
            <w:pPr>
              <w:jc w:val="right"/>
              <w:textAlignment w:val="bottom"/>
            </w:pPr>
            <w:r>
              <w:rPr>
                <w:rFonts w:ascii="Arial" w:eastAsia="宋体" w:hAnsi="Arial" w:cs="Arial"/>
                <w:color w:val="000000"/>
                <w:sz w:val="17"/>
                <w:szCs w:val="17"/>
              </w:rPr>
              <w:t>(235)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D0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D0E"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D0F"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D10" w14:textId="77777777" w:rsidR="008A3BAC" w:rsidRDefault="008A3BAC">
            <w:pPr>
              <w:jc w:val="right"/>
              <w:rPr>
                <w:rFonts w:ascii="宋体"/>
              </w:rPr>
            </w:pPr>
          </w:p>
        </w:tc>
        <w:tc>
          <w:tcPr>
            <w:tcW w:w="0" w:type="auto"/>
            <w:shd w:val="clear" w:color="auto" w:fill="auto"/>
            <w:vAlign w:val="bottom"/>
          </w:tcPr>
          <w:p w14:paraId="26E9DD11" w14:textId="77777777" w:rsidR="008A3BAC" w:rsidRDefault="008A3BAC">
            <w:pPr>
              <w:rPr>
                <w:rFonts w:ascii="宋体"/>
                <w:vanish/>
              </w:rPr>
            </w:pPr>
          </w:p>
        </w:tc>
        <w:tc>
          <w:tcPr>
            <w:tcW w:w="0" w:type="auto"/>
            <w:gridSpan w:val="3"/>
            <w:shd w:val="clear" w:color="auto" w:fill="auto"/>
            <w:vAlign w:val="bottom"/>
          </w:tcPr>
          <w:p w14:paraId="26E9DD12" w14:textId="77777777" w:rsidR="008A3BAC" w:rsidRDefault="008A3BAC">
            <w:pPr>
              <w:rPr>
                <w:rFonts w:ascii="宋体"/>
                <w:vanish/>
              </w:rPr>
            </w:pPr>
          </w:p>
        </w:tc>
        <w:tc>
          <w:tcPr>
            <w:tcW w:w="0" w:type="auto"/>
            <w:gridSpan w:val="3"/>
            <w:shd w:val="clear" w:color="auto" w:fill="auto"/>
            <w:vAlign w:val="bottom"/>
          </w:tcPr>
          <w:p w14:paraId="26E9DD13" w14:textId="77777777" w:rsidR="008A3BAC" w:rsidRDefault="008A3BAC">
            <w:pPr>
              <w:rPr>
                <w:rFonts w:ascii="宋体"/>
                <w:vanish/>
              </w:rPr>
            </w:pPr>
          </w:p>
        </w:tc>
      </w:tr>
    </w:tbl>
    <w:p w14:paraId="26E9DD15" w14:textId="77777777" w:rsidR="008A3BAC" w:rsidRDefault="005C75B9">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denominated in non-functional curre</w:t>
      </w:r>
      <w:r>
        <w:rPr>
          <w:rFonts w:ascii="Arial" w:eastAsia="宋体" w:hAnsi="Arial" w:cs="Arial"/>
          <w:color w:val="000000"/>
          <w:sz w:val="17"/>
          <w:szCs w:val="17"/>
        </w:rPr>
        <w:t>ncies and the impact of certain foreign currency derivative instruments, as well as unusual or non-operating transactions that are outside the normal course of business.</w:t>
      </w:r>
    </w:p>
    <w:p w14:paraId="26E9DD16" w14:textId="77777777" w:rsidR="008A3BAC" w:rsidRDefault="005C75B9">
      <w:pPr>
        <w:spacing w:before="120" w:after="120"/>
      </w:pPr>
      <w:r>
        <w:rPr>
          <w:rFonts w:ascii="Arial" w:eastAsia="宋体" w:hAnsi="Arial" w:cs="Arial"/>
          <w:color w:val="000000"/>
          <w:sz w:val="17"/>
          <w:szCs w:val="17"/>
        </w:rPr>
        <w:t>For the third quarter of fiscal 2022, Other (income) expense, net increased from $22 m</w:t>
      </w:r>
      <w:r>
        <w:rPr>
          <w:rFonts w:ascii="Arial" w:eastAsia="宋体" w:hAnsi="Arial" w:cs="Arial"/>
          <w:color w:val="000000"/>
          <w:sz w:val="17"/>
          <w:szCs w:val="17"/>
        </w:rPr>
        <w:t xml:space="preserve">illion of other income to $94 million in the current year, primarily due to a favorable change in foreign currency conversion gains and losses, including hedges. </w:t>
      </w:r>
    </w:p>
    <w:p w14:paraId="26E9DD17" w14:textId="77777777" w:rsidR="008A3BAC" w:rsidRDefault="005C75B9">
      <w:pPr>
        <w:spacing w:before="120" w:after="120"/>
      </w:pPr>
      <w:r>
        <w:rPr>
          <w:rFonts w:ascii="Arial" w:eastAsia="宋体" w:hAnsi="Arial" w:cs="Arial"/>
          <w:color w:val="000000"/>
          <w:sz w:val="17"/>
          <w:szCs w:val="17"/>
        </w:rPr>
        <w:t>For the first nine months of fiscal 2022, Other (income) expense, net changed from $18 millio</w:t>
      </w:r>
      <w:r>
        <w:rPr>
          <w:rFonts w:ascii="Arial" w:eastAsia="宋体" w:hAnsi="Arial" w:cs="Arial"/>
          <w:color w:val="000000"/>
          <w:sz w:val="17"/>
          <w:szCs w:val="17"/>
        </w:rPr>
        <w:t>n of other expense to $235 million of other income in the current year, primarily due to a favorable change in foreign currency conversion gains and losses, including hedges, as well as a net incremental charge in the prior year, related to our planned, st</w:t>
      </w:r>
      <w:r>
        <w:rPr>
          <w:rFonts w:ascii="Arial" w:eastAsia="宋体" w:hAnsi="Arial" w:cs="Arial"/>
          <w:color w:val="000000"/>
          <w:sz w:val="17"/>
          <w:szCs w:val="17"/>
        </w:rPr>
        <w:t xml:space="preserve">rategic distributor partnership transition within APLA. </w:t>
      </w:r>
    </w:p>
    <w:p w14:paraId="26E9DD18" w14:textId="77777777" w:rsidR="008A3BAC" w:rsidRDefault="005C75B9">
      <w:pPr>
        <w:spacing w:before="120" w:after="120"/>
      </w:pPr>
      <w:r>
        <w:rPr>
          <w:rFonts w:ascii="Arial" w:eastAsia="宋体" w:hAnsi="Arial" w:cs="Arial"/>
          <w:color w:val="000000"/>
          <w:sz w:val="17"/>
          <w:szCs w:val="17"/>
        </w:rPr>
        <w:t>For more information related to our distributor partnership transition within APLA, see Note 13 — Acquisitions and Divestitures within the accompanying Notes to the Unaudited Condensed Consolidated F</w:t>
      </w:r>
      <w:r>
        <w:rPr>
          <w:rFonts w:ascii="Arial" w:eastAsia="宋体" w:hAnsi="Arial" w:cs="Arial"/>
          <w:color w:val="000000"/>
          <w:sz w:val="17"/>
          <w:szCs w:val="17"/>
        </w:rPr>
        <w:t>inancial Statements.</w:t>
      </w:r>
    </w:p>
    <w:p w14:paraId="26E9DD19" w14:textId="77777777" w:rsidR="008A3BAC" w:rsidRDefault="005C75B9">
      <w:pPr>
        <w:spacing w:before="120" w:after="120"/>
      </w:pPr>
      <w:r>
        <w:rPr>
          <w:rFonts w:ascii="Arial" w:eastAsia="宋体" w:hAnsi="Arial" w:cs="Arial"/>
          <w:color w:val="000000"/>
          <w:sz w:val="17"/>
          <w:szCs w:val="17"/>
        </w:rPr>
        <w:t xml:space="preserve">We estimate the combination of the translation of foreign currency-denominated profits from our international businesses and the year-over-year change in foreign currency-related gains and losses included in Other (income) </w:t>
      </w:r>
      <w:r>
        <w:rPr>
          <w:rFonts w:ascii="Arial" w:eastAsia="宋体" w:hAnsi="Arial" w:cs="Arial"/>
          <w:color w:val="000000"/>
          <w:sz w:val="17"/>
          <w:szCs w:val="17"/>
        </w:rPr>
        <w:t>expense, net had favorable impacts of approximately $3 million and $170 million on our Income before income taxes for the third quarter and first nine months of fiscal 2022, respectively.</w:t>
      </w:r>
    </w:p>
    <w:p w14:paraId="26E9DD1A" w14:textId="77777777" w:rsidR="008A3BAC" w:rsidRDefault="005C75B9">
      <w:pPr>
        <w:spacing w:before="120" w:after="120"/>
        <w:jc w:val="right"/>
      </w:pPr>
      <w:r>
        <w:rPr>
          <w:rFonts w:ascii="Arial" w:eastAsia="宋体" w:hAnsi="Arial" w:cs="Arial"/>
          <w:color w:val="E87722"/>
          <w:sz w:val="17"/>
          <w:szCs w:val="17"/>
        </w:rPr>
        <w:t>31</w:t>
      </w:r>
    </w:p>
    <w:p w14:paraId="26E9DD1B" w14:textId="77777777" w:rsidR="008A3BAC" w:rsidRDefault="005C75B9">
      <w:r>
        <w:pict w14:anchorId="26E9E866">
          <v:rect id="_x0000_i1057" style="width:415.3pt;height:1.5pt" o:hralign="center" o:hrstd="t" o:hr="t" fillcolor="#a0a0a0" stroked="f"/>
        </w:pict>
      </w:r>
    </w:p>
    <w:p w14:paraId="26E9DD1C" w14:textId="77777777" w:rsidR="008A3BAC" w:rsidRDefault="008A3BAC"/>
    <w:p w14:paraId="26E9DD1D" w14:textId="77777777" w:rsidR="008A3BAC" w:rsidRDefault="005C75B9">
      <w:hyperlink r:id="rId102" w:anchor="i46aba51c6a804f42b3595948c57d2023_7" w:history="1">
        <w:r>
          <w:rPr>
            <w:rStyle w:val="a5"/>
            <w:rFonts w:ascii="sans-serif" w:eastAsia="sans-serif" w:hAnsi="sans-serif" w:cs="sans-serif"/>
            <w:sz w:val="17"/>
            <w:szCs w:val="17"/>
          </w:rPr>
          <w:t>Table of Contents</w:t>
        </w:r>
      </w:hyperlink>
    </w:p>
    <w:p w14:paraId="26E9DD1E" w14:textId="77777777" w:rsidR="008A3BAC" w:rsidRDefault="008A3BAC"/>
    <w:p w14:paraId="26E9DD1F" w14:textId="77777777" w:rsidR="008A3BAC" w:rsidRDefault="005C75B9">
      <w:pPr>
        <w:spacing w:before="240" w:after="120"/>
      </w:pPr>
      <w:r>
        <w:rPr>
          <w:rFonts w:ascii="sans-serif" w:eastAsia="sans-serif" w:hAnsi="sans-serif" w:cs="sans-serif"/>
          <w:b/>
          <w:bCs/>
          <w:color w:val="000000"/>
          <w:sz w:val="28"/>
          <w:szCs w:val="28"/>
        </w:rPr>
        <w:t>INCOME TAXES</w:t>
      </w:r>
    </w:p>
    <w:tbl>
      <w:tblPr>
        <w:tblW w:w="4992" w:type="pct"/>
        <w:tblCellMar>
          <w:top w:w="15" w:type="dxa"/>
          <w:left w:w="15" w:type="dxa"/>
          <w:bottom w:w="15" w:type="dxa"/>
          <w:right w:w="15" w:type="dxa"/>
        </w:tblCellMar>
        <w:tblLook w:val="04A0" w:firstRow="1" w:lastRow="0" w:firstColumn="1" w:lastColumn="0" w:noHBand="0" w:noVBand="1"/>
      </w:tblPr>
      <w:tblGrid>
        <w:gridCol w:w="37"/>
        <w:gridCol w:w="3223"/>
        <w:gridCol w:w="36"/>
        <w:gridCol w:w="43"/>
        <w:gridCol w:w="593"/>
        <w:gridCol w:w="173"/>
        <w:gridCol w:w="43"/>
        <w:gridCol w:w="593"/>
        <w:gridCol w:w="173"/>
        <w:gridCol w:w="69"/>
        <w:gridCol w:w="569"/>
        <w:gridCol w:w="37"/>
        <w:gridCol w:w="36"/>
        <w:gridCol w:w="36"/>
        <w:gridCol w:w="36"/>
        <w:gridCol w:w="42"/>
        <w:gridCol w:w="610"/>
        <w:gridCol w:w="173"/>
        <w:gridCol w:w="42"/>
        <w:gridCol w:w="610"/>
        <w:gridCol w:w="172"/>
        <w:gridCol w:w="67"/>
        <w:gridCol w:w="585"/>
        <w:gridCol w:w="37"/>
        <w:gridCol w:w="36"/>
        <w:gridCol w:w="36"/>
        <w:gridCol w:w="36"/>
        <w:gridCol w:w="36"/>
        <w:gridCol w:w="36"/>
        <w:gridCol w:w="36"/>
        <w:gridCol w:w="36"/>
        <w:gridCol w:w="36"/>
      </w:tblGrid>
      <w:tr w:rsidR="008A3BAC" w14:paraId="26E9DD3C" w14:textId="77777777">
        <w:tc>
          <w:tcPr>
            <w:tcW w:w="50" w:type="pct"/>
            <w:shd w:val="clear" w:color="auto" w:fill="auto"/>
            <w:vAlign w:val="bottom"/>
          </w:tcPr>
          <w:p w14:paraId="26E9DD20" w14:textId="77777777" w:rsidR="008A3BAC" w:rsidRDefault="008A3BAC">
            <w:pPr>
              <w:rPr>
                <w:rFonts w:ascii="宋体"/>
              </w:rPr>
            </w:pPr>
          </w:p>
        </w:tc>
        <w:tc>
          <w:tcPr>
            <w:tcW w:w="2050" w:type="pct"/>
            <w:shd w:val="clear" w:color="auto" w:fill="auto"/>
            <w:vAlign w:val="bottom"/>
          </w:tcPr>
          <w:p w14:paraId="26E9DD21" w14:textId="77777777" w:rsidR="008A3BAC" w:rsidRDefault="008A3BAC">
            <w:pPr>
              <w:rPr>
                <w:rFonts w:ascii="宋体"/>
              </w:rPr>
            </w:pPr>
          </w:p>
        </w:tc>
        <w:tc>
          <w:tcPr>
            <w:tcW w:w="5" w:type="pct"/>
            <w:shd w:val="clear" w:color="auto" w:fill="auto"/>
            <w:vAlign w:val="bottom"/>
          </w:tcPr>
          <w:p w14:paraId="26E9DD22" w14:textId="77777777" w:rsidR="008A3BAC" w:rsidRDefault="008A3BAC">
            <w:pPr>
              <w:rPr>
                <w:rFonts w:ascii="宋体"/>
              </w:rPr>
            </w:pPr>
          </w:p>
        </w:tc>
        <w:tc>
          <w:tcPr>
            <w:tcW w:w="50" w:type="pct"/>
            <w:shd w:val="clear" w:color="auto" w:fill="auto"/>
            <w:vAlign w:val="bottom"/>
          </w:tcPr>
          <w:p w14:paraId="26E9DD23" w14:textId="77777777" w:rsidR="008A3BAC" w:rsidRDefault="008A3BAC">
            <w:pPr>
              <w:rPr>
                <w:rFonts w:ascii="宋体"/>
              </w:rPr>
            </w:pPr>
          </w:p>
        </w:tc>
        <w:tc>
          <w:tcPr>
            <w:tcW w:w="418" w:type="pct"/>
            <w:shd w:val="clear" w:color="auto" w:fill="auto"/>
            <w:vAlign w:val="bottom"/>
          </w:tcPr>
          <w:p w14:paraId="26E9DD24" w14:textId="77777777" w:rsidR="008A3BAC" w:rsidRDefault="008A3BAC">
            <w:pPr>
              <w:rPr>
                <w:rFonts w:ascii="宋体"/>
              </w:rPr>
            </w:pPr>
          </w:p>
        </w:tc>
        <w:tc>
          <w:tcPr>
            <w:tcW w:w="5" w:type="pct"/>
            <w:shd w:val="clear" w:color="auto" w:fill="auto"/>
            <w:vAlign w:val="bottom"/>
          </w:tcPr>
          <w:p w14:paraId="26E9DD25" w14:textId="77777777" w:rsidR="008A3BAC" w:rsidRDefault="008A3BAC">
            <w:pPr>
              <w:rPr>
                <w:rFonts w:ascii="宋体"/>
              </w:rPr>
            </w:pPr>
          </w:p>
        </w:tc>
        <w:tc>
          <w:tcPr>
            <w:tcW w:w="50" w:type="pct"/>
            <w:shd w:val="clear" w:color="auto" w:fill="auto"/>
            <w:vAlign w:val="bottom"/>
          </w:tcPr>
          <w:p w14:paraId="26E9DD26" w14:textId="77777777" w:rsidR="008A3BAC" w:rsidRDefault="008A3BAC">
            <w:pPr>
              <w:rPr>
                <w:rFonts w:ascii="宋体"/>
              </w:rPr>
            </w:pPr>
          </w:p>
        </w:tc>
        <w:tc>
          <w:tcPr>
            <w:tcW w:w="418" w:type="pct"/>
            <w:shd w:val="clear" w:color="auto" w:fill="auto"/>
            <w:vAlign w:val="bottom"/>
          </w:tcPr>
          <w:p w14:paraId="26E9DD27" w14:textId="77777777" w:rsidR="008A3BAC" w:rsidRDefault="008A3BAC">
            <w:pPr>
              <w:rPr>
                <w:rFonts w:ascii="宋体"/>
              </w:rPr>
            </w:pPr>
          </w:p>
        </w:tc>
        <w:tc>
          <w:tcPr>
            <w:tcW w:w="5" w:type="pct"/>
            <w:shd w:val="clear" w:color="auto" w:fill="auto"/>
            <w:vAlign w:val="bottom"/>
          </w:tcPr>
          <w:p w14:paraId="26E9DD28" w14:textId="77777777" w:rsidR="008A3BAC" w:rsidRDefault="008A3BAC">
            <w:pPr>
              <w:rPr>
                <w:rFonts w:ascii="宋体"/>
              </w:rPr>
            </w:pPr>
          </w:p>
        </w:tc>
        <w:tc>
          <w:tcPr>
            <w:tcW w:w="50" w:type="pct"/>
            <w:shd w:val="clear" w:color="auto" w:fill="auto"/>
            <w:vAlign w:val="bottom"/>
          </w:tcPr>
          <w:p w14:paraId="26E9DD29" w14:textId="77777777" w:rsidR="008A3BAC" w:rsidRDefault="008A3BAC">
            <w:pPr>
              <w:rPr>
                <w:rFonts w:ascii="宋体"/>
              </w:rPr>
            </w:pPr>
          </w:p>
        </w:tc>
        <w:tc>
          <w:tcPr>
            <w:tcW w:w="418" w:type="pct"/>
            <w:shd w:val="clear" w:color="auto" w:fill="auto"/>
            <w:vAlign w:val="bottom"/>
          </w:tcPr>
          <w:p w14:paraId="26E9DD2A" w14:textId="77777777" w:rsidR="008A3BAC" w:rsidRDefault="008A3BAC">
            <w:pPr>
              <w:rPr>
                <w:rFonts w:ascii="宋体"/>
              </w:rPr>
            </w:pPr>
          </w:p>
        </w:tc>
        <w:tc>
          <w:tcPr>
            <w:tcW w:w="5" w:type="pct"/>
            <w:shd w:val="clear" w:color="auto" w:fill="auto"/>
            <w:vAlign w:val="bottom"/>
          </w:tcPr>
          <w:p w14:paraId="26E9DD2B" w14:textId="77777777" w:rsidR="008A3BAC" w:rsidRDefault="008A3BAC">
            <w:pPr>
              <w:rPr>
                <w:rFonts w:ascii="宋体"/>
              </w:rPr>
            </w:pPr>
          </w:p>
        </w:tc>
        <w:tc>
          <w:tcPr>
            <w:tcW w:w="5" w:type="pct"/>
            <w:shd w:val="clear" w:color="auto" w:fill="auto"/>
            <w:vAlign w:val="bottom"/>
          </w:tcPr>
          <w:p w14:paraId="26E9DD2C" w14:textId="77777777" w:rsidR="008A3BAC" w:rsidRDefault="008A3BAC">
            <w:pPr>
              <w:rPr>
                <w:rFonts w:ascii="宋体"/>
              </w:rPr>
            </w:pPr>
          </w:p>
        </w:tc>
        <w:tc>
          <w:tcPr>
            <w:tcW w:w="20" w:type="pct"/>
            <w:shd w:val="clear" w:color="auto" w:fill="auto"/>
            <w:vAlign w:val="bottom"/>
          </w:tcPr>
          <w:p w14:paraId="26E9DD2D" w14:textId="77777777" w:rsidR="008A3BAC" w:rsidRDefault="008A3BAC">
            <w:pPr>
              <w:rPr>
                <w:rFonts w:ascii="宋体"/>
              </w:rPr>
            </w:pPr>
          </w:p>
        </w:tc>
        <w:tc>
          <w:tcPr>
            <w:tcW w:w="5" w:type="pct"/>
            <w:shd w:val="clear" w:color="auto" w:fill="auto"/>
            <w:vAlign w:val="bottom"/>
          </w:tcPr>
          <w:p w14:paraId="26E9DD2E" w14:textId="77777777" w:rsidR="008A3BAC" w:rsidRDefault="008A3BAC">
            <w:pPr>
              <w:rPr>
                <w:rFonts w:ascii="宋体"/>
              </w:rPr>
            </w:pPr>
          </w:p>
        </w:tc>
        <w:tc>
          <w:tcPr>
            <w:tcW w:w="50" w:type="pct"/>
            <w:shd w:val="clear" w:color="auto" w:fill="auto"/>
            <w:vAlign w:val="bottom"/>
          </w:tcPr>
          <w:p w14:paraId="26E9DD2F" w14:textId="77777777" w:rsidR="008A3BAC" w:rsidRDefault="008A3BAC">
            <w:pPr>
              <w:rPr>
                <w:rFonts w:ascii="宋体"/>
              </w:rPr>
            </w:pPr>
          </w:p>
        </w:tc>
        <w:tc>
          <w:tcPr>
            <w:tcW w:w="426" w:type="pct"/>
            <w:shd w:val="clear" w:color="auto" w:fill="auto"/>
            <w:vAlign w:val="bottom"/>
          </w:tcPr>
          <w:p w14:paraId="26E9DD30" w14:textId="77777777" w:rsidR="008A3BAC" w:rsidRDefault="008A3BAC">
            <w:pPr>
              <w:rPr>
                <w:rFonts w:ascii="宋体"/>
              </w:rPr>
            </w:pPr>
          </w:p>
        </w:tc>
        <w:tc>
          <w:tcPr>
            <w:tcW w:w="5" w:type="pct"/>
            <w:shd w:val="clear" w:color="auto" w:fill="auto"/>
            <w:vAlign w:val="bottom"/>
          </w:tcPr>
          <w:p w14:paraId="26E9DD31" w14:textId="77777777" w:rsidR="008A3BAC" w:rsidRDefault="008A3BAC">
            <w:pPr>
              <w:rPr>
                <w:rFonts w:ascii="宋体"/>
              </w:rPr>
            </w:pPr>
          </w:p>
        </w:tc>
        <w:tc>
          <w:tcPr>
            <w:tcW w:w="50" w:type="pct"/>
            <w:shd w:val="clear" w:color="auto" w:fill="auto"/>
            <w:vAlign w:val="bottom"/>
          </w:tcPr>
          <w:p w14:paraId="26E9DD32" w14:textId="77777777" w:rsidR="008A3BAC" w:rsidRDefault="008A3BAC">
            <w:pPr>
              <w:rPr>
                <w:rFonts w:ascii="宋体"/>
              </w:rPr>
            </w:pPr>
          </w:p>
        </w:tc>
        <w:tc>
          <w:tcPr>
            <w:tcW w:w="426" w:type="pct"/>
            <w:shd w:val="clear" w:color="auto" w:fill="auto"/>
            <w:vAlign w:val="bottom"/>
          </w:tcPr>
          <w:p w14:paraId="26E9DD33" w14:textId="77777777" w:rsidR="008A3BAC" w:rsidRDefault="008A3BAC">
            <w:pPr>
              <w:rPr>
                <w:rFonts w:ascii="宋体"/>
              </w:rPr>
            </w:pPr>
          </w:p>
        </w:tc>
        <w:tc>
          <w:tcPr>
            <w:tcW w:w="5" w:type="pct"/>
            <w:shd w:val="clear" w:color="auto" w:fill="auto"/>
            <w:vAlign w:val="bottom"/>
          </w:tcPr>
          <w:p w14:paraId="26E9DD34" w14:textId="77777777" w:rsidR="008A3BAC" w:rsidRDefault="008A3BAC">
            <w:pPr>
              <w:rPr>
                <w:rFonts w:ascii="宋体"/>
              </w:rPr>
            </w:pPr>
          </w:p>
        </w:tc>
        <w:tc>
          <w:tcPr>
            <w:tcW w:w="50" w:type="pct"/>
            <w:shd w:val="clear" w:color="auto" w:fill="auto"/>
            <w:vAlign w:val="bottom"/>
          </w:tcPr>
          <w:p w14:paraId="26E9DD35" w14:textId="77777777" w:rsidR="008A3BAC" w:rsidRDefault="008A3BAC">
            <w:pPr>
              <w:rPr>
                <w:rFonts w:ascii="宋体"/>
              </w:rPr>
            </w:pPr>
          </w:p>
        </w:tc>
        <w:tc>
          <w:tcPr>
            <w:tcW w:w="426" w:type="pct"/>
            <w:shd w:val="clear" w:color="auto" w:fill="auto"/>
            <w:vAlign w:val="bottom"/>
          </w:tcPr>
          <w:p w14:paraId="26E9DD36" w14:textId="77777777" w:rsidR="008A3BAC" w:rsidRDefault="008A3BAC">
            <w:pPr>
              <w:rPr>
                <w:rFonts w:ascii="宋体"/>
              </w:rPr>
            </w:pPr>
          </w:p>
        </w:tc>
        <w:tc>
          <w:tcPr>
            <w:tcW w:w="5" w:type="pct"/>
            <w:shd w:val="clear" w:color="auto" w:fill="auto"/>
            <w:vAlign w:val="bottom"/>
          </w:tcPr>
          <w:p w14:paraId="26E9DD37" w14:textId="77777777" w:rsidR="008A3BAC" w:rsidRDefault="008A3BAC">
            <w:pPr>
              <w:rPr>
                <w:rFonts w:ascii="宋体"/>
              </w:rPr>
            </w:pPr>
          </w:p>
        </w:tc>
        <w:tc>
          <w:tcPr>
            <w:tcW w:w="0" w:type="auto"/>
            <w:shd w:val="clear" w:color="auto" w:fill="auto"/>
            <w:vAlign w:val="bottom"/>
          </w:tcPr>
          <w:p w14:paraId="26E9DD38" w14:textId="77777777" w:rsidR="008A3BAC" w:rsidRDefault="008A3BAC">
            <w:pPr>
              <w:rPr>
                <w:rFonts w:ascii="宋体"/>
                <w:vanish/>
              </w:rPr>
            </w:pPr>
          </w:p>
        </w:tc>
        <w:tc>
          <w:tcPr>
            <w:tcW w:w="0" w:type="auto"/>
            <w:shd w:val="clear" w:color="auto" w:fill="auto"/>
            <w:vAlign w:val="bottom"/>
          </w:tcPr>
          <w:p w14:paraId="26E9DD39" w14:textId="77777777" w:rsidR="008A3BAC" w:rsidRDefault="008A3BAC">
            <w:pPr>
              <w:rPr>
                <w:rFonts w:ascii="宋体"/>
                <w:vanish/>
              </w:rPr>
            </w:pPr>
          </w:p>
        </w:tc>
        <w:tc>
          <w:tcPr>
            <w:tcW w:w="0" w:type="auto"/>
            <w:gridSpan w:val="3"/>
            <w:shd w:val="clear" w:color="auto" w:fill="auto"/>
            <w:vAlign w:val="bottom"/>
          </w:tcPr>
          <w:p w14:paraId="26E9DD3A" w14:textId="77777777" w:rsidR="008A3BAC" w:rsidRDefault="008A3BAC">
            <w:pPr>
              <w:rPr>
                <w:rFonts w:ascii="宋体"/>
                <w:vanish/>
              </w:rPr>
            </w:pPr>
          </w:p>
        </w:tc>
        <w:tc>
          <w:tcPr>
            <w:tcW w:w="0" w:type="auto"/>
            <w:gridSpan w:val="3"/>
            <w:shd w:val="clear" w:color="auto" w:fill="auto"/>
            <w:vAlign w:val="bottom"/>
          </w:tcPr>
          <w:p w14:paraId="26E9DD3B" w14:textId="77777777" w:rsidR="008A3BAC" w:rsidRDefault="008A3BAC">
            <w:pPr>
              <w:rPr>
                <w:rFonts w:ascii="宋体"/>
                <w:vanish/>
              </w:rPr>
            </w:pPr>
          </w:p>
        </w:tc>
      </w:tr>
      <w:tr w:rsidR="008A3BAC" w14:paraId="26E9DD49" w14:textId="77777777">
        <w:tc>
          <w:tcPr>
            <w:tcW w:w="0" w:type="auto"/>
            <w:gridSpan w:val="3"/>
            <w:shd w:val="clear" w:color="auto" w:fill="auto"/>
            <w:tcMar>
              <w:top w:w="0" w:type="dxa"/>
              <w:left w:w="20" w:type="dxa"/>
              <w:bottom w:w="0" w:type="dxa"/>
              <w:right w:w="20" w:type="dxa"/>
            </w:tcMar>
            <w:vAlign w:val="bottom"/>
          </w:tcPr>
          <w:p w14:paraId="26E9DD3D"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D3E"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D3F"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D40"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D41" w14:textId="77777777" w:rsidR="008A3BAC" w:rsidRDefault="008A3BAC">
            <w:pPr>
              <w:rPr>
                <w:rFonts w:ascii="宋体"/>
                <w:vanish/>
              </w:rPr>
            </w:pPr>
          </w:p>
        </w:tc>
        <w:tc>
          <w:tcPr>
            <w:tcW w:w="0" w:type="auto"/>
            <w:shd w:val="clear" w:color="auto" w:fill="auto"/>
            <w:vAlign w:val="bottom"/>
          </w:tcPr>
          <w:p w14:paraId="26E9DD42" w14:textId="77777777" w:rsidR="008A3BAC" w:rsidRDefault="008A3BAC">
            <w:pPr>
              <w:rPr>
                <w:rFonts w:ascii="宋体"/>
                <w:vanish/>
              </w:rPr>
            </w:pPr>
          </w:p>
        </w:tc>
        <w:tc>
          <w:tcPr>
            <w:tcW w:w="0" w:type="auto"/>
            <w:shd w:val="clear" w:color="auto" w:fill="auto"/>
            <w:vAlign w:val="bottom"/>
          </w:tcPr>
          <w:p w14:paraId="26E9DD43" w14:textId="77777777" w:rsidR="008A3BAC" w:rsidRDefault="008A3BAC">
            <w:pPr>
              <w:rPr>
                <w:rFonts w:ascii="宋体"/>
              </w:rPr>
            </w:pPr>
          </w:p>
        </w:tc>
        <w:tc>
          <w:tcPr>
            <w:tcW w:w="0" w:type="auto"/>
            <w:shd w:val="clear" w:color="auto" w:fill="auto"/>
            <w:vAlign w:val="bottom"/>
          </w:tcPr>
          <w:p w14:paraId="26E9DD44" w14:textId="77777777" w:rsidR="008A3BAC" w:rsidRDefault="008A3BAC">
            <w:pPr>
              <w:rPr>
                <w:rFonts w:ascii="宋体"/>
              </w:rPr>
            </w:pPr>
          </w:p>
        </w:tc>
        <w:tc>
          <w:tcPr>
            <w:tcW w:w="0" w:type="auto"/>
            <w:shd w:val="clear" w:color="auto" w:fill="auto"/>
            <w:vAlign w:val="bottom"/>
          </w:tcPr>
          <w:p w14:paraId="26E9DD45" w14:textId="77777777" w:rsidR="008A3BAC" w:rsidRDefault="008A3BAC">
            <w:pPr>
              <w:rPr>
                <w:rFonts w:ascii="宋体"/>
              </w:rPr>
            </w:pPr>
          </w:p>
        </w:tc>
        <w:tc>
          <w:tcPr>
            <w:tcW w:w="0" w:type="auto"/>
            <w:shd w:val="clear" w:color="auto" w:fill="auto"/>
            <w:vAlign w:val="bottom"/>
          </w:tcPr>
          <w:p w14:paraId="26E9DD46" w14:textId="77777777" w:rsidR="008A3BAC" w:rsidRDefault="008A3BAC">
            <w:pPr>
              <w:rPr>
                <w:rFonts w:ascii="宋体"/>
              </w:rPr>
            </w:pPr>
          </w:p>
        </w:tc>
        <w:tc>
          <w:tcPr>
            <w:tcW w:w="0" w:type="auto"/>
            <w:shd w:val="clear" w:color="auto" w:fill="auto"/>
            <w:vAlign w:val="bottom"/>
          </w:tcPr>
          <w:p w14:paraId="26E9DD47" w14:textId="77777777" w:rsidR="008A3BAC" w:rsidRDefault="008A3BAC">
            <w:pPr>
              <w:rPr>
                <w:rFonts w:ascii="宋体"/>
              </w:rPr>
            </w:pPr>
          </w:p>
        </w:tc>
        <w:tc>
          <w:tcPr>
            <w:tcW w:w="0" w:type="auto"/>
            <w:shd w:val="clear" w:color="auto" w:fill="auto"/>
            <w:vAlign w:val="bottom"/>
          </w:tcPr>
          <w:p w14:paraId="26E9DD48" w14:textId="77777777" w:rsidR="008A3BAC" w:rsidRDefault="008A3BAC">
            <w:pPr>
              <w:rPr>
                <w:rFonts w:ascii="宋体"/>
              </w:rPr>
            </w:pPr>
          </w:p>
        </w:tc>
      </w:tr>
      <w:tr w:rsidR="008A3BAC" w14:paraId="26E9DD56" w14:textId="77777777">
        <w:tc>
          <w:tcPr>
            <w:tcW w:w="0" w:type="auto"/>
            <w:gridSpan w:val="3"/>
            <w:shd w:val="clear" w:color="auto" w:fill="auto"/>
            <w:tcMar>
              <w:top w:w="0" w:type="dxa"/>
              <w:left w:w="20" w:type="dxa"/>
              <w:bottom w:w="0" w:type="dxa"/>
              <w:right w:w="20" w:type="dxa"/>
            </w:tcMar>
            <w:vAlign w:val="bottom"/>
          </w:tcPr>
          <w:p w14:paraId="26E9DD4A"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4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4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4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DD4E"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4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5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51"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6E9DD52" w14:textId="77777777" w:rsidR="008A3BAC" w:rsidRDefault="008A3BAC">
            <w:pPr>
              <w:rPr>
                <w:rFonts w:ascii="宋体"/>
                <w:vanish/>
              </w:rPr>
            </w:pPr>
          </w:p>
        </w:tc>
        <w:tc>
          <w:tcPr>
            <w:tcW w:w="0" w:type="auto"/>
            <w:shd w:val="clear" w:color="auto" w:fill="auto"/>
            <w:vAlign w:val="bottom"/>
          </w:tcPr>
          <w:p w14:paraId="26E9DD53" w14:textId="77777777" w:rsidR="008A3BAC" w:rsidRDefault="008A3BAC">
            <w:pPr>
              <w:rPr>
                <w:rFonts w:ascii="宋体"/>
                <w:vanish/>
              </w:rPr>
            </w:pPr>
          </w:p>
        </w:tc>
        <w:tc>
          <w:tcPr>
            <w:tcW w:w="0" w:type="auto"/>
            <w:gridSpan w:val="3"/>
            <w:shd w:val="clear" w:color="auto" w:fill="auto"/>
            <w:vAlign w:val="bottom"/>
          </w:tcPr>
          <w:p w14:paraId="26E9DD54" w14:textId="77777777" w:rsidR="008A3BAC" w:rsidRDefault="008A3BAC">
            <w:pPr>
              <w:rPr>
                <w:rFonts w:ascii="宋体"/>
                <w:vanish/>
              </w:rPr>
            </w:pPr>
          </w:p>
        </w:tc>
        <w:tc>
          <w:tcPr>
            <w:tcW w:w="0" w:type="auto"/>
            <w:gridSpan w:val="3"/>
            <w:shd w:val="clear" w:color="auto" w:fill="auto"/>
            <w:vAlign w:val="bottom"/>
          </w:tcPr>
          <w:p w14:paraId="26E9DD55" w14:textId="77777777" w:rsidR="008A3BAC" w:rsidRDefault="008A3BAC">
            <w:pPr>
              <w:rPr>
                <w:rFonts w:ascii="宋体"/>
                <w:vanish/>
              </w:rPr>
            </w:pPr>
          </w:p>
        </w:tc>
      </w:tr>
      <w:tr w:rsidR="008A3BAC" w14:paraId="26E9DD6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6E9DD57" w14:textId="77777777" w:rsidR="008A3BAC" w:rsidRDefault="005C75B9">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6E9DD58" w14:textId="77777777" w:rsidR="008A3BAC" w:rsidRDefault="005C75B9">
            <w:pPr>
              <w:jc w:val="right"/>
              <w:textAlignment w:val="top"/>
            </w:pPr>
            <w:r>
              <w:rPr>
                <w:rFonts w:ascii="Arial" w:eastAsia="宋体" w:hAnsi="Arial" w:cs="Arial"/>
                <w:color w:val="000000"/>
                <w:sz w:val="17"/>
                <w:szCs w:val="17"/>
              </w:rPr>
              <w:t>16.4 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6E9DD59" w14:textId="77777777" w:rsidR="008A3BAC" w:rsidRDefault="005C75B9">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6E9DD5A" w14:textId="77777777" w:rsidR="008A3BAC" w:rsidRDefault="005C75B9">
            <w:pPr>
              <w:jc w:val="right"/>
              <w:textAlignment w:val="top"/>
            </w:pPr>
            <w:r>
              <w:rPr>
                <w:rFonts w:ascii="Arial" w:eastAsia="宋体" w:hAnsi="Arial" w:cs="Arial"/>
                <w:color w:val="000000"/>
                <w:sz w:val="17"/>
                <w:szCs w:val="17"/>
              </w:rPr>
              <w:t>11.4 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6E9DD5B" w14:textId="77777777" w:rsidR="008A3BAC" w:rsidRDefault="005C75B9">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6E9DD5C" w14:textId="77777777" w:rsidR="008A3BAC" w:rsidRDefault="005C75B9">
            <w:pPr>
              <w:jc w:val="right"/>
              <w:textAlignment w:val="top"/>
            </w:pPr>
            <w:r>
              <w:rPr>
                <w:rFonts w:ascii="Arial" w:eastAsia="宋体" w:hAnsi="Arial" w:cs="Arial"/>
                <w:color w:val="000000"/>
                <w:sz w:val="17"/>
                <w:szCs w:val="17"/>
              </w:rPr>
              <w:t>500 bps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D5D" w14:textId="77777777" w:rsidR="008A3BAC" w:rsidRDefault="008A3BAC">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6E9DD5E" w14:textId="77777777" w:rsidR="008A3BAC" w:rsidRDefault="005C75B9">
            <w:pPr>
              <w:jc w:val="right"/>
              <w:textAlignment w:val="top"/>
            </w:pPr>
            <w:r>
              <w:rPr>
                <w:rFonts w:ascii="Arial" w:eastAsia="宋体" w:hAnsi="Arial" w:cs="Arial"/>
                <w:color w:val="000000"/>
                <w:sz w:val="17"/>
                <w:szCs w:val="17"/>
              </w:rPr>
              <w:t>12.7 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6E9DD5F" w14:textId="77777777" w:rsidR="008A3BAC" w:rsidRDefault="005C75B9">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6E9DD60" w14:textId="77777777" w:rsidR="008A3BAC" w:rsidRDefault="005C75B9">
            <w:pPr>
              <w:jc w:val="right"/>
              <w:textAlignment w:val="top"/>
            </w:pPr>
            <w:r>
              <w:rPr>
                <w:rFonts w:ascii="Arial" w:eastAsia="宋体" w:hAnsi="Arial" w:cs="Arial"/>
                <w:color w:val="000000"/>
                <w:sz w:val="17"/>
                <w:szCs w:val="17"/>
              </w:rPr>
              <w:t>12.3 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6E9DD61" w14:textId="77777777" w:rsidR="008A3BAC" w:rsidRDefault="005C75B9">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6E9DD62" w14:textId="77777777" w:rsidR="008A3BAC" w:rsidRDefault="005C75B9">
            <w:pPr>
              <w:jc w:val="right"/>
              <w:textAlignment w:val="top"/>
            </w:pPr>
            <w:r>
              <w:rPr>
                <w:rFonts w:ascii="Arial" w:eastAsia="宋体" w:hAnsi="Arial" w:cs="Arial"/>
                <w:color w:val="000000"/>
                <w:sz w:val="17"/>
                <w:szCs w:val="17"/>
              </w:rPr>
              <w:t>40 bps</w:t>
            </w:r>
          </w:p>
        </w:tc>
        <w:tc>
          <w:tcPr>
            <w:tcW w:w="0" w:type="auto"/>
            <w:shd w:val="clear" w:color="auto" w:fill="auto"/>
            <w:vAlign w:val="bottom"/>
          </w:tcPr>
          <w:p w14:paraId="26E9DD63" w14:textId="77777777" w:rsidR="008A3BAC" w:rsidRDefault="008A3BAC">
            <w:pPr>
              <w:rPr>
                <w:rFonts w:ascii="宋体"/>
                <w:vanish/>
              </w:rPr>
            </w:pPr>
          </w:p>
        </w:tc>
        <w:tc>
          <w:tcPr>
            <w:tcW w:w="0" w:type="auto"/>
            <w:shd w:val="clear" w:color="auto" w:fill="auto"/>
            <w:vAlign w:val="bottom"/>
          </w:tcPr>
          <w:p w14:paraId="26E9DD64" w14:textId="77777777" w:rsidR="008A3BAC" w:rsidRDefault="008A3BAC">
            <w:pPr>
              <w:rPr>
                <w:rFonts w:ascii="宋体"/>
                <w:vanish/>
              </w:rPr>
            </w:pPr>
          </w:p>
        </w:tc>
        <w:tc>
          <w:tcPr>
            <w:tcW w:w="0" w:type="auto"/>
            <w:gridSpan w:val="3"/>
            <w:shd w:val="clear" w:color="auto" w:fill="auto"/>
            <w:vAlign w:val="bottom"/>
          </w:tcPr>
          <w:p w14:paraId="26E9DD65" w14:textId="77777777" w:rsidR="008A3BAC" w:rsidRDefault="008A3BAC">
            <w:pPr>
              <w:rPr>
                <w:rFonts w:ascii="宋体"/>
                <w:vanish/>
              </w:rPr>
            </w:pPr>
          </w:p>
        </w:tc>
        <w:tc>
          <w:tcPr>
            <w:tcW w:w="0" w:type="auto"/>
            <w:gridSpan w:val="3"/>
            <w:shd w:val="clear" w:color="auto" w:fill="auto"/>
            <w:vAlign w:val="bottom"/>
          </w:tcPr>
          <w:p w14:paraId="26E9DD66" w14:textId="77777777" w:rsidR="008A3BAC" w:rsidRDefault="008A3BAC">
            <w:pPr>
              <w:rPr>
                <w:rFonts w:ascii="宋体"/>
                <w:vanish/>
              </w:rPr>
            </w:pPr>
          </w:p>
        </w:tc>
      </w:tr>
    </w:tbl>
    <w:p w14:paraId="26E9DD68" w14:textId="77777777" w:rsidR="008A3BAC" w:rsidRDefault="005C75B9">
      <w:pPr>
        <w:spacing w:before="120" w:after="120"/>
      </w:pPr>
      <w:r>
        <w:rPr>
          <w:rFonts w:ascii="Arial" w:eastAsia="宋体" w:hAnsi="Arial" w:cs="Arial"/>
          <w:color w:val="000000"/>
          <w:sz w:val="17"/>
          <w:szCs w:val="17"/>
        </w:rPr>
        <w:t>Our effective tax rate was 16.4% for the third quarter of fiscal 2022, compared to 11.4% for the third quarter of fiscal 2021, primarily due to the impact of recently finalized U.S</w:t>
      </w:r>
      <w:r>
        <w:rPr>
          <w:rFonts w:ascii="Arial" w:eastAsia="宋体" w:hAnsi="Arial" w:cs="Arial"/>
          <w:color w:val="000000"/>
          <w:sz w:val="17"/>
          <w:szCs w:val="17"/>
        </w:rPr>
        <w:t>. tax regulations and a less favorable impact from stock-based compensation, partially offset by a shift in our earnings mix.</w:t>
      </w:r>
    </w:p>
    <w:p w14:paraId="26E9DD69" w14:textId="77777777" w:rsidR="008A3BAC" w:rsidRDefault="005C75B9">
      <w:pPr>
        <w:spacing w:before="120" w:after="120"/>
      </w:pPr>
      <w:r>
        <w:rPr>
          <w:rFonts w:ascii="Arial" w:eastAsia="宋体" w:hAnsi="Arial" w:cs="Arial"/>
          <w:color w:val="000000"/>
          <w:sz w:val="17"/>
          <w:szCs w:val="17"/>
        </w:rPr>
        <w:t>Our effective tax rate was 12.7% for the first nine months of fiscal 2022, compared to 12.3% for the first nine months of fiscal 2</w:t>
      </w:r>
      <w:r>
        <w:rPr>
          <w:rFonts w:ascii="Arial" w:eastAsia="宋体" w:hAnsi="Arial" w:cs="Arial"/>
          <w:color w:val="000000"/>
          <w:sz w:val="17"/>
          <w:szCs w:val="17"/>
        </w:rPr>
        <w:t xml:space="preserve">021, primarily due to the impact of recently finalized U.S. tax regulations, partially offset by changes in discrete items compared to the first nine months of fiscal 2021, including the recognition of a reserve in the first quarter of fiscal 2021 related </w:t>
      </w:r>
      <w:r>
        <w:rPr>
          <w:rFonts w:ascii="Arial" w:eastAsia="宋体" w:hAnsi="Arial" w:cs="Arial"/>
          <w:color w:val="000000"/>
          <w:sz w:val="17"/>
          <w:szCs w:val="17"/>
        </w:rPr>
        <w:t xml:space="preserve">to </w:t>
      </w:r>
      <w:r>
        <w:rPr>
          <w:rFonts w:ascii="Arial" w:eastAsia="宋体" w:hAnsi="Arial" w:cs="Arial"/>
          <w:i/>
          <w:iCs/>
          <w:color w:val="000000"/>
          <w:sz w:val="17"/>
          <w:szCs w:val="17"/>
        </w:rPr>
        <w:t>Altera Corp. v. Commissioner.</w:t>
      </w:r>
    </w:p>
    <w:p w14:paraId="26E9DD6A" w14:textId="77777777" w:rsidR="008A3BAC" w:rsidRDefault="005C75B9">
      <w:pPr>
        <w:spacing w:before="120" w:after="120"/>
      </w:pPr>
      <w:r>
        <w:rPr>
          <w:rFonts w:ascii="Arial" w:eastAsia="宋体" w:hAnsi="Arial" w:cs="Arial"/>
          <w:color w:val="000000"/>
          <w:sz w:val="17"/>
          <w:szCs w:val="17"/>
        </w:rPr>
        <w:t xml:space="preserve">Refer to Note 6 — Income Taxes within the accompanying Notes to the Unaudited Condensed Consolidated Financial Statements for additional information. </w:t>
      </w:r>
    </w:p>
    <w:p w14:paraId="26E9DD6B" w14:textId="77777777" w:rsidR="008A3BAC" w:rsidRDefault="005C75B9">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26E9DD6C" w14:textId="77777777" w:rsidR="008A3BAC" w:rsidRDefault="005C75B9">
      <w:r>
        <w:pict w14:anchorId="26E9E867">
          <v:rect id="_x0000_i1058" style="width:415.3pt;height:1.5pt" o:hralign="center" o:hrstd="t" o:hr="t" fillcolor="#a0a0a0" stroked="f"/>
        </w:pict>
      </w:r>
    </w:p>
    <w:p w14:paraId="26E9DD6D" w14:textId="77777777" w:rsidR="008A3BAC" w:rsidRDefault="008A3BAC"/>
    <w:p w14:paraId="26E9DD6E" w14:textId="77777777" w:rsidR="008A3BAC" w:rsidRDefault="005C75B9">
      <w:hyperlink r:id="rId103" w:anchor="i46aba51c6a804f42b3595948c57d2023_7" w:history="1">
        <w:r>
          <w:rPr>
            <w:rStyle w:val="a5"/>
            <w:rFonts w:ascii="sans-serif" w:eastAsia="sans-serif" w:hAnsi="sans-serif" w:cs="sans-serif"/>
            <w:sz w:val="17"/>
            <w:szCs w:val="17"/>
          </w:rPr>
          <w:t>Table of Contents</w:t>
        </w:r>
      </w:hyperlink>
    </w:p>
    <w:p w14:paraId="26E9DD6F" w14:textId="77777777" w:rsidR="008A3BAC" w:rsidRDefault="008A3BAC"/>
    <w:p w14:paraId="26E9DD70" w14:textId="77777777" w:rsidR="008A3BAC" w:rsidRDefault="005C75B9">
      <w:pPr>
        <w:spacing w:before="300" w:after="120"/>
      </w:pPr>
      <w:r>
        <w:rPr>
          <w:rFonts w:ascii="sans-serif" w:eastAsia="sans-serif" w:hAnsi="sans-serif" w:cs="sans-serif"/>
          <w:b/>
          <w:bCs/>
          <w:color w:val="E87722"/>
          <w:sz w:val="36"/>
          <w:szCs w:val="36"/>
        </w:rPr>
        <w:t>OPERATING SEGMENTS</w:t>
      </w:r>
    </w:p>
    <w:p w14:paraId="26E9DD71" w14:textId="77777777" w:rsidR="008A3BAC" w:rsidRDefault="005C75B9">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26E9DD72" w14:textId="77777777" w:rsidR="008A3BAC" w:rsidRDefault="005C75B9">
      <w:pPr>
        <w:spacing w:before="120" w:after="120"/>
      </w:pPr>
      <w:r>
        <w:rPr>
          <w:rFonts w:ascii="Arial" w:eastAsia="宋体" w:hAnsi="Arial" w:cs="Arial"/>
          <w:color w:val="000000"/>
          <w:sz w:val="17"/>
          <w:szCs w:val="17"/>
        </w:rPr>
        <w:t>Each NIKE Brand geographic segment operates p</w:t>
      </w:r>
      <w:r>
        <w:rPr>
          <w:rFonts w:ascii="Arial" w:eastAsia="宋体" w:hAnsi="Arial" w:cs="Arial"/>
          <w:color w:val="000000"/>
          <w:sz w:val="17"/>
          <w:szCs w:val="17"/>
        </w:rPr>
        <w:t>redominantly in one industry: the design, development, marketing and selling of athletic footwear, apparel and equipment. The Company's reportable operating segments for the NIKE Brand are: North America; Europe, Middle East &amp; Africa (EMEA); Greater China;</w:t>
      </w:r>
      <w:r>
        <w:rPr>
          <w:rFonts w:ascii="Arial" w:eastAsia="宋体" w:hAnsi="Arial" w:cs="Arial"/>
          <w:color w:val="000000"/>
          <w:sz w:val="17"/>
          <w:szCs w:val="17"/>
        </w:rPr>
        <w:t xml:space="preserve">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The Company's NIKE Direct operations are managed within each geographic operating segment. Converse is also a reportable operating segment for the Company, and op</w:t>
      </w:r>
      <w:r>
        <w:rPr>
          <w:rFonts w:ascii="Arial" w:eastAsia="宋体" w:hAnsi="Arial" w:cs="Arial"/>
          <w:color w:val="000000"/>
          <w:sz w:val="17"/>
          <w:szCs w:val="17"/>
        </w:rPr>
        <w:t>erates predominately in one industry: the design, marketing, licensing and selling of athletic lifestyle sneakers, apparel and accessories.</w:t>
      </w:r>
    </w:p>
    <w:p w14:paraId="26E9DD73" w14:textId="77777777" w:rsidR="008A3BAC" w:rsidRDefault="005C75B9">
      <w:pPr>
        <w:spacing w:before="120" w:after="120"/>
      </w:pPr>
      <w:r>
        <w:rPr>
          <w:rFonts w:ascii="Arial" w:eastAsia="宋体" w:hAnsi="Arial" w:cs="Arial"/>
          <w:color w:val="000000"/>
          <w:sz w:val="17"/>
          <w:szCs w:val="17"/>
        </w:rPr>
        <w:t xml:space="preserve">As part of our centrally managed foreign exchange risk management program, standard foreign currency </w:t>
      </w:r>
      <w:r>
        <w:rPr>
          <w:rFonts w:ascii="Arial" w:eastAsia="宋体" w:hAnsi="Arial" w:cs="Arial"/>
          <w:color w:val="000000"/>
          <w:sz w:val="17"/>
          <w:szCs w:val="17"/>
        </w:rPr>
        <w:t>exchange rates are assigned twice per year to each NIKE Brand entity in our geographic operating segments and Converse. These rates are set approximately nine and twelve months in advance of the future selling seasons to which they relate (specifically, fo</w:t>
      </w:r>
      <w:r>
        <w:rPr>
          <w:rFonts w:ascii="Arial" w:eastAsia="宋体" w:hAnsi="Arial" w:cs="Arial"/>
          <w:color w:val="000000"/>
          <w:sz w:val="17"/>
          <w:szCs w:val="17"/>
        </w:rPr>
        <w:t>r each currency, one standard rate applies to the fall and holiday selling seasons and one standard rate applies to the spring and summer selling seasons) based on average market spot rates in the calendar month preceding the date they are established. Inv</w:t>
      </w:r>
      <w:r>
        <w:rPr>
          <w:rFonts w:ascii="Arial" w:eastAsia="宋体" w:hAnsi="Arial" w:cs="Arial"/>
          <w:color w:val="000000"/>
          <w:sz w:val="17"/>
          <w:szCs w:val="17"/>
        </w:rPr>
        <w:t>entories and Cost of sales for geographic operating segments and Converse reflect the use of these standard rates to record non-functional currency product purchases into the entity's functional currency. Differences between assigned standard foreign curre</w:t>
      </w:r>
      <w:r>
        <w:rPr>
          <w:rFonts w:ascii="Arial" w:eastAsia="宋体" w:hAnsi="Arial" w:cs="Arial"/>
          <w:color w:val="000000"/>
          <w:sz w:val="17"/>
          <w:szCs w:val="17"/>
        </w:rPr>
        <w:t>ncy exchange rates and actual market rates are included in Corporate, together with foreign currency hedge gains and losses generated from our centrally managed foreign exchange risk management program and other conversion gains and losses.</w:t>
      </w:r>
    </w:p>
    <w:p w14:paraId="26E9DD74" w14:textId="77777777" w:rsidR="008A3BAC" w:rsidRDefault="005C75B9">
      <w:pPr>
        <w:spacing w:before="120" w:after="120"/>
      </w:pPr>
      <w:r>
        <w:rPr>
          <w:rFonts w:ascii="Arial" w:eastAsia="宋体" w:hAnsi="Arial" w:cs="Arial"/>
          <w:color w:val="000000"/>
          <w:sz w:val="17"/>
          <w:szCs w:val="17"/>
        </w:rPr>
        <w:t>The breakdown o</w:t>
      </w:r>
      <w:r>
        <w:rPr>
          <w:rFonts w:ascii="Arial" w:eastAsia="宋体" w:hAnsi="Arial" w:cs="Arial"/>
          <w:color w:val="000000"/>
          <w:sz w:val="17"/>
          <w:szCs w:val="17"/>
        </w:rPr>
        <w:t>f Revenues is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203"/>
        <w:gridCol w:w="36"/>
        <w:gridCol w:w="115"/>
        <w:gridCol w:w="568"/>
        <w:gridCol w:w="36"/>
        <w:gridCol w:w="115"/>
        <w:gridCol w:w="568"/>
        <w:gridCol w:w="36"/>
        <w:gridCol w:w="71"/>
        <w:gridCol w:w="566"/>
        <w:gridCol w:w="172"/>
        <w:gridCol w:w="95"/>
        <w:gridCol w:w="759"/>
        <w:gridCol w:w="172"/>
        <w:gridCol w:w="36"/>
        <w:gridCol w:w="36"/>
        <w:gridCol w:w="36"/>
        <w:gridCol w:w="115"/>
        <w:gridCol w:w="568"/>
        <w:gridCol w:w="36"/>
        <w:gridCol w:w="115"/>
        <w:gridCol w:w="568"/>
        <w:gridCol w:w="36"/>
        <w:gridCol w:w="71"/>
        <w:gridCol w:w="566"/>
        <w:gridCol w:w="172"/>
        <w:gridCol w:w="95"/>
        <w:gridCol w:w="759"/>
        <w:gridCol w:w="172"/>
        <w:gridCol w:w="36"/>
        <w:gridCol w:w="36"/>
        <w:gridCol w:w="36"/>
        <w:gridCol w:w="36"/>
        <w:gridCol w:w="36"/>
        <w:gridCol w:w="36"/>
        <w:gridCol w:w="36"/>
        <w:gridCol w:w="36"/>
        <w:gridCol w:w="36"/>
        <w:gridCol w:w="36"/>
        <w:gridCol w:w="36"/>
      </w:tblGrid>
      <w:tr w:rsidR="008A3BAC" w14:paraId="26E9DD98" w14:textId="77777777">
        <w:tc>
          <w:tcPr>
            <w:tcW w:w="50" w:type="pct"/>
            <w:shd w:val="clear" w:color="auto" w:fill="auto"/>
            <w:vAlign w:val="bottom"/>
          </w:tcPr>
          <w:p w14:paraId="26E9DD75" w14:textId="77777777" w:rsidR="008A3BAC" w:rsidRDefault="008A3BAC">
            <w:pPr>
              <w:rPr>
                <w:rFonts w:ascii="宋体"/>
              </w:rPr>
            </w:pPr>
          </w:p>
        </w:tc>
        <w:tc>
          <w:tcPr>
            <w:tcW w:w="1264" w:type="pct"/>
            <w:shd w:val="clear" w:color="auto" w:fill="auto"/>
            <w:vAlign w:val="bottom"/>
          </w:tcPr>
          <w:p w14:paraId="26E9DD76" w14:textId="77777777" w:rsidR="008A3BAC" w:rsidRDefault="008A3BAC">
            <w:pPr>
              <w:rPr>
                <w:rFonts w:ascii="宋体"/>
              </w:rPr>
            </w:pPr>
          </w:p>
        </w:tc>
        <w:tc>
          <w:tcPr>
            <w:tcW w:w="5" w:type="pct"/>
            <w:shd w:val="clear" w:color="auto" w:fill="auto"/>
            <w:vAlign w:val="bottom"/>
          </w:tcPr>
          <w:p w14:paraId="26E9DD77" w14:textId="77777777" w:rsidR="008A3BAC" w:rsidRDefault="008A3BAC">
            <w:pPr>
              <w:rPr>
                <w:rFonts w:ascii="宋体"/>
              </w:rPr>
            </w:pPr>
          </w:p>
        </w:tc>
        <w:tc>
          <w:tcPr>
            <w:tcW w:w="50" w:type="pct"/>
            <w:shd w:val="clear" w:color="auto" w:fill="auto"/>
            <w:vAlign w:val="bottom"/>
          </w:tcPr>
          <w:p w14:paraId="26E9DD78" w14:textId="77777777" w:rsidR="008A3BAC" w:rsidRDefault="008A3BAC">
            <w:pPr>
              <w:rPr>
                <w:rFonts w:ascii="宋体"/>
              </w:rPr>
            </w:pPr>
          </w:p>
        </w:tc>
        <w:tc>
          <w:tcPr>
            <w:tcW w:w="400" w:type="pct"/>
            <w:shd w:val="clear" w:color="auto" w:fill="auto"/>
            <w:vAlign w:val="bottom"/>
          </w:tcPr>
          <w:p w14:paraId="26E9DD79" w14:textId="77777777" w:rsidR="008A3BAC" w:rsidRDefault="008A3BAC">
            <w:pPr>
              <w:rPr>
                <w:rFonts w:ascii="宋体"/>
              </w:rPr>
            </w:pPr>
          </w:p>
        </w:tc>
        <w:tc>
          <w:tcPr>
            <w:tcW w:w="5" w:type="pct"/>
            <w:shd w:val="clear" w:color="auto" w:fill="auto"/>
            <w:vAlign w:val="bottom"/>
          </w:tcPr>
          <w:p w14:paraId="26E9DD7A" w14:textId="77777777" w:rsidR="008A3BAC" w:rsidRDefault="008A3BAC">
            <w:pPr>
              <w:rPr>
                <w:rFonts w:ascii="宋体"/>
              </w:rPr>
            </w:pPr>
          </w:p>
        </w:tc>
        <w:tc>
          <w:tcPr>
            <w:tcW w:w="50" w:type="pct"/>
            <w:shd w:val="clear" w:color="auto" w:fill="auto"/>
            <w:vAlign w:val="bottom"/>
          </w:tcPr>
          <w:p w14:paraId="26E9DD7B" w14:textId="77777777" w:rsidR="008A3BAC" w:rsidRDefault="008A3BAC">
            <w:pPr>
              <w:rPr>
                <w:rFonts w:ascii="宋体"/>
              </w:rPr>
            </w:pPr>
          </w:p>
        </w:tc>
        <w:tc>
          <w:tcPr>
            <w:tcW w:w="400" w:type="pct"/>
            <w:shd w:val="clear" w:color="auto" w:fill="auto"/>
            <w:vAlign w:val="bottom"/>
          </w:tcPr>
          <w:p w14:paraId="26E9DD7C" w14:textId="77777777" w:rsidR="008A3BAC" w:rsidRDefault="008A3BAC">
            <w:pPr>
              <w:rPr>
                <w:rFonts w:ascii="宋体"/>
              </w:rPr>
            </w:pPr>
          </w:p>
        </w:tc>
        <w:tc>
          <w:tcPr>
            <w:tcW w:w="5" w:type="pct"/>
            <w:shd w:val="clear" w:color="auto" w:fill="auto"/>
            <w:vAlign w:val="bottom"/>
          </w:tcPr>
          <w:p w14:paraId="26E9DD7D" w14:textId="77777777" w:rsidR="008A3BAC" w:rsidRDefault="008A3BAC">
            <w:pPr>
              <w:rPr>
                <w:rFonts w:ascii="宋体"/>
              </w:rPr>
            </w:pPr>
          </w:p>
        </w:tc>
        <w:tc>
          <w:tcPr>
            <w:tcW w:w="50" w:type="pct"/>
            <w:shd w:val="clear" w:color="auto" w:fill="auto"/>
            <w:vAlign w:val="bottom"/>
          </w:tcPr>
          <w:p w14:paraId="26E9DD7E" w14:textId="77777777" w:rsidR="008A3BAC" w:rsidRDefault="008A3BAC">
            <w:pPr>
              <w:rPr>
                <w:rFonts w:ascii="宋体"/>
              </w:rPr>
            </w:pPr>
          </w:p>
        </w:tc>
        <w:tc>
          <w:tcPr>
            <w:tcW w:w="400" w:type="pct"/>
            <w:shd w:val="clear" w:color="auto" w:fill="auto"/>
            <w:vAlign w:val="bottom"/>
          </w:tcPr>
          <w:p w14:paraId="26E9DD7F" w14:textId="77777777" w:rsidR="008A3BAC" w:rsidRDefault="008A3BAC">
            <w:pPr>
              <w:rPr>
                <w:rFonts w:ascii="宋体"/>
              </w:rPr>
            </w:pPr>
          </w:p>
        </w:tc>
        <w:tc>
          <w:tcPr>
            <w:tcW w:w="5" w:type="pct"/>
            <w:shd w:val="clear" w:color="auto" w:fill="auto"/>
            <w:vAlign w:val="bottom"/>
          </w:tcPr>
          <w:p w14:paraId="26E9DD80" w14:textId="77777777" w:rsidR="008A3BAC" w:rsidRDefault="008A3BAC">
            <w:pPr>
              <w:rPr>
                <w:rFonts w:ascii="宋体"/>
              </w:rPr>
            </w:pPr>
          </w:p>
        </w:tc>
        <w:tc>
          <w:tcPr>
            <w:tcW w:w="50" w:type="pct"/>
            <w:shd w:val="clear" w:color="auto" w:fill="auto"/>
            <w:vAlign w:val="bottom"/>
          </w:tcPr>
          <w:p w14:paraId="26E9DD81" w14:textId="77777777" w:rsidR="008A3BAC" w:rsidRDefault="008A3BAC">
            <w:pPr>
              <w:rPr>
                <w:rFonts w:ascii="宋体"/>
              </w:rPr>
            </w:pPr>
          </w:p>
        </w:tc>
        <w:tc>
          <w:tcPr>
            <w:tcW w:w="400" w:type="pct"/>
            <w:shd w:val="clear" w:color="auto" w:fill="auto"/>
            <w:vAlign w:val="bottom"/>
          </w:tcPr>
          <w:p w14:paraId="26E9DD82" w14:textId="77777777" w:rsidR="008A3BAC" w:rsidRDefault="008A3BAC">
            <w:pPr>
              <w:rPr>
                <w:rFonts w:ascii="宋体"/>
              </w:rPr>
            </w:pPr>
          </w:p>
        </w:tc>
        <w:tc>
          <w:tcPr>
            <w:tcW w:w="5" w:type="pct"/>
            <w:shd w:val="clear" w:color="auto" w:fill="auto"/>
            <w:vAlign w:val="bottom"/>
          </w:tcPr>
          <w:p w14:paraId="26E9DD83" w14:textId="77777777" w:rsidR="008A3BAC" w:rsidRDefault="008A3BAC">
            <w:pPr>
              <w:rPr>
                <w:rFonts w:ascii="宋体"/>
              </w:rPr>
            </w:pPr>
          </w:p>
        </w:tc>
        <w:tc>
          <w:tcPr>
            <w:tcW w:w="5" w:type="pct"/>
            <w:shd w:val="clear" w:color="auto" w:fill="auto"/>
            <w:vAlign w:val="bottom"/>
          </w:tcPr>
          <w:p w14:paraId="26E9DD84" w14:textId="77777777" w:rsidR="008A3BAC" w:rsidRDefault="008A3BAC">
            <w:pPr>
              <w:rPr>
                <w:rFonts w:ascii="宋体"/>
              </w:rPr>
            </w:pPr>
          </w:p>
        </w:tc>
        <w:tc>
          <w:tcPr>
            <w:tcW w:w="28" w:type="pct"/>
            <w:shd w:val="clear" w:color="auto" w:fill="auto"/>
            <w:vAlign w:val="bottom"/>
          </w:tcPr>
          <w:p w14:paraId="26E9DD85" w14:textId="77777777" w:rsidR="008A3BAC" w:rsidRDefault="008A3BAC">
            <w:pPr>
              <w:rPr>
                <w:rFonts w:ascii="宋体"/>
              </w:rPr>
            </w:pPr>
          </w:p>
        </w:tc>
        <w:tc>
          <w:tcPr>
            <w:tcW w:w="5" w:type="pct"/>
            <w:shd w:val="clear" w:color="auto" w:fill="auto"/>
            <w:vAlign w:val="bottom"/>
          </w:tcPr>
          <w:p w14:paraId="26E9DD86" w14:textId="77777777" w:rsidR="008A3BAC" w:rsidRDefault="008A3BAC">
            <w:pPr>
              <w:rPr>
                <w:rFonts w:ascii="宋体"/>
              </w:rPr>
            </w:pPr>
          </w:p>
        </w:tc>
        <w:tc>
          <w:tcPr>
            <w:tcW w:w="50" w:type="pct"/>
            <w:shd w:val="clear" w:color="auto" w:fill="auto"/>
            <w:vAlign w:val="bottom"/>
          </w:tcPr>
          <w:p w14:paraId="26E9DD87" w14:textId="77777777" w:rsidR="008A3BAC" w:rsidRDefault="008A3BAC">
            <w:pPr>
              <w:rPr>
                <w:rFonts w:ascii="宋体"/>
              </w:rPr>
            </w:pPr>
          </w:p>
        </w:tc>
        <w:tc>
          <w:tcPr>
            <w:tcW w:w="400" w:type="pct"/>
            <w:shd w:val="clear" w:color="auto" w:fill="auto"/>
            <w:vAlign w:val="bottom"/>
          </w:tcPr>
          <w:p w14:paraId="26E9DD88" w14:textId="77777777" w:rsidR="008A3BAC" w:rsidRDefault="008A3BAC">
            <w:pPr>
              <w:rPr>
                <w:rFonts w:ascii="宋体"/>
              </w:rPr>
            </w:pPr>
          </w:p>
        </w:tc>
        <w:tc>
          <w:tcPr>
            <w:tcW w:w="5" w:type="pct"/>
            <w:shd w:val="clear" w:color="auto" w:fill="auto"/>
            <w:vAlign w:val="bottom"/>
          </w:tcPr>
          <w:p w14:paraId="26E9DD89" w14:textId="77777777" w:rsidR="008A3BAC" w:rsidRDefault="008A3BAC">
            <w:pPr>
              <w:rPr>
                <w:rFonts w:ascii="宋体"/>
              </w:rPr>
            </w:pPr>
          </w:p>
        </w:tc>
        <w:tc>
          <w:tcPr>
            <w:tcW w:w="50" w:type="pct"/>
            <w:shd w:val="clear" w:color="auto" w:fill="auto"/>
            <w:vAlign w:val="bottom"/>
          </w:tcPr>
          <w:p w14:paraId="26E9DD8A" w14:textId="77777777" w:rsidR="008A3BAC" w:rsidRDefault="008A3BAC">
            <w:pPr>
              <w:rPr>
                <w:rFonts w:ascii="宋体"/>
              </w:rPr>
            </w:pPr>
          </w:p>
        </w:tc>
        <w:tc>
          <w:tcPr>
            <w:tcW w:w="400" w:type="pct"/>
            <w:shd w:val="clear" w:color="auto" w:fill="auto"/>
            <w:vAlign w:val="bottom"/>
          </w:tcPr>
          <w:p w14:paraId="26E9DD8B" w14:textId="77777777" w:rsidR="008A3BAC" w:rsidRDefault="008A3BAC">
            <w:pPr>
              <w:rPr>
                <w:rFonts w:ascii="宋体"/>
              </w:rPr>
            </w:pPr>
          </w:p>
        </w:tc>
        <w:tc>
          <w:tcPr>
            <w:tcW w:w="5" w:type="pct"/>
            <w:shd w:val="clear" w:color="auto" w:fill="auto"/>
            <w:vAlign w:val="bottom"/>
          </w:tcPr>
          <w:p w14:paraId="26E9DD8C" w14:textId="77777777" w:rsidR="008A3BAC" w:rsidRDefault="008A3BAC">
            <w:pPr>
              <w:rPr>
                <w:rFonts w:ascii="宋体"/>
              </w:rPr>
            </w:pPr>
          </w:p>
        </w:tc>
        <w:tc>
          <w:tcPr>
            <w:tcW w:w="50" w:type="pct"/>
            <w:shd w:val="clear" w:color="auto" w:fill="auto"/>
            <w:vAlign w:val="bottom"/>
          </w:tcPr>
          <w:p w14:paraId="26E9DD8D" w14:textId="77777777" w:rsidR="008A3BAC" w:rsidRDefault="008A3BAC">
            <w:pPr>
              <w:rPr>
                <w:rFonts w:ascii="宋体"/>
              </w:rPr>
            </w:pPr>
          </w:p>
        </w:tc>
        <w:tc>
          <w:tcPr>
            <w:tcW w:w="400" w:type="pct"/>
            <w:shd w:val="clear" w:color="auto" w:fill="auto"/>
            <w:vAlign w:val="bottom"/>
          </w:tcPr>
          <w:p w14:paraId="26E9DD8E" w14:textId="77777777" w:rsidR="008A3BAC" w:rsidRDefault="008A3BAC">
            <w:pPr>
              <w:rPr>
                <w:rFonts w:ascii="宋体"/>
              </w:rPr>
            </w:pPr>
          </w:p>
        </w:tc>
        <w:tc>
          <w:tcPr>
            <w:tcW w:w="5" w:type="pct"/>
            <w:shd w:val="clear" w:color="auto" w:fill="auto"/>
            <w:vAlign w:val="bottom"/>
          </w:tcPr>
          <w:p w14:paraId="26E9DD8F" w14:textId="77777777" w:rsidR="008A3BAC" w:rsidRDefault="008A3BAC">
            <w:pPr>
              <w:rPr>
                <w:rFonts w:ascii="宋体"/>
              </w:rPr>
            </w:pPr>
          </w:p>
        </w:tc>
        <w:tc>
          <w:tcPr>
            <w:tcW w:w="50" w:type="pct"/>
            <w:shd w:val="clear" w:color="auto" w:fill="auto"/>
            <w:vAlign w:val="bottom"/>
          </w:tcPr>
          <w:p w14:paraId="26E9DD90" w14:textId="77777777" w:rsidR="008A3BAC" w:rsidRDefault="008A3BAC">
            <w:pPr>
              <w:rPr>
                <w:rFonts w:ascii="宋体"/>
              </w:rPr>
            </w:pPr>
          </w:p>
        </w:tc>
        <w:tc>
          <w:tcPr>
            <w:tcW w:w="400" w:type="pct"/>
            <w:shd w:val="clear" w:color="auto" w:fill="auto"/>
            <w:vAlign w:val="bottom"/>
          </w:tcPr>
          <w:p w14:paraId="26E9DD91" w14:textId="77777777" w:rsidR="008A3BAC" w:rsidRDefault="008A3BAC">
            <w:pPr>
              <w:rPr>
                <w:rFonts w:ascii="宋体"/>
              </w:rPr>
            </w:pPr>
          </w:p>
        </w:tc>
        <w:tc>
          <w:tcPr>
            <w:tcW w:w="5" w:type="pct"/>
            <w:shd w:val="clear" w:color="auto" w:fill="auto"/>
            <w:vAlign w:val="bottom"/>
          </w:tcPr>
          <w:p w14:paraId="26E9DD92" w14:textId="77777777" w:rsidR="008A3BAC" w:rsidRDefault="008A3BAC">
            <w:pPr>
              <w:rPr>
                <w:rFonts w:ascii="宋体"/>
              </w:rPr>
            </w:pPr>
          </w:p>
        </w:tc>
        <w:tc>
          <w:tcPr>
            <w:tcW w:w="0" w:type="auto"/>
            <w:shd w:val="clear" w:color="auto" w:fill="auto"/>
            <w:vAlign w:val="bottom"/>
          </w:tcPr>
          <w:p w14:paraId="26E9DD93" w14:textId="77777777" w:rsidR="008A3BAC" w:rsidRDefault="008A3BAC">
            <w:pPr>
              <w:rPr>
                <w:rFonts w:ascii="宋体"/>
                <w:vanish/>
              </w:rPr>
            </w:pPr>
          </w:p>
        </w:tc>
        <w:tc>
          <w:tcPr>
            <w:tcW w:w="0" w:type="auto"/>
            <w:shd w:val="clear" w:color="auto" w:fill="auto"/>
            <w:vAlign w:val="bottom"/>
          </w:tcPr>
          <w:p w14:paraId="26E9DD94" w14:textId="77777777" w:rsidR="008A3BAC" w:rsidRDefault="008A3BAC">
            <w:pPr>
              <w:rPr>
                <w:rFonts w:ascii="宋体"/>
                <w:vanish/>
              </w:rPr>
            </w:pPr>
          </w:p>
        </w:tc>
        <w:tc>
          <w:tcPr>
            <w:tcW w:w="0" w:type="auto"/>
            <w:gridSpan w:val="3"/>
            <w:shd w:val="clear" w:color="auto" w:fill="auto"/>
            <w:vAlign w:val="bottom"/>
          </w:tcPr>
          <w:p w14:paraId="26E9DD95" w14:textId="77777777" w:rsidR="008A3BAC" w:rsidRDefault="008A3BAC">
            <w:pPr>
              <w:rPr>
                <w:rFonts w:ascii="宋体"/>
                <w:vanish/>
              </w:rPr>
            </w:pPr>
          </w:p>
        </w:tc>
        <w:tc>
          <w:tcPr>
            <w:tcW w:w="0" w:type="auto"/>
            <w:gridSpan w:val="3"/>
            <w:shd w:val="clear" w:color="auto" w:fill="auto"/>
            <w:vAlign w:val="bottom"/>
          </w:tcPr>
          <w:p w14:paraId="26E9DD96" w14:textId="77777777" w:rsidR="008A3BAC" w:rsidRDefault="008A3BAC">
            <w:pPr>
              <w:rPr>
                <w:rFonts w:ascii="宋体"/>
                <w:vanish/>
              </w:rPr>
            </w:pPr>
          </w:p>
        </w:tc>
        <w:tc>
          <w:tcPr>
            <w:tcW w:w="0" w:type="auto"/>
            <w:gridSpan w:val="3"/>
            <w:shd w:val="clear" w:color="auto" w:fill="auto"/>
            <w:vAlign w:val="bottom"/>
          </w:tcPr>
          <w:p w14:paraId="26E9DD97" w14:textId="77777777" w:rsidR="008A3BAC" w:rsidRDefault="008A3BAC">
            <w:pPr>
              <w:rPr>
                <w:rFonts w:ascii="宋体"/>
                <w:vanish/>
              </w:rPr>
            </w:pPr>
          </w:p>
        </w:tc>
      </w:tr>
      <w:tr w:rsidR="008A3BAC" w14:paraId="26E9DDA8" w14:textId="77777777">
        <w:tc>
          <w:tcPr>
            <w:tcW w:w="0" w:type="auto"/>
            <w:gridSpan w:val="3"/>
            <w:shd w:val="clear" w:color="auto" w:fill="auto"/>
            <w:tcMar>
              <w:top w:w="0" w:type="dxa"/>
              <w:left w:w="20" w:type="dxa"/>
              <w:bottom w:w="0" w:type="dxa"/>
              <w:right w:w="20" w:type="dxa"/>
            </w:tcMar>
            <w:vAlign w:val="bottom"/>
          </w:tcPr>
          <w:p w14:paraId="26E9DD99"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D9A"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D9B"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D9C"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D9D" w14:textId="77777777" w:rsidR="008A3BAC" w:rsidRDefault="008A3BAC">
            <w:pPr>
              <w:rPr>
                <w:rFonts w:ascii="宋体"/>
                <w:vanish/>
              </w:rPr>
            </w:pPr>
          </w:p>
        </w:tc>
        <w:tc>
          <w:tcPr>
            <w:tcW w:w="0" w:type="auto"/>
            <w:shd w:val="clear" w:color="auto" w:fill="auto"/>
            <w:vAlign w:val="bottom"/>
          </w:tcPr>
          <w:p w14:paraId="26E9DD9E" w14:textId="77777777" w:rsidR="008A3BAC" w:rsidRDefault="008A3BAC">
            <w:pPr>
              <w:rPr>
                <w:rFonts w:ascii="宋体"/>
                <w:vanish/>
              </w:rPr>
            </w:pPr>
          </w:p>
        </w:tc>
        <w:tc>
          <w:tcPr>
            <w:tcW w:w="0" w:type="auto"/>
            <w:shd w:val="clear" w:color="auto" w:fill="auto"/>
            <w:vAlign w:val="bottom"/>
          </w:tcPr>
          <w:p w14:paraId="26E9DD9F" w14:textId="77777777" w:rsidR="008A3BAC" w:rsidRDefault="008A3BAC">
            <w:pPr>
              <w:rPr>
                <w:rFonts w:ascii="宋体"/>
              </w:rPr>
            </w:pPr>
          </w:p>
        </w:tc>
        <w:tc>
          <w:tcPr>
            <w:tcW w:w="0" w:type="auto"/>
            <w:shd w:val="clear" w:color="auto" w:fill="auto"/>
            <w:vAlign w:val="bottom"/>
          </w:tcPr>
          <w:p w14:paraId="26E9DDA0" w14:textId="77777777" w:rsidR="008A3BAC" w:rsidRDefault="008A3BAC">
            <w:pPr>
              <w:rPr>
                <w:rFonts w:ascii="宋体"/>
              </w:rPr>
            </w:pPr>
          </w:p>
        </w:tc>
        <w:tc>
          <w:tcPr>
            <w:tcW w:w="0" w:type="auto"/>
            <w:shd w:val="clear" w:color="auto" w:fill="auto"/>
            <w:vAlign w:val="bottom"/>
          </w:tcPr>
          <w:p w14:paraId="26E9DDA1" w14:textId="77777777" w:rsidR="008A3BAC" w:rsidRDefault="008A3BAC">
            <w:pPr>
              <w:rPr>
                <w:rFonts w:ascii="宋体"/>
              </w:rPr>
            </w:pPr>
          </w:p>
        </w:tc>
        <w:tc>
          <w:tcPr>
            <w:tcW w:w="0" w:type="auto"/>
            <w:shd w:val="clear" w:color="auto" w:fill="auto"/>
            <w:vAlign w:val="bottom"/>
          </w:tcPr>
          <w:p w14:paraId="26E9DDA2" w14:textId="77777777" w:rsidR="008A3BAC" w:rsidRDefault="008A3BAC">
            <w:pPr>
              <w:rPr>
                <w:rFonts w:ascii="宋体"/>
              </w:rPr>
            </w:pPr>
          </w:p>
        </w:tc>
        <w:tc>
          <w:tcPr>
            <w:tcW w:w="0" w:type="auto"/>
            <w:shd w:val="clear" w:color="auto" w:fill="auto"/>
            <w:vAlign w:val="bottom"/>
          </w:tcPr>
          <w:p w14:paraId="26E9DDA3" w14:textId="77777777" w:rsidR="008A3BAC" w:rsidRDefault="008A3BAC">
            <w:pPr>
              <w:rPr>
                <w:rFonts w:ascii="宋体"/>
              </w:rPr>
            </w:pPr>
          </w:p>
        </w:tc>
        <w:tc>
          <w:tcPr>
            <w:tcW w:w="0" w:type="auto"/>
            <w:shd w:val="clear" w:color="auto" w:fill="auto"/>
            <w:vAlign w:val="bottom"/>
          </w:tcPr>
          <w:p w14:paraId="26E9DDA4" w14:textId="77777777" w:rsidR="008A3BAC" w:rsidRDefault="008A3BAC">
            <w:pPr>
              <w:rPr>
                <w:rFonts w:ascii="宋体"/>
              </w:rPr>
            </w:pPr>
          </w:p>
        </w:tc>
        <w:tc>
          <w:tcPr>
            <w:tcW w:w="0" w:type="auto"/>
            <w:shd w:val="clear" w:color="auto" w:fill="auto"/>
            <w:vAlign w:val="bottom"/>
          </w:tcPr>
          <w:p w14:paraId="26E9DDA5" w14:textId="77777777" w:rsidR="008A3BAC" w:rsidRDefault="008A3BAC">
            <w:pPr>
              <w:rPr>
                <w:rFonts w:ascii="宋体"/>
              </w:rPr>
            </w:pPr>
          </w:p>
        </w:tc>
        <w:tc>
          <w:tcPr>
            <w:tcW w:w="0" w:type="auto"/>
            <w:shd w:val="clear" w:color="auto" w:fill="auto"/>
            <w:vAlign w:val="bottom"/>
          </w:tcPr>
          <w:p w14:paraId="26E9DDA6" w14:textId="77777777" w:rsidR="008A3BAC" w:rsidRDefault="008A3BAC">
            <w:pPr>
              <w:rPr>
                <w:rFonts w:ascii="宋体"/>
              </w:rPr>
            </w:pPr>
          </w:p>
        </w:tc>
        <w:tc>
          <w:tcPr>
            <w:tcW w:w="0" w:type="auto"/>
            <w:shd w:val="clear" w:color="auto" w:fill="auto"/>
            <w:vAlign w:val="bottom"/>
          </w:tcPr>
          <w:p w14:paraId="26E9DDA7" w14:textId="77777777" w:rsidR="008A3BAC" w:rsidRDefault="008A3BAC">
            <w:pPr>
              <w:rPr>
                <w:rFonts w:ascii="宋体"/>
              </w:rPr>
            </w:pPr>
          </w:p>
        </w:tc>
      </w:tr>
      <w:tr w:rsidR="008A3BAC" w14:paraId="26E9DDB8" w14:textId="77777777">
        <w:tc>
          <w:tcPr>
            <w:tcW w:w="0" w:type="auto"/>
            <w:gridSpan w:val="3"/>
            <w:shd w:val="clear" w:color="auto" w:fill="auto"/>
            <w:tcMar>
              <w:top w:w="40" w:type="dxa"/>
              <w:left w:w="20" w:type="dxa"/>
              <w:bottom w:w="40" w:type="dxa"/>
              <w:right w:w="20" w:type="dxa"/>
            </w:tcMar>
            <w:vAlign w:val="bottom"/>
          </w:tcPr>
          <w:p w14:paraId="26E9DDA9"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AA"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AB"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AC"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AD"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26E9DDAE"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A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B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B1"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B2"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1"/>
                <w:szCs w:val="11"/>
              </w:rPr>
              <w:t>(1)</w:t>
            </w:r>
          </w:p>
        </w:tc>
        <w:tc>
          <w:tcPr>
            <w:tcW w:w="0" w:type="auto"/>
            <w:shd w:val="clear" w:color="auto" w:fill="auto"/>
            <w:vAlign w:val="bottom"/>
          </w:tcPr>
          <w:p w14:paraId="26E9DDB3" w14:textId="77777777" w:rsidR="008A3BAC" w:rsidRDefault="008A3BAC">
            <w:pPr>
              <w:rPr>
                <w:rFonts w:ascii="宋体"/>
                <w:vanish/>
              </w:rPr>
            </w:pPr>
          </w:p>
        </w:tc>
        <w:tc>
          <w:tcPr>
            <w:tcW w:w="0" w:type="auto"/>
            <w:shd w:val="clear" w:color="auto" w:fill="auto"/>
            <w:vAlign w:val="bottom"/>
          </w:tcPr>
          <w:p w14:paraId="26E9DDB4" w14:textId="77777777" w:rsidR="008A3BAC" w:rsidRDefault="008A3BAC">
            <w:pPr>
              <w:rPr>
                <w:rFonts w:ascii="宋体"/>
                <w:vanish/>
              </w:rPr>
            </w:pPr>
          </w:p>
        </w:tc>
        <w:tc>
          <w:tcPr>
            <w:tcW w:w="0" w:type="auto"/>
            <w:gridSpan w:val="3"/>
            <w:shd w:val="clear" w:color="auto" w:fill="auto"/>
            <w:vAlign w:val="bottom"/>
          </w:tcPr>
          <w:p w14:paraId="26E9DDB5" w14:textId="77777777" w:rsidR="008A3BAC" w:rsidRDefault="008A3BAC">
            <w:pPr>
              <w:rPr>
                <w:rFonts w:ascii="宋体"/>
                <w:vanish/>
              </w:rPr>
            </w:pPr>
          </w:p>
        </w:tc>
        <w:tc>
          <w:tcPr>
            <w:tcW w:w="0" w:type="auto"/>
            <w:gridSpan w:val="3"/>
            <w:shd w:val="clear" w:color="auto" w:fill="auto"/>
            <w:vAlign w:val="bottom"/>
          </w:tcPr>
          <w:p w14:paraId="26E9DDB6" w14:textId="77777777" w:rsidR="008A3BAC" w:rsidRDefault="008A3BAC">
            <w:pPr>
              <w:rPr>
                <w:rFonts w:ascii="宋体"/>
                <w:vanish/>
              </w:rPr>
            </w:pPr>
          </w:p>
        </w:tc>
        <w:tc>
          <w:tcPr>
            <w:tcW w:w="0" w:type="auto"/>
            <w:gridSpan w:val="3"/>
            <w:shd w:val="clear" w:color="auto" w:fill="auto"/>
            <w:vAlign w:val="bottom"/>
          </w:tcPr>
          <w:p w14:paraId="26E9DDB7" w14:textId="77777777" w:rsidR="008A3BAC" w:rsidRDefault="008A3BAC">
            <w:pPr>
              <w:rPr>
                <w:rFonts w:ascii="宋体"/>
                <w:vanish/>
              </w:rPr>
            </w:pPr>
          </w:p>
        </w:tc>
      </w:tr>
      <w:tr w:rsidR="008A3BAC" w14:paraId="26E9DDD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DB9"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DBA"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DBB" w14:textId="77777777" w:rsidR="008A3BAC" w:rsidRDefault="005C75B9">
            <w:pPr>
              <w:jc w:val="right"/>
              <w:textAlignment w:val="bottom"/>
            </w:pPr>
            <w:r>
              <w:rPr>
                <w:rFonts w:ascii="Arial" w:eastAsia="宋体" w:hAnsi="Arial" w:cs="Arial"/>
                <w:color w:val="000000"/>
                <w:sz w:val="17"/>
                <w:szCs w:val="17"/>
              </w:rPr>
              <w:t>3,882 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DB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DB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DBE" w14:textId="77777777" w:rsidR="008A3BAC" w:rsidRDefault="005C75B9">
            <w:pPr>
              <w:jc w:val="right"/>
              <w:textAlignment w:val="bottom"/>
            </w:pPr>
            <w:r>
              <w:rPr>
                <w:rFonts w:ascii="Arial" w:eastAsia="宋体" w:hAnsi="Arial" w:cs="Arial"/>
                <w:color w:val="000000"/>
                <w:sz w:val="17"/>
                <w:szCs w:val="17"/>
              </w:rPr>
              <w:t>3,564 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B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DC0"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C1"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DC2"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C3"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DC4"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DC5"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DC6" w14:textId="77777777" w:rsidR="008A3BAC" w:rsidRDefault="005C75B9">
            <w:pPr>
              <w:jc w:val="right"/>
              <w:textAlignment w:val="bottom"/>
            </w:pPr>
            <w:r>
              <w:rPr>
                <w:rFonts w:ascii="Arial" w:eastAsia="宋体" w:hAnsi="Arial" w:cs="Arial"/>
                <w:color w:val="000000"/>
                <w:sz w:val="17"/>
                <w:szCs w:val="17"/>
              </w:rPr>
              <w:t>13,238 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DC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DC8"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DC9" w14:textId="77777777" w:rsidR="008A3BAC" w:rsidRDefault="005C75B9">
            <w:pPr>
              <w:jc w:val="right"/>
              <w:textAlignment w:val="bottom"/>
            </w:pPr>
            <w:r>
              <w:rPr>
                <w:rFonts w:ascii="Arial" w:eastAsia="宋体" w:hAnsi="Arial" w:cs="Arial"/>
                <w:color w:val="000000"/>
                <w:sz w:val="17"/>
                <w:szCs w:val="17"/>
              </w:rPr>
              <w:t>11,795 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C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DCB"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C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DCD"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DCE"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DCF" w14:textId="77777777" w:rsidR="008A3BAC" w:rsidRDefault="008A3BAC">
            <w:pPr>
              <w:rPr>
                <w:rFonts w:ascii="宋体"/>
                <w:vanish/>
              </w:rPr>
            </w:pPr>
          </w:p>
        </w:tc>
        <w:tc>
          <w:tcPr>
            <w:tcW w:w="0" w:type="auto"/>
            <w:shd w:val="clear" w:color="auto" w:fill="auto"/>
            <w:vAlign w:val="bottom"/>
          </w:tcPr>
          <w:p w14:paraId="26E9DDD0" w14:textId="77777777" w:rsidR="008A3BAC" w:rsidRDefault="008A3BAC">
            <w:pPr>
              <w:rPr>
                <w:rFonts w:ascii="宋体"/>
                <w:vanish/>
              </w:rPr>
            </w:pPr>
          </w:p>
        </w:tc>
        <w:tc>
          <w:tcPr>
            <w:tcW w:w="0" w:type="auto"/>
            <w:gridSpan w:val="3"/>
            <w:shd w:val="clear" w:color="auto" w:fill="auto"/>
            <w:vAlign w:val="bottom"/>
          </w:tcPr>
          <w:p w14:paraId="26E9DDD1" w14:textId="77777777" w:rsidR="008A3BAC" w:rsidRDefault="008A3BAC">
            <w:pPr>
              <w:rPr>
                <w:rFonts w:ascii="宋体"/>
                <w:vanish/>
              </w:rPr>
            </w:pPr>
          </w:p>
        </w:tc>
        <w:tc>
          <w:tcPr>
            <w:tcW w:w="0" w:type="auto"/>
            <w:gridSpan w:val="3"/>
            <w:shd w:val="clear" w:color="auto" w:fill="auto"/>
            <w:vAlign w:val="bottom"/>
          </w:tcPr>
          <w:p w14:paraId="26E9DDD2" w14:textId="77777777" w:rsidR="008A3BAC" w:rsidRDefault="008A3BAC">
            <w:pPr>
              <w:rPr>
                <w:rFonts w:ascii="宋体"/>
                <w:vanish/>
              </w:rPr>
            </w:pPr>
          </w:p>
        </w:tc>
        <w:tc>
          <w:tcPr>
            <w:tcW w:w="0" w:type="auto"/>
            <w:gridSpan w:val="3"/>
            <w:shd w:val="clear" w:color="auto" w:fill="auto"/>
            <w:vAlign w:val="bottom"/>
          </w:tcPr>
          <w:p w14:paraId="26E9DDD3" w14:textId="77777777" w:rsidR="008A3BAC" w:rsidRDefault="008A3BAC">
            <w:pPr>
              <w:rPr>
                <w:rFonts w:ascii="宋体"/>
                <w:vanish/>
              </w:rPr>
            </w:pPr>
          </w:p>
        </w:tc>
      </w:tr>
      <w:tr w:rsidR="008A3BAC" w14:paraId="26E9DDE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DD5"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DD6" w14:textId="77777777" w:rsidR="008A3BAC" w:rsidRDefault="005C75B9">
            <w:pPr>
              <w:jc w:val="right"/>
              <w:textAlignment w:val="bottom"/>
            </w:pPr>
            <w:r>
              <w:rPr>
                <w:rFonts w:ascii="Arial" w:eastAsia="宋体" w:hAnsi="Arial" w:cs="Arial"/>
                <w:color w:val="000000"/>
                <w:sz w:val="17"/>
                <w:szCs w:val="17"/>
              </w:rPr>
              <w:t>2,779 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DD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D8" w14:textId="77777777" w:rsidR="008A3BAC" w:rsidRDefault="005C75B9">
            <w:pPr>
              <w:jc w:val="right"/>
              <w:textAlignment w:val="bottom"/>
            </w:pPr>
            <w:r>
              <w:rPr>
                <w:rFonts w:ascii="Arial" w:eastAsia="宋体" w:hAnsi="Arial" w:cs="Arial"/>
                <w:color w:val="000000"/>
                <w:sz w:val="17"/>
                <w:szCs w:val="17"/>
              </w:rPr>
              <w:t>2,609 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D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DA"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D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DC"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DD"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DDE"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DDF" w14:textId="77777777" w:rsidR="008A3BAC" w:rsidRDefault="005C75B9">
            <w:pPr>
              <w:jc w:val="right"/>
              <w:textAlignment w:val="bottom"/>
            </w:pPr>
            <w:r>
              <w:rPr>
                <w:rFonts w:ascii="Arial" w:eastAsia="宋体" w:hAnsi="Arial" w:cs="Arial"/>
                <w:color w:val="000000"/>
                <w:sz w:val="17"/>
                <w:szCs w:val="17"/>
              </w:rPr>
              <w:t>9,228 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DE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E1" w14:textId="77777777" w:rsidR="008A3BAC" w:rsidRDefault="005C75B9">
            <w:pPr>
              <w:jc w:val="right"/>
              <w:textAlignment w:val="bottom"/>
            </w:pPr>
            <w:r>
              <w:rPr>
                <w:rFonts w:ascii="Arial" w:eastAsia="宋体" w:hAnsi="Arial" w:cs="Arial"/>
                <w:color w:val="000000"/>
                <w:sz w:val="17"/>
                <w:szCs w:val="17"/>
              </w:rPr>
              <w:t>8,477 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E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E3"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E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E5"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E6"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DE7" w14:textId="77777777" w:rsidR="008A3BAC" w:rsidRDefault="008A3BAC">
            <w:pPr>
              <w:rPr>
                <w:rFonts w:ascii="宋体"/>
                <w:vanish/>
              </w:rPr>
            </w:pPr>
          </w:p>
        </w:tc>
        <w:tc>
          <w:tcPr>
            <w:tcW w:w="0" w:type="auto"/>
            <w:shd w:val="clear" w:color="auto" w:fill="auto"/>
            <w:vAlign w:val="bottom"/>
          </w:tcPr>
          <w:p w14:paraId="26E9DDE8" w14:textId="77777777" w:rsidR="008A3BAC" w:rsidRDefault="008A3BAC">
            <w:pPr>
              <w:rPr>
                <w:rFonts w:ascii="宋体"/>
                <w:vanish/>
              </w:rPr>
            </w:pPr>
          </w:p>
        </w:tc>
        <w:tc>
          <w:tcPr>
            <w:tcW w:w="0" w:type="auto"/>
            <w:gridSpan w:val="3"/>
            <w:shd w:val="clear" w:color="auto" w:fill="auto"/>
            <w:vAlign w:val="bottom"/>
          </w:tcPr>
          <w:p w14:paraId="26E9DDE9" w14:textId="77777777" w:rsidR="008A3BAC" w:rsidRDefault="008A3BAC">
            <w:pPr>
              <w:rPr>
                <w:rFonts w:ascii="宋体"/>
                <w:vanish/>
              </w:rPr>
            </w:pPr>
          </w:p>
        </w:tc>
        <w:tc>
          <w:tcPr>
            <w:tcW w:w="0" w:type="auto"/>
            <w:gridSpan w:val="3"/>
            <w:shd w:val="clear" w:color="auto" w:fill="auto"/>
            <w:vAlign w:val="bottom"/>
          </w:tcPr>
          <w:p w14:paraId="26E9DDEA" w14:textId="77777777" w:rsidR="008A3BAC" w:rsidRDefault="008A3BAC">
            <w:pPr>
              <w:rPr>
                <w:rFonts w:ascii="宋体"/>
                <w:vanish/>
              </w:rPr>
            </w:pPr>
          </w:p>
        </w:tc>
        <w:tc>
          <w:tcPr>
            <w:tcW w:w="0" w:type="auto"/>
            <w:gridSpan w:val="3"/>
            <w:shd w:val="clear" w:color="auto" w:fill="auto"/>
            <w:vAlign w:val="bottom"/>
          </w:tcPr>
          <w:p w14:paraId="26E9DDEB" w14:textId="77777777" w:rsidR="008A3BAC" w:rsidRDefault="008A3BAC">
            <w:pPr>
              <w:rPr>
                <w:rFonts w:ascii="宋体"/>
                <w:vanish/>
              </w:rPr>
            </w:pPr>
          </w:p>
        </w:tc>
      </w:tr>
      <w:tr w:rsidR="008A3BAC" w14:paraId="26E9DE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DED"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DEE" w14:textId="77777777" w:rsidR="008A3BAC" w:rsidRDefault="005C75B9">
            <w:pPr>
              <w:jc w:val="right"/>
              <w:textAlignment w:val="bottom"/>
            </w:pPr>
            <w:r>
              <w:rPr>
                <w:rFonts w:ascii="Arial" w:eastAsia="宋体" w:hAnsi="Arial" w:cs="Arial"/>
                <w:color w:val="000000"/>
                <w:sz w:val="17"/>
                <w:szCs w:val="17"/>
              </w:rPr>
              <w:t>2,160 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DE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0" w14:textId="77777777" w:rsidR="008A3BAC" w:rsidRDefault="005C75B9">
            <w:pPr>
              <w:jc w:val="right"/>
              <w:textAlignment w:val="bottom"/>
            </w:pPr>
            <w:r>
              <w:rPr>
                <w:rFonts w:ascii="Arial" w:eastAsia="宋体" w:hAnsi="Arial" w:cs="Arial"/>
                <w:color w:val="000000"/>
                <w:sz w:val="17"/>
                <w:szCs w:val="17"/>
              </w:rPr>
              <w:t>2,279 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2"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4"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5"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DF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DF7" w14:textId="77777777" w:rsidR="008A3BAC" w:rsidRDefault="005C75B9">
            <w:pPr>
              <w:jc w:val="right"/>
              <w:textAlignment w:val="bottom"/>
            </w:pPr>
            <w:r>
              <w:rPr>
                <w:rFonts w:ascii="Arial" w:eastAsia="宋体" w:hAnsi="Arial" w:cs="Arial"/>
                <w:color w:val="000000"/>
                <w:sz w:val="17"/>
                <w:szCs w:val="17"/>
              </w:rPr>
              <w:t>5,986 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DF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9" w14:textId="77777777" w:rsidR="008A3BAC" w:rsidRDefault="005C75B9">
            <w:pPr>
              <w:jc w:val="right"/>
              <w:textAlignment w:val="bottom"/>
            </w:pPr>
            <w:r>
              <w:rPr>
                <w:rFonts w:ascii="Arial" w:eastAsia="宋体" w:hAnsi="Arial" w:cs="Arial"/>
                <w:color w:val="000000"/>
                <w:sz w:val="17"/>
                <w:szCs w:val="17"/>
              </w:rPr>
              <w:t>6,357 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B"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DFD"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DFE"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DFF" w14:textId="77777777" w:rsidR="008A3BAC" w:rsidRDefault="008A3BAC">
            <w:pPr>
              <w:rPr>
                <w:rFonts w:ascii="宋体"/>
                <w:vanish/>
              </w:rPr>
            </w:pPr>
          </w:p>
        </w:tc>
        <w:tc>
          <w:tcPr>
            <w:tcW w:w="0" w:type="auto"/>
            <w:shd w:val="clear" w:color="auto" w:fill="auto"/>
            <w:vAlign w:val="bottom"/>
          </w:tcPr>
          <w:p w14:paraId="26E9DE00" w14:textId="77777777" w:rsidR="008A3BAC" w:rsidRDefault="008A3BAC">
            <w:pPr>
              <w:rPr>
                <w:rFonts w:ascii="宋体"/>
                <w:vanish/>
              </w:rPr>
            </w:pPr>
          </w:p>
        </w:tc>
        <w:tc>
          <w:tcPr>
            <w:tcW w:w="0" w:type="auto"/>
            <w:gridSpan w:val="3"/>
            <w:shd w:val="clear" w:color="auto" w:fill="auto"/>
            <w:vAlign w:val="bottom"/>
          </w:tcPr>
          <w:p w14:paraId="26E9DE01" w14:textId="77777777" w:rsidR="008A3BAC" w:rsidRDefault="008A3BAC">
            <w:pPr>
              <w:rPr>
                <w:rFonts w:ascii="宋体"/>
                <w:vanish/>
              </w:rPr>
            </w:pPr>
          </w:p>
        </w:tc>
        <w:tc>
          <w:tcPr>
            <w:tcW w:w="0" w:type="auto"/>
            <w:gridSpan w:val="3"/>
            <w:shd w:val="clear" w:color="auto" w:fill="auto"/>
            <w:vAlign w:val="bottom"/>
          </w:tcPr>
          <w:p w14:paraId="26E9DE02" w14:textId="77777777" w:rsidR="008A3BAC" w:rsidRDefault="008A3BAC">
            <w:pPr>
              <w:rPr>
                <w:rFonts w:ascii="宋体"/>
                <w:vanish/>
              </w:rPr>
            </w:pPr>
          </w:p>
        </w:tc>
        <w:tc>
          <w:tcPr>
            <w:tcW w:w="0" w:type="auto"/>
            <w:gridSpan w:val="3"/>
            <w:shd w:val="clear" w:color="auto" w:fill="auto"/>
            <w:vAlign w:val="bottom"/>
          </w:tcPr>
          <w:p w14:paraId="26E9DE03" w14:textId="77777777" w:rsidR="008A3BAC" w:rsidRDefault="008A3BAC">
            <w:pPr>
              <w:rPr>
                <w:rFonts w:ascii="宋体"/>
                <w:vanish/>
              </w:rPr>
            </w:pPr>
          </w:p>
        </w:tc>
      </w:tr>
      <w:tr w:rsidR="008A3BAC" w14:paraId="26E9DE1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E05" w14:textId="77777777" w:rsidR="008A3BAC" w:rsidRDefault="005C75B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06" w14:textId="77777777" w:rsidR="008A3BAC" w:rsidRDefault="005C75B9">
            <w:pPr>
              <w:jc w:val="right"/>
              <w:textAlignment w:val="bottom"/>
            </w:pPr>
            <w:r>
              <w:rPr>
                <w:rFonts w:ascii="Arial" w:eastAsia="宋体" w:hAnsi="Arial" w:cs="Arial"/>
                <w:color w:val="000000"/>
                <w:sz w:val="17"/>
                <w:szCs w:val="17"/>
              </w:rPr>
              <w:t>1,461 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0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08" w14:textId="77777777" w:rsidR="008A3BAC" w:rsidRDefault="005C75B9">
            <w:pPr>
              <w:jc w:val="right"/>
              <w:textAlignment w:val="bottom"/>
            </w:pPr>
            <w:r>
              <w:rPr>
                <w:rFonts w:ascii="Arial" w:eastAsia="宋体" w:hAnsi="Arial" w:cs="Arial"/>
                <w:color w:val="000000"/>
                <w:sz w:val="17"/>
                <w:szCs w:val="17"/>
              </w:rPr>
              <w:t>1,315 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0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0A"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0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0C"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0D"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E0E"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0F" w14:textId="77777777" w:rsidR="008A3BAC" w:rsidRDefault="005C75B9">
            <w:pPr>
              <w:jc w:val="right"/>
              <w:textAlignment w:val="bottom"/>
            </w:pPr>
            <w:r>
              <w:rPr>
                <w:rFonts w:ascii="Arial" w:eastAsia="宋体" w:hAnsi="Arial" w:cs="Arial"/>
                <w:color w:val="000000"/>
                <w:sz w:val="17"/>
                <w:szCs w:val="17"/>
              </w:rPr>
              <w:t>4,273 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1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11" w14:textId="77777777" w:rsidR="008A3BAC" w:rsidRDefault="005C75B9">
            <w:pPr>
              <w:jc w:val="right"/>
              <w:textAlignment w:val="bottom"/>
            </w:pPr>
            <w:r>
              <w:rPr>
                <w:rFonts w:ascii="Arial" w:eastAsia="宋体" w:hAnsi="Arial" w:cs="Arial"/>
                <w:color w:val="000000"/>
                <w:sz w:val="17"/>
                <w:szCs w:val="17"/>
              </w:rPr>
              <w:t>3,885 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1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13"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1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15"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16"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E17" w14:textId="77777777" w:rsidR="008A3BAC" w:rsidRDefault="008A3BAC">
            <w:pPr>
              <w:rPr>
                <w:rFonts w:ascii="宋体"/>
                <w:vanish/>
              </w:rPr>
            </w:pPr>
          </w:p>
        </w:tc>
        <w:tc>
          <w:tcPr>
            <w:tcW w:w="0" w:type="auto"/>
            <w:shd w:val="clear" w:color="auto" w:fill="auto"/>
            <w:vAlign w:val="bottom"/>
          </w:tcPr>
          <w:p w14:paraId="26E9DE18" w14:textId="77777777" w:rsidR="008A3BAC" w:rsidRDefault="008A3BAC">
            <w:pPr>
              <w:rPr>
                <w:rFonts w:ascii="宋体"/>
                <w:vanish/>
              </w:rPr>
            </w:pPr>
          </w:p>
        </w:tc>
        <w:tc>
          <w:tcPr>
            <w:tcW w:w="0" w:type="auto"/>
            <w:gridSpan w:val="3"/>
            <w:shd w:val="clear" w:color="auto" w:fill="auto"/>
            <w:vAlign w:val="bottom"/>
          </w:tcPr>
          <w:p w14:paraId="26E9DE19" w14:textId="77777777" w:rsidR="008A3BAC" w:rsidRDefault="008A3BAC">
            <w:pPr>
              <w:rPr>
                <w:rFonts w:ascii="宋体"/>
                <w:vanish/>
              </w:rPr>
            </w:pPr>
          </w:p>
        </w:tc>
        <w:tc>
          <w:tcPr>
            <w:tcW w:w="0" w:type="auto"/>
            <w:gridSpan w:val="3"/>
            <w:shd w:val="clear" w:color="auto" w:fill="auto"/>
            <w:vAlign w:val="bottom"/>
          </w:tcPr>
          <w:p w14:paraId="26E9DE1A" w14:textId="77777777" w:rsidR="008A3BAC" w:rsidRDefault="008A3BAC">
            <w:pPr>
              <w:rPr>
                <w:rFonts w:ascii="宋体"/>
                <w:vanish/>
              </w:rPr>
            </w:pPr>
          </w:p>
        </w:tc>
        <w:tc>
          <w:tcPr>
            <w:tcW w:w="0" w:type="auto"/>
            <w:gridSpan w:val="3"/>
            <w:shd w:val="clear" w:color="auto" w:fill="auto"/>
            <w:vAlign w:val="bottom"/>
          </w:tcPr>
          <w:p w14:paraId="26E9DE1B" w14:textId="77777777" w:rsidR="008A3BAC" w:rsidRDefault="008A3BAC">
            <w:pPr>
              <w:rPr>
                <w:rFonts w:ascii="宋体"/>
                <w:vanish/>
              </w:rPr>
            </w:pPr>
          </w:p>
        </w:tc>
      </w:tr>
      <w:tr w:rsidR="008A3BAC" w14:paraId="26E9DE3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E1D" w14:textId="77777777" w:rsidR="008A3BAC" w:rsidRDefault="005C75B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1E"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1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0"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2" w14:textId="77777777" w:rsidR="008A3BAC" w:rsidRDefault="005C75B9">
            <w:pPr>
              <w:jc w:val="right"/>
              <w:textAlignment w:val="bottom"/>
            </w:pPr>
            <w:r>
              <w:rPr>
                <w:rFonts w:ascii="Arial" w:eastAsia="宋体" w:hAnsi="Arial" w:cs="Arial"/>
                <w:color w:val="000000"/>
                <w:sz w:val="17"/>
                <w:szCs w:val="17"/>
              </w:rPr>
              <w:t>583 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4" w14:textId="77777777" w:rsidR="008A3BAC" w:rsidRDefault="005C75B9">
            <w:pPr>
              <w:jc w:val="right"/>
              <w:textAlignment w:val="bottom"/>
            </w:pPr>
            <w:r>
              <w:rPr>
                <w:rFonts w:ascii="Arial" w:eastAsia="宋体" w:hAnsi="Arial" w:cs="Arial"/>
                <w:color w:val="000000"/>
                <w:sz w:val="17"/>
                <w:szCs w:val="17"/>
              </w:rPr>
              <w:t>561 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5"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E2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27"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2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9"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B" w14:textId="77777777" w:rsidR="008A3BAC" w:rsidRDefault="005C75B9">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2D" w14:textId="77777777" w:rsidR="008A3BAC" w:rsidRDefault="005C75B9">
            <w:pPr>
              <w:jc w:val="right"/>
              <w:textAlignment w:val="bottom"/>
            </w:pPr>
            <w:r>
              <w:rPr>
                <w:rFonts w:ascii="Arial" w:eastAsia="宋体" w:hAnsi="Arial" w:cs="Arial"/>
                <w:color w:val="000000"/>
                <w:sz w:val="17"/>
                <w:szCs w:val="17"/>
              </w:rPr>
              <w:t>206 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2E"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E2F" w14:textId="77777777" w:rsidR="008A3BAC" w:rsidRDefault="008A3BAC">
            <w:pPr>
              <w:rPr>
                <w:rFonts w:ascii="宋体"/>
                <w:vanish/>
              </w:rPr>
            </w:pPr>
          </w:p>
        </w:tc>
        <w:tc>
          <w:tcPr>
            <w:tcW w:w="0" w:type="auto"/>
            <w:shd w:val="clear" w:color="auto" w:fill="auto"/>
            <w:vAlign w:val="bottom"/>
          </w:tcPr>
          <w:p w14:paraId="26E9DE30" w14:textId="77777777" w:rsidR="008A3BAC" w:rsidRDefault="008A3BAC">
            <w:pPr>
              <w:rPr>
                <w:rFonts w:ascii="宋体"/>
                <w:vanish/>
              </w:rPr>
            </w:pPr>
          </w:p>
        </w:tc>
        <w:tc>
          <w:tcPr>
            <w:tcW w:w="0" w:type="auto"/>
            <w:gridSpan w:val="3"/>
            <w:shd w:val="clear" w:color="auto" w:fill="auto"/>
            <w:vAlign w:val="bottom"/>
          </w:tcPr>
          <w:p w14:paraId="26E9DE31" w14:textId="77777777" w:rsidR="008A3BAC" w:rsidRDefault="008A3BAC">
            <w:pPr>
              <w:rPr>
                <w:rFonts w:ascii="宋体"/>
                <w:vanish/>
              </w:rPr>
            </w:pPr>
          </w:p>
        </w:tc>
        <w:tc>
          <w:tcPr>
            <w:tcW w:w="0" w:type="auto"/>
            <w:gridSpan w:val="3"/>
            <w:shd w:val="clear" w:color="auto" w:fill="auto"/>
            <w:vAlign w:val="bottom"/>
          </w:tcPr>
          <w:p w14:paraId="26E9DE32" w14:textId="77777777" w:rsidR="008A3BAC" w:rsidRDefault="008A3BAC">
            <w:pPr>
              <w:rPr>
                <w:rFonts w:ascii="宋体"/>
                <w:vanish/>
              </w:rPr>
            </w:pPr>
          </w:p>
        </w:tc>
        <w:tc>
          <w:tcPr>
            <w:tcW w:w="0" w:type="auto"/>
            <w:gridSpan w:val="3"/>
            <w:shd w:val="clear" w:color="auto" w:fill="auto"/>
            <w:vAlign w:val="bottom"/>
          </w:tcPr>
          <w:p w14:paraId="26E9DE33" w14:textId="77777777" w:rsidR="008A3BAC" w:rsidRDefault="008A3BAC">
            <w:pPr>
              <w:rPr>
                <w:rFonts w:ascii="宋体"/>
                <w:vanish/>
              </w:rPr>
            </w:pPr>
          </w:p>
        </w:tc>
      </w:tr>
      <w:tr w:rsidR="008A3BAC" w14:paraId="26E9DE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35" w14:textId="77777777" w:rsidR="008A3BAC" w:rsidRDefault="005C75B9">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E36" w14:textId="77777777" w:rsidR="008A3BAC" w:rsidRDefault="005C75B9">
            <w:pPr>
              <w:jc w:val="right"/>
              <w:textAlignment w:val="bottom"/>
            </w:pPr>
            <w:r>
              <w:rPr>
                <w:rFonts w:ascii="Arial" w:eastAsia="宋体" w:hAnsi="Arial" w:cs="Arial"/>
                <w:b/>
                <w:bCs/>
                <w:color w:val="000000"/>
                <w:sz w:val="17"/>
                <w:szCs w:val="17"/>
              </w:rPr>
              <w:t>10,323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37"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38" w14:textId="77777777" w:rsidR="008A3BAC" w:rsidRDefault="005C75B9">
            <w:pPr>
              <w:jc w:val="right"/>
              <w:textAlignment w:val="bottom"/>
            </w:pPr>
            <w:r>
              <w:rPr>
                <w:rFonts w:ascii="Arial" w:eastAsia="宋体" w:hAnsi="Arial" w:cs="Arial"/>
                <w:b/>
                <w:bCs/>
                <w:color w:val="000000"/>
                <w:sz w:val="17"/>
                <w:szCs w:val="17"/>
              </w:rPr>
              <w:t>9,773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39"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3A"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3B"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3C"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3D"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E3E"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E3F" w14:textId="77777777" w:rsidR="008A3BAC" w:rsidRDefault="005C75B9">
            <w:pPr>
              <w:jc w:val="right"/>
              <w:textAlignment w:val="bottom"/>
            </w:pPr>
            <w:r>
              <w:rPr>
                <w:rFonts w:ascii="Arial" w:eastAsia="宋体" w:hAnsi="Arial" w:cs="Arial"/>
                <w:b/>
                <w:bCs/>
                <w:color w:val="000000"/>
                <w:sz w:val="17"/>
                <w:szCs w:val="17"/>
              </w:rPr>
              <w:t>32,779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4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41" w14:textId="77777777" w:rsidR="008A3BAC" w:rsidRDefault="005C75B9">
            <w:pPr>
              <w:jc w:val="right"/>
              <w:textAlignment w:val="bottom"/>
            </w:pPr>
            <w:r>
              <w:rPr>
                <w:rFonts w:ascii="Arial" w:eastAsia="宋体" w:hAnsi="Arial" w:cs="Arial"/>
                <w:b/>
                <w:bCs/>
                <w:color w:val="000000"/>
                <w:sz w:val="17"/>
                <w:szCs w:val="17"/>
              </w:rPr>
              <w:t>30,532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4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43"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44"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45"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46"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DE47" w14:textId="77777777" w:rsidR="008A3BAC" w:rsidRDefault="008A3BAC">
            <w:pPr>
              <w:rPr>
                <w:rFonts w:ascii="宋体"/>
                <w:vanish/>
              </w:rPr>
            </w:pPr>
          </w:p>
        </w:tc>
        <w:tc>
          <w:tcPr>
            <w:tcW w:w="0" w:type="auto"/>
            <w:shd w:val="clear" w:color="auto" w:fill="auto"/>
            <w:vAlign w:val="bottom"/>
          </w:tcPr>
          <w:p w14:paraId="26E9DE48" w14:textId="77777777" w:rsidR="008A3BAC" w:rsidRDefault="008A3BAC">
            <w:pPr>
              <w:rPr>
                <w:rFonts w:ascii="宋体"/>
                <w:vanish/>
              </w:rPr>
            </w:pPr>
          </w:p>
        </w:tc>
        <w:tc>
          <w:tcPr>
            <w:tcW w:w="0" w:type="auto"/>
            <w:gridSpan w:val="3"/>
            <w:shd w:val="clear" w:color="auto" w:fill="auto"/>
            <w:vAlign w:val="bottom"/>
          </w:tcPr>
          <w:p w14:paraId="26E9DE49" w14:textId="77777777" w:rsidR="008A3BAC" w:rsidRDefault="008A3BAC">
            <w:pPr>
              <w:rPr>
                <w:rFonts w:ascii="宋体"/>
                <w:vanish/>
              </w:rPr>
            </w:pPr>
          </w:p>
        </w:tc>
        <w:tc>
          <w:tcPr>
            <w:tcW w:w="0" w:type="auto"/>
            <w:gridSpan w:val="3"/>
            <w:shd w:val="clear" w:color="auto" w:fill="auto"/>
            <w:vAlign w:val="bottom"/>
          </w:tcPr>
          <w:p w14:paraId="26E9DE4A" w14:textId="77777777" w:rsidR="008A3BAC" w:rsidRDefault="008A3BAC">
            <w:pPr>
              <w:rPr>
                <w:rFonts w:ascii="宋体"/>
                <w:vanish/>
              </w:rPr>
            </w:pPr>
          </w:p>
        </w:tc>
        <w:tc>
          <w:tcPr>
            <w:tcW w:w="0" w:type="auto"/>
            <w:gridSpan w:val="3"/>
            <w:shd w:val="clear" w:color="auto" w:fill="auto"/>
            <w:vAlign w:val="bottom"/>
          </w:tcPr>
          <w:p w14:paraId="26E9DE4B" w14:textId="77777777" w:rsidR="008A3BAC" w:rsidRDefault="008A3BAC">
            <w:pPr>
              <w:rPr>
                <w:rFonts w:ascii="宋体"/>
                <w:vanish/>
              </w:rPr>
            </w:pPr>
          </w:p>
        </w:tc>
      </w:tr>
      <w:tr w:rsidR="008A3BAC" w14:paraId="26E9DE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4D"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E4E" w14:textId="77777777" w:rsidR="008A3BAC" w:rsidRDefault="005C75B9">
            <w:pPr>
              <w:jc w:val="right"/>
              <w:textAlignment w:val="bottom"/>
            </w:pPr>
            <w:r>
              <w:rPr>
                <w:rFonts w:ascii="Arial" w:eastAsia="宋体" w:hAnsi="Arial" w:cs="Arial"/>
                <w:color w:val="000000"/>
                <w:sz w:val="17"/>
                <w:szCs w:val="17"/>
              </w:rPr>
              <w:t>567 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4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0" w14:textId="77777777" w:rsidR="008A3BAC" w:rsidRDefault="005C75B9">
            <w:pPr>
              <w:jc w:val="right"/>
              <w:textAlignment w:val="bottom"/>
            </w:pPr>
            <w:r>
              <w:rPr>
                <w:rFonts w:ascii="Arial" w:eastAsia="宋体" w:hAnsi="Arial" w:cs="Arial"/>
                <w:color w:val="000000"/>
                <w:sz w:val="17"/>
                <w:szCs w:val="17"/>
              </w:rPr>
              <w:t>570 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2"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4"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5"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E56"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E57" w14:textId="77777777" w:rsidR="008A3BAC" w:rsidRDefault="005C75B9">
            <w:pPr>
              <w:jc w:val="right"/>
              <w:textAlignment w:val="bottom"/>
            </w:pPr>
            <w:r>
              <w:rPr>
                <w:rFonts w:ascii="Arial" w:eastAsia="宋体" w:hAnsi="Arial" w:cs="Arial"/>
                <w:color w:val="000000"/>
                <w:sz w:val="17"/>
                <w:szCs w:val="17"/>
              </w:rPr>
              <w:t>1,753 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5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9" w14:textId="77777777" w:rsidR="008A3BAC" w:rsidRDefault="005C75B9">
            <w:pPr>
              <w:jc w:val="right"/>
              <w:textAlignment w:val="bottom"/>
            </w:pPr>
            <w:r>
              <w:rPr>
                <w:rFonts w:ascii="Arial" w:eastAsia="宋体" w:hAnsi="Arial" w:cs="Arial"/>
                <w:color w:val="000000"/>
                <w:sz w:val="17"/>
                <w:szCs w:val="17"/>
              </w:rPr>
              <w:t>1,609 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B"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5D"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5E"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E5F" w14:textId="77777777" w:rsidR="008A3BAC" w:rsidRDefault="008A3BAC">
            <w:pPr>
              <w:rPr>
                <w:rFonts w:ascii="宋体"/>
                <w:vanish/>
              </w:rPr>
            </w:pPr>
          </w:p>
        </w:tc>
        <w:tc>
          <w:tcPr>
            <w:tcW w:w="0" w:type="auto"/>
            <w:shd w:val="clear" w:color="auto" w:fill="auto"/>
            <w:vAlign w:val="bottom"/>
          </w:tcPr>
          <w:p w14:paraId="26E9DE60" w14:textId="77777777" w:rsidR="008A3BAC" w:rsidRDefault="008A3BAC">
            <w:pPr>
              <w:rPr>
                <w:rFonts w:ascii="宋体"/>
                <w:vanish/>
              </w:rPr>
            </w:pPr>
          </w:p>
        </w:tc>
        <w:tc>
          <w:tcPr>
            <w:tcW w:w="0" w:type="auto"/>
            <w:gridSpan w:val="3"/>
            <w:shd w:val="clear" w:color="auto" w:fill="auto"/>
            <w:vAlign w:val="bottom"/>
          </w:tcPr>
          <w:p w14:paraId="26E9DE61" w14:textId="77777777" w:rsidR="008A3BAC" w:rsidRDefault="008A3BAC">
            <w:pPr>
              <w:rPr>
                <w:rFonts w:ascii="宋体"/>
                <w:vanish/>
              </w:rPr>
            </w:pPr>
          </w:p>
        </w:tc>
        <w:tc>
          <w:tcPr>
            <w:tcW w:w="0" w:type="auto"/>
            <w:gridSpan w:val="3"/>
            <w:shd w:val="clear" w:color="auto" w:fill="auto"/>
            <w:vAlign w:val="bottom"/>
          </w:tcPr>
          <w:p w14:paraId="26E9DE62" w14:textId="77777777" w:rsidR="008A3BAC" w:rsidRDefault="008A3BAC">
            <w:pPr>
              <w:rPr>
                <w:rFonts w:ascii="宋体"/>
                <w:vanish/>
              </w:rPr>
            </w:pPr>
          </w:p>
        </w:tc>
        <w:tc>
          <w:tcPr>
            <w:tcW w:w="0" w:type="auto"/>
            <w:gridSpan w:val="3"/>
            <w:shd w:val="clear" w:color="auto" w:fill="auto"/>
            <w:vAlign w:val="bottom"/>
          </w:tcPr>
          <w:p w14:paraId="26E9DE63" w14:textId="77777777" w:rsidR="008A3BAC" w:rsidRDefault="008A3BAC">
            <w:pPr>
              <w:rPr>
                <w:rFonts w:ascii="宋体"/>
                <w:vanish/>
              </w:rPr>
            </w:pPr>
          </w:p>
        </w:tc>
      </w:tr>
      <w:tr w:rsidR="008A3BAC" w14:paraId="26E9DE7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E65" w14:textId="77777777" w:rsidR="008A3BAC" w:rsidRDefault="005C75B9">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66"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6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68"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6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6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6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6C"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6D" w14:textId="77777777" w:rsidR="008A3BAC" w:rsidRDefault="008A3BAC">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E6E"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6F"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7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71"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7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7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7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75"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76" w14:textId="77777777" w:rsidR="008A3BAC" w:rsidRDefault="008A3BAC">
            <w:pPr>
              <w:jc w:val="right"/>
              <w:rPr>
                <w:rFonts w:ascii="宋体"/>
              </w:rPr>
            </w:pPr>
          </w:p>
        </w:tc>
        <w:tc>
          <w:tcPr>
            <w:tcW w:w="0" w:type="auto"/>
            <w:shd w:val="clear" w:color="auto" w:fill="auto"/>
            <w:vAlign w:val="bottom"/>
          </w:tcPr>
          <w:p w14:paraId="26E9DE77" w14:textId="77777777" w:rsidR="008A3BAC" w:rsidRDefault="008A3BAC">
            <w:pPr>
              <w:rPr>
                <w:rFonts w:ascii="宋体"/>
                <w:vanish/>
              </w:rPr>
            </w:pPr>
          </w:p>
        </w:tc>
        <w:tc>
          <w:tcPr>
            <w:tcW w:w="0" w:type="auto"/>
            <w:shd w:val="clear" w:color="auto" w:fill="auto"/>
            <w:vAlign w:val="bottom"/>
          </w:tcPr>
          <w:p w14:paraId="26E9DE78" w14:textId="77777777" w:rsidR="008A3BAC" w:rsidRDefault="008A3BAC">
            <w:pPr>
              <w:rPr>
                <w:rFonts w:ascii="宋体"/>
                <w:vanish/>
              </w:rPr>
            </w:pPr>
          </w:p>
        </w:tc>
        <w:tc>
          <w:tcPr>
            <w:tcW w:w="0" w:type="auto"/>
            <w:gridSpan w:val="3"/>
            <w:shd w:val="clear" w:color="auto" w:fill="auto"/>
            <w:vAlign w:val="bottom"/>
          </w:tcPr>
          <w:p w14:paraId="26E9DE79" w14:textId="77777777" w:rsidR="008A3BAC" w:rsidRDefault="008A3BAC">
            <w:pPr>
              <w:rPr>
                <w:rFonts w:ascii="宋体"/>
                <w:vanish/>
              </w:rPr>
            </w:pPr>
          </w:p>
        </w:tc>
        <w:tc>
          <w:tcPr>
            <w:tcW w:w="0" w:type="auto"/>
            <w:gridSpan w:val="3"/>
            <w:shd w:val="clear" w:color="auto" w:fill="auto"/>
            <w:vAlign w:val="bottom"/>
          </w:tcPr>
          <w:p w14:paraId="26E9DE7A" w14:textId="77777777" w:rsidR="008A3BAC" w:rsidRDefault="008A3BAC">
            <w:pPr>
              <w:rPr>
                <w:rFonts w:ascii="宋体"/>
                <w:vanish/>
              </w:rPr>
            </w:pPr>
          </w:p>
        </w:tc>
        <w:tc>
          <w:tcPr>
            <w:tcW w:w="0" w:type="auto"/>
            <w:gridSpan w:val="3"/>
            <w:shd w:val="clear" w:color="auto" w:fill="auto"/>
            <w:vAlign w:val="bottom"/>
          </w:tcPr>
          <w:p w14:paraId="26E9DE7B" w14:textId="77777777" w:rsidR="008A3BAC" w:rsidRDefault="008A3BAC">
            <w:pPr>
              <w:rPr>
                <w:rFonts w:ascii="宋体"/>
                <w:vanish/>
              </w:rPr>
            </w:pPr>
          </w:p>
        </w:tc>
      </w:tr>
      <w:tr w:rsidR="008A3BAC" w14:paraId="26E9DE9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E7D" w14:textId="77777777" w:rsidR="008A3BAC" w:rsidRDefault="005C75B9">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E7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E7F" w14:textId="77777777" w:rsidR="008A3BAC" w:rsidRDefault="005C75B9">
            <w:pPr>
              <w:jc w:val="right"/>
              <w:textAlignment w:val="bottom"/>
            </w:pPr>
            <w:r>
              <w:rPr>
                <w:rFonts w:ascii="Arial" w:eastAsia="宋体" w:hAnsi="Arial" w:cs="Arial"/>
                <w:b/>
                <w:bCs/>
                <w:color w:val="000000"/>
                <w:sz w:val="17"/>
                <w:szCs w:val="17"/>
              </w:rPr>
              <w:t>10,871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E80"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8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E82" w14:textId="77777777" w:rsidR="008A3BAC" w:rsidRDefault="005C75B9">
            <w:pPr>
              <w:jc w:val="right"/>
              <w:textAlignment w:val="bottom"/>
            </w:pPr>
            <w:r>
              <w:rPr>
                <w:rFonts w:ascii="Arial" w:eastAsia="宋体" w:hAnsi="Arial" w:cs="Arial"/>
                <w:b/>
                <w:bCs/>
                <w:color w:val="000000"/>
                <w:sz w:val="17"/>
                <w:szCs w:val="17"/>
              </w:rPr>
              <w:t>10,357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83"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84" w14:textId="77777777" w:rsidR="008A3BAC" w:rsidRDefault="005C75B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85"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86"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8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E88"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E8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E8A" w14:textId="77777777" w:rsidR="008A3BAC" w:rsidRDefault="005C75B9">
            <w:pPr>
              <w:jc w:val="right"/>
              <w:textAlignment w:val="bottom"/>
            </w:pPr>
            <w:r>
              <w:rPr>
                <w:rFonts w:ascii="Arial" w:eastAsia="宋体" w:hAnsi="Arial" w:cs="Arial"/>
                <w:b/>
                <w:bCs/>
                <w:color w:val="000000"/>
                <w:sz w:val="17"/>
                <w:szCs w:val="17"/>
              </w:rPr>
              <w:t>34,476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E8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8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E8D" w14:textId="77777777" w:rsidR="008A3BAC" w:rsidRDefault="005C75B9">
            <w:pPr>
              <w:jc w:val="right"/>
              <w:textAlignment w:val="bottom"/>
            </w:pPr>
            <w:r>
              <w:rPr>
                <w:rFonts w:ascii="Arial" w:eastAsia="宋体" w:hAnsi="Arial" w:cs="Arial"/>
                <w:b/>
                <w:bCs/>
                <w:color w:val="000000"/>
                <w:sz w:val="17"/>
                <w:szCs w:val="17"/>
              </w:rPr>
              <w:t>32,194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8E"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8F"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90"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E91"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E92"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DE93" w14:textId="77777777" w:rsidR="008A3BAC" w:rsidRDefault="008A3BAC">
            <w:pPr>
              <w:rPr>
                <w:rFonts w:ascii="宋体"/>
                <w:vanish/>
              </w:rPr>
            </w:pPr>
          </w:p>
        </w:tc>
        <w:tc>
          <w:tcPr>
            <w:tcW w:w="0" w:type="auto"/>
            <w:shd w:val="clear" w:color="auto" w:fill="auto"/>
            <w:vAlign w:val="bottom"/>
          </w:tcPr>
          <w:p w14:paraId="26E9DE94" w14:textId="77777777" w:rsidR="008A3BAC" w:rsidRDefault="008A3BAC">
            <w:pPr>
              <w:rPr>
                <w:rFonts w:ascii="宋体"/>
                <w:vanish/>
              </w:rPr>
            </w:pPr>
          </w:p>
        </w:tc>
        <w:tc>
          <w:tcPr>
            <w:tcW w:w="0" w:type="auto"/>
            <w:gridSpan w:val="3"/>
            <w:shd w:val="clear" w:color="auto" w:fill="auto"/>
            <w:vAlign w:val="bottom"/>
          </w:tcPr>
          <w:p w14:paraId="26E9DE95" w14:textId="77777777" w:rsidR="008A3BAC" w:rsidRDefault="008A3BAC">
            <w:pPr>
              <w:rPr>
                <w:rFonts w:ascii="宋体"/>
                <w:vanish/>
              </w:rPr>
            </w:pPr>
          </w:p>
        </w:tc>
        <w:tc>
          <w:tcPr>
            <w:tcW w:w="0" w:type="auto"/>
            <w:gridSpan w:val="3"/>
            <w:shd w:val="clear" w:color="auto" w:fill="auto"/>
            <w:vAlign w:val="bottom"/>
          </w:tcPr>
          <w:p w14:paraId="26E9DE96" w14:textId="77777777" w:rsidR="008A3BAC" w:rsidRDefault="008A3BAC">
            <w:pPr>
              <w:rPr>
                <w:rFonts w:ascii="宋体"/>
                <w:vanish/>
              </w:rPr>
            </w:pPr>
          </w:p>
        </w:tc>
        <w:tc>
          <w:tcPr>
            <w:tcW w:w="0" w:type="auto"/>
            <w:gridSpan w:val="3"/>
            <w:shd w:val="clear" w:color="auto" w:fill="auto"/>
            <w:vAlign w:val="bottom"/>
          </w:tcPr>
          <w:p w14:paraId="26E9DE97" w14:textId="77777777" w:rsidR="008A3BAC" w:rsidRDefault="008A3BAC">
            <w:pPr>
              <w:rPr>
                <w:rFonts w:ascii="宋体"/>
                <w:vanish/>
              </w:rPr>
            </w:pPr>
          </w:p>
        </w:tc>
      </w:tr>
    </w:tbl>
    <w:p w14:paraId="26E9DE99" w14:textId="77777777" w:rsidR="008A3BAC" w:rsidRDefault="005C75B9">
      <w:pP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26E9DE9A" w14:textId="77777777" w:rsidR="008A3BAC" w:rsidRDefault="005C75B9">
      <w:pPr>
        <w:spacing w:before="60" w:after="60"/>
        <w:ind w:hanging="360"/>
      </w:pPr>
      <w:r>
        <w:rPr>
          <w:rFonts w:ascii="Arial" w:eastAsia="宋体" w:hAnsi="Arial" w:cs="Arial"/>
          <w:i/>
          <w:iCs/>
          <w:color w:val="000000"/>
          <w:sz w:val="14"/>
          <w:szCs w:val="14"/>
        </w:rPr>
        <w:t xml:space="preserve">(2)    Global Brand Divisions revenues include NIKE Brand licensing and other </w:t>
      </w:r>
      <w:r>
        <w:rPr>
          <w:rFonts w:ascii="Arial" w:eastAsia="宋体" w:hAnsi="Arial" w:cs="Arial"/>
          <w:i/>
          <w:iCs/>
          <w:color w:val="000000"/>
          <w:sz w:val="14"/>
          <w:szCs w:val="14"/>
        </w:rPr>
        <w:t>miscellaneous revenues that are not part of a geographic operating segment.</w:t>
      </w:r>
    </w:p>
    <w:p w14:paraId="26E9DE9B" w14:textId="77777777" w:rsidR="008A3BAC" w:rsidRDefault="005C75B9">
      <w:pP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within the NIKE Brand geographic operating segments</w:t>
      </w:r>
      <w:r>
        <w:rPr>
          <w:rFonts w:ascii="Arial" w:eastAsia="宋体" w:hAnsi="Arial" w:cs="Arial"/>
          <w:i/>
          <w:iCs/>
          <w:color w:val="000000"/>
          <w:sz w:val="14"/>
          <w:szCs w:val="14"/>
        </w:rPr>
        <w:t xml:space="preserve"> and Converse, but managed through our central foreign exchange risk management program.</w:t>
      </w:r>
    </w:p>
    <w:p w14:paraId="26E9DE9C" w14:textId="77777777" w:rsidR="008A3BAC" w:rsidRDefault="005C75B9">
      <w:pPr>
        <w:spacing w:before="120" w:after="120"/>
      </w:pPr>
      <w:r>
        <w:rPr>
          <w:rFonts w:ascii="Arial" w:eastAsia="宋体" w:hAnsi="Arial" w:cs="Arial"/>
          <w:color w:val="000000"/>
          <w:sz w:val="17"/>
          <w:szCs w:val="17"/>
        </w:rPr>
        <w:t>The primary financial measure used by the Company to evaluate performance of individual operating segments is EBIT, which represents Net income before Interest expense</w:t>
      </w:r>
      <w:r>
        <w:rPr>
          <w:rFonts w:ascii="Arial" w:eastAsia="宋体" w:hAnsi="Arial" w:cs="Arial"/>
          <w:color w:val="000000"/>
          <w:sz w:val="17"/>
          <w:szCs w:val="17"/>
        </w:rPr>
        <w:t xml:space="preserve"> (income), net and Income tax expense in the Unaudited Condensed Consolidated Statements of Income. As discussed in Note 12 — Operating Segments in the accompanying Notes to the Unaudited Condensed Consolidated Financial Statements, certain corporate costs</w:t>
      </w:r>
      <w:r>
        <w:rPr>
          <w:rFonts w:ascii="Arial" w:eastAsia="宋体" w:hAnsi="Arial" w:cs="Arial"/>
          <w:color w:val="000000"/>
          <w:sz w:val="17"/>
          <w:szCs w:val="17"/>
        </w:rPr>
        <w:t xml:space="preserve"> are not included in EBIT of our operating segments.</w:t>
      </w:r>
    </w:p>
    <w:p w14:paraId="26E9DE9D" w14:textId="77777777" w:rsidR="008A3BAC" w:rsidRDefault="005C75B9">
      <w:pPr>
        <w:spacing w:before="120" w:after="120"/>
        <w:jc w:val="right"/>
      </w:pPr>
      <w:r>
        <w:rPr>
          <w:rFonts w:ascii="Arial" w:eastAsia="宋体" w:hAnsi="Arial" w:cs="Arial"/>
          <w:color w:val="E87722"/>
          <w:sz w:val="17"/>
          <w:szCs w:val="17"/>
        </w:rPr>
        <w:t>33</w:t>
      </w:r>
    </w:p>
    <w:p w14:paraId="26E9DE9E" w14:textId="77777777" w:rsidR="008A3BAC" w:rsidRDefault="005C75B9">
      <w:r>
        <w:pict w14:anchorId="26E9E868">
          <v:rect id="_x0000_i1059" style="width:415.3pt;height:1.5pt" o:hralign="center" o:hrstd="t" o:hr="t" fillcolor="#a0a0a0" stroked="f"/>
        </w:pict>
      </w:r>
    </w:p>
    <w:p w14:paraId="26E9DE9F" w14:textId="77777777" w:rsidR="008A3BAC" w:rsidRDefault="008A3BAC"/>
    <w:p w14:paraId="26E9DEA0" w14:textId="77777777" w:rsidR="008A3BAC" w:rsidRDefault="005C75B9">
      <w:hyperlink r:id="rId104" w:anchor="i46aba51c6a804f42b3595948c57d2023_7" w:history="1">
        <w:r>
          <w:rPr>
            <w:rStyle w:val="a5"/>
            <w:rFonts w:ascii="sans-serif" w:eastAsia="sans-serif" w:hAnsi="sans-serif" w:cs="sans-serif"/>
            <w:sz w:val="17"/>
            <w:szCs w:val="17"/>
          </w:rPr>
          <w:t>Table of Contents</w:t>
        </w:r>
      </w:hyperlink>
    </w:p>
    <w:p w14:paraId="26E9DEA1" w14:textId="77777777" w:rsidR="008A3BAC" w:rsidRDefault="008A3BAC"/>
    <w:p w14:paraId="26E9DEA2" w14:textId="77777777" w:rsidR="008A3BAC" w:rsidRDefault="005C75B9">
      <w:pPr>
        <w:spacing w:before="120" w:after="120"/>
      </w:pPr>
      <w:r>
        <w:rPr>
          <w:rFonts w:ascii="Arial" w:eastAsia="宋体" w:hAnsi="Arial" w:cs="Arial"/>
          <w:color w:val="000000"/>
          <w:sz w:val="17"/>
          <w:szCs w:val="17"/>
        </w:rPr>
        <w:t xml:space="preserve">The breakdown of </w:t>
      </w:r>
      <w:r>
        <w:rPr>
          <w:rFonts w:ascii="Arial" w:eastAsia="宋体" w:hAnsi="Arial" w:cs="Arial"/>
          <w:color w:val="000000"/>
          <w:sz w:val="17"/>
          <w:szCs w:val="17"/>
        </w:rPr>
        <w:t>earnings before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404"/>
        <w:gridCol w:w="40"/>
        <w:gridCol w:w="115"/>
        <w:gridCol w:w="675"/>
        <w:gridCol w:w="172"/>
        <w:gridCol w:w="115"/>
        <w:gridCol w:w="675"/>
        <w:gridCol w:w="172"/>
        <w:gridCol w:w="59"/>
        <w:gridCol w:w="586"/>
        <w:gridCol w:w="172"/>
        <w:gridCol w:w="36"/>
        <w:gridCol w:w="36"/>
        <w:gridCol w:w="36"/>
        <w:gridCol w:w="115"/>
        <w:gridCol w:w="574"/>
        <w:gridCol w:w="172"/>
        <w:gridCol w:w="115"/>
        <w:gridCol w:w="675"/>
        <w:gridCol w:w="172"/>
        <w:gridCol w:w="59"/>
        <w:gridCol w:w="588"/>
        <w:gridCol w:w="172"/>
        <w:gridCol w:w="36"/>
        <w:gridCol w:w="36"/>
        <w:gridCol w:w="36"/>
        <w:gridCol w:w="36"/>
        <w:gridCol w:w="36"/>
        <w:gridCol w:w="36"/>
        <w:gridCol w:w="36"/>
        <w:gridCol w:w="36"/>
        <w:gridCol w:w="36"/>
        <w:gridCol w:w="36"/>
      </w:tblGrid>
      <w:tr w:rsidR="008A3BAC" w14:paraId="26E9DEBF" w14:textId="77777777">
        <w:tc>
          <w:tcPr>
            <w:tcW w:w="50" w:type="pct"/>
            <w:shd w:val="clear" w:color="auto" w:fill="auto"/>
            <w:vAlign w:val="bottom"/>
          </w:tcPr>
          <w:p w14:paraId="26E9DEA3" w14:textId="77777777" w:rsidR="008A3BAC" w:rsidRDefault="008A3BAC">
            <w:pPr>
              <w:rPr>
                <w:rFonts w:ascii="宋体"/>
              </w:rPr>
            </w:pPr>
          </w:p>
        </w:tc>
        <w:tc>
          <w:tcPr>
            <w:tcW w:w="1619" w:type="pct"/>
            <w:shd w:val="clear" w:color="auto" w:fill="auto"/>
            <w:vAlign w:val="bottom"/>
          </w:tcPr>
          <w:p w14:paraId="26E9DEA4" w14:textId="77777777" w:rsidR="008A3BAC" w:rsidRDefault="008A3BAC">
            <w:pPr>
              <w:rPr>
                <w:rFonts w:ascii="宋体"/>
              </w:rPr>
            </w:pPr>
          </w:p>
        </w:tc>
        <w:tc>
          <w:tcPr>
            <w:tcW w:w="5" w:type="pct"/>
            <w:shd w:val="clear" w:color="auto" w:fill="auto"/>
            <w:vAlign w:val="bottom"/>
          </w:tcPr>
          <w:p w14:paraId="26E9DEA5" w14:textId="77777777" w:rsidR="008A3BAC" w:rsidRDefault="008A3BAC">
            <w:pPr>
              <w:rPr>
                <w:rFonts w:ascii="宋体"/>
              </w:rPr>
            </w:pPr>
          </w:p>
        </w:tc>
        <w:tc>
          <w:tcPr>
            <w:tcW w:w="50" w:type="pct"/>
            <w:shd w:val="clear" w:color="auto" w:fill="auto"/>
            <w:vAlign w:val="bottom"/>
          </w:tcPr>
          <w:p w14:paraId="26E9DEA6" w14:textId="77777777" w:rsidR="008A3BAC" w:rsidRDefault="008A3BAC">
            <w:pPr>
              <w:rPr>
                <w:rFonts w:ascii="宋体"/>
              </w:rPr>
            </w:pPr>
          </w:p>
        </w:tc>
        <w:tc>
          <w:tcPr>
            <w:tcW w:w="492" w:type="pct"/>
            <w:shd w:val="clear" w:color="auto" w:fill="auto"/>
            <w:vAlign w:val="bottom"/>
          </w:tcPr>
          <w:p w14:paraId="26E9DEA7" w14:textId="77777777" w:rsidR="008A3BAC" w:rsidRDefault="008A3BAC">
            <w:pPr>
              <w:rPr>
                <w:rFonts w:ascii="宋体"/>
              </w:rPr>
            </w:pPr>
          </w:p>
        </w:tc>
        <w:tc>
          <w:tcPr>
            <w:tcW w:w="5" w:type="pct"/>
            <w:shd w:val="clear" w:color="auto" w:fill="auto"/>
            <w:vAlign w:val="bottom"/>
          </w:tcPr>
          <w:p w14:paraId="26E9DEA8" w14:textId="77777777" w:rsidR="008A3BAC" w:rsidRDefault="008A3BAC">
            <w:pPr>
              <w:rPr>
                <w:rFonts w:ascii="宋体"/>
              </w:rPr>
            </w:pPr>
          </w:p>
        </w:tc>
        <w:tc>
          <w:tcPr>
            <w:tcW w:w="50" w:type="pct"/>
            <w:shd w:val="clear" w:color="auto" w:fill="auto"/>
            <w:vAlign w:val="bottom"/>
          </w:tcPr>
          <w:p w14:paraId="26E9DEA9" w14:textId="77777777" w:rsidR="008A3BAC" w:rsidRDefault="008A3BAC">
            <w:pPr>
              <w:rPr>
                <w:rFonts w:ascii="宋体"/>
              </w:rPr>
            </w:pPr>
          </w:p>
        </w:tc>
        <w:tc>
          <w:tcPr>
            <w:tcW w:w="492" w:type="pct"/>
            <w:shd w:val="clear" w:color="auto" w:fill="auto"/>
            <w:vAlign w:val="bottom"/>
          </w:tcPr>
          <w:p w14:paraId="26E9DEAA" w14:textId="77777777" w:rsidR="008A3BAC" w:rsidRDefault="008A3BAC">
            <w:pPr>
              <w:rPr>
                <w:rFonts w:ascii="宋体"/>
              </w:rPr>
            </w:pPr>
          </w:p>
        </w:tc>
        <w:tc>
          <w:tcPr>
            <w:tcW w:w="5" w:type="pct"/>
            <w:shd w:val="clear" w:color="auto" w:fill="auto"/>
            <w:vAlign w:val="bottom"/>
          </w:tcPr>
          <w:p w14:paraId="26E9DEAB" w14:textId="77777777" w:rsidR="008A3BAC" w:rsidRDefault="008A3BAC">
            <w:pPr>
              <w:rPr>
                <w:rFonts w:ascii="宋体"/>
              </w:rPr>
            </w:pPr>
          </w:p>
        </w:tc>
        <w:tc>
          <w:tcPr>
            <w:tcW w:w="50" w:type="pct"/>
            <w:shd w:val="clear" w:color="auto" w:fill="auto"/>
            <w:vAlign w:val="bottom"/>
          </w:tcPr>
          <w:p w14:paraId="26E9DEAC" w14:textId="77777777" w:rsidR="008A3BAC" w:rsidRDefault="008A3BAC">
            <w:pPr>
              <w:rPr>
                <w:rFonts w:ascii="宋体"/>
              </w:rPr>
            </w:pPr>
          </w:p>
        </w:tc>
        <w:tc>
          <w:tcPr>
            <w:tcW w:w="492" w:type="pct"/>
            <w:shd w:val="clear" w:color="auto" w:fill="auto"/>
            <w:vAlign w:val="bottom"/>
          </w:tcPr>
          <w:p w14:paraId="26E9DEAD" w14:textId="77777777" w:rsidR="008A3BAC" w:rsidRDefault="008A3BAC">
            <w:pPr>
              <w:rPr>
                <w:rFonts w:ascii="宋体"/>
              </w:rPr>
            </w:pPr>
          </w:p>
        </w:tc>
        <w:tc>
          <w:tcPr>
            <w:tcW w:w="5" w:type="pct"/>
            <w:shd w:val="clear" w:color="auto" w:fill="auto"/>
            <w:vAlign w:val="bottom"/>
          </w:tcPr>
          <w:p w14:paraId="26E9DEAE" w14:textId="77777777" w:rsidR="008A3BAC" w:rsidRDefault="008A3BAC">
            <w:pPr>
              <w:rPr>
                <w:rFonts w:ascii="宋体"/>
              </w:rPr>
            </w:pPr>
          </w:p>
        </w:tc>
        <w:tc>
          <w:tcPr>
            <w:tcW w:w="5" w:type="pct"/>
            <w:shd w:val="clear" w:color="auto" w:fill="auto"/>
            <w:vAlign w:val="bottom"/>
          </w:tcPr>
          <w:p w14:paraId="26E9DEAF" w14:textId="77777777" w:rsidR="008A3BAC" w:rsidRDefault="008A3BAC">
            <w:pPr>
              <w:rPr>
                <w:rFonts w:ascii="宋体"/>
              </w:rPr>
            </w:pPr>
          </w:p>
        </w:tc>
        <w:tc>
          <w:tcPr>
            <w:tcW w:w="28" w:type="pct"/>
            <w:shd w:val="clear" w:color="auto" w:fill="auto"/>
            <w:vAlign w:val="bottom"/>
          </w:tcPr>
          <w:p w14:paraId="26E9DEB0" w14:textId="77777777" w:rsidR="008A3BAC" w:rsidRDefault="008A3BAC">
            <w:pPr>
              <w:rPr>
                <w:rFonts w:ascii="宋体"/>
              </w:rPr>
            </w:pPr>
          </w:p>
        </w:tc>
        <w:tc>
          <w:tcPr>
            <w:tcW w:w="5" w:type="pct"/>
            <w:shd w:val="clear" w:color="auto" w:fill="auto"/>
            <w:vAlign w:val="bottom"/>
          </w:tcPr>
          <w:p w14:paraId="26E9DEB1" w14:textId="77777777" w:rsidR="008A3BAC" w:rsidRDefault="008A3BAC">
            <w:pPr>
              <w:rPr>
                <w:rFonts w:ascii="宋体"/>
              </w:rPr>
            </w:pPr>
          </w:p>
        </w:tc>
        <w:tc>
          <w:tcPr>
            <w:tcW w:w="50" w:type="pct"/>
            <w:shd w:val="clear" w:color="auto" w:fill="auto"/>
            <w:vAlign w:val="bottom"/>
          </w:tcPr>
          <w:p w14:paraId="26E9DEB2" w14:textId="77777777" w:rsidR="008A3BAC" w:rsidRDefault="008A3BAC">
            <w:pPr>
              <w:rPr>
                <w:rFonts w:ascii="宋体"/>
              </w:rPr>
            </w:pPr>
          </w:p>
        </w:tc>
        <w:tc>
          <w:tcPr>
            <w:tcW w:w="492" w:type="pct"/>
            <w:shd w:val="clear" w:color="auto" w:fill="auto"/>
            <w:vAlign w:val="bottom"/>
          </w:tcPr>
          <w:p w14:paraId="26E9DEB3" w14:textId="77777777" w:rsidR="008A3BAC" w:rsidRDefault="008A3BAC">
            <w:pPr>
              <w:rPr>
                <w:rFonts w:ascii="宋体"/>
              </w:rPr>
            </w:pPr>
          </w:p>
        </w:tc>
        <w:tc>
          <w:tcPr>
            <w:tcW w:w="5" w:type="pct"/>
            <w:shd w:val="clear" w:color="auto" w:fill="auto"/>
            <w:vAlign w:val="bottom"/>
          </w:tcPr>
          <w:p w14:paraId="26E9DEB4" w14:textId="77777777" w:rsidR="008A3BAC" w:rsidRDefault="008A3BAC">
            <w:pPr>
              <w:rPr>
                <w:rFonts w:ascii="宋体"/>
              </w:rPr>
            </w:pPr>
          </w:p>
        </w:tc>
        <w:tc>
          <w:tcPr>
            <w:tcW w:w="50" w:type="pct"/>
            <w:shd w:val="clear" w:color="auto" w:fill="auto"/>
            <w:vAlign w:val="bottom"/>
          </w:tcPr>
          <w:p w14:paraId="26E9DEB5" w14:textId="77777777" w:rsidR="008A3BAC" w:rsidRDefault="008A3BAC">
            <w:pPr>
              <w:rPr>
                <w:rFonts w:ascii="宋体"/>
              </w:rPr>
            </w:pPr>
          </w:p>
        </w:tc>
        <w:tc>
          <w:tcPr>
            <w:tcW w:w="492" w:type="pct"/>
            <w:shd w:val="clear" w:color="auto" w:fill="auto"/>
            <w:vAlign w:val="bottom"/>
          </w:tcPr>
          <w:p w14:paraId="26E9DEB6" w14:textId="77777777" w:rsidR="008A3BAC" w:rsidRDefault="008A3BAC">
            <w:pPr>
              <w:rPr>
                <w:rFonts w:ascii="宋体"/>
              </w:rPr>
            </w:pPr>
          </w:p>
        </w:tc>
        <w:tc>
          <w:tcPr>
            <w:tcW w:w="5" w:type="pct"/>
            <w:shd w:val="clear" w:color="auto" w:fill="auto"/>
            <w:vAlign w:val="bottom"/>
          </w:tcPr>
          <w:p w14:paraId="26E9DEB7" w14:textId="77777777" w:rsidR="008A3BAC" w:rsidRDefault="008A3BAC">
            <w:pPr>
              <w:rPr>
                <w:rFonts w:ascii="宋体"/>
              </w:rPr>
            </w:pPr>
          </w:p>
        </w:tc>
        <w:tc>
          <w:tcPr>
            <w:tcW w:w="50" w:type="pct"/>
            <w:shd w:val="clear" w:color="auto" w:fill="auto"/>
            <w:vAlign w:val="bottom"/>
          </w:tcPr>
          <w:p w14:paraId="26E9DEB8" w14:textId="77777777" w:rsidR="008A3BAC" w:rsidRDefault="008A3BAC">
            <w:pPr>
              <w:rPr>
                <w:rFonts w:ascii="宋体"/>
              </w:rPr>
            </w:pPr>
          </w:p>
        </w:tc>
        <w:tc>
          <w:tcPr>
            <w:tcW w:w="493" w:type="pct"/>
            <w:shd w:val="clear" w:color="auto" w:fill="auto"/>
            <w:vAlign w:val="bottom"/>
          </w:tcPr>
          <w:p w14:paraId="26E9DEB9" w14:textId="77777777" w:rsidR="008A3BAC" w:rsidRDefault="008A3BAC">
            <w:pPr>
              <w:rPr>
                <w:rFonts w:ascii="宋体"/>
              </w:rPr>
            </w:pPr>
          </w:p>
        </w:tc>
        <w:tc>
          <w:tcPr>
            <w:tcW w:w="5" w:type="pct"/>
            <w:shd w:val="clear" w:color="auto" w:fill="auto"/>
            <w:vAlign w:val="bottom"/>
          </w:tcPr>
          <w:p w14:paraId="26E9DEBA" w14:textId="77777777" w:rsidR="008A3BAC" w:rsidRDefault="008A3BAC">
            <w:pPr>
              <w:rPr>
                <w:rFonts w:ascii="宋体"/>
              </w:rPr>
            </w:pPr>
          </w:p>
        </w:tc>
        <w:tc>
          <w:tcPr>
            <w:tcW w:w="0" w:type="auto"/>
            <w:shd w:val="clear" w:color="auto" w:fill="auto"/>
            <w:vAlign w:val="bottom"/>
          </w:tcPr>
          <w:p w14:paraId="26E9DEBB" w14:textId="77777777" w:rsidR="008A3BAC" w:rsidRDefault="008A3BAC">
            <w:pPr>
              <w:rPr>
                <w:rFonts w:ascii="宋体"/>
                <w:vanish/>
              </w:rPr>
            </w:pPr>
          </w:p>
        </w:tc>
        <w:tc>
          <w:tcPr>
            <w:tcW w:w="0" w:type="auto"/>
            <w:gridSpan w:val="3"/>
            <w:shd w:val="clear" w:color="auto" w:fill="auto"/>
            <w:vAlign w:val="bottom"/>
          </w:tcPr>
          <w:p w14:paraId="26E9DEBC" w14:textId="77777777" w:rsidR="008A3BAC" w:rsidRDefault="008A3BAC">
            <w:pPr>
              <w:rPr>
                <w:rFonts w:ascii="宋体"/>
                <w:vanish/>
              </w:rPr>
            </w:pPr>
          </w:p>
        </w:tc>
        <w:tc>
          <w:tcPr>
            <w:tcW w:w="0" w:type="auto"/>
            <w:gridSpan w:val="3"/>
            <w:shd w:val="clear" w:color="auto" w:fill="auto"/>
            <w:vAlign w:val="bottom"/>
          </w:tcPr>
          <w:p w14:paraId="26E9DEBD" w14:textId="77777777" w:rsidR="008A3BAC" w:rsidRDefault="008A3BAC">
            <w:pPr>
              <w:rPr>
                <w:rFonts w:ascii="宋体"/>
                <w:vanish/>
              </w:rPr>
            </w:pPr>
          </w:p>
        </w:tc>
        <w:tc>
          <w:tcPr>
            <w:tcW w:w="0" w:type="auto"/>
            <w:gridSpan w:val="3"/>
            <w:shd w:val="clear" w:color="auto" w:fill="auto"/>
            <w:vAlign w:val="bottom"/>
          </w:tcPr>
          <w:p w14:paraId="26E9DEBE" w14:textId="77777777" w:rsidR="008A3BAC" w:rsidRDefault="008A3BAC">
            <w:pPr>
              <w:rPr>
                <w:rFonts w:ascii="宋体"/>
                <w:vanish/>
              </w:rPr>
            </w:pPr>
          </w:p>
        </w:tc>
      </w:tr>
      <w:tr w:rsidR="008A3BAC" w14:paraId="26E9DECE" w14:textId="77777777">
        <w:tc>
          <w:tcPr>
            <w:tcW w:w="0" w:type="auto"/>
            <w:gridSpan w:val="3"/>
            <w:shd w:val="clear" w:color="auto" w:fill="auto"/>
            <w:tcMar>
              <w:top w:w="0" w:type="dxa"/>
              <w:left w:w="20" w:type="dxa"/>
              <w:bottom w:w="0" w:type="dxa"/>
              <w:right w:w="20" w:type="dxa"/>
            </w:tcMar>
            <w:vAlign w:val="bottom"/>
          </w:tcPr>
          <w:p w14:paraId="26E9DEC0"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EC1"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EC2"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DEC3"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EC4" w14:textId="77777777" w:rsidR="008A3BAC" w:rsidRDefault="008A3BAC">
            <w:pPr>
              <w:rPr>
                <w:rFonts w:ascii="宋体"/>
                <w:vanish/>
              </w:rPr>
            </w:pPr>
          </w:p>
        </w:tc>
        <w:tc>
          <w:tcPr>
            <w:tcW w:w="0" w:type="auto"/>
            <w:shd w:val="clear" w:color="auto" w:fill="auto"/>
            <w:vAlign w:val="bottom"/>
          </w:tcPr>
          <w:p w14:paraId="26E9DEC5" w14:textId="77777777" w:rsidR="008A3BAC" w:rsidRDefault="008A3BAC">
            <w:pPr>
              <w:rPr>
                <w:rFonts w:ascii="宋体"/>
              </w:rPr>
            </w:pPr>
          </w:p>
        </w:tc>
        <w:tc>
          <w:tcPr>
            <w:tcW w:w="0" w:type="auto"/>
            <w:shd w:val="clear" w:color="auto" w:fill="auto"/>
            <w:vAlign w:val="bottom"/>
          </w:tcPr>
          <w:p w14:paraId="26E9DEC6" w14:textId="77777777" w:rsidR="008A3BAC" w:rsidRDefault="008A3BAC">
            <w:pPr>
              <w:rPr>
                <w:rFonts w:ascii="宋体"/>
              </w:rPr>
            </w:pPr>
          </w:p>
        </w:tc>
        <w:tc>
          <w:tcPr>
            <w:tcW w:w="0" w:type="auto"/>
            <w:shd w:val="clear" w:color="auto" w:fill="auto"/>
            <w:vAlign w:val="bottom"/>
          </w:tcPr>
          <w:p w14:paraId="26E9DEC7" w14:textId="77777777" w:rsidR="008A3BAC" w:rsidRDefault="008A3BAC">
            <w:pPr>
              <w:rPr>
                <w:rFonts w:ascii="宋体"/>
              </w:rPr>
            </w:pPr>
          </w:p>
        </w:tc>
        <w:tc>
          <w:tcPr>
            <w:tcW w:w="0" w:type="auto"/>
            <w:shd w:val="clear" w:color="auto" w:fill="auto"/>
            <w:vAlign w:val="bottom"/>
          </w:tcPr>
          <w:p w14:paraId="26E9DEC8" w14:textId="77777777" w:rsidR="008A3BAC" w:rsidRDefault="008A3BAC">
            <w:pPr>
              <w:rPr>
                <w:rFonts w:ascii="宋体"/>
              </w:rPr>
            </w:pPr>
          </w:p>
        </w:tc>
        <w:tc>
          <w:tcPr>
            <w:tcW w:w="0" w:type="auto"/>
            <w:shd w:val="clear" w:color="auto" w:fill="auto"/>
            <w:vAlign w:val="bottom"/>
          </w:tcPr>
          <w:p w14:paraId="26E9DEC9" w14:textId="77777777" w:rsidR="008A3BAC" w:rsidRDefault="008A3BAC">
            <w:pPr>
              <w:rPr>
                <w:rFonts w:ascii="宋体"/>
              </w:rPr>
            </w:pPr>
          </w:p>
        </w:tc>
        <w:tc>
          <w:tcPr>
            <w:tcW w:w="0" w:type="auto"/>
            <w:shd w:val="clear" w:color="auto" w:fill="auto"/>
            <w:vAlign w:val="bottom"/>
          </w:tcPr>
          <w:p w14:paraId="26E9DECA" w14:textId="77777777" w:rsidR="008A3BAC" w:rsidRDefault="008A3BAC">
            <w:pPr>
              <w:rPr>
                <w:rFonts w:ascii="宋体"/>
              </w:rPr>
            </w:pPr>
          </w:p>
        </w:tc>
        <w:tc>
          <w:tcPr>
            <w:tcW w:w="0" w:type="auto"/>
            <w:shd w:val="clear" w:color="auto" w:fill="auto"/>
            <w:vAlign w:val="bottom"/>
          </w:tcPr>
          <w:p w14:paraId="26E9DECB" w14:textId="77777777" w:rsidR="008A3BAC" w:rsidRDefault="008A3BAC">
            <w:pPr>
              <w:rPr>
                <w:rFonts w:ascii="宋体"/>
              </w:rPr>
            </w:pPr>
          </w:p>
        </w:tc>
        <w:tc>
          <w:tcPr>
            <w:tcW w:w="0" w:type="auto"/>
            <w:shd w:val="clear" w:color="auto" w:fill="auto"/>
            <w:vAlign w:val="bottom"/>
          </w:tcPr>
          <w:p w14:paraId="26E9DECC" w14:textId="77777777" w:rsidR="008A3BAC" w:rsidRDefault="008A3BAC">
            <w:pPr>
              <w:rPr>
                <w:rFonts w:ascii="宋体"/>
              </w:rPr>
            </w:pPr>
          </w:p>
        </w:tc>
        <w:tc>
          <w:tcPr>
            <w:tcW w:w="0" w:type="auto"/>
            <w:shd w:val="clear" w:color="auto" w:fill="auto"/>
            <w:vAlign w:val="bottom"/>
          </w:tcPr>
          <w:p w14:paraId="26E9DECD" w14:textId="77777777" w:rsidR="008A3BAC" w:rsidRDefault="008A3BAC">
            <w:pPr>
              <w:rPr>
                <w:rFonts w:ascii="宋体"/>
              </w:rPr>
            </w:pPr>
          </w:p>
        </w:tc>
      </w:tr>
      <w:tr w:rsidR="008A3BAC" w14:paraId="26E9DEDB" w14:textId="77777777">
        <w:tc>
          <w:tcPr>
            <w:tcW w:w="0" w:type="auto"/>
            <w:gridSpan w:val="3"/>
            <w:shd w:val="clear" w:color="auto" w:fill="auto"/>
            <w:tcMar>
              <w:top w:w="40" w:type="dxa"/>
              <w:left w:w="20" w:type="dxa"/>
              <w:bottom w:w="40" w:type="dxa"/>
              <w:right w:w="20" w:type="dxa"/>
            </w:tcMar>
            <w:vAlign w:val="bottom"/>
          </w:tcPr>
          <w:p w14:paraId="26E9DECF"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0"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1"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2"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DED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4"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5"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6"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6E9DED7" w14:textId="77777777" w:rsidR="008A3BAC" w:rsidRDefault="008A3BAC">
            <w:pPr>
              <w:rPr>
                <w:rFonts w:ascii="宋体"/>
                <w:vanish/>
              </w:rPr>
            </w:pPr>
          </w:p>
        </w:tc>
        <w:tc>
          <w:tcPr>
            <w:tcW w:w="0" w:type="auto"/>
            <w:gridSpan w:val="3"/>
            <w:shd w:val="clear" w:color="auto" w:fill="auto"/>
            <w:vAlign w:val="bottom"/>
          </w:tcPr>
          <w:p w14:paraId="26E9DED8" w14:textId="77777777" w:rsidR="008A3BAC" w:rsidRDefault="008A3BAC">
            <w:pPr>
              <w:rPr>
                <w:rFonts w:ascii="宋体"/>
                <w:vanish/>
              </w:rPr>
            </w:pPr>
          </w:p>
        </w:tc>
        <w:tc>
          <w:tcPr>
            <w:tcW w:w="0" w:type="auto"/>
            <w:gridSpan w:val="3"/>
            <w:shd w:val="clear" w:color="auto" w:fill="auto"/>
            <w:vAlign w:val="bottom"/>
          </w:tcPr>
          <w:p w14:paraId="26E9DED9" w14:textId="77777777" w:rsidR="008A3BAC" w:rsidRDefault="008A3BAC">
            <w:pPr>
              <w:rPr>
                <w:rFonts w:ascii="宋体"/>
                <w:vanish/>
              </w:rPr>
            </w:pPr>
          </w:p>
        </w:tc>
        <w:tc>
          <w:tcPr>
            <w:tcW w:w="0" w:type="auto"/>
            <w:gridSpan w:val="3"/>
            <w:shd w:val="clear" w:color="auto" w:fill="auto"/>
            <w:vAlign w:val="bottom"/>
          </w:tcPr>
          <w:p w14:paraId="26E9DEDA" w14:textId="77777777" w:rsidR="008A3BAC" w:rsidRDefault="008A3BAC">
            <w:pPr>
              <w:rPr>
                <w:rFonts w:ascii="宋体"/>
                <w:vanish/>
              </w:rPr>
            </w:pPr>
          </w:p>
        </w:tc>
      </w:tr>
      <w:tr w:rsidR="008A3BAC" w14:paraId="26E9DE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EDC" w14:textId="77777777" w:rsidR="008A3BAC" w:rsidRDefault="005C75B9">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DED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EDE" w14:textId="77777777" w:rsidR="008A3BAC" w:rsidRDefault="005C75B9">
            <w:pPr>
              <w:jc w:val="right"/>
              <w:textAlignment w:val="bottom"/>
            </w:pPr>
            <w:r>
              <w:rPr>
                <w:rFonts w:ascii="Arial" w:eastAsia="宋体" w:hAnsi="Arial" w:cs="Arial"/>
                <w:color w:val="000000"/>
                <w:sz w:val="17"/>
                <w:szCs w:val="17"/>
              </w:rPr>
              <w:t>967 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D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EE0"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EE1" w14:textId="77777777" w:rsidR="008A3BAC" w:rsidRDefault="005C75B9">
            <w:pPr>
              <w:jc w:val="right"/>
              <w:textAlignment w:val="bottom"/>
            </w:pPr>
            <w:r>
              <w:rPr>
                <w:rFonts w:ascii="Arial" w:eastAsia="宋体" w:hAnsi="Arial" w:cs="Arial"/>
                <w:color w:val="000000"/>
                <w:sz w:val="17"/>
                <w:szCs w:val="17"/>
              </w:rPr>
              <w:t>970 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E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E3" w14:textId="77777777" w:rsidR="008A3BAC" w:rsidRDefault="005C75B9">
            <w:pPr>
              <w:jc w:val="right"/>
              <w:textAlignment w:val="bottom"/>
            </w:pPr>
            <w:r>
              <w:rPr>
                <w:rFonts w:ascii="Arial" w:eastAsia="宋体" w:hAnsi="Arial" w:cs="Arial"/>
                <w:color w:val="000000"/>
                <w:sz w:val="17"/>
                <w:szCs w:val="17"/>
              </w:rPr>
              <w:t>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E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EE5"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DEE6"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DEE7" w14:textId="77777777" w:rsidR="008A3BAC" w:rsidRDefault="005C75B9">
            <w:pPr>
              <w:jc w:val="right"/>
              <w:textAlignment w:val="bottom"/>
            </w:pPr>
            <w:r>
              <w:rPr>
                <w:rFonts w:ascii="Arial" w:eastAsia="宋体" w:hAnsi="Arial" w:cs="Arial"/>
                <w:color w:val="000000"/>
                <w:sz w:val="17"/>
                <w:szCs w:val="17"/>
              </w:rPr>
              <w:t>3,636 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EE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DEE9"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DEEA" w14:textId="77777777" w:rsidR="008A3BAC" w:rsidRDefault="005C75B9">
            <w:pPr>
              <w:jc w:val="right"/>
              <w:textAlignment w:val="bottom"/>
            </w:pPr>
            <w:r>
              <w:rPr>
                <w:rFonts w:ascii="Arial" w:eastAsia="宋体" w:hAnsi="Arial" w:cs="Arial"/>
                <w:color w:val="000000"/>
                <w:sz w:val="17"/>
                <w:szCs w:val="17"/>
              </w:rPr>
              <w:t>3,295 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E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EEC"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EED"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EEE" w14:textId="77777777" w:rsidR="008A3BAC" w:rsidRDefault="008A3BAC">
            <w:pPr>
              <w:rPr>
                <w:rFonts w:ascii="宋体"/>
                <w:vanish/>
              </w:rPr>
            </w:pPr>
          </w:p>
        </w:tc>
        <w:tc>
          <w:tcPr>
            <w:tcW w:w="0" w:type="auto"/>
            <w:gridSpan w:val="3"/>
            <w:shd w:val="clear" w:color="auto" w:fill="auto"/>
            <w:vAlign w:val="bottom"/>
          </w:tcPr>
          <w:p w14:paraId="26E9DEEF" w14:textId="77777777" w:rsidR="008A3BAC" w:rsidRDefault="008A3BAC">
            <w:pPr>
              <w:rPr>
                <w:rFonts w:ascii="宋体"/>
                <w:vanish/>
              </w:rPr>
            </w:pPr>
          </w:p>
        </w:tc>
        <w:tc>
          <w:tcPr>
            <w:tcW w:w="0" w:type="auto"/>
            <w:gridSpan w:val="3"/>
            <w:shd w:val="clear" w:color="auto" w:fill="auto"/>
            <w:vAlign w:val="bottom"/>
          </w:tcPr>
          <w:p w14:paraId="26E9DEF0" w14:textId="77777777" w:rsidR="008A3BAC" w:rsidRDefault="008A3BAC">
            <w:pPr>
              <w:rPr>
                <w:rFonts w:ascii="宋体"/>
                <w:vanish/>
              </w:rPr>
            </w:pPr>
          </w:p>
        </w:tc>
        <w:tc>
          <w:tcPr>
            <w:tcW w:w="0" w:type="auto"/>
            <w:gridSpan w:val="3"/>
            <w:shd w:val="clear" w:color="auto" w:fill="auto"/>
            <w:vAlign w:val="bottom"/>
          </w:tcPr>
          <w:p w14:paraId="26E9DEF1" w14:textId="77777777" w:rsidR="008A3BAC" w:rsidRDefault="008A3BAC">
            <w:pPr>
              <w:rPr>
                <w:rFonts w:ascii="宋体"/>
                <w:vanish/>
              </w:rPr>
            </w:pPr>
          </w:p>
        </w:tc>
      </w:tr>
      <w:tr w:rsidR="008A3BAC" w14:paraId="26E9DF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EF3" w14:textId="77777777" w:rsidR="008A3BAC" w:rsidRDefault="005C75B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F4" w14:textId="77777777" w:rsidR="008A3BAC" w:rsidRDefault="005C75B9">
            <w:pPr>
              <w:jc w:val="right"/>
              <w:textAlignment w:val="bottom"/>
            </w:pPr>
            <w:r>
              <w:rPr>
                <w:rFonts w:ascii="Arial" w:eastAsia="宋体" w:hAnsi="Arial" w:cs="Arial"/>
                <w:color w:val="000000"/>
                <w:sz w:val="17"/>
                <w:szCs w:val="17"/>
              </w:rPr>
              <w:t>713 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F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F6" w14:textId="77777777" w:rsidR="008A3BAC" w:rsidRDefault="005C75B9">
            <w:pPr>
              <w:jc w:val="right"/>
              <w:textAlignment w:val="bottom"/>
            </w:pPr>
            <w:r>
              <w:rPr>
                <w:rFonts w:ascii="Arial" w:eastAsia="宋体" w:hAnsi="Arial" w:cs="Arial"/>
                <w:color w:val="000000"/>
                <w:sz w:val="17"/>
                <w:szCs w:val="17"/>
              </w:rPr>
              <w:t>533 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F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F8" w14:textId="77777777" w:rsidR="008A3BAC" w:rsidRDefault="005C75B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F9"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EFA"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EFB" w14:textId="77777777" w:rsidR="008A3BAC" w:rsidRDefault="005C75B9">
            <w:pPr>
              <w:jc w:val="right"/>
              <w:textAlignment w:val="bottom"/>
            </w:pPr>
            <w:r>
              <w:rPr>
                <w:rFonts w:ascii="Arial" w:eastAsia="宋体" w:hAnsi="Arial" w:cs="Arial"/>
                <w:color w:val="000000"/>
                <w:sz w:val="17"/>
                <w:szCs w:val="17"/>
              </w:rPr>
              <w:t>2,394 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EF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FD" w14:textId="77777777" w:rsidR="008A3BAC" w:rsidRDefault="005C75B9">
            <w:pPr>
              <w:jc w:val="right"/>
              <w:textAlignment w:val="bottom"/>
            </w:pPr>
            <w:r>
              <w:rPr>
                <w:rFonts w:ascii="Arial" w:eastAsia="宋体" w:hAnsi="Arial" w:cs="Arial"/>
                <w:color w:val="000000"/>
                <w:sz w:val="17"/>
                <w:szCs w:val="17"/>
              </w:rPr>
              <w:t>1,885 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EF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EFF" w14:textId="77777777" w:rsidR="008A3BAC" w:rsidRDefault="005C75B9">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00"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01" w14:textId="77777777" w:rsidR="008A3BAC" w:rsidRDefault="008A3BAC">
            <w:pPr>
              <w:rPr>
                <w:rFonts w:ascii="宋体"/>
                <w:vanish/>
              </w:rPr>
            </w:pPr>
          </w:p>
        </w:tc>
        <w:tc>
          <w:tcPr>
            <w:tcW w:w="0" w:type="auto"/>
            <w:gridSpan w:val="3"/>
            <w:shd w:val="clear" w:color="auto" w:fill="auto"/>
            <w:vAlign w:val="bottom"/>
          </w:tcPr>
          <w:p w14:paraId="26E9DF02" w14:textId="77777777" w:rsidR="008A3BAC" w:rsidRDefault="008A3BAC">
            <w:pPr>
              <w:rPr>
                <w:rFonts w:ascii="宋体"/>
                <w:vanish/>
              </w:rPr>
            </w:pPr>
          </w:p>
        </w:tc>
        <w:tc>
          <w:tcPr>
            <w:tcW w:w="0" w:type="auto"/>
            <w:gridSpan w:val="3"/>
            <w:shd w:val="clear" w:color="auto" w:fill="auto"/>
            <w:vAlign w:val="bottom"/>
          </w:tcPr>
          <w:p w14:paraId="26E9DF03" w14:textId="77777777" w:rsidR="008A3BAC" w:rsidRDefault="008A3BAC">
            <w:pPr>
              <w:rPr>
                <w:rFonts w:ascii="宋体"/>
                <w:vanish/>
              </w:rPr>
            </w:pPr>
          </w:p>
        </w:tc>
        <w:tc>
          <w:tcPr>
            <w:tcW w:w="0" w:type="auto"/>
            <w:gridSpan w:val="3"/>
            <w:shd w:val="clear" w:color="auto" w:fill="auto"/>
            <w:vAlign w:val="bottom"/>
          </w:tcPr>
          <w:p w14:paraId="26E9DF04" w14:textId="77777777" w:rsidR="008A3BAC" w:rsidRDefault="008A3BAC">
            <w:pPr>
              <w:rPr>
                <w:rFonts w:ascii="宋体"/>
                <w:vanish/>
              </w:rPr>
            </w:pPr>
          </w:p>
        </w:tc>
      </w:tr>
      <w:tr w:rsidR="008A3BAC" w14:paraId="26E9DF1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F06" w14:textId="77777777" w:rsidR="008A3BAC" w:rsidRDefault="005C75B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07" w14:textId="77777777" w:rsidR="008A3BAC" w:rsidRDefault="005C75B9">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0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09" w14:textId="77777777" w:rsidR="008A3BAC" w:rsidRDefault="005C75B9">
            <w:pPr>
              <w:jc w:val="right"/>
              <w:textAlignment w:val="bottom"/>
            </w:pPr>
            <w:r>
              <w:rPr>
                <w:rFonts w:ascii="Arial" w:eastAsia="宋体" w:hAnsi="Arial" w:cs="Arial"/>
                <w:color w:val="000000"/>
                <w:sz w:val="17"/>
                <w:szCs w:val="17"/>
              </w:rPr>
              <w:t>973 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0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0B"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0C"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F0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0E" w14:textId="77777777" w:rsidR="008A3BAC" w:rsidRDefault="005C75B9">
            <w:pPr>
              <w:jc w:val="right"/>
              <w:textAlignment w:val="bottom"/>
            </w:pPr>
            <w:r>
              <w:rPr>
                <w:rFonts w:ascii="Arial" w:eastAsia="宋体" w:hAnsi="Arial" w:cs="Arial"/>
                <w:color w:val="000000"/>
                <w:sz w:val="17"/>
                <w:szCs w:val="17"/>
              </w:rPr>
              <w:t>2,054 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0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10" w14:textId="77777777" w:rsidR="008A3BAC" w:rsidRDefault="005C75B9">
            <w:pPr>
              <w:jc w:val="right"/>
              <w:textAlignment w:val="bottom"/>
            </w:pPr>
            <w:r>
              <w:rPr>
                <w:rFonts w:ascii="Arial" w:eastAsia="宋体" w:hAnsi="Arial" w:cs="Arial"/>
                <w:color w:val="000000"/>
                <w:sz w:val="17"/>
                <w:szCs w:val="17"/>
              </w:rPr>
              <w:t>2,552 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1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12" w14:textId="77777777" w:rsidR="008A3BAC" w:rsidRDefault="005C75B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13"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14" w14:textId="77777777" w:rsidR="008A3BAC" w:rsidRDefault="008A3BAC">
            <w:pPr>
              <w:rPr>
                <w:rFonts w:ascii="宋体"/>
                <w:vanish/>
              </w:rPr>
            </w:pPr>
          </w:p>
        </w:tc>
        <w:tc>
          <w:tcPr>
            <w:tcW w:w="0" w:type="auto"/>
            <w:gridSpan w:val="3"/>
            <w:shd w:val="clear" w:color="auto" w:fill="auto"/>
            <w:vAlign w:val="bottom"/>
          </w:tcPr>
          <w:p w14:paraId="26E9DF15" w14:textId="77777777" w:rsidR="008A3BAC" w:rsidRDefault="008A3BAC">
            <w:pPr>
              <w:rPr>
                <w:rFonts w:ascii="宋体"/>
                <w:vanish/>
              </w:rPr>
            </w:pPr>
          </w:p>
        </w:tc>
        <w:tc>
          <w:tcPr>
            <w:tcW w:w="0" w:type="auto"/>
            <w:gridSpan w:val="3"/>
            <w:shd w:val="clear" w:color="auto" w:fill="auto"/>
            <w:vAlign w:val="bottom"/>
          </w:tcPr>
          <w:p w14:paraId="26E9DF16" w14:textId="77777777" w:rsidR="008A3BAC" w:rsidRDefault="008A3BAC">
            <w:pPr>
              <w:rPr>
                <w:rFonts w:ascii="宋体"/>
                <w:vanish/>
              </w:rPr>
            </w:pPr>
          </w:p>
        </w:tc>
        <w:tc>
          <w:tcPr>
            <w:tcW w:w="0" w:type="auto"/>
            <w:gridSpan w:val="3"/>
            <w:shd w:val="clear" w:color="auto" w:fill="auto"/>
            <w:vAlign w:val="bottom"/>
          </w:tcPr>
          <w:p w14:paraId="26E9DF17" w14:textId="77777777" w:rsidR="008A3BAC" w:rsidRDefault="008A3BAC">
            <w:pPr>
              <w:rPr>
                <w:rFonts w:ascii="宋体"/>
                <w:vanish/>
              </w:rPr>
            </w:pPr>
          </w:p>
        </w:tc>
      </w:tr>
      <w:tr w:rsidR="008A3BAC" w14:paraId="26E9DF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F19" w14:textId="77777777" w:rsidR="008A3BAC" w:rsidRDefault="005C75B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1A" w14:textId="77777777" w:rsidR="008A3BAC" w:rsidRDefault="005C75B9">
            <w:pPr>
              <w:jc w:val="right"/>
              <w:textAlignment w:val="bottom"/>
            </w:pPr>
            <w:r>
              <w:rPr>
                <w:rFonts w:ascii="Arial" w:eastAsia="宋体" w:hAnsi="Arial" w:cs="Arial"/>
                <w:color w:val="000000"/>
                <w:sz w:val="17"/>
                <w:szCs w:val="17"/>
              </w:rPr>
              <w:t>478 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1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1C" w14:textId="77777777" w:rsidR="008A3BAC" w:rsidRDefault="005C75B9">
            <w:pPr>
              <w:jc w:val="right"/>
              <w:textAlignment w:val="bottom"/>
            </w:pPr>
            <w:r>
              <w:rPr>
                <w:rFonts w:ascii="Arial" w:eastAsia="宋体" w:hAnsi="Arial" w:cs="Arial"/>
                <w:color w:val="000000"/>
                <w:sz w:val="17"/>
                <w:szCs w:val="17"/>
              </w:rPr>
              <w:t>408 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1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1E"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1F"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F2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21" w14:textId="77777777" w:rsidR="008A3BAC" w:rsidRDefault="005C75B9">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2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23" w14:textId="77777777" w:rsidR="008A3BAC" w:rsidRDefault="005C75B9">
            <w:pPr>
              <w:jc w:val="right"/>
              <w:textAlignment w:val="bottom"/>
            </w:pPr>
            <w:r>
              <w:rPr>
                <w:rFonts w:ascii="Arial" w:eastAsia="宋体" w:hAnsi="Arial" w:cs="Arial"/>
                <w:color w:val="000000"/>
                <w:sz w:val="17"/>
                <w:szCs w:val="17"/>
              </w:rPr>
              <w:t>1,112 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2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25"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26"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27" w14:textId="77777777" w:rsidR="008A3BAC" w:rsidRDefault="008A3BAC">
            <w:pPr>
              <w:rPr>
                <w:rFonts w:ascii="宋体"/>
                <w:vanish/>
              </w:rPr>
            </w:pPr>
          </w:p>
        </w:tc>
        <w:tc>
          <w:tcPr>
            <w:tcW w:w="0" w:type="auto"/>
            <w:gridSpan w:val="3"/>
            <w:shd w:val="clear" w:color="auto" w:fill="auto"/>
            <w:vAlign w:val="bottom"/>
          </w:tcPr>
          <w:p w14:paraId="26E9DF28" w14:textId="77777777" w:rsidR="008A3BAC" w:rsidRDefault="008A3BAC">
            <w:pPr>
              <w:rPr>
                <w:rFonts w:ascii="宋体"/>
                <w:vanish/>
              </w:rPr>
            </w:pPr>
          </w:p>
        </w:tc>
        <w:tc>
          <w:tcPr>
            <w:tcW w:w="0" w:type="auto"/>
            <w:gridSpan w:val="3"/>
            <w:shd w:val="clear" w:color="auto" w:fill="auto"/>
            <w:vAlign w:val="bottom"/>
          </w:tcPr>
          <w:p w14:paraId="26E9DF29" w14:textId="77777777" w:rsidR="008A3BAC" w:rsidRDefault="008A3BAC">
            <w:pPr>
              <w:rPr>
                <w:rFonts w:ascii="宋体"/>
                <w:vanish/>
              </w:rPr>
            </w:pPr>
          </w:p>
        </w:tc>
        <w:tc>
          <w:tcPr>
            <w:tcW w:w="0" w:type="auto"/>
            <w:gridSpan w:val="3"/>
            <w:shd w:val="clear" w:color="auto" w:fill="auto"/>
            <w:vAlign w:val="bottom"/>
          </w:tcPr>
          <w:p w14:paraId="26E9DF2A" w14:textId="77777777" w:rsidR="008A3BAC" w:rsidRDefault="008A3BAC">
            <w:pPr>
              <w:rPr>
                <w:rFonts w:ascii="宋体"/>
                <w:vanish/>
              </w:rPr>
            </w:pPr>
          </w:p>
        </w:tc>
      </w:tr>
      <w:tr w:rsidR="008A3BAC" w14:paraId="26E9DF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F2C" w14:textId="77777777" w:rsidR="008A3BAC" w:rsidRDefault="005C75B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2D" w14:textId="77777777" w:rsidR="008A3BAC" w:rsidRDefault="005C75B9">
            <w:pPr>
              <w:jc w:val="right"/>
              <w:textAlignment w:val="bottom"/>
            </w:pPr>
            <w:r>
              <w:rPr>
                <w:rFonts w:ascii="Arial" w:eastAsia="宋体" w:hAnsi="Arial" w:cs="Arial"/>
                <w:color w:val="000000"/>
                <w:sz w:val="17"/>
                <w:szCs w:val="17"/>
              </w:rPr>
              <w:t>(975)</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2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2F" w14:textId="77777777" w:rsidR="008A3BAC" w:rsidRDefault="005C75B9">
            <w:pPr>
              <w:jc w:val="right"/>
              <w:textAlignment w:val="bottom"/>
            </w:pPr>
            <w:r>
              <w:rPr>
                <w:rFonts w:ascii="Arial" w:eastAsia="宋体" w:hAnsi="Arial" w:cs="Arial"/>
                <w:color w:val="000000"/>
                <w:sz w:val="17"/>
                <w:szCs w:val="17"/>
              </w:rPr>
              <w:t>(852)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3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31"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3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F3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34" w14:textId="77777777" w:rsidR="008A3BAC" w:rsidRDefault="005C75B9">
            <w:pPr>
              <w:jc w:val="right"/>
              <w:textAlignment w:val="bottom"/>
            </w:pPr>
            <w:r>
              <w:rPr>
                <w:rFonts w:ascii="Arial" w:eastAsia="宋体" w:hAnsi="Arial" w:cs="Arial"/>
                <w:color w:val="000000"/>
                <w:sz w:val="17"/>
                <w:szCs w:val="17"/>
              </w:rPr>
              <w:t>(3,033)</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3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36" w14:textId="77777777" w:rsidR="008A3BAC" w:rsidRDefault="005C75B9">
            <w:pPr>
              <w:jc w:val="right"/>
              <w:textAlignment w:val="bottom"/>
            </w:pPr>
            <w:r>
              <w:rPr>
                <w:rFonts w:ascii="Arial" w:eastAsia="宋体" w:hAnsi="Arial" w:cs="Arial"/>
                <w:color w:val="000000"/>
                <w:sz w:val="17"/>
                <w:szCs w:val="17"/>
              </w:rPr>
              <w:t>(2,546)</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3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38"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39"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3A" w14:textId="77777777" w:rsidR="008A3BAC" w:rsidRDefault="008A3BAC">
            <w:pPr>
              <w:rPr>
                <w:rFonts w:ascii="宋体"/>
                <w:vanish/>
              </w:rPr>
            </w:pPr>
          </w:p>
        </w:tc>
        <w:tc>
          <w:tcPr>
            <w:tcW w:w="0" w:type="auto"/>
            <w:gridSpan w:val="3"/>
            <w:shd w:val="clear" w:color="auto" w:fill="auto"/>
            <w:vAlign w:val="bottom"/>
          </w:tcPr>
          <w:p w14:paraId="26E9DF3B" w14:textId="77777777" w:rsidR="008A3BAC" w:rsidRDefault="008A3BAC">
            <w:pPr>
              <w:rPr>
                <w:rFonts w:ascii="宋体"/>
                <w:vanish/>
              </w:rPr>
            </w:pPr>
          </w:p>
        </w:tc>
        <w:tc>
          <w:tcPr>
            <w:tcW w:w="0" w:type="auto"/>
            <w:gridSpan w:val="3"/>
            <w:shd w:val="clear" w:color="auto" w:fill="auto"/>
            <w:vAlign w:val="bottom"/>
          </w:tcPr>
          <w:p w14:paraId="26E9DF3C" w14:textId="77777777" w:rsidR="008A3BAC" w:rsidRDefault="008A3BAC">
            <w:pPr>
              <w:rPr>
                <w:rFonts w:ascii="宋体"/>
                <w:vanish/>
              </w:rPr>
            </w:pPr>
          </w:p>
        </w:tc>
        <w:tc>
          <w:tcPr>
            <w:tcW w:w="0" w:type="auto"/>
            <w:gridSpan w:val="3"/>
            <w:shd w:val="clear" w:color="auto" w:fill="auto"/>
            <w:vAlign w:val="bottom"/>
          </w:tcPr>
          <w:p w14:paraId="26E9DF3D" w14:textId="77777777" w:rsidR="008A3BAC" w:rsidRDefault="008A3BAC">
            <w:pPr>
              <w:rPr>
                <w:rFonts w:ascii="宋体"/>
                <w:vanish/>
              </w:rPr>
            </w:pPr>
          </w:p>
        </w:tc>
      </w:tr>
      <w:tr w:rsidR="008A3BAC" w14:paraId="26E9DF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3F" w14:textId="77777777" w:rsidR="008A3BAC" w:rsidRDefault="005C75B9">
            <w:pP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40" w14:textId="77777777" w:rsidR="008A3BAC" w:rsidRDefault="005C75B9">
            <w:pPr>
              <w:jc w:val="right"/>
              <w:textAlignment w:val="bottom"/>
            </w:pPr>
            <w:r>
              <w:rPr>
                <w:rFonts w:ascii="Arial" w:eastAsia="宋体" w:hAnsi="Arial" w:cs="Arial"/>
                <w:b/>
                <w:bCs/>
                <w:color w:val="000000"/>
                <w:sz w:val="17"/>
                <w:szCs w:val="17"/>
              </w:rPr>
              <w:t>1,967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4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42" w14:textId="77777777" w:rsidR="008A3BAC" w:rsidRDefault="005C75B9">
            <w:pPr>
              <w:jc w:val="right"/>
              <w:textAlignment w:val="bottom"/>
            </w:pPr>
            <w:r>
              <w:rPr>
                <w:rFonts w:ascii="Arial" w:eastAsia="宋体" w:hAnsi="Arial" w:cs="Arial"/>
                <w:b/>
                <w:bCs/>
                <w:color w:val="000000"/>
                <w:sz w:val="17"/>
                <w:szCs w:val="17"/>
              </w:rPr>
              <w:t>2,032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4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44" w14:textId="77777777" w:rsidR="008A3BAC" w:rsidRDefault="005C75B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45"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46"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47" w14:textId="77777777" w:rsidR="008A3BAC" w:rsidRDefault="005C75B9">
            <w:pPr>
              <w:jc w:val="right"/>
              <w:textAlignment w:val="bottom"/>
            </w:pPr>
            <w:r>
              <w:rPr>
                <w:rFonts w:ascii="Arial" w:eastAsia="宋体" w:hAnsi="Arial" w:cs="Arial"/>
                <w:b/>
                <w:bCs/>
                <w:color w:val="000000"/>
                <w:sz w:val="17"/>
                <w:szCs w:val="17"/>
              </w:rPr>
              <w:t>6,398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48"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49" w14:textId="77777777" w:rsidR="008A3BAC" w:rsidRDefault="005C75B9">
            <w:pPr>
              <w:jc w:val="right"/>
              <w:textAlignment w:val="bottom"/>
            </w:pPr>
            <w:r>
              <w:rPr>
                <w:rFonts w:ascii="Arial" w:eastAsia="宋体" w:hAnsi="Arial" w:cs="Arial"/>
                <w:b/>
                <w:bCs/>
                <w:color w:val="000000"/>
                <w:sz w:val="17"/>
                <w:szCs w:val="17"/>
              </w:rPr>
              <w:t>6,298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4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4B"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4C"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DF4D" w14:textId="77777777" w:rsidR="008A3BAC" w:rsidRDefault="008A3BAC">
            <w:pPr>
              <w:rPr>
                <w:rFonts w:ascii="宋体"/>
                <w:vanish/>
              </w:rPr>
            </w:pPr>
          </w:p>
        </w:tc>
        <w:tc>
          <w:tcPr>
            <w:tcW w:w="0" w:type="auto"/>
            <w:gridSpan w:val="3"/>
            <w:shd w:val="clear" w:color="auto" w:fill="auto"/>
            <w:vAlign w:val="bottom"/>
          </w:tcPr>
          <w:p w14:paraId="26E9DF4E" w14:textId="77777777" w:rsidR="008A3BAC" w:rsidRDefault="008A3BAC">
            <w:pPr>
              <w:rPr>
                <w:rFonts w:ascii="宋体"/>
                <w:vanish/>
              </w:rPr>
            </w:pPr>
          </w:p>
        </w:tc>
        <w:tc>
          <w:tcPr>
            <w:tcW w:w="0" w:type="auto"/>
            <w:gridSpan w:val="3"/>
            <w:shd w:val="clear" w:color="auto" w:fill="auto"/>
            <w:vAlign w:val="bottom"/>
          </w:tcPr>
          <w:p w14:paraId="26E9DF4F" w14:textId="77777777" w:rsidR="008A3BAC" w:rsidRDefault="008A3BAC">
            <w:pPr>
              <w:rPr>
                <w:rFonts w:ascii="宋体"/>
                <w:vanish/>
              </w:rPr>
            </w:pPr>
          </w:p>
        </w:tc>
        <w:tc>
          <w:tcPr>
            <w:tcW w:w="0" w:type="auto"/>
            <w:gridSpan w:val="3"/>
            <w:shd w:val="clear" w:color="auto" w:fill="auto"/>
            <w:vAlign w:val="bottom"/>
          </w:tcPr>
          <w:p w14:paraId="26E9DF50" w14:textId="77777777" w:rsidR="008A3BAC" w:rsidRDefault="008A3BAC">
            <w:pPr>
              <w:rPr>
                <w:rFonts w:ascii="宋体"/>
                <w:vanish/>
              </w:rPr>
            </w:pPr>
          </w:p>
        </w:tc>
      </w:tr>
      <w:tr w:rsidR="008A3BAC" w14:paraId="26E9DF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52" w14:textId="77777777" w:rsidR="008A3BAC" w:rsidRDefault="005C75B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53" w14:textId="77777777" w:rsidR="008A3BAC" w:rsidRDefault="005C75B9">
            <w:pPr>
              <w:jc w:val="right"/>
              <w:textAlignment w:val="bottom"/>
            </w:pPr>
            <w:r>
              <w:rPr>
                <w:rFonts w:ascii="Arial" w:eastAsia="宋体" w:hAnsi="Arial" w:cs="Arial"/>
                <w:color w:val="000000"/>
                <w:sz w:val="17"/>
                <w:szCs w:val="17"/>
              </w:rPr>
              <w:t>168 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5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55" w14:textId="77777777" w:rsidR="008A3BAC" w:rsidRDefault="005C75B9">
            <w:pPr>
              <w:jc w:val="right"/>
              <w:textAlignment w:val="bottom"/>
            </w:pPr>
            <w:r>
              <w:rPr>
                <w:rFonts w:ascii="Arial" w:eastAsia="宋体" w:hAnsi="Arial" w:cs="Arial"/>
                <w:color w:val="000000"/>
                <w:sz w:val="17"/>
                <w:szCs w:val="17"/>
              </w:rPr>
              <w:t>150 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5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57"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5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59"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5A" w14:textId="77777777" w:rsidR="008A3BAC" w:rsidRDefault="005C75B9">
            <w:pPr>
              <w:jc w:val="right"/>
              <w:textAlignment w:val="bottom"/>
            </w:pPr>
            <w:r>
              <w:rPr>
                <w:rFonts w:ascii="Arial" w:eastAsia="宋体" w:hAnsi="Arial" w:cs="Arial"/>
                <w:color w:val="000000"/>
                <w:sz w:val="17"/>
                <w:szCs w:val="17"/>
              </w:rPr>
              <w:t>504 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5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5C" w14:textId="77777777" w:rsidR="008A3BAC" w:rsidRDefault="005C75B9">
            <w:pPr>
              <w:jc w:val="right"/>
              <w:textAlignment w:val="bottom"/>
            </w:pPr>
            <w:r>
              <w:rPr>
                <w:rFonts w:ascii="Arial" w:eastAsia="宋体" w:hAnsi="Arial" w:cs="Arial"/>
                <w:color w:val="000000"/>
                <w:sz w:val="17"/>
                <w:szCs w:val="17"/>
              </w:rPr>
              <w:t>405 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5D"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5E" w14:textId="77777777" w:rsidR="008A3BAC" w:rsidRDefault="005C75B9">
            <w:pPr>
              <w:jc w:val="right"/>
              <w:textAlignment w:val="bottom"/>
            </w:pPr>
            <w:r>
              <w:rPr>
                <w:rFonts w:ascii="Arial" w:eastAsia="宋体" w:hAnsi="Arial" w:cs="Arial"/>
                <w:color w:val="000000"/>
                <w:sz w:val="17"/>
                <w:szCs w:val="17"/>
              </w:rPr>
              <w:t>24 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5F"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60" w14:textId="77777777" w:rsidR="008A3BAC" w:rsidRDefault="008A3BAC">
            <w:pPr>
              <w:rPr>
                <w:rFonts w:ascii="宋体"/>
                <w:vanish/>
              </w:rPr>
            </w:pPr>
          </w:p>
        </w:tc>
        <w:tc>
          <w:tcPr>
            <w:tcW w:w="0" w:type="auto"/>
            <w:gridSpan w:val="3"/>
            <w:shd w:val="clear" w:color="auto" w:fill="auto"/>
            <w:vAlign w:val="bottom"/>
          </w:tcPr>
          <w:p w14:paraId="26E9DF61" w14:textId="77777777" w:rsidR="008A3BAC" w:rsidRDefault="008A3BAC">
            <w:pPr>
              <w:rPr>
                <w:rFonts w:ascii="宋体"/>
                <w:vanish/>
              </w:rPr>
            </w:pPr>
          </w:p>
        </w:tc>
        <w:tc>
          <w:tcPr>
            <w:tcW w:w="0" w:type="auto"/>
            <w:gridSpan w:val="3"/>
            <w:shd w:val="clear" w:color="auto" w:fill="auto"/>
            <w:vAlign w:val="bottom"/>
          </w:tcPr>
          <w:p w14:paraId="26E9DF62" w14:textId="77777777" w:rsidR="008A3BAC" w:rsidRDefault="008A3BAC">
            <w:pPr>
              <w:rPr>
                <w:rFonts w:ascii="宋体"/>
                <w:vanish/>
              </w:rPr>
            </w:pPr>
          </w:p>
        </w:tc>
        <w:tc>
          <w:tcPr>
            <w:tcW w:w="0" w:type="auto"/>
            <w:gridSpan w:val="3"/>
            <w:shd w:val="clear" w:color="auto" w:fill="auto"/>
            <w:vAlign w:val="bottom"/>
          </w:tcPr>
          <w:p w14:paraId="26E9DF63" w14:textId="77777777" w:rsidR="008A3BAC" w:rsidRDefault="008A3BAC">
            <w:pPr>
              <w:rPr>
                <w:rFonts w:ascii="宋体"/>
                <w:vanish/>
              </w:rPr>
            </w:pPr>
          </w:p>
        </w:tc>
      </w:tr>
      <w:tr w:rsidR="008A3BAC" w14:paraId="26E9DF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DF65" w14:textId="77777777" w:rsidR="008A3BAC" w:rsidRDefault="005C75B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66" w14:textId="77777777" w:rsidR="008A3BAC" w:rsidRDefault="005C75B9">
            <w:pPr>
              <w:jc w:val="right"/>
              <w:textAlignment w:val="bottom"/>
            </w:pPr>
            <w:r>
              <w:rPr>
                <w:rFonts w:ascii="Arial" w:eastAsia="宋体" w:hAnsi="Arial" w:cs="Arial"/>
                <w:color w:val="000000"/>
                <w:sz w:val="17"/>
                <w:szCs w:val="17"/>
              </w:rPr>
              <w:t>(412)</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6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68" w14:textId="77777777" w:rsidR="008A3BAC" w:rsidRDefault="005C75B9">
            <w:pPr>
              <w:jc w:val="right"/>
              <w:textAlignment w:val="bottom"/>
            </w:pPr>
            <w:r>
              <w:rPr>
                <w:rFonts w:ascii="Arial" w:eastAsia="宋体" w:hAnsi="Arial" w:cs="Arial"/>
                <w:color w:val="000000"/>
                <w:sz w:val="17"/>
                <w:szCs w:val="17"/>
              </w:rPr>
              <w:t>(482)</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6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6A"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6B"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DF6C"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DF6D" w14:textId="77777777" w:rsidR="008A3BAC" w:rsidRDefault="005C75B9">
            <w:pPr>
              <w:jc w:val="right"/>
              <w:textAlignment w:val="bottom"/>
            </w:pPr>
            <w:r>
              <w:rPr>
                <w:rFonts w:ascii="Arial" w:eastAsia="宋体" w:hAnsi="Arial" w:cs="Arial"/>
                <w:color w:val="000000"/>
                <w:sz w:val="17"/>
                <w:szCs w:val="17"/>
              </w:rPr>
              <w:t>(1,460)</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DF6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6F" w14:textId="77777777" w:rsidR="008A3BAC" w:rsidRDefault="005C75B9">
            <w:pPr>
              <w:jc w:val="right"/>
              <w:textAlignment w:val="bottom"/>
            </w:pPr>
            <w:r>
              <w:rPr>
                <w:rFonts w:ascii="Arial" w:eastAsia="宋体" w:hAnsi="Arial" w:cs="Arial"/>
                <w:color w:val="000000"/>
                <w:sz w:val="17"/>
                <w:szCs w:val="17"/>
              </w:rPr>
              <w:t>(1,697)</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7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DF71"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DF72"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DF73" w14:textId="77777777" w:rsidR="008A3BAC" w:rsidRDefault="008A3BAC">
            <w:pPr>
              <w:rPr>
                <w:rFonts w:ascii="宋体"/>
                <w:vanish/>
              </w:rPr>
            </w:pPr>
          </w:p>
        </w:tc>
        <w:tc>
          <w:tcPr>
            <w:tcW w:w="0" w:type="auto"/>
            <w:gridSpan w:val="3"/>
            <w:shd w:val="clear" w:color="auto" w:fill="auto"/>
            <w:vAlign w:val="bottom"/>
          </w:tcPr>
          <w:p w14:paraId="26E9DF74" w14:textId="77777777" w:rsidR="008A3BAC" w:rsidRDefault="008A3BAC">
            <w:pPr>
              <w:rPr>
                <w:rFonts w:ascii="宋体"/>
                <w:vanish/>
              </w:rPr>
            </w:pPr>
          </w:p>
        </w:tc>
        <w:tc>
          <w:tcPr>
            <w:tcW w:w="0" w:type="auto"/>
            <w:gridSpan w:val="3"/>
            <w:shd w:val="clear" w:color="auto" w:fill="auto"/>
            <w:vAlign w:val="bottom"/>
          </w:tcPr>
          <w:p w14:paraId="26E9DF75" w14:textId="77777777" w:rsidR="008A3BAC" w:rsidRDefault="008A3BAC">
            <w:pPr>
              <w:rPr>
                <w:rFonts w:ascii="宋体"/>
                <w:vanish/>
              </w:rPr>
            </w:pPr>
          </w:p>
        </w:tc>
        <w:tc>
          <w:tcPr>
            <w:tcW w:w="0" w:type="auto"/>
            <w:gridSpan w:val="3"/>
            <w:shd w:val="clear" w:color="auto" w:fill="auto"/>
            <w:vAlign w:val="bottom"/>
          </w:tcPr>
          <w:p w14:paraId="26E9DF76" w14:textId="77777777" w:rsidR="008A3BAC" w:rsidRDefault="008A3BAC">
            <w:pPr>
              <w:rPr>
                <w:rFonts w:ascii="宋体"/>
                <w:vanish/>
              </w:rPr>
            </w:pPr>
          </w:p>
        </w:tc>
      </w:tr>
      <w:tr w:rsidR="008A3BAC" w14:paraId="26E9DF8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78" w14:textId="77777777" w:rsidR="008A3BAC" w:rsidRDefault="005C75B9">
            <w:pP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79" w14:textId="77777777" w:rsidR="008A3BAC" w:rsidRDefault="005C75B9">
            <w:pPr>
              <w:jc w:val="right"/>
              <w:textAlignment w:val="bottom"/>
            </w:pPr>
            <w:r>
              <w:rPr>
                <w:rFonts w:ascii="Arial" w:eastAsia="宋体" w:hAnsi="Arial" w:cs="Arial"/>
                <w:b/>
                <w:bCs/>
                <w:color w:val="000000"/>
                <w:sz w:val="17"/>
                <w:szCs w:val="17"/>
              </w:rPr>
              <w:t>1,723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7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7B" w14:textId="77777777" w:rsidR="008A3BAC" w:rsidRDefault="005C75B9">
            <w:pPr>
              <w:jc w:val="right"/>
              <w:textAlignment w:val="bottom"/>
            </w:pPr>
            <w:r>
              <w:rPr>
                <w:rFonts w:ascii="Arial" w:eastAsia="宋体" w:hAnsi="Arial" w:cs="Arial"/>
                <w:b/>
                <w:bCs/>
                <w:color w:val="000000"/>
                <w:sz w:val="17"/>
                <w:szCs w:val="17"/>
              </w:rPr>
              <w:t>1,700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7C"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7D" w14:textId="77777777" w:rsidR="008A3BAC" w:rsidRDefault="005C75B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7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7F"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80" w14:textId="77777777" w:rsidR="008A3BAC" w:rsidRDefault="005C75B9">
            <w:pPr>
              <w:jc w:val="right"/>
              <w:textAlignment w:val="bottom"/>
            </w:pPr>
            <w:r>
              <w:rPr>
                <w:rFonts w:ascii="Arial" w:eastAsia="宋体" w:hAnsi="Arial" w:cs="Arial"/>
                <w:b/>
                <w:bCs/>
                <w:color w:val="000000"/>
                <w:sz w:val="17"/>
                <w:szCs w:val="17"/>
              </w:rPr>
              <w:t>5,442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8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82" w14:textId="77777777" w:rsidR="008A3BAC" w:rsidRDefault="005C75B9">
            <w:pPr>
              <w:jc w:val="right"/>
              <w:textAlignment w:val="bottom"/>
            </w:pPr>
            <w:r>
              <w:rPr>
                <w:rFonts w:ascii="Arial" w:eastAsia="宋体" w:hAnsi="Arial" w:cs="Arial"/>
                <w:b/>
                <w:bCs/>
                <w:color w:val="000000"/>
                <w:sz w:val="17"/>
                <w:szCs w:val="17"/>
              </w:rPr>
              <w:t>5,006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83"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84"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85"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DF86" w14:textId="77777777" w:rsidR="008A3BAC" w:rsidRDefault="008A3BAC">
            <w:pPr>
              <w:rPr>
                <w:rFonts w:ascii="宋体"/>
                <w:vanish/>
              </w:rPr>
            </w:pPr>
          </w:p>
        </w:tc>
        <w:tc>
          <w:tcPr>
            <w:tcW w:w="0" w:type="auto"/>
            <w:gridSpan w:val="3"/>
            <w:shd w:val="clear" w:color="auto" w:fill="auto"/>
            <w:vAlign w:val="bottom"/>
          </w:tcPr>
          <w:p w14:paraId="26E9DF87" w14:textId="77777777" w:rsidR="008A3BAC" w:rsidRDefault="008A3BAC">
            <w:pPr>
              <w:rPr>
                <w:rFonts w:ascii="宋体"/>
                <w:vanish/>
              </w:rPr>
            </w:pPr>
          </w:p>
        </w:tc>
        <w:tc>
          <w:tcPr>
            <w:tcW w:w="0" w:type="auto"/>
            <w:gridSpan w:val="3"/>
            <w:shd w:val="clear" w:color="auto" w:fill="auto"/>
            <w:vAlign w:val="bottom"/>
          </w:tcPr>
          <w:p w14:paraId="26E9DF88" w14:textId="77777777" w:rsidR="008A3BAC" w:rsidRDefault="008A3BAC">
            <w:pPr>
              <w:rPr>
                <w:rFonts w:ascii="宋体"/>
                <w:vanish/>
              </w:rPr>
            </w:pPr>
          </w:p>
        </w:tc>
        <w:tc>
          <w:tcPr>
            <w:tcW w:w="0" w:type="auto"/>
            <w:gridSpan w:val="3"/>
            <w:shd w:val="clear" w:color="auto" w:fill="auto"/>
            <w:vAlign w:val="bottom"/>
          </w:tcPr>
          <w:p w14:paraId="26E9DF89" w14:textId="77777777" w:rsidR="008A3BAC" w:rsidRDefault="008A3BAC">
            <w:pPr>
              <w:rPr>
                <w:rFonts w:ascii="宋体"/>
                <w:vanish/>
              </w:rPr>
            </w:pPr>
          </w:p>
        </w:tc>
      </w:tr>
      <w:tr w:rsidR="008A3BAC" w14:paraId="26E9DF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8B" w14:textId="77777777" w:rsidR="008A3BAC" w:rsidRDefault="005C75B9">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8C" w14:textId="77777777" w:rsidR="008A3BAC" w:rsidRDefault="005C75B9">
            <w:pPr>
              <w:jc w:val="right"/>
              <w:textAlignment w:val="bottom"/>
            </w:pPr>
            <w:r>
              <w:rPr>
                <w:rFonts w:ascii="Arial" w:eastAsia="宋体" w:hAnsi="Arial" w:cs="Arial"/>
                <w:i/>
                <w:iCs/>
                <w:color w:val="000000"/>
                <w:sz w:val="17"/>
                <w:szCs w:val="17"/>
              </w:rPr>
              <w:t>15.8 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8D" w14:textId="77777777" w:rsidR="008A3BAC" w:rsidRDefault="005C75B9">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8E" w14:textId="77777777" w:rsidR="008A3BAC" w:rsidRDefault="005C75B9">
            <w:pPr>
              <w:jc w:val="right"/>
              <w:textAlignment w:val="bottom"/>
            </w:pPr>
            <w:r>
              <w:rPr>
                <w:rFonts w:ascii="Arial" w:eastAsia="宋体" w:hAnsi="Arial" w:cs="Arial"/>
                <w:i/>
                <w:iCs/>
                <w:color w:val="000000"/>
                <w:sz w:val="17"/>
                <w:szCs w:val="17"/>
              </w:rPr>
              <w:t>16.4 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8F" w14:textId="77777777" w:rsidR="008A3BAC" w:rsidRDefault="005C75B9">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9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91"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92" w14:textId="77777777" w:rsidR="008A3BAC" w:rsidRDefault="005C75B9">
            <w:pPr>
              <w:jc w:val="right"/>
              <w:textAlignment w:val="bottom"/>
            </w:pPr>
            <w:r>
              <w:rPr>
                <w:rFonts w:ascii="Arial" w:eastAsia="宋体" w:hAnsi="Arial" w:cs="Arial"/>
                <w:i/>
                <w:iCs/>
                <w:color w:val="000000"/>
                <w:sz w:val="17"/>
                <w:szCs w:val="17"/>
              </w:rPr>
              <w:t>15.8 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93" w14:textId="77777777" w:rsidR="008A3BAC" w:rsidRDefault="005C75B9">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94" w14:textId="77777777" w:rsidR="008A3BAC" w:rsidRDefault="005C75B9">
            <w:pPr>
              <w:jc w:val="right"/>
              <w:textAlignment w:val="bottom"/>
            </w:pPr>
            <w:r>
              <w:rPr>
                <w:rFonts w:ascii="Arial" w:eastAsia="宋体" w:hAnsi="Arial" w:cs="Arial"/>
                <w:i/>
                <w:iCs/>
                <w:color w:val="000000"/>
                <w:sz w:val="17"/>
                <w:szCs w:val="17"/>
              </w:rPr>
              <w:t>15.5 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95" w14:textId="77777777" w:rsidR="008A3BAC" w:rsidRDefault="005C75B9">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96" w14:textId="77777777" w:rsidR="008A3BAC" w:rsidRDefault="008A3BAC">
            <w:pPr>
              <w:rPr>
                <w:rFonts w:ascii="宋体"/>
              </w:rPr>
            </w:pPr>
          </w:p>
        </w:tc>
        <w:tc>
          <w:tcPr>
            <w:tcW w:w="0" w:type="auto"/>
            <w:shd w:val="clear" w:color="auto" w:fill="auto"/>
            <w:vAlign w:val="bottom"/>
          </w:tcPr>
          <w:p w14:paraId="26E9DF97" w14:textId="77777777" w:rsidR="008A3BAC" w:rsidRDefault="008A3BAC">
            <w:pPr>
              <w:rPr>
                <w:rFonts w:ascii="宋体"/>
                <w:vanish/>
              </w:rPr>
            </w:pPr>
          </w:p>
        </w:tc>
        <w:tc>
          <w:tcPr>
            <w:tcW w:w="0" w:type="auto"/>
            <w:gridSpan w:val="3"/>
            <w:shd w:val="clear" w:color="auto" w:fill="auto"/>
            <w:vAlign w:val="bottom"/>
          </w:tcPr>
          <w:p w14:paraId="26E9DF98" w14:textId="77777777" w:rsidR="008A3BAC" w:rsidRDefault="008A3BAC">
            <w:pPr>
              <w:rPr>
                <w:rFonts w:ascii="宋体"/>
                <w:vanish/>
              </w:rPr>
            </w:pPr>
          </w:p>
        </w:tc>
        <w:tc>
          <w:tcPr>
            <w:tcW w:w="0" w:type="auto"/>
            <w:gridSpan w:val="3"/>
            <w:shd w:val="clear" w:color="auto" w:fill="auto"/>
            <w:vAlign w:val="bottom"/>
          </w:tcPr>
          <w:p w14:paraId="26E9DF99" w14:textId="77777777" w:rsidR="008A3BAC" w:rsidRDefault="008A3BAC">
            <w:pPr>
              <w:rPr>
                <w:rFonts w:ascii="宋体"/>
                <w:vanish/>
              </w:rPr>
            </w:pPr>
          </w:p>
        </w:tc>
        <w:tc>
          <w:tcPr>
            <w:tcW w:w="0" w:type="auto"/>
            <w:gridSpan w:val="3"/>
            <w:shd w:val="clear" w:color="auto" w:fill="auto"/>
            <w:vAlign w:val="bottom"/>
          </w:tcPr>
          <w:p w14:paraId="26E9DF9A" w14:textId="77777777" w:rsidR="008A3BAC" w:rsidRDefault="008A3BAC">
            <w:pPr>
              <w:rPr>
                <w:rFonts w:ascii="宋体"/>
                <w:vanish/>
              </w:rPr>
            </w:pPr>
          </w:p>
        </w:tc>
      </w:tr>
      <w:tr w:rsidR="008A3BAC" w14:paraId="26E9DFA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9C" w14:textId="77777777" w:rsidR="008A3BAC" w:rsidRDefault="005C75B9">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9D"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9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9F" w14:textId="77777777" w:rsidR="008A3BAC" w:rsidRDefault="005C75B9">
            <w:pPr>
              <w:jc w:val="right"/>
              <w:textAlignment w:val="bottom"/>
            </w:pPr>
            <w:r>
              <w:rPr>
                <w:rFonts w:ascii="Arial" w:eastAsia="宋体" w:hAnsi="Arial" w:cs="Arial"/>
                <w:color w:val="000000"/>
                <w:sz w:val="17"/>
                <w:szCs w:val="17"/>
              </w:rPr>
              <w:t>64 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A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A1"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A2"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DFA3" w14:textId="77777777" w:rsidR="008A3BAC" w:rsidRDefault="008A3BAC">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6E9DFA4" w14:textId="77777777" w:rsidR="008A3BAC" w:rsidRDefault="005C75B9">
            <w:pPr>
              <w:jc w:val="right"/>
              <w:textAlignment w:val="bottom"/>
            </w:pPr>
            <w:r>
              <w:rPr>
                <w:rFonts w:ascii="Arial" w:eastAsia="宋体" w:hAnsi="Arial" w:cs="Arial"/>
                <w:color w:val="000000"/>
                <w:sz w:val="17"/>
                <w:szCs w:val="17"/>
              </w:rPr>
              <w:t>165 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DFA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A6" w14:textId="77777777" w:rsidR="008A3BAC" w:rsidRDefault="005C75B9">
            <w:pPr>
              <w:jc w:val="right"/>
              <w:textAlignment w:val="bottom"/>
            </w:pPr>
            <w:r>
              <w:rPr>
                <w:rFonts w:ascii="Arial" w:eastAsia="宋体" w:hAnsi="Arial" w:cs="Arial"/>
                <w:color w:val="000000"/>
                <w:sz w:val="17"/>
                <w:szCs w:val="17"/>
              </w:rPr>
              <w:t>199 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A7"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DFA8"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DFA9" w14:textId="77777777" w:rsidR="008A3BAC" w:rsidRDefault="008A3BAC">
            <w:pPr>
              <w:jc w:val="right"/>
              <w:rPr>
                <w:rFonts w:ascii="宋体"/>
              </w:rPr>
            </w:pPr>
          </w:p>
        </w:tc>
        <w:tc>
          <w:tcPr>
            <w:tcW w:w="0" w:type="auto"/>
            <w:shd w:val="clear" w:color="auto" w:fill="auto"/>
            <w:vAlign w:val="bottom"/>
          </w:tcPr>
          <w:p w14:paraId="26E9DFAA" w14:textId="77777777" w:rsidR="008A3BAC" w:rsidRDefault="008A3BAC">
            <w:pPr>
              <w:rPr>
                <w:rFonts w:ascii="宋体"/>
                <w:vanish/>
              </w:rPr>
            </w:pPr>
          </w:p>
        </w:tc>
        <w:tc>
          <w:tcPr>
            <w:tcW w:w="0" w:type="auto"/>
            <w:gridSpan w:val="3"/>
            <w:shd w:val="clear" w:color="auto" w:fill="auto"/>
            <w:vAlign w:val="bottom"/>
          </w:tcPr>
          <w:p w14:paraId="26E9DFAB" w14:textId="77777777" w:rsidR="008A3BAC" w:rsidRDefault="008A3BAC">
            <w:pPr>
              <w:rPr>
                <w:rFonts w:ascii="宋体"/>
                <w:vanish/>
              </w:rPr>
            </w:pPr>
          </w:p>
        </w:tc>
        <w:tc>
          <w:tcPr>
            <w:tcW w:w="0" w:type="auto"/>
            <w:gridSpan w:val="3"/>
            <w:shd w:val="clear" w:color="auto" w:fill="auto"/>
            <w:vAlign w:val="bottom"/>
          </w:tcPr>
          <w:p w14:paraId="26E9DFAC" w14:textId="77777777" w:rsidR="008A3BAC" w:rsidRDefault="008A3BAC">
            <w:pPr>
              <w:rPr>
                <w:rFonts w:ascii="宋体"/>
                <w:vanish/>
              </w:rPr>
            </w:pPr>
          </w:p>
        </w:tc>
        <w:tc>
          <w:tcPr>
            <w:tcW w:w="0" w:type="auto"/>
            <w:gridSpan w:val="3"/>
            <w:shd w:val="clear" w:color="auto" w:fill="auto"/>
            <w:vAlign w:val="bottom"/>
          </w:tcPr>
          <w:p w14:paraId="26E9DFAD" w14:textId="77777777" w:rsidR="008A3BAC" w:rsidRDefault="008A3BAC">
            <w:pPr>
              <w:rPr>
                <w:rFonts w:ascii="宋体"/>
                <w:vanish/>
              </w:rPr>
            </w:pPr>
          </w:p>
        </w:tc>
      </w:tr>
      <w:tr w:rsidR="008A3BAC" w14:paraId="26E9DFC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DFAF" w14:textId="77777777" w:rsidR="008A3BAC" w:rsidRDefault="005C75B9">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FB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FB1" w14:textId="77777777" w:rsidR="008A3BAC" w:rsidRDefault="005C75B9">
            <w:pPr>
              <w:jc w:val="right"/>
              <w:textAlignment w:val="bottom"/>
            </w:pPr>
            <w:r>
              <w:rPr>
                <w:rFonts w:ascii="Arial" w:eastAsia="宋体" w:hAnsi="Arial" w:cs="Arial"/>
                <w:b/>
                <w:bCs/>
                <w:color w:val="000000"/>
                <w:sz w:val="17"/>
                <w:szCs w:val="17"/>
              </w:rPr>
              <w:t>1,670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FB2"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FB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FB4" w14:textId="77777777" w:rsidR="008A3BAC" w:rsidRDefault="005C75B9">
            <w:pPr>
              <w:jc w:val="right"/>
              <w:textAlignment w:val="bottom"/>
            </w:pPr>
            <w:r>
              <w:rPr>
                <w:rFonts w:ascii="Arial" w:eastAsia="宋体" w:hAnsi="Arial" w:cs="Arial"/>
                <w:b/>
                <w:bCs/>
                <w:color w:val="000000"/>
                <w:sz w:val="17"/>
                <w:szCs w:val="17"/>
              </w:rPr>
              <w:t>1,636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FB5"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FB6"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FB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DFB8"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DFB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DFBA" w14:textId="77777777" w:rsidR="008A3BAC" w:rsidRDefault="005C75B9">
            <w:pPr>
              <w:jc w:val="right"/>
              <w:textAlignment w:val="bottom"/>
            </w:pPr>
            <w:r>
              <w:rPr>
                <w:rFonts w:ascii="Arial" w:eastAsia="宋体" w:hAnsi="Arial" w:cs="Arial"/>
                <w:b/>
                <w:bCs/>
                <w:color w:val="000000"/>
                <w:sz w:val="17"/>
                <w:szCs w:val="17"/>
              </w:rPr>
              <w:t>5,277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DFBB"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FB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DFBD" w14:textId="77777777" w:rsidR="008A3BAC" w:rsidRDefault="005C75B9">
            <w:pPr>
              <w:jc w:val="right"/>
              <w:textAlignment w:val="bottom"/>
            </w:pPr>
            <w:r>
              <w:rPr>
                <w:rFonts w:ascii="Arial" w:eastAsia="宋体" w:hAnsi="Arial" w:cs="Arial"/>
                <w:b/>
                <w:bCs/>
                <w:color w:val="000000"/>
                <w:sz w:val="17"/>
                <w:szCs w:val="17"/>
              </w:rPr>
              <w:t>4,807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FBE"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DFBF" w14:textId="77777777" w:rsidR="008A3BAC" w:rsidRDefault="005C75B9">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DFC0"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DFC1" w14:textId="77777777" w:rsidR="008A3BAC" w:rsidRDefault="008A3BAC">
            <w:pPr>
              <w:rPr>
                <w:rFonts w:ascii="宋体"/>
                <w:vanish/>
              </w:rPr>
            </w:pPr>
          </w:p>
        </w:tc>
        <w:tc>
          <w:tcPr>
            <w:tcW w:w="0" w:type="auto"/>
            <w:gridSpan w:val="3"/>
            <w:shd w:val="clear" w:color="auto" w:fill="auto"/>
            <w:vAlign w:val="bottom"/>
          </w:tcPr>
          <w:p w14:paraId="26E9DFC2" w14:textId="77777777" w:rsidR="008A3BAC" w:rsidRDefault="008A3BAC">
            <w:pPr>
              <w:rPr>
                <w:rFonts w:ascii="宋体"/>
                <w:vanish/>
              </w:rPr>
            </w:pPr>
          </w:p>
        </w:tc>
        <w:tc>
          <w:tcPr>
            <w:tcW w:w="0" w:type="auto"/>
            <w:gridSpan w:val="3"/>
            <w:shd w:val="clear" w:color="auto" w:fill="auto"/>
            <w:vAlign w:val="bottom"/>
          </w:tcPr>
          <w:p w14:paraId="26E9DFC3" w14:textId="77777777" w:rsidR="008A3BAC" w:rsidRDefault="008A3BAC">
            <w:pPr>
              <w:rPr>
                <w:rFonts w:ascii="宋体"/>
                <w:vanish/>
              </w:rPr>
            </w:pPr>
          </w:p>
        </w:tc>
        <w:tc>
          <w:tcPr>
            <w:tcW w:w="0" w:type="auto"/>
            <w:gridSpan w:val="3"/>
            <w:shd w:val="clear" w:color="auto" w:fill="auto"/>
            <w:vAlign w:val="bottom"/>
          </w:tcPr>
          <w:p w14:paraId="26E9DFC4" w14:textId="77777777" w:rsidR="008A3BAC" w:rsidRDefault="008A3BAC">
            <w:pPr>
              <w:rPr>
                <w:rFonts w:ascii="宋体"/>
                <w:vanish/>
              </w:rPr>
            </w:pPr>
          </w:p>
        </w:tc>
      </w:tr>
    </w:tbl>
    <w:p w14:paraId="26E9DFC6" w14:textId="77777777" w:rsidR="008A3BAC" w:rsidRDefault="005C75B9">
      <w:pPr>
        <w:spacing w:before="60" w:after="60"/>
        <w:ind w:hanging="360"/>
      </w:pPr>
      <w:r>
        <w:rPr>
          <w:rFonts w:ascii="Arial" w:eastAsia="宋体" w:hAnsi="Arial" w:cs="Arial"/>
          <w:i/>
          <w:iCs/>
          <w:color w:val="000000"/>
          <w:sz w:val="14"/>
          <w:szCs w:val="14"/>
        </w:rPr>
        <w:t>(1)    Total NIKE Brand EBIT, Total NIKE, Inc. EBIT and EBIT margin represent non-</w:t>
      </w:r>
      <w:r>
        <w:rPr>
          <w:rFonts w:ascii="Arial" w:eastAsia="宋体" w:hAnsi="Arial" w:cs="Arial"/>
          <w:i/>
          <w:iCs/>
          <w:color w:val="000000"/>
          <w:sz w:val="14"/>
          <w:szCs w:val="14"/>
        </w:rPr>
        <w:t>GAAP financial measures. See "Use of Non-GAAP Financial Measures" for further information.</w:t>
      </w:r>
    </w:p>
    <w:p w14:paraId="26E9DFC7" w14:textId="77777777" w:rsidR="008A3BAC" w:rsidRDefault="005C75B9">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397"/>
        <w:gridCol w:w="36"/>
        <w:gridCol w:w="115"/>
        <w:gridCol w:w="473"/>
        <w:gridCol w:w="36"/>
        <w:gridCol w:w="115"/>
        <w:gridCol w:w="473"/>
        <w:gridCol w:w="36"/>
        <w:gridCol w:w="74"/>
        <w:gridCol w:w="563"/>
        <w:gridCol w:w="172"/>
        <w:gridCol w:w="99"/>
        <w:gridCol w:w="755"/>
        <w:gridCol w:w="172"/>
        <w:gridCol w:w="36"/>
        <w:gridCol w:w="36"/>
        <w:gridCol w:w="36"/>
        <w:gridCol w:w="115"/>
        <w:gridCol w:w="568"/>
        <w:gridCol w:w="36"/>
        <w:gridCol w:w="115"/>
        <w:gridCol w:w="568"/>
        <w:gridCol w:w="36"/>
        <w:gridCol w:w="74"/>
        <w:gridCol w:w="563"/>
        <w:gridCol w:w="172"/>
        <w:gridCol w:w="99"/>
        <w:gridCol w:w="755"/>
        <w:gridCol w:w="172"/>
        <w:gridCol w:w="36"/>
        <w:gridCol w:w="36"/>
        <w:gridCol w:w="36"/>
        <w:gridCol w:w="36"/>
        <w:gridCol w:w="36"/>
        <w:gridCol w:w="36"/>
        <w:gridCol w:w="36"/>
        <w:gridCol w:w="36"/>
        <w:gridCol w:w="36"/>
        <w:gridCol w:w="36"/>
        <w:gridCol w:w="36"/>
      </w:tblGrid>
      <w:tr w:rsidR="008A3BAC" w14:paraId="26E9DFEB" w14:textId="77777777">
        <w:tc>
          <w:tcPr>
            <w:tcW w:w="50" w:type="pct"/>
            <w:shd w:val="clear" w:color="auto" w:fill="auto"/>
            <w:vAlign w:val="bottom"/>
          </w:tcPr>
          <w:p w14:paraId="26E9DFC8" w14:textId="77777777" w:rsidR="008A3BAC" w:rsidRDefault="008A3BAC">
            <w:pPr>
              <w:rPr>
                <w:rFonts w:ascii="宋体"/>
              </w:rPr>
            </w:pPr>
          </w:p>
        </w:tc>
        <w:tc>
          <w:tcPr>
            <w:tcW w:w="1387" w:type="pct"/>
            <w:shd w:val="clear" w:color="auto" w:fill="auto"/>
            <w:vAlign w:val="bottom"/>
          </w:tcPr>
          <w:p w14:paraId="26E9DFC9" w14:textId="77777777" w:rsidR="008A3BAC" w:rsidRDefault="008A3BAC">
            <w:pPr>
              <w:rPr>
                <w:rFonts w:ascii="宋体"/>
              </w:rPr>
            </w:pPr>
          </w:p>
        </w:tc>
        <w:tc>
          <w:tcPr>
            <w:tcW w:w="5" w:type="pct"/>
            <w:shd w:val="clear" w:color="auto" w:fill="auto"/>
            <w:vAlign w:val="bottom"/>
          </w:tcPr>
          <w:p w14:paraId="26E9DFCA" w14:textId="77777777" w:rsidR="008A3BAC" w:rsidRDefault="008A3BAC">
            <w:pPr>
              <w:rPr>
                <w:rFonts w:ascii="宋体"/>
              </w:rPr>
            </w:pPr>
          </w:p>
        </w:tc>
        <w:tc>
          <w:tcPr>
            <w:tcW w:w="50" w:type="pct"/>
            <w:shd w:val="clear" w:color="auto" w:fill="auto"/>
            <w:vAlign w:val="bottom"/>
          </w:tcPr>
          <w:p w14:paraId="26E9DFCB" w14:textId="77777777" w:rsidR="008A3BAC" w:rsidRDefault="008A3BAC">
            <w:pPr>
              <w:rPr>
                <w:rFonts w:ascii="宋体"/>
              </w:rPr>
            </w:pPr>
          </w:p>
        </w:tc>
        <w:tc>
          <w:tcPr>
            <w:tcW w:w="384" w:type="pct"/>
            <w:shd w:val="clear" w:color="auto" w:fill="auto"/>
            <w:vAlign w:val="bottom"/>
          </w:tcPr>
          <w:p w14:paraId="26E9DFCC" w14:textId="77777777" w:rsidR="008A3BAC" w:rsidRDefault="008A3BAC">
            <w:pPr>
              <w:rPr>
                <w:rFonts w:ascii="宋体"/>
              </w:rPr>
            </w:pPr>
          </w:p>
        </w:tc>
        <w:tc>
          <w:tcPr>
            <w:tcW w:w="5" w:type="pct"/>
            <w:shd w:val="clear" w:color="auto" w:fill="auto"/>
            <w:vAlign w:val="bottom"/>
          </w:tcPr>
          <w:p w14:paraId="26E9DFCD" w14:textId="77777777" w:rsidR="008A3BAC" w:rsidRDefault="008A3BAC">
            <w:pPr>
              <w:rPr>
                <w:rFonts w:ascii="宋体"/>
              </w:rPr>
            </w:pPr>
          </w:p>
        </w:tc>
        <w:tc>
          <w:tcPr>
            <w:tcW w:w="50" w:type="pct"/>
            <w:shd w:val="clear" w:color="auto" w:fill="auto"/>
            <w:vAlign w:val="bottom"/>
          </w:tcPr>
          <w:p w14:paraId="26E9DFCE" w14:textId="77777777" w:rsidR="008A3BAC" w:rsidRDefault="008A3BAC">
            <w:pPr>
              <w:rPr>
                <w:rFonts w:ascii="宋体"/>
              </w:rPr>
            </w:pPr>
          </w:p>
        </w:tc>
        <w:tc>
          <w:tcPr>
            <w:tcW w:w="384" w:type="pct"/>
            <w:shd w:val="clear" w:color="auto" w:fill="auto"/>
            <w:vAlign w:val="bottom"/>
          </w:tcPr>
          <w:p w14:paraId="26E9DFCF" w14:textId="77777777" w:rsidR="008A3BAC" w:rsidRDefault="008A3BAC">
            <w:pPr>
              <w:rPr>
                <w:rFonts w:ascii="宋体"/>
              </w:rPr>
            </w:pPr>
          </w:p>
        </w:tc>
        <w:tc>
          <w:tcPr>
            <w:tcW w:w="5" w:type="pct"/>
            <w:shd w:val="clear" w:color="auto" w:fill="auto"/>
            <w:vAlign w:val="bottom"/>
          </w:tcPr>
          <w:p w14:paraId="26E9DFD0" w14:textId="77777777" w:rsidR="008A3BAC" w:rsidRDefault="008A3BAC">
            <w:pPr>
              <w:rPr>
                <w:rFonts w:ascii="宋体"/>
              </w:rPr>
            </w:pPr>
          </w:p>
        </w:tc>
        <w:tc>
          <w:tcPr>
            <w:tcW w:w="50" w:type="pct"/>
            <w:shd w:val="clear" w:color="auto" w:fill="auto"/>
            <w:vAlign w:val="bottom"/>
          </w:tcPr>
          <w:p w14:paraId="26E9DFD1" w14:textId="77777777" w:rsidR="008A3BAC" w:rsidRDefault="008A3BAC">
            <w:pPr>
              <w:rPr>
                <w:rFonts w:ascii="宋体"/>
              </w:rPr>
            </w:pPr>
          </w:p>
        </w:tc>
        <w:tc>
          <w:tcPr>
            <w:tcW w:w="384" w:type="pct"/>
            <w:shd w:val="clear" w:color="auto" w:fill="auto"/>
            <w:vAlign w:val="bottom"/>
          </w:tcPr>
          <w:p w14:paraId="26E9DFD2" w14:textId="77777777" w:rsidR="008A3BAC" w:rsidRDefault="008A3BAC">
            <w:pPr>
              <w:rPr>
                <w:rFonts w:ascii="宋体"/>
              </w:rPr>
            </w:pPr>
          </w:p>
        </w:tc>
        <w:tc>
          <w:tcPr>
            <w:tcW w:w="5" w:type="pct"/>
            <w:shd w:val="clear" w:color="auto" w:fill="auto"/>
            <w:vAlign w:val="bottom"/>
          </w:tcPr>
          <w:p w14:paraId="26E9DFD3" w14:textId="77777777" w:rsidR="008A3BAC" w:rsidRDefault="008A3BAC">
            <w:pPr>
              <w:rPr>
                <w:rFonts w:ascii="宋体"/>
              </w:rPr>
            </w:pPr>
          </w:p>
        </w:tc>
        <w:tc>
          <w:tcPr>
            <w:tcW w:w="50" w:type="pct"/>
            <w:shd w:val="clear" w:color="auto" w:fill="auto"/>
            <w:vAlign w:val="bottom"/>
          </w:tcPr>
          <w:p w14:paraId="26E9DFD4" w14:textId="77777777" w:rsidR="008A3BAC" w:rsidRDefault="008A3BAC">
            <w:pPr>
              <w:rPr>
                <w:rFonts w:ascii="宋体"/>
              </w:rPr>
            </w:pPr>
          </w:p>
        </w:tc>
        <w:tc>
          <w:tcPr>
            <w:tcW w:w="384" w:type="pct"/>
            <w:shd w:val="clear" w:color="auto" w:fill="auto"/>
            <w:vAlign w:val="bottom"/>
          </w:tcPr>
          <w:p w14:paraId="26E9DFD5" w14:textId="77777777" w:rsidR="008A3BAC" w:rsidRDefault="008A3BAC">
            <w:pPr>
              <w:rPr>
                <w:rFonts w:ascii="宋体"/>
              </w:rPr>
            </w:pPr>
          </w:p>
        </w:tc>
        <w:tc>
          <w:tcPr>
            <w:tcW w:w="5" w:type="pct"/>
            <w:shd w:val="clear" w:color="auto" w:fill="auto"/>
            <w:vAlign w:val="bottom"/>
          </w:tcPr>
          <w:p w14:paraId="26E9DFD6" w14:textId="77777777" w:rsidR="008A3BAC" w:rsidRDefault="008A3BAC">
            <w:pPr>
              <w:rPr>
                <w:rFonts w:ascii="宋体"/>
              </w:rPr>
            </w:pPr>
          </w:p>
        </w:tc>
        <w:tc>
          <w:tcPr>
            <w:tcW w:w="5" w:type="pct"/>
            <w:shd w:val="clear" w:color="auto" w:fill="auto"/>
            <w:vAlign w:val="bottom"/>
          </w:tcPr>
          <w:p w14:paraId="26E9DFD7" w14:textId="77777777" w:rsidR="008A3BAC" w:rsidRDefault="008A3BAC">
            <w:pPr>
              <w:rPr>
                <w:rFonts w:ascii="宋体"/>
              </w:rPr>
            </w:pPr>
          </w:p>
        </w:tc>
        <w:tc>
          <w:tcPr>
            <w:tcW w:w="28" w:type="pct"/>
            <w:shd w:val="clear" w:color="auto" w:fill="auto"/>
            <w:vAlign w:val="bottom"/>
          </w:tcPr>
          <w:p w14:paraId="26E9DFD8" w14:textId="77777777" w:rsidR="008A3BAC" w:rsidRDefault="008A3BAC">
            <w:pPr>
              <w:rPr>
                <w:rFonts w:ascii="宋体"/>
              </w:rPr>
            </w:pPr>
          </w:p>
        </w:tc>
        <w:tc>
          <w:tcPr>
            <w:tcW w:w="5" w:type="pct"/>
            <w:shd w:val="clear" w:color="auto" w:fill="auto"/>
            <w:vAlign w:val="bottom"/>
          </w:tcPr>
          <w:p w14:paraId="26E9DFD9" w14:textId="77777777" w:rsidR="008A3BAC" w:rsidRDefault="008A3BAC">
            <w:pPr>
              <w:rPr>
                <w:rFonts w:ascii="宋体"/>
              </w:rPr>
            </w:pPr>
          </w:p>
        </w:tc>
        <w:tc>
          <w:tcPr>
            <w:tcW w:w="50" w:type="pct"/>
            <w:shd w:val="clear" w:color="auto" w:fill="auto"/>
            <w:vAlign w:val="bottom"/>
          </w:tcPr>
          <w:p w14:paraId="26E9DFDA" w14:textId="77777777" w:rsidR="008A3BAC" w:rsidRDefault="008A3BAC">
            <w:pPr>
              <w:rPr>
                <w:rFonts w:ascii="宋体"/>
              </w:rPr>
            </w:pPr>
          </w:p>
        </w:tc>
        <w:tc>
          <w:tcPr>
            <w:tcW w:w="384" w:type="pct"/>
            <w:shd w:val="clear" w:color="auto" w:fill="auto"/>
            <w:vAlign w:val="bottom"/>
          </w:tcPr>
          <w:p w14:paraId="26E9DFDB" w14:textId="77777777" w:rsidR="008A3BAC" w:rsidRDefault="008A3BAC">
            <w:pPr>
              <w:rPr>
                <w:rFonts w:ascii="宋体"/>
              </w:rPr>
            </w:pPr>
          </w:p>
        </w:tc>
        <w:tc>
          <w:tcPr>
            <w:tcW w:w="5" w:type="pct"/>
            <w:shd w:val="clear" w:color="auto" w:fill="auto"/>
            <w:vAlign w:val="bottom"/>
          </w:tcPr>
          <w:p w14:paraId="26E9DFDC" w14:textId="77777777" w:rsidR="008A3BAC" w:rsidRDefault="008A3BAC">
            <w:pPr>
              <w:rPr>
                <w:rFonts w:ascii="宋体"/>
              </w:rPr>
            </w:pPr>
          </w:p>
        </w:tc>
        <w:tc>
          <w:tcPr>
            <w:tcW w:w="50" w:type="pct"/>
            <w:shd w:val="clear" w:color="auto" w:fill="auto"/>
            <w:vAlign w:val="bottom"/>
          </w:tcPr>
          <w:p w14:paraId="26E9DFDD" w14:textId="77777777" w:rsidR="008A3BAC" w:rsidRDefault="008A3BAC">
            <w:pPr>
              <w:rPr>
                <w:rFonts w:ascii="宋体"/>
              </w:rPr>
            </w:pPr>
          </w:p>
        </w:tc>
        <w:tc>
          <w:tcPr>
            <w:tcW w:w="384" w:type="pct"/>
            <w:shd w:val="clear" w:color="auto" w:fill="auto"/>
            <w:vAlign w:val="bottom"/>
          </w:tcPr>
          <w:p w14:paraId="26E9DFDE" w14:textId="77777777" w:rsidR="008A3BAC" w:rsidRDefault="008A3BAC">
            <w:pPr>
              <w:rPr>
                <w:rFonts w:ascii="宋体"/>
              </w:rPr>
            </w:pPr>
          </w:p>
        </w:tc>
        <w:tc>
          <w:tcPr>
            <w:tcW w:w="5" w:type="pct"/>
            <w:shd w:val="clear" w:color="auto" w:fill="auto"/>
            <w:vAlign w:val="bottom"/>
          </w:tcPr>
          <w:p w14:paraId="26E9DFDF" w14:textId="77777777" w:rsidR="008A3BAC" w:rsidRDefault="008A3BAC">
            <w:pPr>
              <w:rPr>
                <w:rFonts w:ascii="宋体"/>
              </w:rPr>
            </w:pPr>
          </w:p>
        </w:tc>
        <w:tc>
          <w:tcPr>
            <w:tcW w:w="50" w:type="pct"/>
            <w:shd w:val="clear" w:color="auto" w:fill="auto"/>
            <w:vAlign w:val="bottom"/>
          </w:tcPr>
          <w:p w14:paraId="26E9DFE0" w14:textId="77777777" w:rsidR="008A3BAC" w:rsidRDefault="008A3BAC">
            <w:pPr>
              <w:rPr>
                <w:rFonts w:ascii="宋体"/>
              </w:rPr>
            </w:pPr>
          </w:p>
        </w:tc>
        <w:tc>
          <w:tcPr>
            <w:tcW w:w="384" w:type="pct"/>
            <w:shd w:val="clear" w:color="auto" w:fill="auto"/>
            <w:vAlign w:val="bottom"/>
          </w:tcPr>
          <w:p w14:paraId="26E9DFE1" w14:textId="77777777" w:rsidR="008A3BAC" w:rsidRDefault="008A3BAC">
            <w:pPr>
              <w:rPr>
                <w:rFonts w:ascii="宋体"/>
              </w:rPr>
            </w:pPr>
          </w:p>
        </w:tc>
        <w:tc>
          <w:tcPr>
            <w:tcW w:w="5" w:type="pct"/>
            <w:shd w:val="clear" w:color="auto" w:fill="auto"/>
            <w:vAlign w:val="bottom"/>
          </w:tcPr>
          <w:p w14:paraId="26E9DFE2" w14:textId="77777777" w:rsidR="008A3BAC" w:rsidRDefault="008A3BAC">
            <w:pPr>
              <w:rPr>
                <w:rFonts w:ascii="宋体"/>
              </w:rPr>
            </w:pPr>
          </w:p>
        </w:tc>
        <w:tc>
          <w:tcPr>
            <w:tcW w:w="50" w:type="pct"/>
            <w:shd w:val="clear" w:color="auto" w:fill="auto"/>
            <w:vAlign w:val="bottom"/>
          </w:tcPr>
          <w:p w14:paraId="26E9DFE3" w14:textId="77777777" w:rsidR="008A3BAC" w:rsidRDefault="008A3BAC">
            <w:pPr>
              <w:rPr>
                <w:rFonts w:ascii="宋体"/>
              </w:rPr>
            </w:pPr>
          </w:p>
        </w:tc>
        <w:tc>
          <w:tcPr>
            <w:tcW w:w="384" w:type="pct"/>
            <w:shd w:val="clear" w:color="auto" w:fill="auto"/>
            <w:vAlign w:val="bottom"/>
          </w:tcPr>
          <w:p w14:paraId="26E9DFE4" w14:textId="77777777" w:rsidR="008A3BAC" w:rsidRDefault="008A3BAC">
            <w:pPr>
              <w:rPr>
                <w:rFonts w:ascii="宋体"/>
              </w:rPr>
            </w:pPr>
          </w:p>
        </w:tc>
        <w:tc>
          <w:tcPr>
            <w:tcW w:w="5" w:type="pct"/>
            <w:shd w:val="clear" w:color="auto" w:fill="auto"/>
            <w:vAlign w:val="bottom"/>
          </w:tcPr>
          <w:p w14:paraId="26E9DFE5" w14:textId="77777777" w:rsidR="008A3BAC" w:rsidRDefault="008A3BAC">
            <w:pPr>
              <w:rPr>
                <w:rFonts w:ascii="宋体"/>
              </w:rPr>
            </w:pPr>
          </w:p>
        </w:tc>
        <w:tc>
          <w:tcPr>
            <w:tcW w:w="0" w:type="auto"/>
            <w:shd w:val="clear" w:color="auto" w:fill="auto"/>
            <w:vAlign w:val="bottom"/>
          </w:tcPr>
          <w:p w14:paraId="26E9DFE6" w14:textId="77777777" w:rsidR="008A3BAC" w:rsidRDefault="008A3BAC">
            <w:pPr>
              <w:rPr>
                <w:rFonts w:ascii="宋体"/>
                <w:vanish/>
              </w:rPr>
            </w:pPr>
          </w:p>
        </w:tc>
        <w:tc>
          <w:tcPr>
            <w:tcW w:w="0" w:type="auto"/>
            <w:shd w:val="clear" w:color="auto" w:fill="auto"/>
            <w:vAlign w:val="bottom"/>
          </w:tcPr>
          <w:p w14:paraId="26E9DFE7" w14:textId="77777777" w:rsidR="008A3BAC" w:rsidRDefault="008A3BAC">
            <w:pPr>
              <w:rPr>
                <w:rFonts w:ascii="宋体"/>
                <w:vanish/>
              </w:rPr>
            </w:pPr>
          </w:p>
        </w:tc>
        <w:tc>
          <w:tcPr>
            <w:tcW w:w="0" w:type="auto"/>
            <w:gridSpan w:val="3"/>
            <w:shd w:val="clear" w:color="auto" w:fill="auto"/>
            <w:vAlign w:val="bottom"/>
          </w:tcPr>
          <w:p w14:paraId="26E9DFE8" w14:textId="77777777" w:rsidR="008A3BAC" w:rsidRDefault="008A3BAC">
            <w:pPr>
              <w:rPr>
                <w:rFonts w:ascii="宋体"/>
                <w:vanish/>
              </w:rPr>
            </w:pPr>
          </w:p>
        </w:tc>
        <w:tc>
          <w:tcPr>
            <w:tcW w:w="0" w:type="auto"/>
            <w:gridSpan w:val="3"/>
            <w:shd w:val="clear" w:color="auto" w:fill="auto"/>
            <w:vAlign w:val="bottom"/>
          </w:tcPr>
          <w:p w14:paraId="26E9DFE9" w14:textId="77777777" w:rsidR="008A3BAC" w:rsidRDefault="008A3BAC">
            <w:pPr>
              <w:rPr>
                <w:rFonts w:ascii="宋体"/>
                <w:vanish/>
              </w:rPr>
            </w:pPr>
          </w:p>
        </w:tc>
        <w:tc>
          <w:tcPr>
            <w:tcW w:w="0" w:type="auto"/>
            <w:gridSpan w:val="3"/>
            <w:shd w:val="clear" w:color="auto" w:fill="auto"/>
            <w:vAlign w:val="bottom"/>
          </w:tcPr>
          <w:p w14:paraId="26E9DFEA" w14:textId="77777777" w:rsidR="008A3BAC" w:rsidRDefault="008A3BAC">
            <w:pPr>
              <w:rPr>
                <w:rFonts w:ascii="宋体"/>
                <w:vanish/>
              </w:rPr>
            </w:pPr>
          </w:p>
        </w:tc>
      </w:tr>
      <w:tr w:rsidR="008A3BAC" w14:paraId="26E9DFFB" w14:textId="77777777">
        <w:tc>
          <w:tcPr>
            <w:tcW w:w="0" w:type="auto"/>
            <w:gridSpan w:val="3"/>
            <w:shd w:val="clear" w:color="auto" w:fill="auto"/>
            <w:tcMar>
              <w:top w:w="0" w:type="dxa"/>
              <w:left w:w="20" w:type="dxa"/>
              <w:bottom w:w="0" w:type="dxa"/>
              <w:right w:w="20" w:type="dxa"/>
            </w:tcMar>
            <w:vAlign w:val="bottom"/>
          </w:tcPr>
          <w:p w14:paraId="26E9DFEC"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FED"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DFEE"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DFEF"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DFF0" w14:textId="77777777" w:rsidR="008A3BAC" w:rsidRDefault="008A3BAC">
            <w:pPr>
              <w:rPr>
                <w:rFonts w:ascii="宋体"/>
                <w:vanish/>
              </w:rPr>
            </w:pPr>
          </w:p>
        </w:tc>
        <w:tc>
          <w:tcPr>
            <w:tcW w:w="0" w:type="auto"/>
            <w:shd w:val="clear" w:color="auto" w:fill="auto"/>
            <w:vAlign w:val="bottom"/>
          </w:tcPr>
          <w:p w14:paraId="26E9DFF1" w14:textId="77777777" w:rsidR="008A3BAC" w:rsidRDefault="008A3BAC">
            <w:pPr>
              <w:rPr>
                <w:rFonts w:ascii="宋体"/>
                <w:vanish/>
              </w:rPr>
            </w:pPr>
          </w:p>
        </w:tc>
        <w:tc>
          <w:tcPr>
            <w:tcW w:w="0" w:type="auto"/>
            <w:shd w:val="clear" w:color="auto" w:fill="auto"/>
            <w:vAlign w:val="bottom"/>
          </w:tcPr>
          <w:p w14:paraId="26E9DFF2" w14:textId="77777777" w:rsidR="008A3BAC" w:rsidRDefault="008A3BAC">
            <w:pPr>
              <w:rPr>
                <w:rFonts w:ascii="宋体"/>
              </w:rPr>
            </w:pPr>
          </w:p>
        </w:tc>
        <w:tc>
          <w:tcPr>
            <w:tcW w:w="0" w:type="auto"/>
            <w:shd w:val="clear" w:color="auto" w:fill="auto"/>
            <w:vAlign w:val="bottom"/>
          </w:tcPr>
          <w:p w14:paraId="26E9DFF3" w14:textId="77777777" w:rsidR="008A3BAC" w:rsidRDefault="008A3BAC">
            <w:pPr>
              <w:rPr>
                <w:rFonts w:ascii="宋体"/>
              </w:rPr>
            </w:pPr>
          </w:p>
        </w:tc>
        <w:tc>
          <w:tcPr>
            <w:tcW w:w="0" w:type="auto"/>
            <w:shd w:val="clear" w:color="auto" w:fill="auto"/>
            <w:vAlign w:val="bottom"/>
          </w:tcPr>
          <w:p w14:paraId="26E9DFF4" w14:textId="77777777" w:rsidR="008A3BAC" w:rsidRDefault="008A3BAC">
            <w:pPr>
              <w:rPr>
                <w:rFonts w:ascii="宋体"/>
              </w:rPr>
            </w:pPr>
          </w:p>
        </w:tc>
        <w:tc>
          <w:tcPr>
            <w:tcW w:w="0" w:type="auto"/>
            <w:shd w:val="clear" w:color="auto" w:fill="auto"/>
            <w:vAlign w:val="bottom"/>
          </w:tcPr>
          <w:p w14:paraId="26E9DFF5" w14:textId="77777777" w:rsidR="008A3BAC" w:rsidRDefault="008A3BAC">
            <w:pPr>
              <w:rPr>
                <w:rFonts w:ascii="宋体"/>
              </w:rPr>
            </w:pPr>
          </w:p>
        </w:tc>
        <w:tc>
          <w:tcPr>
            <w:tcW w:w="0" w:type="auto"/>
            <w:shd w:val="clear" w:color="auto" w:fill="auto"/>
            <w:vAlign w:val="bottom"/>
          </w:tcPr>
          <w:p w14:paraId="26E9DFF6" w14:textId="77777777" w:rsidR="008A3BAC" w:rsidRDefault="008A3BAC">
            <w:pPr>
              <w:rPr>
                <w:rFonts w:ascii="宋体"/>
              </w:rPr>
            </w:pPr>
          </w:p>
        </w:tc>
        <w:tc>
          <w:tcPr>
            <w:tcW w:w="0" w:type="auto"/>
            <w:shd w:val="clear" w:color="auto" w:fill="auto"/>
            <w:vAlign w:val="bottom"/>
          </w:tcPr>
          <w:p w14:paraId="26E9DFF7" w14:textId="77777777" w:rsidR="008A3BAC" w:rsidRDefault="008A3BAC">
            <w:pPr>
              <w:rPr>
                <w:rFonts w:ascii="宋体"/>
              </w:rPr>
            </w:pPr>
          </w:p>
        </w:tc>
        <w:tc>
          <w:tcPr>
            <w:tcW w:w="0" w:type="auto"/>
            <w:shd w:val="clear" w:color="auto" w:fill="auto"/>
            <w:vAlign w:val="bottom"/>
          </w:tcPr>
          <w:p w14:paraId="26E9DFF8" w14:textId="77777777" w:rsidR="008A3BAC" w:rsidRDefault="008A3BAC">
            <w:pPr>
              <w:rPr>
                <w:rFonts w:ascii="宋体"/>
              </w:rPr>
            </w:pPr>
          </w:p>
        </w:tc>
        <w:tc>
          <w:tcPr>
            <w:tcW w:w="0" w:type="auto"/>
            <w:shd w:val="clear" w:color="auto" w:fill="auto"/>
            <w:vAlign w:val="bottom"/>
          </w:tcPr>
          <w:p w14:paraId="26E9DFF9" w14:textId="77777777" w:rsidR="008A3BAC" w:rsidRDefault="008A3BAC">
            <w:pPr>
              <w:rPr>
                <w:rFonts w:ascii="宋体"/>
              </w:rPr>
            </w:pPr>
          </w:p>
        </w:tc>
        <w:tc>
          <w:tcPr>
            <w:tcW w:w="0" w:type="auto"/>
            <w:shd w:val="clear" w:color="auto" w:fill="auto"/>
            <w:vAlign w:val="bottom"/>
          </w:tcPr>
          <w:p w14:paraId="26E9DFFA" w14:textId="77777777" w:rsidR="008A3BAC" w:rsidRDefault="008A3BAC">
            <w:pPr>
              <w:rPr>
                <w:rFonts w:ascii="宋体"/>
              </w:rPr>
            </w:pPr>
          </w:p>
        </w:tc>
      </w:tr>
      <w:tr w:rsidR="008A3BAC" w14:paraId="26E9E00B" w14:textId="77777777">
        <w:tc>
          <w:tcPr>
            <w:tcW w:w="0" w:type="auto"/>
            <w:gridSpan w:val="3"/>
            <w:shd w:val="clear" w:color="auto" w:fill="auto"/>
            <w:tcMar>
              <w:top w:w="40" w:type="dxa"/>
              <w:left w:w="20" w:type="dxa"/>
              <w:bottom w:w="40" w:type="dxa"/>
              <w:right w:w="20" w:type="dxa"/>
            </w:tcMar>
            <w:vAlign w:val="bottom"/>
          </w:tcPr>
          <w:p w14:paraId="26E9DFFC"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FD"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FE"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DFFF"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0"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6E9E001"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2"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3"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4"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5"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6E9E006" w14:textId="77777777" w:rsidR="008A3BAC" w:rsidRDefault="008A3BAC">
            <w:pPr>
              <w:rPr>
                <w:rFonts w:ascii="宋体"/>
                <w:vanish/>
              </w:rPr>
            </w:pPr>
          </w:p>
        </w:tc>
        <w:tc>
          <w:tcPr>
            <w:tcW w:w="0" w:type="auto"/>
            <w:shd w:val="clear" w:color="auto" w:fill="auto"/>
            <w:vAlign w:val="bottom"/>
          </w:tcPr>
          <w:p w14:paraId="26E9E007" w14:textId="77777777" w:rsidR="008A3BAC" w:rsidRDefault="008A3BAC">
            <w:pPr>
              <w:rPr>
                <w:rFonts w:ascii="宋体"/>
                <w:vanish/>
              </w:rPr>
            </w:pPr>
          </w:p>
        </w:tc>
        <w:tc>
          <w:tcPr>
            <w:tcW w:w="0" w:type="auto"/>
            <w:gridSpan w:val="3"/>
            <w:shd w:val="clear" w:color="auto" w:fill="auto"/>
            <w:vAlign w:val="bottom"/>
          </w:tcPr>
          <w:p w14:paraId="26E9E008" w14:textId="77777777" w:rsidR="008A3BAC" w:rsidRDefault="008A3BAC">
            <w:pPr>
              <w:rPr>
                <w:rFonts w:ascii="宋体"/>
                <w:vanish/>
              </w:rPr>
            </w:pPr>
          </w:p>
        </w:tc>
        <w:tc>
          <w:tcPr>
            <w:tcW w:w="0" w:type="auto"/>
            <w:gridSpan w:val="3"/>
            <w:shd w:val="clear" w:color="auto" w:fill="auto"/>
            <w:vAlign w:val="bottom"/>
          </w:tcPr>
          <w:p w14:paraId="26E9E009" w14:textId="77777777" w:rsidR="008A3BAC" w:rsidRDefault="008A3BAC">
            <w:pPr>
              <w:rPr>
                <w:rFonts w:ascii="宋体"/>
                <w:vanish/>
              </w:rPr>
            </w:pPr>
          </w:p>
        </w:tc>
        <w:tc>
          <w:tcPr>
            <w:tcW w:w="0" w:type="auto"/>
            <w:gridSpan w:val="3"/>
            <w:shd w:val="clear" w:color="auto" w:fill="auto"/>
            <w:vAlign w:val="bottom"/>
          </w:tcPr>
          <w:p w14:paraId="26E9E00A" w14:textId="77777777" w:rsidR="008A3BAC" w:rsidRDefault="008A3BAC">
            <w:pPr>
              <w:rPr>
                <w:rFonts w:ascii="宋体"/>
                <w:vanish/>
              </w:rPr>
            </w:pPr>
          </w:p>
        </w:tc>
      </w:tr>
      <w:tr w:rsidR="008A3BAC" w14:paraId="26E9E01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0C"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00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0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0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15" w14:textId="77777777" w:rsidR="008A3BAC" w:rsidRDefault="008A3BAC">
            <w:pPr>
              <w:rPr>
                <w:rFonts w:ascii="宋体"/>
              </w:rPr>
            </w:pPr>
          </w:p>
        </w:tc>
        <w:tc>
          <w:tcPr>
            <w:tcW w:w="0" w:type="auto"/>
            <w:shd w:val="clear" w:color="auto" w:fill="auto"/>
            <w:vAlign w:val="bottom"/>
          </w:tcPr>
          <w:p w14:paraId="26E9E016" w14:textId="77777777" w:rsidR="008A3BAC" w:rsidRDefault="008A3BAC">
            <w:pPr>
              <w:rPr>
                <w:rFonts w:ascii="宋体"/>
                <w:vanish/>
              </w:rPr>
            </w:pPr>
          </w:p>
        </w:tc>
        <w:tc>
          <w:tcPr>
            <w:tcW w:w="0" w:type="auto"/>
            <w:shd w:val="clear" w:color="auto" w:fill="auto"/>
            <w:vAlign w:val="bottom"/>
          </w:tcPr>
          <w:p w14:paraId="26E9E017" w14:textId="77777777" w:rsidR="008A3BAC" w:rsidRDefault="008A3BAC">
            <w:pPr>
              <w:rPr>
                <w:rFonts w:ascii="宋体"/>
                <w:vanish/>
              </w:rPr>
            </w:pPr>
          </w:p>
        </w:tc>
        <w:tc>
          <w:tcPr>
            <w:tcW w:w="0" w:type="auto"/>
            <w:gridSpan w:val="3"/>
            <w:shd w:val="clear" w:color="auto" w:fill="auto"/>
            <w:vAlign w:val="bottom"/>
          </w:tcPr>
          <w:p w14:paraId="26E9E018" w14:textId="77777777" w:rsidR="008A3BAC" w:rsidRDefault="008A3BAC">
            <w:pPr>
              <w:rPr>
                <w:rFonts w:ascii="宋体"/>
                <w:vanish/>
              </w:rPr>
            </w:pPr>
          </w:p>
        </w:tc>
        <w:tc>
          <w:tcPr>
            <w:tcW w:w="0" w:type="auto"/>
            <w:gridSpan w:val="3"/>
            <w:shd w:val="clear" w:color="auto" w:fill="auto"/>
            <w:vAlign w:val="bottom"/>
          </w:tcPr>
          <w:p w14:paraId="26E9E019" w14:textId="77777777" w:rsidR="008A3BAC" w:rsidRDefault="008A3BAC">
            <w:pPr>
              <w:rPr>
                <w:rFonts w:ascii="宋体"/>
                <w:vanish/>
              </w:rPr>
            </w:pPr>
          </w:p>
        </w:tc>
        <w:tc>
          <w:tcPr>
            <w:tcW w:w="0" w:type="auto"/>
            <w:gridSpan w:val="3"/>
            <w:shd w:val="clear" w:color="auto" w:fill="auto"/>
            <w:vAlign w:val="bottom"/>
          </w:tcPr>
          <w:p w14:paraId="26E9E01A" w14:textId="77777777" w:rsidR="008A3BAC" w:rsidRDefault="008A3BAC">
            <w:pPr>
              <w:rPr>
                <w:rFonts w:ascii="宋体"/>
                <w:vanish/>
              </w:rPr>
            </w:pPr>
          </w:p>
        </w:tc>
      </w:tr>
      <w:tr w:rsidR="008A3BAC" w14:paraId="26E9E03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01C"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01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01E" w14:textId="77777777" w:rsidR="008A3BAC" w:rsidRDefault="005C75B9">
            <w:pPr>
              <w:jc w:val="right"/>
              <w:textAlignment w:val="bottom"/>
            </w:pPr>
            <w:r>
              <w:rPr>
                <w:rFonts w:ascii="Arial" w:eastAsia="宋体" w:hAnsi="Arial" w:cs="Arial"/>
                <w:color w:val="000000"/>
                <w:sz w:val="17"/>
                <w:szCs w:val="17"/>
              </w:rPr>
              <w:t>2,532 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1F"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02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021" w14:textId="77777777" w:rsidR="008A3BAC" w:rsidRDefault="005C75B9">
            <w:pPr>
              <w:jc w:val="right"/>
              <w:textAlignment w:val="bottom"/>
            </w:pPr>
            <w:r>
              <w:rPr>
                <w:rFonts w:ascii="Arial" w:eastAsia="宋体" w:hAnsi="Arial" w:cs="Arial"/>
                <w:color w:val="000000"/>
                <w:sz w:val="17"/>
                <w:szCs w:val="17"/>
              </w:rPr>
              <w:t>2,382 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2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23"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2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25"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26"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027"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02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029" w14:textId="77777777" w:rsidR="008A3BAC" w:rsidRDefault="005C75B9">
            <w:pPr>
              <w:jc w:val="right"/>
              <w:textAlignment w:val="bottom"/>
            </w:pPr>
            <w:r>
              <w:rPr>
                <w:rFonts w:ascii="Arial" w:eastAsia="宋体" w:hAnsi="Arial" w:cs="Arial"/>
                <w:color w:val="000000"/>
                <w:sz w:val="17"/>
                <w:szCs w:val="17"/>
              </w:rPr>
              <w:t>8,648 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2A"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02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02C" w14:textId="77777777" w:rsidR="008A3BAC" w:rsidRDefault="005C75B9">
            <w:pPr>
              <w:jc w:val="right"/>
              <w:textAlignment w:val="bottom"/>
            </w:pPr>
            <w:r>
              <w:rPr>
                <w:rFonts w:ascii="Arial" w:eastAsia="宋体" w:hAnsi="Arial" w:cs="Arial"/>
                <w:color w:val="000000"/>
                <w:sz w:val="17"/>
                <w:szCs w:val="17"/>
              </w:rPr>
              <w:t>7,851 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2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2E"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2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30"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31"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032" w14:textId="77777777" w:rsidR="008A3BAC" w:rsidRDefault="008A3BAC">
            <w:pPr>
              <w:rPr>
                <w:rFonts w:ascii="宋体"/>
                <w:vanish/>
              </w:rPr>
            </w:pPr>
          </w:p>
        </w:tc>
        <w:tc>
          <w:tcPr>
            <w:tcW w:w="0" w:type="auto"/>
            <w:shd w:val="clear" w:color="auto" w:fill="auto"/>
            <w:vAlign w:val="bottom"/>
          </w:tcPr>
          <w:p w14:paraId="26E9E033" w14:textId="77777777" w:rsidR="008A3BAC" w:rsidRDefault="008A3BAC">
            <w:pPr>
              <w:rPr>
                <w:rFonts w:ascii="宋体"/>
                <w:vanish/>
              </w:rPr>
            </w:pPr>
          </w:p>
        </w:tc>
        <w:tc>
          <w:tcPr>
            <w:tcW w:w="0" w:type="auto"/>
            <w:gridSpan w:val="3"/>
            <w:shd w:val="clear" w:color="auto" w:fill="auto"/>
            <w:vAlign w:val="bottom"/>
          </w:tcPr>
          <w:p w14:paraId="26E9E034" w14:textId="77777777" w:rsidR="008A3BAC" w:rsidRDefault="008A3BAC">
            <w:pPr>
              <w:rPr>
                <w:rFonts w:ascii="宋体"/>
                <w:vanish/>
              </w:rPr>
            </w:pPr>
          </w:p>
        </w:tc>
        <w:tc>
          <w:tcPr>
            <w:tcW w:w="0" w:type="auto"/>
            <w:gridSpan w:val="3"/>
            <w:shd w:val="clear" w:color="auto" w:fill="auto"/>
            <w:vAlign w:val="bottom"/>
          </w:tcPr>
          <w:p w14:paraId="26E9E035" w14:textId="77777777" w:rsidR="008A3BAC" w:rsidRDefault="008A3BAC">
            <w:pPr>
              <w:rPr>
                <w:rFonts w:ascii="宋体"/>
                <w:vanish/>
              </w:rPr>
            </w:pPr>
          </w:p>
        </w:tc>
        <w:tc>
          <w:tcPr>
            <w:tcW w:w="0" w:type="auto"/>
            <w:gridSpan w:val="3"/>
            <w:shd w:val="clear" w:color="auto" w:fill="auto"/>
            <w:vAlign w:val="bottom"/>
          </w:tcPr>
          <w:p w14:paraId="26E9E036" w14:textId="77777777" w:rsidR="008A3BAC" w:rsidRDefault="008A3BAC">
            <w:pPr>
              <w:rPr>
                <w:rFonts w:ascii="宋体"/>
                <w:vanish/>
              </w:rPr>
            </w:pPr>
          </w:p>
        </w:tc>
      </w:tr>
      <w:tr w:rsidR="008A3BAC" w14:paraId="26E9E04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038"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39" w14:textId="77777777" w:rsidR="008A3BAC" w:rsidRDefault="005C75B9">
            <w:pPr>
              <w:jc w:val="right"/>
              <w:textAlignment w:val="bottom"/>
            </w:pPr>
            <w:r>
              <w:rPr>
                <w:rFonts w:ascii="Arial" w:eastAsia="宋体" w:hAnsi="Arial" w:cs="Arial"/>
                <w:color w:val="000000"/>
                <w:sz w:val="17"/>
                <w:szCs w:val="17"/>
              </w:rPr>
              <w:t>1,207 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3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3B" w14:textId="77777777" w:rsidR="008A3BAC" w:rsidRDefault="005C75B9">
            <w:pPr>
              <w:jc w:val="right"/>
              <w:textAlignment w:val="bottom"/>
            </w:pPr>
            <w:r>
              <w:rPr>
                <w:rFonts w:ascii="Arial" w:eastAsia="宋体" w:hAnsi="Arial" w:cs="Arial"/>
                <w:color w:val="000000"/>
                <w:sz w:val="17"/>
                <w:szCs w:val="17"/>
              </w:rPr>
              <w:t>1,087 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3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3D"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3E"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3F"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40"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041"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42" w14:textId="77777777" w:rsidR="008A3BAC" w:rsidRDefault="005C75B9">
            <w:pPr>
              <w:jc w:val="right"/>
              <w:textAlignment w:val="bottom"/>
            </w:pPr>
            <w:r>
              <w:rPr>
                <w:rFonts w:ascii="Arial" w:eastAsia="宋体" w:hAnsi="Arial" w:cs="Arial"/>
                <w:color w:val="000000"/>
                <w:sz w:val="17"/>
                <w:szCs w:val="17"/>
              </w:rPr>
              <w:t>4,117 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4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44" w14:textId="77777777" w:rsidR="008A3BAC" w:rsidRDefault="005C75B9">
            <w:pPr>
              <w:jc w:val="right"/>
              <w:textAlignment w:val="bottom"/>
            </w:pPr>
            <w:r>
              <w:rPr>
                <w:rFonts w:ascii="Arial" w:eastAsia="宋体" w:hAnsi="Arial" w:cs="Arial"/>
                <w:color w:val="000000"/>
                <w:sz w:val="17"/>
                <w:szCs w:val="17"/>
              </w:rPr>
              <w:t>3,580 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4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46"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47"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48"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49"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04A" w14:textId="77777777" w:rsidR="008A3BAC" w:rsidRDefault="008A3BAC">
            <w:pPr>
              <w:rPr>
                <w:rFonts w:ascii="宋体"/>
                <w:vanish/>
              </w:rPr>
            </w:pPr>
          </w:p>
        </w:tc>
        <w:tc>
          <w:tcPr>
            <w:tcW w:w="0" w:type="auto"/>
            <w:shd w:val="clear" w:color="auto" w:fill="auto"/>
            <w:vAlign w:val="bottom"/>
          </w:tcPr>
          <w:p w14:paraId="26E9E04B" w14:textId="77777777" w:rsidR="008A3BAC" w:rsidRDefault="008A3BAC">
            <w:pPr>
              <w:rPr>
                <w:rFonts w:ascii="宋体"/>
                <w:vanish/>
              </w:rPr>
            </w:pPr>
          </w:p>
        </w:tc>
        <w:tc>
          <w:tcPr>
            <w:tcW w:w="0" w:type="auto"/>
            <w:gridSpan w:val="3"/>
            <w:shd w:val="clear" w:color="auto" w:fill="auto"/>
            <w:vAlign w:val="bottom"/>
          </w:tcPr>
          <w:p w14:paraId="26E9E04C" w14:textId="77777777" w:rsidR="008A3BAC" w:rsidRDefault="008A3BAC">
            <w:pPr>
              <w:rPr>
                <w:rFonts w:ascii="宋体"/>
                <w:vanish/>
              </w:rPr>
            </w:pPr>
          </w:p>
        </w:tc>
        <w:tc>
          <w:tcPr>
            <w:tcW w:w="0" w:type="auto"/>
            <w:gridSpan w:val="3"/>
            <w:shd w:val="clear" w:color="auto" w:fill="auto"/>
            <w:vAlign w:val="bottom"/>
          </w:tcPr>
          <w:p w14:paraId="26E9E04D" w14:textId="77777777" w:rsidR="008A3BAC" w:rsidRDefault="008A3BAC">
            <w:pPr>
              <w:rPr>
                <w:rFonts w:ascii="宋体"/>
                <w:vanish/>
              </w:rPr>
            </w:pPr>
          </w:p>
        </w:tc>
        <w:tc>
          <w:tcPr>
            <w:tcW w:w="0" w:type="auto"/>
            <w:gridSpan w:val="3"/>
            <w:shd w:val="clear" w:color="auto" w:fill="auto"/>
            <w:vAlign w:val="bottom"/>
          </w:tcPr>
          <w:p w14:paraId="26E9E04E" w14:textId="77777777" w:rsidR="008A3BAC" w:rsidRDefault="008A3BAC">
            <w:pPr>
              <w:rPr>
                <w:rFonts w:ascii="宋体"/>
                <w:vanish/>
              </w:rPr>
            </w:pPr>
          </w:p>
        </w:tc>
      </w:tr>
      <w:tr w:rsidR="008A3BAC" w14:paraId="26E9E06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050"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51" w14:textId="77777777" w:rsidR="008A3BAC" w:rsidRDefault="005C75B9">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5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53" w14:textId="77777777" w:rsidR="008A3BAC" w:rsidRDefault="005C75B9">
            <w:pPr>
              <w:jc w:val="right"/>
              <w:textAlignment w:val="bottom"/>
            </w:pPr>
            <w:r>
              <w:rPr>
                <w:rFonts w:ascii="Arial" w:eastAsia="宋体" w:hAnsi="Arial" w:cs="Arial"/>
                <w:color w:val="000000"/>
                <w:sz w:val="17"/>
                <w:szCs w:val="17"/>
              </w:rPr>
              <w:t>95 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5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55" w14:textId="77777777" w:rsidR="008A3BAC" w:rsidRDefault="005C75B9">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5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57" w14:textId="77777777" w:rsidR="008A3BAC" w:rsidRDefault="005C75B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5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05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5A" w14:textId="77777777" w:rsidR="008A3BAC" w:rsidRDefault="005C75B9">
            <w:pPr>
              <w:jc w:val="right"/>
              <w:textAlignment w:val="bottom"/>
            </w:pPr>
            <w:r>
              <w:rPr>
                <w:rFonts w:ascii="Arial" w:eastAsia="宋体" w:hAnsi="Arial" w:cs="Arial"/>
                <w:color w:val="000000"/>
                <w:sz w:val="17"/>
                <w:szCs w:val="17"/>
              </w:rPr>
              <w:t>473 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5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5C" w14:textId="77777777" w:rsidR="008A3BAC" w:rsidRDefault="005C75B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5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5E" w14:textId="77777777" w:rsidR="008A3BAC" w:rsidRDefault="005C75B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5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60" w14:textId="77777777" w:rsidR="008A3BAC" w:rsidRDefault="005C75B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61"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062" w14:textId="77777777" w:rsidR="008A3BAC" w:rsidRDefault="008A3BAC">
            <w:pPr>
              <w:rPr>
                <w:rFonts w:ascii="宋体"/>
                <w:vanish/>
              </w:rPr>
            </w:pPr>
          </w:p>
        </w:tc>
        <w:tc>
          <w:tcPr>
            <w:tcW w:w="0" w:type="auto"/>
            <w:shd w:val="clear" w:color="auto" w:fill="auto"/>
            <w:vAlign w:val="bottom"/>
          </w:tcPr>
          <w:p w14:paraId="26E9E063" w14:textId="77777777" w:rsidR="008A3BAC" w:rsidRDefault="008A3BAC">
            <w:pPr>
              <w:rPr>
                <w:rFonts w:ascii="宋体"/>
                <w:vanish/>
              </w:rPr>
            </w:pPr>
          </w:p>
        </w:tc>
        <w:tc>
          <w:tcPr>
            <w:tcW w:w="0" w:type="auto"/>
            <w:gridSpan w:val="3"/>
            <w:shd w:val="clear" w:color="auto" w:fill="auto"/>
            <w:vAlign w:val="bottom"/>
          </w:tcPr>
          <w:p w14:paraId="26E9E064" w14:textId="77777777" w:rsidR="008A3BAC" w:rsidRDefault="008A3BAC">
            <w:pPr>
              <w:rPr>
                <w:rFonts w:ascii="宋体"/>
                <w:vanish/>
              </w:rPr>
            </w:pPr>
          </w:p>
        </w:tc>
        <w:tc>
          <w:tcPr>
            <w:tcW w:w="0" w:type="auto"/>
            <w:gridSpan w:val="3"/>
            <w:shd w:val="clear" w:color="auto" w:fill="auto"/>
            <w:vAlign w:val="bottom"/>
          </w:tcPr>
          <w:p w14:paraId="26E9E065" w14:textId="77777777" w:rsidR="008A3BAC" w:rsidRDefault="008A3BAC">
            <w:pPr>
              <w:rPr>
                <w:rFonts w:ascii="宋体"/>
                <w:vanish/>
              </w:rPr>
            </w:pPr>
          </w:p>
        </w:tc>
        <w:tc>
          <w:tcPr>
            <w:tcW w:w="0" w:type="auto"/>
            <w:gridSpan w:val="3"/>
            <w:shd w:val="clear" w:color="auto" w:fill="auto"/>
            <w:vAlign w:val="bottom"/>
          </w:tcPr>
          <w:p w14:paraId="26E9E066" w14:textId="77777777" w:rsidR="008A3BAC" w:rsidRDefault="008A3BAC">
            <w:pPr>
              <w:rPr>
                <w:rFonts w:ascii="宋体"/>
                <w:vanish/>
              </w:rPr>
            </w:pPr>
          </w:p>
        </w:tc>
      </w:tr>
      <w:tr w:rsidR="008A3BAC" w14:paraId="26E9E0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68"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06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06A" w14:textId="77777777" w:rsidR="008A3BAC" w:rsidRDefault="005C75B9">
            <w:pPr>
              <w:jc w:val="right"/>
              <w:textAlignment w:val="bottom"/>
            </w:pPr>
            <w:r>
              <w:rPr>
                <w:rFonts w:ascii="Arial" w:eastAsia="宋体" w:hAnsi="Arial" w:cs="Arial"/>
                <w:b/>
                <w:bCs/>
                <w:color w:val="000000"/>
                <w:sz w:val="17"/>
                <w:szCs w:val="17"/>
              </w:rPr>
              <w:t>3,882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06B"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06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06D" w14:textId="77777777" w:rsidR="008A3BAC" w:rsidRDefault="005C75B9">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6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6F"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70"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71"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7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73"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07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075" w14:textId="77777777" w:rsidR="008A3BAC" w:rsidRDefault="005C75B9">
            <w:pPr>
              <w:jc w:val="right"/>
              <w:textAlignment w:val="bottom"/>
            </w:pPr>
            <w:r>
              <w:rPr>
                <w:rFonts w:ascii="Arial" w:eastAsia="宋体" w:hAnsi="Arial" w:cs="Arial"/>
                <w:b/>
                <w:bCs/>
                <w:color w:val="000000"/>
                <w:sz w:val="17"/>
                <w:szCs w:val="17"/>
              </w:rPr>
              <w:t>13,23</w:t>
            </w: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07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07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078" w14:textId="77777777" w:rsidR="008A3BAC" w:rsidRDefault="005C75B9">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79"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7A" w14:textId="77777777" w:rsidR="008A3BAC" w:rsidRDefault="005C75B9">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7B"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7C" w14:textId="77777777" w:rsidR="008A3BAC" w:rsidRDefault="005C75B9">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7D"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07E" w14:textId="77777777" w:rsidR="008A3BAC" w:rsidRDefault="008A3BAC">
            <w:pPr>
              <w:rPr>
                <w:rFonts w:ascii="宋体"/>
                <w:vanish/>
              </w:rPr>
            </w:pPr>
          </w:p>
        </w:tc>
        <w:tc>
          <w:tcPr>
            <w:tcW w:w="0" w:type="auto"/>
            <w:shd w:val="clear" w:color="auto" w:fill="auto"/>
            <w:vAlign w:val="bottom"/>
          </w:tcPr>
          <w:p w14:paraId="26E9E07F" w14:textId="77777777" w:rsidR="008A3BAC" w:rsidRDefault="008A3BAC">
            <w:pPr>
              <w:rPr>
                <w:rFonts w:ascii="宋体"/>
                <w:vanish/>
              </w:rPr>
            </w:pPr>
          </w:p>
        </w:tc>
        <w:tc>
          <w:tcPr>
            <w:tcW w:w="0" w:type="auto"/>
            <w:gridSpan w:val="3"/>
            <w:shd w:val="clear" w:color="auto" w:fill="auto"/>
            <w:vAlign w:val="bottom"/>
          </w:tcPr>
          <w:p w14:paraId="26E9E080" w14:textId="77777777" w:rsidR="008A3BAC" w:rsidRDefault="008A3BAC">
            <w:pPr>
              <w:rPr>
                <w:rFonts w:ascii="宋体"/>
                <w:vanish/>
              </w:rPr>
            </w:pPr>
          </w:p>
        </w:tc>
        <w:tc>
          <w:tcPr>
            <w:tcW w:w="0" w:type="auto"/>
            <w:gridSpan w:val="3"/>
            <w:shd w:val="clear" w:color="auto" w:fill="auto"/>
            <w:vAlign w:val="bottom"/>
          </w:tcPr>
          <w:p w14:paraId="26E9E081" w14:textId="77777777" w:rsidR="008A3BAC" w:rsidRDefault="008A3BAC">
            <w:pPr>
              <w:rPr>
                <w:rFonts w:ascii="宋体"/>
                <w:vanish/>
              </w:rPr>
            </w:pPr>
          </w:p>
        </w:tc>
        <w:tc>
          <w:tcPr>
            <w:tcW w:w="0" w:type="auto"/>
            <w:gridSpan w:val="3"/>
            <w:shd w:val="clear" w:color="auto" w:fill="auto"/>
            <w:vAlign w:val="bottom"/>
          </w:tcPr>
          <w:p w14:paraId="26E9E082" w14:textId="77777777" w:rsidR="008A3BAC" w:rsidRDefault="008A3BAC">
            <w:pPr>
              <w:rPr>
                <w:rFonts w:ascii="宋体"/>
                <w:vanish/>
              </w:rPr>
            </w:pPr>
          </w:p>
        </w:tc>
      </w:tr>
      <w:tr w:rsidR="008A3BAC" w14:paraId="26E9E0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84"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6E9E085" w14:textId="77777777" w:rsidR="008A3BAC" w:rsidRDefault="005C75B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86" w14:textId="77777777" w:rsidR="008A3BAC" w:rsidRDefault="005C75B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9"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08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8D" w14:textId="77777777" w:rsidR="008A3BAC" w:rsidRDefault="008A3BAC">
            <w:pPr>
              <w:rPr>
                <w:rFonts w:ascii="宋体"/>
              </w:rPr>
            </w:pPr>
          </w:p>
        </w:tc>
        <w:tc>
          <w:tcPr>
            <w:tcW w:w="0" w:type="auto"/>
            <w:shd w:val="clear" w:color="auto" w:fill="auto"/>
            <w:vAlign w:val="bottom"/>
          </w:tcPr>
          <w:p w14:paraId="26E9E08E" w14:textId="77777777" w:rsidR="008A3BAC" w:rsidRDefault="008A3BAC">
            <w:pPr>
              <w:rPr>
                <w:rFonts w:ascii="宋体"/>
                <w:vanish/>
              </w:rPr>
            </w:pPr>
          </w:p>
        </w:tc>
        <w:tc>
          <w:tcPr>
            <w:tcW w:w="0" w:type="auto"/>
            <w:shd w:val="clear" w:color="auto" w:fill="auto"/>
            <w:vAlign w:val="bottom"/>
          </w:tcPr>
          <w:p w14:paraId="26E9E08F" w14:textId="77777777" w:rsidR="008A3BAC" w:rsidRDefault="008A3BAC">
            <w:pPr>
              <w:rPr>
                <w:rFonts w:ascii="宋体"/>
                <w:vanish/>
              </w:rPr>
            </w:pPr>
          </w:p>
        </w:tc>
        <w:tc>
          <w:tcPr>
            <w:tcW w:w="0" w:type="auto"/>
            <w:gridSpan w:val="3"/>
            <w:shd w:val="clear" w:color="auto" w:fill="auto"/>
            <w:vAlign w:val="bottom"/>
          </w:tcPr>
          <w:p w14:paraId="26E9E090" w14:textId="77777777" w:rsidR="008A3BAC" w:rsidRDefault="008A3BAC">
            <w:pPr>
              <w:rPr>
                <w:rFonts w:ascii="宋体"/>
                <w:vanish/>
              </w:rPr>
            </w:pPr>
          </w:p>
        </w:tc>
        <w:tc>
          <w:tcPr>
            <w:tcW w:w="0" w:type="auto"/>
            <w:gridSpan w:val="3"/>
            <w:shd w:val="clear" w:color="auto" w:fill="auto"/>
            <w:vAlign w:val="bottom"/>
          </w:tcPr>
          <w:p w14:paraId="26E9E091" w14:textId="77777777" w:rsidR="008A3BAC" w:rsidRDefault="008A3BAC">
            <w:pPr>
              <w:rPr>
                <w:rFonts w:ascii="宋体"/>
                <w:vanish/>
              </w:rPr>
            </w:pPr>
          </w:p>
        </w:tc>
        <w:tc>
          <w:tcPr>
            <w:tcW w:w="0" w:type="auto"/>
            <w:gridSpan w:val="3"/>
            <w:shd w:val="clear" w:color="auto" w:fill="auto"/>
            <w:vAlign w:val="bottom"/>
          </w:tcPr>
          <w:p w14:paraId="26E9E092" w14:textId="77777777" w:rsidR="008A3BAC" w:rsidRDefault="008A3BAC">
            <w:pPr>
              <w:rPr>
                <w:rFonts w:ascii="宋体"/>
                <w:vanish/>
              </w:rPr>
            </w:pPr>
          </w:p>
        </w:tc>
      </w:tr>
      <w:tr w:rsidR="008A3BAC" w14:paraId="26E9E0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094"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09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096" w14:textId="77777777" w:rsidR="008A3BAC" w:rsidRDefault="005C75B9">
            <w:pPr>
              <w:jc w:val="right"/>
              <w:textAlignment w:val="bottom"/>
            </w:pPr>
            <w:r>
              <w:rPr>
                <w:rFonts w:ascii="Arial" w:eastAsia="宋体" w:hAnsi="Arial" w:cs="Arial"/>
                <w:color w:val="000000"/>
                <w:sz w:val="17"/>
                <w:szCs w:val="17"/>
              </w:rPr>
              <w:t>1,769 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97"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098"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099" w14:textId="77777777" w:rsidR="008A3BAC" w:rsidRDefault="005C75B9">
            <w:pPr>
              <w:jc w:val="right"/>
              <w:textAlignment w:val="bottom"/>
            </w:pPr>
            <w:r>
              <w:rPr>
                <w:rFonts w:ascii="Arial" w:eastAsia="宋体" w:hAnsi="Arial" w:cs="Arial"/>
                <w:color w:val="000000"/>
                <w:sz w:val="17"/>
                <w:szCs w:val="17"/>
              </w:rPr>
              <w:t>1,894 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9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9B"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9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9D"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9E"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09F"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0A0"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0A1" w14:textId="77777777" w:rsidR="008A3BAC" w:rsidRDefault="005C75B9">
            <w:pPr>
              <w:jc w:val="right"/>
              <w:textAlignment w:val="bottom"/>
            </w:pPr>
            <w:r>
              <w:rPr>
                <w:rFonts w:ascii="Arial" w:eastAsia="宋体" w:hAnsi="Arial" w:cs="Arial"/>
                <w:color w:val="000000"/>
                <w:sz w:val="17"/>
                <w:szCs w:val="17"/>
              </w:rPr>
              <w:t>6,774 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A2"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0A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0A4" w14:textId="77777777" w:rsidR="008A3BAC" w:rsidRDefault="005C75B9">
            <w:pPr>
              <w:jc w:val="right"/>
              <w:textAlignment w:val="bottom"/>
            </w:pPr>
            <w:r>
              <w:rPr>
                <w:rFonts w:ascii="Arial" w:eastAsia="宋体" w:hAnsi="Arial" w:cs="Arial"/>
                <w:color w:val="000000"/>
                <w:sz w:val="17"/>
                <w:szCs w:val="17"/>
              </w:rPr>
              <w:t>6,967 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A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A6"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A7"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A8"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A9"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0AA" w14:textId="77777777" w:rsidR="008A3BAC" w:rsidRDefault="008A3BAC">
            <w:pPr>
              <w:rPr>
                <w:rFonts w:ascii="宋体"/>
                <w:vanish/>
              </w:rPr>
            </w:pPr>
          </w:p>
        </w:tc>
        <w:tc>
          <w:tcPr>
            <w:tcW w:w="0" w:type="auto"/>
            <w:shd w:val="clear" w:color="auto" w:fill="auto"/>
            <w:vAlign w:val="bottom"/>
          </w:tcPr>
          <w:p w14:paraId="26E9E0AB" w14:textId="77777777" w:rsidR="008A3BAC" w:rsidRDefault="008A3BAC">
            <w:pPr>
              <w:rPr>
                <w:rFonts w:ascii="宋体"/>
                <w:vanish/>
              </w:rPr>
            </w:pPr>
          </w:p>
        </w:tc>
        <w:tc>
          <w:tcPr>
            <w:tcW w:w="0" w:type="auto"/>
            <w:gridSpan w:val="3"/>
            <w:shd w:val="clear" w:color="auto" w:fill="auto"/>
            <w:vAlign w:val="bottom"/>
          </w:tcPr>
          <w:p w14:paraId="26E9E0AC" w14:textId="77777777" w:rsidR="008A3BAC" w:rsidRDefault="008A3BAC">
            <w:pPr>
              <w:rPr>
                <w:rFonts w:ascii="宋体"/>
                <w:vanish/>
              </w:rPr>
            </w:pPr>
          </w:p>
        </w:tc>
        <w:tc>
          <w:tcPr>
            <w:tcW w:w="0" w:type="auto"/>
            <w:gridSpan w:val="3"/>
            <w:shd w:val="clear" w:color="auto" w:fill="auto"/>
            <w:vAlign w:val="bottom"/>
          </w:tcPr>
          <w:p w14:paraId="26E9E0AD" w14:textId="77777777" w:rsidR="008A3BAC" w:rsidRDefault="008A3BAC">
            <w:pPr>
              <w:rPr>
                <w:rFonts w:ascii="宋体"/>
                <w:vanish/>
              </w:rPr>
            </w:pPr>
          </w:p>
        </w:tc>
        <w:tc>
          <w:tcPr>
            <w:tcW w:w="0" w:type="auto"/>
            <w:gridSpan w:val="3"/>
            <w:shd w:val="clear" w:color="auto" w:fill="auto"/>
            <w:vAlign w:val="bottom"/>
          </w:tcPr>
          <w:p w14:paraId="26E9E0AE" w14:textId="77777777" w:rsidR="008A3BAC" w:rsidRDefault="008A3BAC">
            <w:pPr>
              <w:rPr>
                <w:rFonts w:ascii="宋体"/>
                <w:vanish/>
              </w:rPr>
            </w:pPr>
          </w:p>
        </w:tc>
      </w:tr>
      <w:tr w:rsidR="008A3BAC" w14:paraId="26E9E0C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0B0" w14:textId="77777777" w:rsidR="008A3BAC" w:rsidRDefault="005C75B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B1" w14:textId="77777777" w:rsidR="008A3BAC" w:rsidRDefault="005C75B9">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B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B3" w14:textId="77777777" w:rsidR="008A3BAC" w:rsidRDefault="005C75B9">
            <w:pPr>
              <w:jc w:val="right"/>
              <w:textAlignment w:val="bottom"/>
            </w:pPr>
            <w:r>
              <w:rPr>
                <w:rFonts w:ascii="Arial" w:eastAsia="宋体" w:hAnsi="Arial" w:cs="Arial"/>
                <w:color w:val="000000"/>
                <w:sz w:val="17"/>
                <w:szCs w:val="17"/>
              </w:rPr>
              <w:t>1,670 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B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B5" w14:textId="77777777" w:rsidR="008A3BAC" w:rsidRDefault="005C75B9">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B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B7" w14:textId="77777777" w:rsidR="008A3BAC" w:rsidRDefault="005C75B9">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B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0B9"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0BA" w14:textId="77777777" w:rsidR="008A3BAC" w:rsidRDefault="005C75B9">
            <w:pPr>
              <w:jc w:val="right"/>
              <w:textAlignment w:val="bottom"/>
            </w:pPr>
            <w:r>
              <w:rPr>
                <w:rFonts w:ascii="Arial" w:eastAsia="宋体" w:hAnsi="Arial" w:cs="Arial"/>
                <w:color w:val="000000"/>
                <w:sz w:val="17"/>
                <w:szCs w:val="17"/>
              </w:rPr>
              <w:t>6,464 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0B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BC" w14:textId="77777777" w:rsidR="008A3BAC" w:rsidRDefault="005C75B9">
            <w:pPr>
              <w:jc w:val="right"/>
              <w:textAlignment w:val="bottom"/>
            </w:pPr>
            <w:r>
              <w:rPr>
                <w:rFonts w:ascii="Arial" w:eastAsia="宋体" w:hAnsi="Arial" w:cs="Arial"/>
                <w:color w:val="000000"/>
                <w:sz w:val="17"/>
                <w:szCs w:val="17"/>
              </w:rPr>
              <w:t>4,828 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B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BE" w14:textId="77777777" w:rsidR="008A3BAC" w:rsidRDefault="005C75B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B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0C0" w14:textId="77777777" w:rsidR="008A3BAC" w:rsidRDefault="005C75B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0C1"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0C2" w14:textId="77777777" w:rsidR="008A3BAC" w:rsidRDefault="008A3BAC">
            <w:pPr>
              <w:rPr>
                <w:rFonts w:ascii="宋体"/>
                <w:vanish/>
              </w:rPr>
            </w:pPr>
          </w:p>
        </w:tc>
        <w:tc>
          <w:tcPr>
            <w:tcW w:w="0" w:type="auto"/>
            <w:shd w:val="clear" w:color="auto" w:fill="auto"/>
            <w:vAlign w:val="bottom"/>
          </w:tcPr>
          <w:p w14:paraId="26E9E0C3" w14:textId="77777777" w:rsidR="008A3BAC" w:rsidRDefault="008A3BAC">
            <w:pPr>
              <w:rPr>
                <w:rFonts w:ascii="宋体"/>
                <w:vanish/>
              </w:rPr>
            </w:pPr>
          </w:p>
        </w:tc>
        <w:tc>
          <w:tcPr>
            <w:tcW w:w="0" w:type="auto"/>
            <w:gridSpan w:val="3"/>
            <w:shd w:val="clear" w:color="auto" w:fill="auto"/>
            <w:vAlign w:val="bottom"/>
          </w:tcPr>
          <w:p w14:paraId="26E9E0C4" w14:textId="77777777" w:rsidR="008A3BAC" w:rsidRDefault="008A3BAC">
            <w:pPr>
              <w:rPr>
                <w:rFonts w:ascii="宋体"/>
                <w:vanish/>
              </w:rPr>
            </w:pPr>
          </w:p>
        </w:tc>
        <w:tc>
          <w:tcPr>
            <w:tcW w:w="0" w:type="auto"/>
            <w:gridSpan w:val="3"/>
            <w:shd w:val="clear" w:color="auto" w:fill="auto"/>
            <w:vAlign w:val="bottom"/>
          </w:tcPr>
          <w:p w14:paraId="26E9E0C5" w14:textId="77777777" w:rsidR="008A3BAC" w:rsidRDefault="008A3BAC">
            <w:pPr>
              <w:rPr>
                <w:rFonts w:ascii="宋体"/>
                <w:vanish/>
              </w:rPr>
            </w:pPr>
          </w:p>
        </w:tc>
        <w:tc>
          <w:tcPr>
            <w:tcW w:w="0" w:type="auto"/>
            <w:gridSpan w:val="3"/>
            <w:shd w:val="clear" w:color="auto" w:fill="auto"/>
            <w:vAlign w:val="bottom"/>
          </w:tcPr>
          <w:p w14:paraId="26E9E0C6" w14:textId="77777777" w:rsidR="008A3BAC" w:rsidRDefault="008A3BAC">
            <w:pPr>
              <w:rPr>
                <w:rFonts w:ascii="宋体"/>
                <w:vanish/>
              </w:rPr>
            </w:pPr>
          </w:p>
        </w:tc>
      </w:tr>
      <w:tr w:rsidR="008A3BAC" w14:paraId="26E9E0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0C8"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0C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0CA" w14:textId="77777777" w:rsidR="008A3BAC" w:rsidRDefault="005C75B9">
            <w:pPr>
              <w:jc w:val="right"/>
              <w:textAlignment w:val="bottom"/>
            </w:pPr>
            <w:r>
              <w:rPr>
                <w:rFonts w:ascii="Arial" w:eastAsia="宋体" w:hAnsi="Arial" w:cs="Arial"/>
                <w:b/>
                <w:bCs/>
                <w:color w:val="000000"/>
                <w:sz w:val="17"/>
                <w:szCs w:val="17"/>
              </w:rPr>
              <w:t>3,882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0CB"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0C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0CD" w14:textId="77777777" w:rsidR="008A3BAC" w:rsidRDefault="005C75B9">
            <w:pPr>
              <w:jc w:val="right"/>
              <w:textAlignment w:val="bottom"/>
            </w:pPr>
            <w:r>
              <w:rPr>
                <w:rFonts w:ascii="Arial" w:eastAsia="宋体" w:hAnsi="Arial" w:cs="Arial"/>
                <w:b/>
                <w:bCs/>
                <w:color w:val="000000"/>
                <w:sz w:val="17"/>
                <w:szCs w:val="17"/>
              </w:rPr>
              <w:t>3,564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CE"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CF"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D0"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D1"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D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0D3"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0D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0D5" w14:textId="77777777" w:rsidR="008A3BAC" w:rsidRDefault="005C75B9">
            <w:pPr>
              <w:jc w:val="right"/>
              <w:textAlignment w:val="bottom"/>
            </w:pPr>
            <w:r>
              <w:rPr>
                <w:rFonts w:ascii="Arial" w:eastAsia="宋体" w:hAnsi="Arial" w:cs="Arial"/>
                <w:b/>
                <w:bCs/>
                <w:color w:val="000000"/>
                <w:sz w:val="17"/>
                <w:szCs w:val="17"/>
              </w:rPr>
              <w:t>13,238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0D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0D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0D8" w14:textId="77777777" w:rsidR="008A3BAC" w:rsidRDefault="005C75B9">
            <w:pPr>
              <w:jc w:val="right"/>
              <w:textAlignment w:val="bottom"/>
            </w:pPr>
            <w:r>
              <w:rPr>
                <w:rFonts w:ascii="Arial" w:eastAsia="宋体" w:hAnsi="Arial" w:cs="Arial"/>
                <w:b/>
                <w:bCs/>
                <w:color w:val="000000"/>
                <w:sz w:val="17"/>
                <w:szCs w:val="17"/>
              </w:rPr>
              <w:t>11,795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D9"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DA" w14:textId="77777777" w:rsidR="008A3BAC" w:rsidRDefault="005C75B9">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DB"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0DC" w14:textId="77777777" w:rsidR="008A3BAC" w:rsidRDefault="005C75B9">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0DD"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0DE" w14:textId="77777777" w:rsidR="008A3BAC" w:rsidRDefault="008A3BAC">
            <w:pPr>
              <w:rPr>
                <w:rFonts w:ascii="宋体"/>
                <w:vanish/>
              </w:rPr>
            </w:pPr>
          </w:p>
        </w:tc>
        <w:tc>
          <w:tcPr>
            <w:tcW w:w="0" w:type="auto"/>
            <w:shd w:val="clear" w:color="auto" w:fill="auto"/>
            <w:vAlign w:val="bottom"/>
          </w:tcPr>
          <w:p w14:paraId="26E9E0DF" w14:textId="77777777" w:rsidR="008A3BAC" w:rsidRDefault="008A3BAC">
            <w:pPr>
              <w:rPr>
                <w:rFonts w:ascii="宋体"/>
                <w:vanish/>
              </w:rPr>
            </w:pPr>
          </w:p>
        </w:tc>
        <w:tc>
          <w:tcPr>
            <w:tcW w:w="0" w:type="auto"/>
            <w:gridSpan w:val="3"/>
            <w:shd w:val="clear" w:color="auto" w:fill="auto"/>
            <w:vAlign w:val="bottom"/>
          </w:tcPr>
          <w:p w14:paraId="26E9E0E0" w14:textId="77777777" w:rsidR="008A3BAC" w:rsidRDefault="008A3BAC">
            <w:pPr>
              <w:rPr>
                <w:rFonts w:ascii="宋体"/>
                <w:vanish/>
              </w:rPr>
            </w:pPr>
          </w:p>
        </w:tc>
        <w:tc>
          <w:tcPr>
            <w:tcW w:w="0" w:type="auto"/>
            <w:gridSpan w:val="3"/>
            <w:shd w:val="clear" w:color="auto" w:fill="auto"/>
            <w:vAlign w:val="bottom"/>
          </w:tcPr>
          <w:p w14:paraId="26E9E0E1" w14:textId="77777777" w:rsidR="008A3BAC" w:rsidRDefault="008A3BAC">
            <w:pPr>
              <w:rPr>
                <w:rFonts w:ascii="宋体"/>
                <w:vanish/>
              </w:rPr>
            </w:pPr>
          </w:p>
        </w:tc>
        <w:tc>
          <w:tcPr>
            <w:tcW w:w="0" w:type="auto"/>
            <w:gridSpan w:val="3"/>
            <w:shd w:val="clear" w:color="auto" w:fill="auto"/>
            <w:vAlign w:val="bottom"/>
          </w:tcPr>
          <w:p w14:paraId="26E9E0E2" w14:textId="77777777" w:rsidR="008A3BAC" w:rsidRDefault="008A3BAC">
            <w:pPr>
              <w:rPr>
                <w:rFonts w:ascii="宋体"/>
                <w:vanish/>
              </w:rPr>
            </w:pPr>
          </w:p>
        </w:tc>
      </w:tr>
      <w:tr w:rsidR="008A3BAC" w14:paraId="26E9E0F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E0E4" w14:textId="77777777" w:rsidR="008A3BAC" w:rsidRDefault="005C75B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0E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0E6" w14:textId="77777777" w:rsidR="008A3BAC" w:rsidRDefault="005C75B9">
            <w:pPr>
              <w:jc w:val="right"/>
              <w:textAlignment w:val="bottom"/>
            </w:pPr>
            <w:r>
              <w:rPr>
                <w:rFonts w:ascii="Arial" w:eastAsia="宋体" w:hAnsi="Arial" w:cs="Arial"/>
                <w:b/>
                <w:bCs/>
                <w:color w:val="000000"/>
                <w:sz w:val="17"/>
                <w:szCs w:val="17"/>
              </w:rPr>
              <w:t>967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0E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0E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0E9" w14:textId="77777777" w:rsidR="008A3BAC" w:rsidRDefault="005C75B9">
            <w:pPr>
              <w:jc w:val="right"/>
              <w:textAlignment w:val="bottom"/>
            </w:pPr>
            <w:r>
              <w:rPr>
                <w:rFonts w:ascii="Arial" w:eastAsia="宋体" w:hAnsi="Arial" w:cs="Arial"/>
                <w:b/>
                <w:bCs/>
                <w:color w:val="000000"/>
                <w:sz w:val="17"/>
                <w:szCs w:val="17"/>
              </w:rPr>
              <w:t>970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0EA"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0EB" w14:textId="77777777" w:rsidR="008A3BAC" w:rsidRDefault="005C75B9">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0E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0ED"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0EE"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0E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0F0" w14:textId="77777777" w:rsidR="008A3BAC" w:rsidRDefault="005C75B9">
            <w:pPr>
              <w:jc w:val="right"/>
              <w:textAlignment w:val="bottom"/>
            </w:pPr>
            <w:r>
              <w:rPr>
                <w:rFonts w:ascii="Arial" w:eastAsia="宋体" w:hAnsi="Arial" w:cs="Arial"/>
                <w:b/>
                <w:bCs/>
                <w:color w:val="000000"/>
                <w:sz w:val="17"/>
                <w:szCs w:val="17"/>
              </w:rPr>
              <w:t>3,636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0F1"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0F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0F3" w14:textId="77777777" w:rsidR="008A3BAC" w:rsidRDefault="005C75B9">
            <w:pPr>
              <w:jc w:val="right"/>
              <w:textAlignment w:val="bottom"/>
            </w:pPr>
            <w:r>
              <w:rPr>
                <w:rFonts w:ascii="Arial" w:eastAsia="宋体" w:hAnsi="Arial" w:cs="Arial"/>
                <w:b/>
                <w:bCs/>
                <w:color w:val="000000"/>
                <w:sz w:val="17"/>
                <w:szCs w:val="17"/>
              </w:rPr>
              <w:t>3,295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0F4"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0F5" w14:textId="77777777" w:rsidR="008A3BAC" w:rsidRDefault="005C75B9">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0F6"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0F7" w14:textId="77777777" w:rsidR="008A3BAC" w:rsidRDefault="008A3BAC">
            <w:pPr>
              <w:rPr>
                <w:rFonts w:ascii="宋体"/>
              </w:rPr>
            </w:pPr>
          </w:p>
        </w:tc>
        <w:tc>
          <w:tcPr>
            <w:tcW w:w="0" w:type="auto"/>
            <w:shd w:val="clear" w:color="auto" w:fill="auto"/>
            <w:vAlign w:val="bottom"/>
          </w:tcPr>
          <w:p w14:paraId="26E9E0F8" w14:textId="77777777" w:rsidR="008A3BAC" w:rsidRDefault="008A3BAC">
            <w:pPr>
              <w:rPr>
                <w:rFonts w:ascii="宋体"/>
                <w:vanish/>
              </w:rPr>
            </w:pPr>
          </w:p>
        </w:tc>
        <w:tc>
          <w:tcPr>
            <w:tcW w:w="0" w:type="auto"/>
            <w:shd w:val="clear" w:color="auto" w:fill="auto"/>
            <w:vAlign w:val="bottom"/>
          </w:tcPr>
          <w:p w14:paraId="26E9E0F9" w14:textId="77777777" w:rsidR="008A3BAC" w:rsidRDefault="008A3BAC">
            <w:pPr>
              <w:rPr>
                <w:rFonts w:ascii="宋体"/>
                <w:vanish/>
              </w:rPr>
            </w:pPr>
          </w:p>
        </w:tc>
        <w:tc>
          <w:tcPr>
            <w:tcW w:w="0" w:type="auto"/>
            <w:gridSpan w:val="3"/>
            <w:shd w:val="clear" w:color="auto" w:fill="auto"/>
            <w:vAlign w:val="bottom"/>
          </w:tcPr>
          <w:p w14:paraId="26E9E0FA" w14:textId="77777777" w:rsidR="008A3BAC" w:rsidRDefault="008A3BAC">
            <w:pPr>
              <w:rPr>
                <w:rFonts w:ascii="宋体"/>
                <w:vanish/>
              </w:rPr>
            </w:pPr>
          </w:p>
        </w:tc>
        <w:tc>
          <w:tcPr>
            <w:tcW w:w="0" w:type="auto"/>
            <w:gridSpan w:val="3"/>
            <w:shd w:val="clear" w:color="auto" w:fill="auto"/>
            <w:vAlign w:val="bottom"/>
          </w:tcPr>
          <w:p w14:paraId="26E9E0FB" w14:textId="77777777" w:rsidR="008A3BAC" w:rsidRDefault="008A3BAC">
            <w:pPr>
              <w:rPr>
                <w:rFonts w:ascii="宋体"/>
                <w:vanish/>
              </w:rPr>
            </w:pPr>
          </w:p>
        </w:tc>
        <w:tc>
          <w:tcPr>
            <w:tcW w:w="0" w:type="auto"/>
            <w:gridSpan w:val="3"/>
            <w:shd w:val="clear" w:color="auto" w:fill="auto"/>
            <w:vAlign w:val="bottom"/>
          </w:tcPr>
          <w:p w14:paraId="26E9E0FC" w14:textId="77777777" w:rsidR="008A3BAC" w:rsidRDefault="008A3BAC">
            <w:pPr>
              <w:rPr>
                <w:rFonts w:ascii="宋体"/>
                <w:vanish/>
              </w:rPr>
            </w:pPr>
          </w:p>
        </w:tc>
      </w:tr>
    </w:tbl>
    <w:p w14:paraId="26E9E0FE" w14:textId="77777777" w:rsidR="008A3BAC" w:rsidRDefault="005C75B9">
      <w:pPr>
        <w:spacing w:before="120"/>
      </w:pPr>
      <w:r>
        <w:rPr>
          <w:rFonts w:ascii="sans-serif" w:eastAsia="sans-serif" w:hAnsi="sans-serif" w:cs="sans-serif"/>
          <w:b/>
          <w:bCs/>
          <w:color w:val="808080"/>
          <w:sz w:val="22"/>
          <w:szCs w:val="22"/>
        </w:rPr>
        <w:t>THIRD QUARTER OF FISCAL 2022 COMPARED TO THIRD QUA</w:t>
      </w:r>
      <w:r>
        <w:rPr>
          <w:rFonts w:ascii="sans-serif" w:eastAsia="sans-serif" w:hAnsi="sans-serif" w:cs="sans-serif"/>
          <w:b/>
          <w:bCs/>
          <w:color w:val="808080"/>
          <w:sz w:val="22"/>
          <w:szCs w:val="22"/>
        </w:rPr>
        <w:t>RTER OF FISCAL 2021</w:t>
      </w:r>
    </w:p>
    <w:p w14:paraId="26E9E0FF" w14:textId="77777777" w:rsidR="008A3BAC" w:rsidRDefault="005C75B9">
      <w:pPr>
        <w:spacing w:before="60" w:after="120"/>
      </w:pPr>
      <w:r>
        <w:rPr>
          <w:rFonts w:ascii="Arial" w:eastAsia="宋体" w:hAnsi="Arial" w:cs="Arial"/>
          <w:color w:val="000000"/>
          <w:sz w:val="17"/>
          <w:szCs w:val="17"/>
        </w:rPr>
        <w:t>On a currency-neutral basis, North America revenues for the third quarter of fiscal 2022 increased 9%, due primarily to higher revenues in Men's. NIKE Direct revenues increased 27%, driven by strong digital sales growth of 33%, comparab</w:t>
      </w:r>
      <w:r>
        <w:rPr>
          <w:rFonts w:ascii="Arial" w:eastAsia="宋体" w:hAnsi="Arial" w:cs="Arial"/>
          <w:color w:val="000000"/>
          <w:sz w:val="17"/>
          <w:szCs w:val="17"/>
        </w:rPr>
        <w:t>le store sales growth of 16%, in part due to improved physical retail traffic, and the addition of new stores.</w:t>
      </w:r>
    </w:p>
    <w:p w14:paraId="26E9E100" w14:textId="77777777" w:rsidR="008A3BAC" w:rsidRDefault="005C75B9">
      <w:r>
        <w:rPr>
          <w:rFonts w:ascii="Arial" w:eastAsia="宋体" w:hAnsi="Arial" w:cs="Arial"/>
          <w:color w:val="000000"/>
          <w:sz w:val="17"/>
          <w:szCs w:val="17"/>
        </w:rPr>
        <w:t xml:space="preserve">Footwear revenues increased 6% on a currency-neutral basis, driven by growth in NIKE Direct, partially offset by declines in our </w:t>
      </w:r>
      <w:r>
        <w:rPr>
          <w:rFonts w:ascii="Arial" w:eastAsia="宋体" w:hAnsi="Arial" w:cs="Arial"/>
          <w:color w:val="000000"/>
          <w:sz w:val="17"/>
          <w:szCs w:val="17"/>
        </w:rPr>
        <w:t>wholesale business. Unit sales of footwear decreased 10%, reflecting a lack of available inventory supply due to the impact of factory closures during the first quarter of fiscal 2022 as well as elevated inventory transit times, while higher ASP per pair c</w:t>
      </w:r>
      <w:r>
        <w:rPr>
          <w:rFonts w:ascii="Arial" w:eastAsia="宋体" w:hAnsi="Arial" w:cs="Arial"/>
          <w:color w:val="000000"/>
          <w:sz w:val="17"/>
          <w:szCs w:val="17"/>
        </w:rPr>
        <w:t>ontributed approximately 16 percentage points of footwear revenue growth. Higher ASP per pair was primarily due to higher NIKE Direct ASP, the favorable impact of growth in our NIKE Direct business, higher full-price ASP and a higher mix of full-price sale</w:t>
      </w:r>
      <w:r>
        <w:rPr>
          <w:rFonts w:ascii="Arial" w:eastAsia="宋体" w:hAnsi="Arial" w:cs="Arial"/>
          <w:color w:val="000000"/>
          <w:sz w:val="17"/>
          <w:szCs w:val="17"/>
        </w:rPr>
        <w:t>s.</w:t>
      </w:r>
    </w:p>
    <w:p w14:paraId="26E9E101" w14:textId="77777777" w:rsidR="008A3BAC" w:rsidRDefault="005C75B9">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26E9E102" w14:textId="77777777" w:rsidR="008A3BAC" w:rsidRDefault="005C75B9">
      <w:r>
        <w:pict w14:anchorId="26E9E869">
          <v:rect id="_x0000_i1060" style="width:415.3pt;height:1.5pt" o:hralign="center" o:hrstd="t" o:hr="t" fillcolor="#a0a0a0" stroked="f"/>
        </w:pict>
      </w:r>
    </w:p>
    <w:p w14:paraId="26E9E103" w14:textId="77777777" w:rsidR="008A3BAC" w:rsidRDefault="008A3BAC"/>
    <w:p w14:paraId="26E9E104" w14:textId="77777777" w:rsidR="008A3BAC" w:rsidRDefault="005C75B9">
      <w:hyperlink r:id="rId105" w:anchor="i46aba51c6a804f42b3595948c57d2023_7" w:history="1">
        <w:r>
          <w:rPr>
            <w:rStyle w:val="a5"/>
            <w:rFonts w:ascii="sans-serif" w:eastAsia="sans-serif" w:hAnsi="sans-serif" w:cs="sans-serif"/>
            <w:sz w:val="17"/>
            <w:szCs w:val="17"/>
          </w:rPr>
          <w:t>Table of Contents</w:t>
        </w:r>
      </w:hyperlink>
    </w:p>
    <w:p w14:paraId="26E9E105" w14:textId="77777777" w:rsidR="008A3BAC" w:rsidRDefault="008A3BAC"/>
    <w:p w14:paraId="26E9E106" w14:textId="77777777" w:rsidR="008A3BAC" w:rsidRDefault="005C75B9">
      <w:pPr>
        <w:spacing w:before="120" w:after="120"/>
      </w:pPr>
      <w:r>
        <w:rPr>
          <w:rFonts w:ascii="Arial" w:eastAsia="宋体" w:hAnsi="Arial" w:cs="Arial"/>
          <w:color w:val="000000"/>
          <w:sz w:val="17"/>
          <w:szCs w:val="17"/>
        </w:rPr>
        <w:t>On a currency-neutral basis, apparel revenues increased 11%, driven primarily by grow</w:t>
      </w:r>
      <w:r>
        <w:rPr>
          <w:rFonts w:ascii="Arial" w:eastAsia="宋体" w:hAnsi="Arial" w:cs="Arial"/>
          <w:color w:val="000000"/>
          <w:sz w:val="17"/>
          <w:szCs w:val="17"/>
        </w:rPr>
        <w:t>th in Men's, partially offset by a decline in Women's. Unit sales of apparel decreased 6%, while higher ASP per unit contributed approximately 17 percentage points of apparel revenue growth. The increase in ASP per unit was primarily driven by higher full-</w:t>
      </w:r>
      <w:r>
        <w:rPr>
          <w:rFonts w:ascii="Arial" w:eastAsia="宋体" w:hAnsi="Arial" w:cs="Arial"/>
          <w:color w:val="000000"/>
          <w:sz w:val="17"/>
          <w:szCs w:val="17"/>
        </w:rPr>
        <w:t>price and NIKE Direct ASPs and the favorable impact of growth in our NIKE Direct business.</w:t>
      </w:r>
    </w:p>
    <w:p w14:paraId="26E9E107" w14:textId="77777777" w:rsidR="008A3BAC" w:rsidRDefault="005C75B9">
      <w:pPr>
        <w:spacing w:before="120" w:after="120"/>
      </w:pPr>
      <w:r>
        <w:rPr>
          <w:rFonts w:ascii="Arial" w:eastAsia="宋体" w:hAnsi="Arial" w:cs="Arial"/>
          <w:color w:val="000000"/>
          <w:sz w:val="17"/>
          <w:szCs w:val="17"/>
        </w:rPr>
        <w:t>Reported EBIT was flat as higher revenues were offset by higher selling and administrative expense and gross margin contraction. Gross margin decreased approximately</w:t>
      </w:r>
      <w:r>
        <w:rPr>
          <w:rFonts w:ascii="Arial" w:eastAsia="宋体" w:hAnsi="Arial" w:cs="Arial"/>
          <w:color w:val="000000"/>
          <w:sz w:val="17"/>
          <w:szCs w:val="17"/>
        </w:rPr>
        <w:t xml:space="preserve"> 50 basis points largely driven by higher product costs primarily due to increased freight and logistics costs. This activity was partially offset by higher margins in our NIKE Direct business and the favorable impact of growth in our NIKE Direct business </w:t>
      </w:r>
      <w:r>
        <w:rPr>
          <w:rFonts w:ascii="Arial" w:eastAsia="宋体" w:hAnsi="Arial" w:cs="Arial"/>
          <w:color w:val="000000"/>
          <w:sz w:val="17"/>
          <w:szCs w:val="17"/>
        </w:rPr>
        <w:t xml:space="preserve">as well as higher full-price ASP, net of discounts, and a higher mix of full-price sales. Selling and administrative expense increased due to higher operating overhead and demand creation expense. Operating overhead expense increased primarily as a result </w:t>
      </w:r>
      <w:r>
        <w:rPr>
          <w:rFonts w:ascii="Arial" w:eastAsia="宋体" w:hAnsi="Arial" w:cs="Arial"/>
          <w:color w:val="000000"/>
          <w:sz w:val="17"/>
          <w:szCs w:val="17"/>
        </w:rPr>
        <w:t>of higher wage-related costs, lower bad debt recoveries and higher strategic technology investments. The increase in demand creation expense reflected higher advertising and marketing expense as well as continued investments in digital marketing to support</w:t>
      </w:r>
      <w:r>
        <w:rPr>
          <w:rFonts w:ascii="Arial" w:eastAsia="宋体" w:hAnsi="Arial" w:cs="Arial"/>
          <w:color w:val="000000"/>
          <w:sz w:val="17"/>
          <w:szCs w:val="17"/>
        </w:rPr>
        <w:t xml:space="preserve"> heightened digital demand.</w:t>
      </w:r>
    </w:p>
    <w:p w14:paraId="26E9E108"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OF FISCAL 2021</w:t>
      </w:r>
    </w:p>
    <w:p w14:paraId="26E9E109" w14:textId="77777777" w:rsidR="008A3BAC" w:rsidRDefault="005C75B9">
      <w:pPr>
        <w:spacing w:before="60" w:after="120"/>
      </w:pPr>
      <w:r>
        <w:rPr>
          <w:rFonts w:ascii="Arial" w:eastAsia="宋体" w:hAnsi="Arial" w:cs="Arial"/>
          <w:color w:val="000000"/>
          <w:sz w:val="17"/>
          <w:szCs w:val="17"/>
        </w:rPr>
        <w:t>On a currency-neutral basis, North America revenues for the first nine months of fiscal 2022 increased 12%, due primarily to higher revenues in Women'</w:t>
      </w:r>
      <w:r>
        <w:rPr>
          <w:rFonts w:ascii="Arial" w:eastAsia="宋体" w:hAnsi="Arial" w:cs="Arial"/>
          <w:color w:val="000000"/>
          <w:sz w:val="17"/>
          <w:szCs w:val="17"/>
        </w:rPr>
        <w:t>s. NIKE Direct revenues increased 34%, driven by strong digital sales growth of 39%, comparable store sales growth of 26%, in part due to improved physical retail traffic, and the addition of new stores.</w:t>
      </w:r>
    </w:p>
    <w:p w14:paraId="26E9E10A" w14:textId="77777777" w:rsidR="008A3BAC" w:rsidRDefault="005C75B9">
      <w:pPr>
        <w:spacing w:before="120" w:after="120"/>
      </w:pPr>
      <w:r>
        <w:rPr>
          <w:rFonts w:ascii="Arial" w:eastAsia="宋体" w:hAnsi="Arial" w:cs="Arial"/>
          <w:color w:val="000000"/>
          <w:sz w:val="17"/>
          <w:szCs w:val="17"/>
        </w:rPr>
        <w:t>Footwear revenues increased 10% on a currency-neutra</w:t>
      </w:r>
      <w:r>
        <w:rPr>
          <w:rFonts w:ascii="Arial" w:eastAsia="宋体" w:hAnsi="Arial" w:cs="Arial"/>
          <w:color w:val="000000"/>
          <w:sz w:val="17"/>
          <w:szCs w:val="17"/>
        </w:rPr>
        <w:t>l basis, largely driven by higher revenues in Women's and Kids', partially offset by a decline in Men's. Unit sales of footwear increased 1%, while higher ASP per pair contributed approximately 9 percentage points of footwear revenue growth. Higher ASP per</w:t>
      </w:r>
      <w:r>
        <w:rPr>
          <w:rFonts w:ascii="Arial" w:eastAsia="宋体" w:hAnsi="Arial" w:cs="Arial"/>
          <w:color w:val="000000"/>
          <w:sz w:val="17"/>
          <w:szCs w:val="17"/>
        </w:rPr>
        <w:t xml:space="preserve"> pair was primarily due to higher NIKE Direct ASP, the favorable impact of growth in our NIKE Direct business and a higher mix of full-price sales, partially offset by lower full-price ASP.</w:t>
      </w:r>
    </w:p>
    <w:p w14:paraId="26E9E10B" w14:textId="77777777" w:rsidR="008A3BAC" w:rsidRDefault="005C75B9">
      <w:pPr>
        <w:spacing w:before="120" w:after="120"/>
      </w:pPr>
      <w:r>
        <w:rPr>
          <w:rFonts w:ascii="Arial" w:eastAsia="宋体" w:hAnsi="Arial" w:cs="Arial"/>
          <w:color w:val="000000"/>
          <w:sz w:val="17"/>
          <w:szCs w:val="17"/>
        </w:rPr>
        <w:t>On a currency-neutral basis, apparel revenues increased 15%, drive</w:t>
      </w:r>
      <w:r>
        <w:rPr>
          <w:rFonts w:ascii="Arial" w:eastAsia="宋体" w:hAnsi="Arial" w:cs="Arial"/>
          <w:color w:val="000000"/>
          <w:sz w:val="17"/>
          <w:szCs w:val="17"/>
        </w:rPr>
        <w:t>n primarily by higher revenues in Men's. Unit sales of apparel increased 1%, while higher ASP per unit contributed approximately 14 percentage points of apparel revenue growth. The increase in ASP per unit was primarily driven by higher full-price and NIKE</w:t>
      </w:r>
      <w:r>
        <w:rPr>
          <w:rFonts w:ascii="Arial" w:eastAsia="宋体" w:hAnsi="Arial" w:cs="Arial"/>
          <w:color w:val="000000"/>
          <w:sz w:val="17"/>
          <w:szCs w:val="17"/>
        </w:rPr>
        <w:t xml:space="preserve"> Direct ASPs, the favorable impact of growth in our NIKE Direct business as well as a higher mix of full-price sales.</w:t>
      </w:r>
    </w:p>
    <w:p w14:paraId="26E9E10C" w14:textId="77777777" w:rsidR="008A3BAC" w:rsidRDefault="005C75B9">
      <w:pPr>
        <w:spacing w:before="120" w:after="120"/>
      </w:pPr>
      <w:r>
        <w:rPr>
          <w:rFonts w:ascii="Arial" w:eastAsia="宋体" w:hAnsi="Arial" w:cs="Arial"/>
          <w:color w:val="000000"/>
          <w:sz w:val="17"/>
          <w:szCs w:val="17"/>
        </w:rPr>
        <w:t>Reported EBIT increased 10% as higher revenues and gross margin expansion more than offset higher selling and administrative expense. Gros</w:t>
      </w:r>
      <w:r>
        <w:rPr>
          <w:rFonts w:ascii="Arial" w:eastAsia="宋体" w:hAnsi="Arial" w:cs="Arial"/>
          <w:color w:val="000000"/>
          <w:sz w:val="17"/>
          <w:szCs w:val="17"/>
        </w:rPr>
        <w:t>s margin increased approximately 100 basis points primarily due to higher margins and the favorable impact of growth in our NIKE Direct business, a higher mix of full-price sales and higher full-price ASP, net of discounts. This activity was partially offs</w:t>
      </w:r>
      <w:r>
        <w:rPr>
          <w:rFonts w:ascii="Arial" w:eastAsia="宋体" w:hAnsi="Arial" w:cs="Arial"/>
          <w:color w:val="000000"/>
          <w:sz w:val="17"/>
          <w:szCs w:val="17"/>
        </w:rPr>
        <w:t xml:space="preserve">et by higher product costs primarily due to increased freight and logistics costs. Selling and administrative expense increased due to higher demand creation and operating overhead expense. Demand creation expense increased primarily as a result of higher </w:t>
      </w:r>
      <w:r>
        <w:rPr>
          <w:rFonts w:ascii="Arial" w:eastAsia="宋体" w:hAnsi="Arial" w:cs="Arial"/>
          <w:color w:val="000000"/>
          <w:sz w:val="17"/>
          <w:szCs w:val="17"/>
        </w:rPr>
        <w:t xml:space="preserve">advertising and marketing expense, as well as higher digital marketing investments. The increase in operating overhead expense reflected higher wage-related costs as well as an increase in NIKE Direct strategic technology investments. </w:t>
      </w:r>
    </w:p>
    <w:p w14:paraId="26E9E10D" w14:textId="77777777" w:rsidR="008A3BAC" w:rsidRDefault="005C75B9">
      <w:pPr>
        <w:spacing w:before="240" w:after="120"/>
      </w:pPr>
      <w:r>
        <w:rPr>
          <w:rFonts w:ascii="sans-serif" w:eastAsia="sans-serif" w:hAnsi="sans-serif" w:cs="sans-serif"/>
          <w:b/>
          <w:bCs/>
          <w:color w:val="000000"/>
          <w:sz w:val="28"/>
          <w:szCs w:val="28"/>
        </w:rPr>
        <w:t xml:space="preserve">EUROPE, MIDDLE EAST </w:t>
      </w:r>
      <w:r>
        <w:rPr>
          <w:rFonts w:ascii="sans-serif" w:eastAsia="sans-serif" w:hAnsi="sans-serif" w:cs="sans-serif"/>
          <w:b/>
          <w:bCs/>
          <w:color w:val="000000"/>
          <w:sz w:val="28"/>
          <w:szCs w:val="28"/>
        </w:rPr>
        <w:t>&amp; AFRICA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8A3BAC" w14:paraId="26E9E131" w14:textId="77777777">
        <w:tc>
          <w:tcPr>
            <w:tcW w:w="50" w:type="pct"/>
            <w:shd w:val="clear" w:color="auto" w:fill="auto"/>
            <w:vAlign w:val="bottom"/>
          </w:tcPr>
          <w:p w14:paraId="26E9E10E" w14:textId="77777777" w:rsidR="008A3BAC" w:rsidRDefault="008A3BAC">
            <w:pPr>
              <w:rPr>
                <w:rFonts w:ascii="宋体"/>
              </w:rPr>
            </w:pPr>
          </w:p>
        </w:tc>
        <w:tc>
          <w:tcPr>
            <w:tcW w:w="1387" w:type="pct"/>
            <w:shd w:val="clear" w:color="auto" w:fill="auto"/>
            <w:vAlign w:val="bottom"/>
          </w:tcPr>
          <w:p w14:paraId="26E9E10F" w14:textId="77777777" w:rsidR="008A3BAC" w:rsidRDefault="008A3BAC">
            <w:pPr>
              <w:rPr>
                <w:rFonts w:ascii="宋体"/>
              </w:rPr>
            </w:pPr>
          </w:p>
        </w:tc>
        <w:tc>
          <w:tcPr>
            <w:tcW w:w="5" w:type="pct"/>
            <w:shd w:val="clear" w:color="auto" w:fill="auto"/>
            <w:vAlign w:val="bottom"/>
          </w:tcPr>
          <w:p w14:paraId="26E9E110" w14:textId="77777777" w:rsidR="008A3BAC" w:rsidRDefault="008A3BAC">
            <w:pPr>
              <w:rPr>
                <w:rFonts w:ascii="宋体"/>
              </w:rPr>
            </w:pPr>
          </w:p>
        </w:tc>
        <w:tc>
          <w:tcPr>
            <w:tcW w:w="50" w:type="pct"/>
            <w:shd w:val="clear" w:color="auto" w:fill="auto"/>
            <w:vAlign w:val="bottom"/>
          </w:tcPr>
          <w:p w14:paraId="26E9E111" w14:textId="77777777" w:rsidR="008A3BAC" w:rsidRDefault="008A3BAC">
            <w:pPr>
              <w:rPr>
                <w:rFonts w:ascii="宋体"/>
              </w:rPr>
            </w:pPr>
          </w:p>
        </w:tc>
        <w:tc>
          <w:tcPr>
            <w:tcW w:w="384" w:type="pct"/>
            <w:shd w:val="clear" w:color="auto" w:fill="auto"/>
            <w:vAlign w:val="bottom"/>
          </w:tcPr>
          <w:p w14:paraId="26E9E112" w14:textId="77777777" w:rsidR="008A3BAC" w:rsidRDefault="008A3BAC">
            <w:pPr>
              <w:rPr>
                <w:rFonts w:ascii="宋体"/>
              </w:rPr>
            </w:pPr>
          </w:p>
        </w:tc>
        <w:tc>
          <w:tcPr>
            <w:tcW w:w="5" w:type="pct"/>
            <w:shd w:val="clear" w:color="auto" w:fill="auto"/>
            <w:vAlign w:val="bottom"/>
          </w:tcPr>
          <w:p w14:paraId="26E9E113" w14:textId="77777777" w:rsidR="008A3BAC" w:rsidRDefault="008A3BAC">
            <w:pPr>
              <w:rPr>
                <w:rFonts w:ascii="宋体"/>
              </w:rPr>
            </w:pPr>
          </w:p>
        </w:tc>
        <w:tc>
          <w:tcPr>
            <w:tcW w:w="50" w:type="pct"/>
            <w:shd w:val="clear" w:color="auto" w:fill="auto"/>
            <w:vAlign w:val="bottom"/>
          </w:tcPr>
          <w:p w14:paraId="26E9E114" w14:textId="77777777" w:rsidR="008A3BAC" w:rsidRDefault="008A3BAC">
            <w:pPr>
              <w:rPr>
                <w:rFonts w:ascii="宋体"/>
              </w:rPr>
            </w:pPr>
          </w:p>
        </w:tc>
        <w:tc>
          <w:tcPr>
            <w:tcW w:w="384" w:type="pct"/>
            <w:shd w:val="clear" w:color="auto" w:fill="auto"/>
            <w:vAlign w:val="bottom"/>
          </w:tcPr>
          <w:p w14:paraId="26E9E115" w14:textId="77777777" w:rsidR="008A3BAC" w:rsidRDefault="008A3BAC">
            <w:pPr>
              <w:rPr>
                <w:rFonts w:ascii="宋体"/>
              </w:rPr>
            </w:pPr>
          </w:p>
        </w:tc>
        <w:tc>
          <w:tcPr>
            <w:tcW w:w="5" w:type="pct"/>
            <w:shd w:val="clear" w:color="auto" w:fill="auto"/>
            <w:vAlign w:val="bottom"/>
          </w:tcPr>
          <w:p w14:paraId="26E9E116" w14:textId="77777777" w:rsidR="008A3BAC" w:rsidRDefault="008A3BAC">
            <w:pPr>
              <w:rPr>
                <w:rFonts w:ascii="宋体"/>
              </w:rPr>
            </w:pPr>
          </w:p>
        </w:tc>
        <w:tc>
          <w:tcPr>
            <w:tcW w:w="50" w:type="pct"/>
            <w:shd w:val="clear" w:color="auto" w:fill="auto"/>
            <w:vAlign w:val="bottom"/>
          </w:tcPr>
          <w:p w14:paraId="26E9E117" w14:textId="77777777" w:rsidR="008A3BAC" w:rsidRDefault="008A3BAC">
            <w:pPr>
              <w:rPr>
                <w:rFonts w:ascii="宋体"/>
              </w:rPr>
            </w:pPr>
          </w:p>
        </w:tc>
        <w:tc>
          <w:tcPr>
            <w:tcW w:w="384" w:type="pct"/>
            <w:shd w:val="clear" w:color="auto" w:fill="auto"/>
            <w:vAlign w:val="bottom"/>
          </w:tcPr>
          <w:p w14:paraId="26E9E118" w14:textId="77777777" w:rsidR="008A3BAC" w:rsidRDefault="008A3BAC">
            <w:pPr>
              <w:rPr>
                <w:rFonts w:ascii="宋体"/>
              </w:rPr>
            </w:pPr>
          </w:p>
        </w:tc>
        <w:tc>
          <w:tcPr>
            <w:tcW w:w="5" w:type="pct"/>
            <w:shd w:val="clear" w:color="auto" w:fill="auto"/>
            <w:vAlign w:val="bottom"/>
          </w:tcPr>
          <w:p w14:paraId="26E9E119" w14:textId="77777777" w:rsidR="008A3BAC" w:rsidRDefault="008A3BAC">
            <w:pPr>
              <w:rPr>
                <w:rFonts w:ascii="宋体"/>
              </w:rPr>
            </w:pPr>
          </w:p>
        </w:tc>
        <w:tc>
          <w:tcPr>
            <w:tcW w:w="50" w:type="pct"/>
            <w:shd w:val="clear" w:color="auto" w:fill="auto"/>
            <w:vAlign w:val="bottom"/>
          </w:tcPr>
          <w:p w14:paraId="26E9E11A" w14:textId="77777777" w:rsidR="008A3BAC" w:rsidRDefault="008A3BAC">
            <w:pPr>
              <w:rPr>
                <w:rFonts w:ascii="宋体"/>
              </w:rPr>
            </w:pPr>
          </w:p>
        </w:tc>
        <w:tc>
          <w:tcPr>
            <w:tcW w:w="384" w:type="pct"/>
            <w:shd w:val="clear" w:color="auto" w:fill="auto"/>
            <w:vAlign w:val="bottom"/>
          </w:tcPr>
          <w:p w14:paraId="26E9E11B" w14:textId="77777777" w:rsidR="008A3BAC" w:rsidRDefault="008A3BAC">
            <w:pPr>
              <w:rPr>
                <w:rFonts w:ascii="宋体"/>
              </w:rPr>
            </w:pPr>
          </w:p>
        </w:tc>
        <w:tc>
          <w:tcPr>
            <w:tcW w:w="5" w:type="pct"/>
            <w:shd w:val="clear" w:color="auto" w:fill="auto"/>
            <w:vAlign w:val="bottom"/>
          </w:tcPr>
          <w:p w14:paraId="26E9E11C" w14:textId="77777777" w:rsidR="008A3BAC" w:rsidRDefault="008A3BAC">
            <w:pPr>
              <w:rPr>
                <w:rFonts w:ascii="宋体"/>
              </w:rPr>
            </w:pPr>
          </w:p>
        </w:tc>
        <w:tc>
          <w:tcPr>
            <w:tcW w:w="5" w:type="pct"/>
            <w:shd w:val="clear" w:color="auto" w:fill="auto"/>
            <w:vAlign w:val="bottom"/>
          </w:tcPr>
          <w:p w14:paraId="26E9E11D" w14:textId="77777777" w:rsidR="008A3BAC" w:rsidRDefault="008A3BAC">
            <w:pPr>
              <w:rPr>
                <w:rFonts w:ascii="宋体"/>
              </w:rPr>
            </w:pPr>
          </w:p>
        </w:tc>
        <w:tc>
          <w:tcPr>
            <w:tcW w:w="28" w:type="pct"/>
            <w:shd w:val="clear" w:color="auto" w:fill="auto"/>
            <w:vAlign w:val="bottom"/>
          </w:tcPr>
          <w:p w14:paraId="26E9E11E" w14:textId="77777777" w:rsidR="008A3BAC" w:rsidRDefault="008A3BAC">
            <w:pPr>
              <w:rPr>
                <w:rFonts w:ascii="宋体"/>
              </w:rPr>
            </w:pPr>
          </w:p>
        </w:tc>
        <w:tc>
          <w:tcPr>
            <w:tcW w:w="5" w:type="pct"/>
            <w:shd w:val="clear" w:color="auto" w:fill="auto"/>
            <w:vAlign w:val="bottom"/>
          </w:tcPr>
          <w:p w14:paraId="26E9E11F" w14:textId="77777777" w:rsidR="008A3BAC" w:rsidRDefault="008A3BAC">
            <w:pPr>
              <w:rPr>
                <w:rFonts w:ascii="宋体"/>
              </w:rPr>
            </w:pPr>
          </w:p>
        </w:tc>
        <w:tc>
          <w:tcPr>
            <w:tcW w:w="50" w:type="pct"/>
            <w:shd w:val="clear" w:color="auto" w:fill="auto"/>
            <w:vAlign w:val="bottom"/>
          </w:tcPr>
          <w:p w14:paraId="26E9E120" w14:textId="77777777" w:rsidR="008A3BAC" w:rsidRDefault="008A3BAC">
            <w:pPr>
              <w:rPr>
                <w:rFonts w:ascii="宋体"/>
              </w:rPr>
            </w:pPr>
          </w:p>
        </w:tc>
        <w:tc>
          <w:tcPr>
            <w:tcW w:w="384" w:type="pct"/>
            <w:shd w:val="clear" w:color="auto" w:fill="auto"/>
            <w:vAlign w:val="bottom"/>
          </w:tcPr>
          <w:p w14:paraId="26E9E121" w14:textId="77777777" w:rsidR="008A3BAC" w:rsidRDefault="008A3BAC">
            <w:pPr>
              <w:rPr>
                <w:rFonts w:ascii="宋体"/>
              </w:rPr>
            </w:pPr>
          </w:p>
        </w:tc>
        <w:tc>
          <w:tcPr>
            <w:tcW w:w="5" w:type="pct"/>
            <w:shd w:val="clear" w:color="auto" w:fill="auto"/>
            <w:vAlign w:val="bottom"/>
          </w:tcPr>
          <w:p w14:paraId="26E9E122" w14:textId="77777777" w:rsidR="008A3BAC" w:rsidRDefault="008A3BAC">
            <w:pPr>
              <w:rPr>
                <w:rFonts w:ascii="宋体"/>
              </w:rPr>
            </w:pPr>
          </w:p>
        </w:tc>
        <w:tc>
          <w:tcPr>
            <w:tcW w:w="50" w:type="pct"/>
            <w:shd w:val="clear" w:color="auto" w:fill="auto"/>
            <w:vAlign w:val="bottom"/>
          </w:tcPr>
          <w:p w14:paraId="26E9E123" w14:textId="77777777" w:rsidR="008A3BAC" w:rsidRDefault="008A3BAC">
            <w:pPr>
              <w:rPr>
                <w:rFonts w:ascii="宋体"/>
              </w:rPr>
            </w:pPr>
          </w:p>
        </w:tc>
        <w:tc>
          <w:tcPr>
            <w:tcW w:w="384" w:type="pct"/>
            <w:shd w:val="clear" w:color="auto" w:fill="auto"/>
            <w:vAlign w:val="bottom"/>
          </w:tcPr>
          <w:p w14:paraId="26E9E124" w14:textId="77777777" w:rsidR="008A3BAC" w:rsidRDefault="008A3BAC">
            <w:pPr>
              <w:rPr>
                <w:rFonts w:ascii="宋体"/>
              </w:rPr>
            </w:pPr>
          </w:p>
        </w:tc>
        <w:tc>
          <w:tcPr>
            <w:tcW w:w="5" w:type="pct"/>
            <w:shd w:val="clear" w:color="auto" w:fill="auto"/>
            <w:vAlign w:val="bottom"/>
          </w:tcPr>
          <w:p w14:paraId="26E9E125" w14:textId="77777777" w:rsidR="008A3BAC" w:rsidRDefault="008A3BAC">
            <w:pPr>
              <w:rPr>
                <w:rFonts w:ascii="宋体"/>
              </w:rPr>
            </w:pPr>
          </w:p>
        </w:tc>
        <w:tc>
          <w:tcPr>
            <w:tcW w:w="50" w:type="pct"/>
            <w:shd w:val="clear" w:color="auto" w:fill="auto"/>
            <w:vAlign w:val="bottom"/>
          </w:tcPr>
          <w:p w14:paraId="26E9E126" w14:textId="77777777" w:rsidR="008A3BAC" w:rsidRDefault="008A3BAC">
            <w:pPr>
              <w:rPr>
                <w:rFonts w:ascii="宋体"/>
              </w:rPr>
            </w:pPr>
          </w:p>
        </w:tc>
        <w:tc>
          <w:tcPr>
            <w:tcW w:w="384" w:type="pct"/>
            <w:shd w:val="clear" w:color="auto" w:fill="auto"/>
            <w:vAlign w:val="bottom"/>
          </w:tcPr>
          <w:p w14:paraId="26E9E127" w14:textId="77777777" w:rsidR="008A3BAC" w:rsidRDefault="008A3BAC">
            <w:pPr>
              <w:rPr>
                <w:rFonts w:ascii="宋体"/>
              </w:rPr>
            </w:pPr>
          </w:p>
        </w:tc>
        <w:tc>
          <w:tcPr>
            <w:tcW w:w="5" w:type="pct"/>
            <w:shd w:val="clear" w:color="auto" w:fill="auto"/>
            <w:vAlign w:val="bottom"/>
          </w:tcPr>
          <w:p w14:paraId="26E9E128" w14:textId="77777777" w:rsidR="008A3BAC" w:rsidRDefault="008A3BAC">
            <w:pPr>
              <w:rPr>
                <w:rFonts w:ascii="宋体"/>
              </w:rPr>
            </w:pPr>
          </w:p>
        </w:tc>
        <w:tc>
          <w:tcPr>
            <w:tcW w:w="50" w:type="pct"/>
            <w:shd w:val="clear" w:color="auto" w:fill="auto"/>
            <w:vAlign w:val="bottom"/>
          </w:tcPr>
          <w:p w14:paraId="26E9E129" w14:textId="77777777" w:rsidR="008A3BAC" w:rsidRDefault="008A3BAC">
            <w:pPr>
              <w:rPr>
                <w:rFonts w:ascii="宋体"/>
              </w:rPr>
            </w:pPr>
          </w:p>
        </w:tc>
        <w:tc>
          <w:tcPr>
            <w:tcW w:w="384" w:type="pct"/>
            <w:shd w:val="clear" w:color="auto" w:fill="auto"/>
            <w:vAlign w:val="bottom"/>
          </w:tcPr>
          <w:p w14:paraId="26E9E12A" w14:textId="77777777" w:rsidR="008A3BAC" w:rsidRDefault="008A3BAC">
            <w:pPr>
              <w:rPr>
                <w:rFonts w:ascii="宋体"/>
              </w:rPr>
            </w:pPr>
          </w:p>
        </w:tc>
        <w:tc>
          <w:tcPr>
            <w:tcW w:w="5" w:type="pct"/>
            <w:shd w:val="clear" w:color="auto" w:fill="auto"/>
            <w:vAlign w:val="bottom"/>
          </w:tcPr>
          <w:p w14:paraId="26E9E12B" w14:textId="77777777" w:rsidR="008A3BAC" w:rsidRDefault="008A3BAC">
            <w:pPr>
              <w:rPr>
                <w:rFonts w:ascii="宋体"/>
              </w:rPr>
            </w:pPr>
          </w:p>
        </w:tc>
        <w:tc>
          <w:tcPr>
            <w:tcW w:w="0" w:type="auto"/>
            <w:shd w:val="clear" w:color="auto" w:fill="auto"/>
            <w:vAlign w:val="bottom"/>
          </w:tcPr>
          <w:p w14:paraId="26E9E12C" w14:textId="77777777" w:rsidR="008A3BAC" w:rsidRDefault="008A3BAC">
            <w:pPr>
              <w:rPr>
                <w:rFonts w:ascii="宋体"/>
                <w:vanish/>
              </w:rPr>
            </w:pPr>
          </w:p>
        </w:tc>
        <w:tc>
          <w:tcPr>
            <w:tcW w:w="0" w:type="auto"/>
            <w:shd w:val="clear" w:color="auto" w:fill="auto"/>
            <w:vAlign w:val="bottom"/>
          </w:tcPr>
          <w:p w14:paraId="26E9E12D" w14:textId="77777777" w:rsidR="008A3BAC" w:rsidRDefault="008A3BAC">
            <w:pPr>
              <w:rPr>
                <w:rFonts w:ascii="宋体"/>
                <w:vanish/>
              </w:rPr>
            </w:pPr>
          </w:p>
        </w:tc>
        <w:tc>
          <w:tcPr>
            <w:tcW w:w="0" w:type="auto"/>
            <w:gridSpan w:val="3"/>
            <w:shd w:val="clear" w:color="auto" w:fill="auto"/>
            <w:vAlign w:val="bottom"/>
          </w:tcPr>
          <w:p w14:paraId="26E9E12E" w14:textId="77777777" w:rsidR="008A3BAC" w:rsidRDefault="008A3BAC">
            <w:pPr>
              <w:rPr>
                <w:rFonts w:ascii="宋体"/>
                <w:vanish/>
              </w:rPr>
            </w:pPr>
          </w:p>
        </w:tc>
        <w:tc>
          <w:tcPr>
            <w:tcW w:w="0" w:type="auto"/>
            <w:gridSpan w:val="3"/>
            <w:shd w:val="clear" w:color="auto" w:fill="auto"/>
            <w:vAlign w:val="bottom"/>
          </w:tcPr>
          <w:p w14:paraId="26E9E12F" w14:textId="77777777" w:rsidR="008A3BAC" w:rsidRDefault="008A3BAC">
            <w:pPr>
              <w:rPr>
                <w:rFonts w:ascii="宋体"/>
                <w:vanish/>
              </w:rPr>
            </w:pPr>
          </w:p>
        </w:tc>
        <w:tc>
          <w:tcPr>
            <w:tcW w:w="0" w:type="auto"/>
            <w:gridSpan w:val="3"/>
            <w:shd w:val="clear" w:color="auto" w:fill="auto"/>
            <w:vAlign w:val="bottom"/>
          </w:tcPr>
          <w:p w14:paraId="26E9E130" w14:textId="77777777" w:rsidR="008A3BAC" w:rsidRDefault="008A3BAC">
            <w:pPr>
              <w:rPr>
                <w:rFonts w:ascii="宋体"/>
                <w:vanish/>
              </w:rPr>
            </w:pPr>
          </w:p>
        </w:tc>
      </w:tr>
      <w:tr w:rsidR="008A3BAC" w14:paraId="26E9E141" w14:textId="77777777">
        <w:tc>
          <w:tcPr>
            <w:tcW w:w="0" w:type="auto"/>
            <w:gridSpan w:val="3"/>
            <w:shd w:val="clear" w:color="auto" w:fill="auto"/>
            <w:tcMar>
              <w:top w:w="0" w:type="dxa"/>
              <w:left w:w="20" w:type="dxa"/>
              <w:bottom w:w="0" w:type="dxa"/>
              <w:right w:w="20" w:type="dxa"/>
            </w:tcMar>
            <w:vAlign w:val="bottom"/>
          </w:tcPr>
          <w:p w14:paraId="26E9E132"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133"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134"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135"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E136" w14:textId="77777777" w:rsidR="008A3BAC" w:rsidRDefault="008A3BAC">
            <w:pPr>
              <w:rPr>
                <w:rFonts w:ascii="宋体"/>
                <w:vanish/>
              </w:rPr>
            </w:pPr>
          </w:p>
        </w:tc>
        <w:tc>
          <w:tcPr>
            <w:tcW w:w="0" w:type="auto"/>
            <w:shd w:val="clear" w:color="auto" w:fill="auto"/>
            <w:vAlign w:val="bottom"/>
          </w:tcPr>
          <w:p w14:paraId="26E9E137" w14:textId="77777777" w:rsidR="008A3BAC" w:rsidRDefault="008A3BAC">
            <w:pPr>
              <w:rPr>
                <w:rFonts w:ascii="宋体"/>
                <w:vanish/>
              </w:rPr>
            </w:pPr>
          </w:p>
        </w:tc>
        <w:tc>
          <w:tcPr>
            <w:tcW w:w="0" w:type="auto"/>
            <w:shd w:val="clear" w:color="auto" w:fill="auto"/>
            <w:vAlign w:val="bottom"/>
          </w:tcPr>
          <w:p w14:paraId="26E9E138" w14:textId="77777777" w:rsidR="008A3BAC" w:rsidRDefault="008A3BAC">
            <w:pPr>
              <w:rPr>
                <w:rFonts w:ascii="宋体"/>
              </w:rPr>
            </w:pPr>
          </w:p>
        </w:tc>
        <w:tc>
          <w:tcPr>
            <w:tcW w:w="0" w:type="auto"/>
            <w:shd w:val="clear" w:color="auto" w:fill="auto"/>
            <w:vAlign w:val="bottom"/>
          </w:tcPr>
          <w:p w14:paraId="26E9E139" w14:textId="77777777" w:rsidR="008A3BAC" w:rsidRDefault="008A3BAC">
            <w:pPr>
              <w:rPr>
                <w:rFonts w:ascii="宋体"/>
              </w:rPr>
            </w:pPr>
          </w:p>
        </w:tc>
        <w:tc>
          <w:tcPr>
            <w:tcW w:w="0" w:type="auto"/>
            <w:shd w:val="clear" w:color="auto" w:fill="auto"/>
            <w:vAlign w:val="bottom"/>
          </w:tcPr>
          <w:p w14:paraId="26E9E13A" w14:textId="77777777" w:rsidR="008A3BAC" w:rsidRDefault="008A3BAC">
            <w:pPr>
              <w:rPr>
                <w:rFonts w:ascii="宋体"/>
              </w:rPr>
            </w:pPr>
          </w:p>
        </w:tc>
        <w:tc>
          <w:tcPr>
            <w:tcW w:w="0" w:type="auto"/>
            <w:shd w:val="clear" w:color="auto" w:fill="auto"/>
            <w:vAlign w:val="bottom"/>
          </w:tcPr>
          <w:p w14:paraId="26E9E13B" w14:textId="77777777" w:rsidR="008A3BAC" w:rsidRDefault="008A3BAC">
            <w:pPr>
              <w:rPr>
                <w:rFonts w:ascii="宋体"/>
              </w:rPr>
            </w:pPr>
          </w:p>
        </w:tc>
        <w:tc>
          <w:tcPr>
            <w:tcW w:w="0" w:type="auto"/>
            <w:shd w:val="clear" w:color="auto" w:fill="auto"/>
            <w:vAlign w:val="bottom"/>
          </w:tcPr>
          <w:p w14:paraId="26E9E13C" w14:textId="77777777" w:rsidR="008A3BAC" w:rsidRDefault="008A3BAC">
            <w:pPr>
              <w:rPr>
                <w:rFonts w:ascii="宋体"/>
              </w:rPr>
            </w:pPr>
          </w:p>
        </w:tc>
        <w:tc>
          <w:tcPr>
            <w:tcW w:w="0" w:type="auto"/>
            <w:shd w:val="clear" w:color="auto" w:fill="auto"/>
            <w:vAlign w:val="bottom"/>
          </w:tcPr>
          <w:p w14:paraId="26E9E13D" w14:textId="77777777" w:rsidR="008A3BAC" w:rsidRDefault="008A3BAC">
            <w:pPr>
              <w:rPr>
                <w:rFonts w:ascii="宋体"/>
              </w:rPr>
            </w:pPr>
          </w:p>
        </w:tc>
        <w:tc>
          <w:tcPr>
            <w:tcW w:w="0" w:type="auto"/>
            <w:shd w:val="clear" w:color="auto" w:fill="auto"/>
            <w:vAlign w:val="bottom"/>
          </w:tcPr>
          <w:p w14:paraId="26E9E13E" w14:textId="77777777" w:rsidR="008A3BAC" w:rsidRDefault="008A3BAC">
            <w:pPr>
              <w:rPr>
                <w:rFonts w:ascii="宋体"/>
              </w:rPr>
            </w:pPr>
          </w:p>
        </w:tc>
        <w:tc>
          <w:tcPr>
            <w:tcW w:w="0" w:type="auto"/>
            <w:shd w:val="clear" w:color="auto" w:fill="auto"/>
            <w:vAlign w:val="bottom"/>
          </w:tcPr>
          <w:p w14:paraId="26E9E13F" w14:textId="77777777" w:rsidR="008A3BAC" w:rsidRDefault="008A3BAC">
            <w:pPr>
              <w:rPr>
                <w:rFonts w:ascii="宋体"/>
              </w:rPr>
            </w:pPr>
          </w:p>
        </w:tc>
        <w:tc>
          <w:tcPr>
            <w:tcW w:w="0" w:type="auto"/>
            <w:shd w:val="clear" w:color="auto" w:fill="auto"/>
            <w:vAlign w:val="bottom"/>
          </w:tcPr>
          <w:p w14:paraId="26E9E140" w14:textId="77777777" w:rsidR="008A3BAC" w:rsidRDefault="008A3BAC">
            <w:pPr>
              <w:rPr>
                <w:rFonts w:ascii="宋体"/>
              </w:rPr>
            </w:pPr>
          </w:p>
        </w:tc>
      </w:tr>
      <w:tr w:rsidR="008A3BAC" w14:paraId="26E9E151" w14:textId="77777777">
        <w:tc>
          <w:tcPr>
            <w:tcW w:w="0" w:type="auto"/>
            <w:gridSpan w:val="3"/>
            <w:shd w:val="clear" w:color="auto" w:fill="auto"/>
            <w:tcMar>
              <w:top w:w="40" w:type="dxa"/>
              <w:left w:w="20" w:type="dxa"/>
              <w:bottom w:w="40" w:type="dxa"/>
              <w:right w:w="20" w:type="dxa"/>
            </w:tcMar>
            <w:vAlign w:val="bottom"/>
          </w:tcPr>
          <w:p w14:paraId="26E9E142"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3"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4"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5"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6"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6E9E147"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8"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9"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A"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4B"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6E9E14C" w14:textId="77777777" w:rsidR="008A3BAC" w:rsidRDefault="008A3BAC">
            <w:pPr>
              <w:rPr>
                <w:rFonts w:ascii="宋体"/>
                <w:vanish/>
              </w:rPr>
            </w:pPr>
          </w:p>
        </w:tc>
        <w:tc>
          <w:tcPr>
            <w:tcW w:w="0" w:type="auto"/>
            <w:shd w:val="clear" w:color="auto" w:fill="auto"/>
            <w:vAlign w:val="bottom"/>
          </w:tcPr>
          <w:p w14:paraId="26E9E14D" w14:textId="77777777" w:rsidR="008A3BAC" w:rsidRDefault="008A3BAC">
            <w:pPr>
              <w:rPr>
                <w:rFonts w:ascii="宋体"/>
                <w:vanish/>
              </w:rPr>
            </w:pPr>
          </w:p>
        </w:tc>
        <w:tc>
          <w:tcPr>
            <w:tcW w:w="0" w:type="auto"/>
            <w:gridSpan w:val="3"/>
            <w:shd w:val="clear" w:color="auto" w:fill="auto"/>
            <w:vAlign w:val="bottom"/>
          </w:tcPr>
          <w:p w14:paraId="26E9E14E" w14:textId="77777777" w:rsidR="008A3BAC" w:rsidRDefault="008A3BAC">
            <w:pPr>
              <w:rPr>
                <w:rFonts w:ascii="宋体"/>
                <w:vanish/>
              </w:rPr>
            </w:pPr>
          </w:p>
        </w:tc>
        <w:tc>
          <w:tcPr>
            <w:tcW w:w="0" w:type="auto"/>
            <w:gridSpan w:val="3"/>
            <w:shd w:val="clear" w:color="auto" w:fill="auto"/>
            <w:vAlign w:val="bottom"/>
          </w:tcPr>
          <w:p w14:paraId="26E9E14F" w14:textId="77777777" w:rsidR="008A3BAC" w:rsidRDefault="008A3BAC">
            <w:pPr>
              <w:rPr>
                <w:rFonts w:ascii="宋体"/>
                <w:vanish/>
              </w:rPr>
            </w:pPr>
          </w:p>
        </w:tc>
        <w:tc>
          <w:tcPr>
            <w:tcW w:w="0" w:type="auto"/>
            <w:gridSpan w:val="3"/>
            <w:shd w:val="clear" w:color="auto" w:fill="auto"/>
            <w:vAlign w:val="bottom"/>
          </w:tcPr>
          <w:p w14:paraId="26E9E150" w14:textId="77777777" w:rsidR="008A3BAC" w:rsidRDefault="008A3BAC">
            <w:pPr>
              <w:rPr>
                <w:rFonts w:ascii="宋体"/>
                <w:vanish/>
              </w:rPr>
            </w:pPr>
          </w:p>
        </w:tc>
      </w:tr>
      <w:tr w:rsidR="008A3BAC" w14:paraId="26E9E16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52"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15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5"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7"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15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5B" w14:textId="77777777" w:rsidR="008A3BAC" w:rsidRDefault="008A3BAC">
            <w:pPr>
              <w:rPr>
                <w:rFonts w:ascii="宋体"/>
              </w:rPr>
            </w:pPr>
          </w:p>
        </w:tc>
        <w:tc>
          <w:tcPr>
            <w:tcW w:w="0" w:type="auto"/>
            <w:shd w:val="clear" w:color="auto" w:fill="auto"/>
            <w:vAlign w:val="bottom"/>
          </w:tcPr>
          <w:p w14:paraId="26E9E15C" w14:textId="77777777" w:rsidR="008A3BAC" w:rsidRDefault="008A3BAC">
            <w:pPr>
              <w:rPr>
                <w:rFonts w:ascii="宋体"/>
                <w:vanish/>
              </w:rPr>
            </w:pPr>
          </w:p>
        </w:tc>
        <w:tc>
          <w:tcPr>
            <w:tcW w:w="0" w:type="auto"/>
            <w:shd w:val="clear" w:color="auto" w:fill="auto"/>
            <w:vAlign w:val="bottom"/>
          </w:tcPr>
          <w:p w14:paraId="26E9E15D" w14:textId="77777777" w:rsidR="008A3BAC" w:rsidRDefault="008A3BAC">
            <w:pPr>
              <w:rPr>
                <w:rFonts w:ascii="宋体"/>
                <w:vanish/>
              </w:rPr>
            </w:pPr>
          </w:p>
        </w:tc>
        <w:tc>
          <w:tcPr>
            <w:tcW w:w="0" w:type="auto"/>
            <w:gridSpan w:val="3"/>
            <w:shd w:val="clear" w:color="auto" w:fill="auto"/>
            <w:vAlign w:val="bottom"/>
          </w:tcPr>
          <w:p w14:paraId="26E9E15E" w14:textId="77777777" w:rsidR="008A3BAC" w:rsidRDefault="008A3BAC">
            <w:pPr>
              <w:rPr>
                <w:rFonts w:ascii="宋体"/>
                <w:vanish/>
              </w:rPr>
            </w:pPr>
          </w:p>
        </w:tc>
        <w:tc>
          <w:tcPr>
            <w:tcW w:w="0" w:type="auto"/>
            <w:gridSpan w:val="3"/>
            <w:shd w:val="clear" w:color="auto" w:fill="auto"/>
            <w:vAlign w:val="bottom"/>
          </w:tcPr>
          <w:p w14:paraId="26E9E15F" w14:textId="77777777" w:rsidR="008A3BAC" w:rsidRDefault="008A3BAC">
            <w:pPr>
              <w:rPr>
                <w:rFonts w:ascii="宋体"/>
                <w:vanish/>
              </w:rPr>
            </w:pPr>
          </w:p>
        </w:tc>
        <w:tc>
          <w:tcPr>
            <w:tcW w:w="0" w:type="auto"/>
            <w:gridSpan w:val="3"/>
            <w:shd w:val="clear" w:color="auto" w:fill="auto"/>
            <w:vAlign w:val="bottom"/>
          </w:tcPr>
          <w:p w14:paraId="26E9E160" w14:textId="77777777" w:rsidR="008A3BAC" w:rsidRDefault="008A3BAC">
            <w:pPr>
              <w:rPr>
                <w:rFonts w:ascii="宋体"/>
                <w:vanish/>
              </w:rPr>
            </w:pPr>
          </w:p>
        </w:tc>
      </w:tr>
      <w:tr w:rsidR="008A3BAC" w14:paraId="26E9E17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162"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16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164" w14:textId="77777777" w:rsidR="008A3BAC" w:rsidRDefault="005C75B9">
            <w:pPr>
              <w:jc w:val="right"/>
              <w:textAlignment w:val="bottom"/>
            </w:pPr>
            <w:r>
              <w:rPr>
                <w:rFonts w:ascii="Arial" w:eastAsia="宋体" w:hAnsi="Arial" w:cs="Arial"/>
                <w:color w:val="000000"/>
                <w:sz w:val="17"/>
                <w:szCs w:val="17"/>
              </w:rPr>
              <w:t>1,569 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65"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16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167" w14:textId="77777777" w:rsidR="008A3BAC" w:rsidRDefault="005C75B9">
            <w:pPr>
              <w:jc w:val="right"/>
              <w:textAlignment w:val="bottom"/>
            </w:pPr>
            <w:r>
              <w:rPr>
                <w:rFonts w:ascii="Arial" w:eastAsia="宋体" w:hAnsi="Arial" w:cs="Arial"/>
                <w:color w:val="000000"/>
                <w:sz w:val="17"/>
                <w:szCs w:val="17"/>
              </w:rPr>
              <w:t>1,606 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6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69"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6A"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6B"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6C"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16D"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16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16F" w14:textId="77777777" w:rsidR="008A3BAC" w:rsidRDefault="005C75B9">
            <w:pPr>
              <w:jc w:val="right"/>
              <w:textAlignment w:val="bottom"/>
            </w:pPr>
            <w:r>
              <w:rPr>
                <w:rFonts w:ascii="Arial" w:eastAsia="宋体" w:hAnsi="Arial" w:cs="Arial"/>
                <w:color w:val="000000"/>
                <w:sz w:val="17"/>
                <w:szCs w:val="17"/>
              </w:rPr>
              <w:t>5,358 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70"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17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172" w14:textId="77777777" w:rsidR="008A3BAC" w:rsidRDefault="005C75B9">
            <w:pPr>
              <w:jc w:val="right"/>
              <w:textAlignment w:val="bottom"/>
            </w:pPr>
            <w:r>
              <w:rPr>
                <w:rFonts w:ascii="Arial" w:eastAsia="宋体" w:hAnsi="Arial" w:cs="Arial"/>
                <w:color w:val="000000"/>
                <w:sz w:val="17"/>
                <w:szCs w:val="17"/>
              </w:rPr>
              <w:t>5,139 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7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74"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75"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76"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77"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178" w14:textId="77777777" w:rsidR="008A3BAC" w:rsidRDefault="008A3BAC">
            <w:pPr>
              <w:rPr>
                <w:rFonts w:ascii="宋体"/>
                <w:vanish/>
              </w:rPr>
            </w:pPr>
          </w:p>
        </w:tc>
        <w:tc>
          <w:tcPr>
            <w:tcW w:w="0" w:type="auto"/>
            <w:shd w:val="clear" w:color="auto" w:fill="auto"/>
            <w:vAlign w:val="bottom"/>
          </w:tcPr>
          <w:p w14:paraId="26E9E179" w14:textId="77777777" w:rsidR="008A3BAC" w:rsidRDefault="008A3BAC">
            <w:pPr>
              <w:rPr>
                <w:rFonts w:ascii="宋体"/>
                <w:vanish/>
              </w:rPr>
            </w:pPr>
          </w:p>
        </w:tc>
        <w:tc>
          <w:tcPr>
            <w:tcW w:w="0" w:type="auto"/>
            <w:gridSpan w:val="3"/>
            <w:shd w:val="clear" w:color="auto" w:fill="auto"/>
            <w:vAlign w:val="bottom"/>
          </w:tcPr>
          <w:p w14:paraId="26E9E17A" w14:textId="77777777" w:rsidR="008A3BAC" w:rsidRDefault="008A3BAC">
            <w:pPr>
              <w:rPr>
                <w:rFonts w:ascii="宋体"/>
                <w:vanish/>
              </w:rPr>
            </w:pPr>
          </w:p>
        </w:tc>
        <w:tc>
          <w:tcPr>
            <w:tcW w:w="0" w:type="auto"/>
            <w:gridSpan w:val="3"/>
            <w:shd w:val="clear" w:color="auto" w:fill="auto"/>
            <w:vAlign w:val="bottom"/>
          </w:tcPr>
          <w:p w14:paraId="26E9E17B" w14:textId="77777777" w:rsidR="008A3BAC" w:rsidRDefault="008A3BAC">
            <w:pPr>
              <w:rPr>
                <w:rFonts w:ascii="宋体"/>
                <w:vanish/>
              </w:rPr>
            </w:pPr>
          </w:p>
        </w:tc>
        <w:tc>
          <w:tcPr>
            <w:tcW w:w="0" w:type="auto"/>
            <w:gridSpan w:val="3"/>
            <w:shd w:val="clear" w:color="auto" w:fill="auto"/>
            <w:vAlign w:val="bottom"/>
          </w:tcPr>
          <w:p w14:paraId="26E9E17C" w14:textId="77777777" w:rsidR="008A3BAC" w:rsidRDefault="008A3BAC">
            <w:pPr>
              <w:rPr>
                <w:rFonts w:ascii="宋体"/>
                <w:vanish/>
              </w:rPr>
            </w:pPr>
          </w:p>
        </w:tc>
      </w:tr>
      <w:tr w:rsidR="008A3BAC" w14:paraId="26E9E1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17E"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17F" w14:textId="77777777" w:rsidR="008A3BAC" w:rsidRDefault="005C75B9">
            <w:pPr>
              <w:jc w:val="right"/>
              <w:textAlignment w:val="bottom"/>
            </w:pPr>
            <w:r>
              <w:rPr>
                <w:rFonts w:ascii="Arial" w:eastAsia="宋体" w:hAnsi="Arial" w:cs="Arial"/>
                <w:color w:val="000000"/>
                <w:sz w:val="17"/>
                <w:szCs w:val="17"/>
              </w:rPr>
              <w:t>1,083 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8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1" w14:textId="77777777" w:rsidR="008A3BAC" w:rsidRDefault="005C75B9">
            <w:pPr>
              <w:jc w:val="right"/>
              <w:textAlignment w:val="bottom"/>
            </w:pPr>
            <w:r>
              <w:rPr>
                <w:rFonts w:ascii="Arial" w:eastAsia="宋体" w:hAnsi="Arial" w:cs="Arial"/>
                <w:color w:val="000000"/>
                <w:sz w:val="17"/>
                <w:szCs w:val="17"/>
              </w:rPr>
              <w:t>898 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3"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4"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5"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6"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187"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188" w14:textId="77777777" w:rsidR="008A3BAC" w:rsidRDefault="005C75B9">
            <w:pPr>
              <w:jc w:val="right"/>
              <w:textAlignment w:val="bottom"/>
            </w:pPr>
            <w:r>
              <w:rPr>
                <w:rFonts w:ascii="Arial" w:eastAsia="宋体" w:hAnsi="Arial" w:cs="Arial"/>
                <w:color w:val="000000"/>
                <w:sz w:val="17"/>
                <w:szCs w:val="17"/>
              </w:rPr>
              <w:t>3,444 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8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A" w14:textId="77777777" w:rsidR="008A3BAC" w:rsidRDefault="005C75B9">
            <w:pPr>
              <w:jc w:val="right"/>
              <w:textAlignment w:val="bottom"/>
            </w:pPr>
            <w:r>
              <w:rPr>
                <w:rFonts w:ascii="Arial" w:eastAsia="宋体" w:hAnsi="Arial" w:cs="Arial"/>
                <w:color w:val="000000"/>
                <w:sz w:val="17"/>
                <w:szCs w:val="17"/>
              </w:rPr>
              <w:t>2,973 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C"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8E"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8F"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190" w14:textId="77777777" w:rsidR="008A3BAC" w:rsidRDefault="008A3BAC">
            <w:pPr>
              <w:rPr>
                <w:rFonts w:ascii="宋体"/>
                <w:vanish/>
              </w:rPr>
            </w:pPr>
          </w:p>
        </w:tc>
        <w:tc>
          <w:tcPr>
            <w:tcW w:w="0" w:type="auto"/>
            <w:shd w:val="clear" w:color="auto" w:fill="auto"/>
            <w:vAlign w:val="bottom"/>
          </w:tcPr>
          <w:p w14:paraId="26E9E191" w14:textId="77777777" w:rsidR="008A3BAC" w:rsidRDefault="008A3BAC">
            <w:pPr>
              <w:rPr>
                <w:rFonts w:ascii="宋体"/>
                <w:vanish/>
              </w:rPr>
            </w:pPr>
          </w:p>
        </w:tc>
        <w:tc>
          <w:tcPr>
            <w:tcW w:w="0" w:type="auto"/>
            <w:gridSpan w:val="3"/>
            <w:shd w:val="clear" w:color="auto" w:fill="auto"/>
            <w:vAlign w:val="bottom"/>
          </w:tcPr>
          <w:p w14:paraId="26E9E192" w14:textId="77777777" w:rsidR="008A3BAC" w:rsidRDefault="008A3BAC">
            <w:pPr>
              <w:rPr>
                <w:rFonts w:ascii="宋体"/>
                <w:vanish/>
              </w:rPr>
            </w:pPr>
          </w:p>
        </w:tc>
        <w:tc>
          <w:tcPr>
            <w:tcW w:w="0" w:type="auto"/>
            <w:gridSpan w:val="3"/>
            <w:shd w:val="clear" w:color="auto" w:fill="auto"/>
            <w:vAlign w:val="bottom"/>
          </w:tcPr>
          <w:p w14:paraId="26E9E193" w14:textId="77777777" w:rsidR="008A3BAC" w:rsidRDefault="008A3BAC">
            <w:pPr>
              <w:rPr>
                <w:rFonts w:ascii="宋体"/>
                <w:vanish/>
              </w:rPr>
            </w:pPr>
          </w:p>
        </w:tc>
        <w:tc>
          <w:tcPr>
            <w:tcW w:w="0" w:type="auto"/>
            <w:gridSpan w:val="3"/>
            <w:shd w:val="clear" w:color="auto" w:fill="auto"/>
            <w:vAlign w:val="bottom"/>
          </w:tcPr>
          <w:p w14:paraId="26E9E194" w14:textId="77777777" w:rsidR="008A3BAC" w:rsidRDefault="008A3BAC">
            <w:pPr>
              <w:rPr>
                <w:rFonts w:ascii="宋体"/>
                <w:vanish/>
              </w:rPr>
            </w:pPr>
          </w:p>
        </w:tc>
      </w:tr>
      <w:tr w:rsidR="008A3BAC" w14:paraId="26E9E1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196"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197" w14:textId="77777777" w:rsidR="008A3BAC" w:rsidRDefault="005C75B9">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9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99" w14:textId="77777777" w:rsidR="008A3BAC" w:rsidRDefault="005C75B9">
            <w:pPr>
              <w:jc w:val="right"/>
              <w:textAlignment w:val="bottom"/>
            </w:pPr>
            <w:r>
              <w:rPr>
                <w:rFonts w:ascii="Arial" w:eastAsia="宋体" w:hAnsi="Arial" w:cs="Arial"/>
                <w:color w:val="000000"/>
                <w:sz w:val="17"/>
                <w:szCs w:val="17"/>
              </w:rPr>
              <w:t>105 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9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9B"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9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9D" w14:textId="77777777" w:rsidR="008A3BAC" w:rsidRDefault="005C75B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9E"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19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1A0" w14:textId="77777777" w:rsidR="008A3BAC" w:rsidRDefault="005C75B9">
            <w:pPr>
              <w:jc w:val="right"/>
              <w:textAlignment w:val="bottom"/>
            </w:pPr>
            <w:r>
              <w:rPr>
                <w:rFonts w:ascii="Arial" w:eastAsia="宋体" w:hAnsi="Arial" w:cs="Arial"/>
                <w:color w:val="000000"/>
                <w:sz w:val="17"/>
                <w:szCs w:val="17"/>
              </w:rPr>
              <w:t>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A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A2" w14:textId="77777777" w:rsidR="008A3BAC" w:rsidRDefault="005C75B9">
            <w:pPr>
              <w:jc w:val="right"/>
              <w:textAlignment w:val="bottom"/>
            </w:pPr>
            <w:r>
              <w:rPr>
                <w:rFonts w:ascii="Arial" w:eastAsia="宋体" w:hAnsi="Arial" w:cs="Arial"/>
                <w:color w:val="000000"/>
                <w:sz w:val="17"/>
                <w:szCs w:val="17"/>
              </w:rPr>
              <w:t>365 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A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A4"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A5"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A6"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A7"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1A8" w14:textId="77777777" w:rsidR="008A3BAC" w:rsidRDefault="008A3BAC">
            <w:pPr>
              <w:rPr>
                <w:rFonts w:ascii="宋体"/>
                <w:vanish/>
              </w:rPr>
            </w:pPr>
          </w:p>
        </w:tc>
        <w:tc>
          <w:tcPr>
            <w:tcW w:w="0" w:type="auto"/>
            <w:shd w:val="clear" w:color="auto" w:fill="auto"/>
            <w:vAlign w:val="bottom"/>
          </w:tcPr>
          <w:p w14:paraId="26E9E1A9" w14:textId="77777777" w:rsidR="008A3BAC" w:rsidRDefault="008A3BAC">
            <w:pPr>
              <w:rPr>
                <w:rFonts w:ascii="宋体"/>
                <w:vanish/>
              </w:rPr>
            </w:pPr>
          </w:p>
        </w:tc>
        <w:tc>
          <w:tcPr>
            <w:tcW w:w="0" w:type="auto"/>
            <w:gridSpan w:val="3"/>
            <w:shd w:val="clear" w:color="auto" w:fill="auto"/>
            <w:vAlign w:val="bottom"/>
          </w:tcPr>
          <w:p w14:paraId="26E9E1AA" w14:textId="77777777" w:rsidR="008A3BAC" w:rsidRDefault="008A3BAC">
            <w:pPr>
              <w:rPr>
                <w:rFonts w:ascii="宋体"/>
                <w:vanish/>
              </w:rPr>
            </w:pPr>
          </w:p>
        </w:tc>
        <w:tc>
          <w:tcPr>
            <w:tcW w:w="0" w:type="auto"/>
            <w:gridSpan w:val="3"/>
            <w:shd w:val="clear" w:color="auto" w:fill="auto"/>
            <w:vAlign w:val="bottom"/>
          </w:tcPr>
          <w:p w14:paraId="26E9E1AB" w14:textId="77777777" w:rsidR="008A3BAC" w:rsidRDefault="008A3BAC">
            <w:pPr>
              <w:rPr>
                <w:rFonts w:ascii="宋体"/>
                <w:vanish/>
              </w:rPr>
            </w:pPr>
          </w:p>
        </w:tc>
        <w:tc>
          <w:tcPr>
            <w:tcW w:w="0" w:type="auto"/>
            <w:gridSpan w:val="3"/>
            <w:shd w:val="clear" w:color="auto" w:fill="auto"/>
            <w:vAlign w:val="bottom"/>
          </w:tcPr>
          <w:p w14:paraId="26E9E1AC" w14:textId="77777777" w:rsidR="008A3BAC" w:rsidRDefault="008A3BAC">
            <w:pPr>
              <w:rPr>
                <w:rFonts w:ascii="宋体"/>
                <w:vanish/>
              </w:rPr>
            </w:pPr>
          </w:p>
        </w:tc>
      </w:tr>
      <w:tr w:rsidR="008A3BAC" w14:paraId="26E9E1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AE"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1A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1B0" w14:textId="77777777" w:rsidR="008A3BAC" w:rsidRDefault="005C75B9">
            <w:pPr>
              <w:jc w:val="right"/>
              <w:textAlignment w:val="bottom"/>
            </w:pPr>
            <w:r>
              <w:rPr>
                <w:rFonts w:ascii="Arial" w:eastAsia="宋体" w:hAnsi="Arial" w:cs="Arial"/>
                <w:b/>
                <w:bCs/>
                <w:color w:val="000000"/>
                <w:sz w:val="17"/>
                <w:szCs w:val="17"/>
              </w:rPr>
              <w:t>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1B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1B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1B3" w14:textId="77777777" w:rsidR="008A3BAC" w:rsidRDefault="005C75B9">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B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1B5"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B6"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1B7" w14:textId="77777777" w:rsidR="008A3BAC" w:rsidRDefault="005C75B9">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B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B9"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1B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1BB" w14:textId="77777777" w:rsidR="008A3BAC" w:rsidRDefault="005C75B9">
            <w:pPr>
              <w:jc w:val="right"/>
              <w:textAlignment w:val="bottom"/>
            </w:pPr>
            <w:r>
              <w:rPr>
                <w:rFonts w:ascii="Arial" w:eastAsia="宋体" w:hAnsi="Arial" w:cs="Arial"/>
                <w:b/>
                <w:bCs/>
                <w:color w:val="000000"/>
                <w:sz w:val="17"/>
                <w:szCs w:val="17"/>
              </w:rPr>
              <w:t>9,228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1B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1B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1BE" w14:textId="77777777" w:rsidR="008A3BAC" w:rsidRDefault="005C75B9">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B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1C0"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C1"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1C2"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1C3"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1C4" w14:textId="77777777" w:rsidR="008A3BAC" w:rsidRDefault="008A3BAC">
            <w:pPr>
              <w:rPr>
                <w:rFonts w:ascii="宋体"/>
                <w:vanish/>
              </w:rPr>
            </w:pPr>
          </w:p>
        </w:tc>
        <w:tc>
          <w:tcPr>
            <w:tcW w:w="0" w:type="auto"/>
            <w:shd w:val="clear" w:color="auto" w:fill="auto"/>
            <w:vAlign w:val="bottom"/>
          </w:tcPr>
          <w:p w14:paraId="26E9E1C5" w14:textId="77777777" w:rsidR="008A3BAC" w:rsidRDefault="008A3BAC">
            <w:pPr>
              <w:rPr>
                <w:rFonts w:ascii="宋体"/>
                <w:vanish/>
              </w:rPr>
            </w:pPr>
          </w:p>
        </w:tc>
        <w:tc>
          <w:tcPr>
            <w:tcW w:w="0" w:type="auto"/>
            <w:gridSpan w:val="3"/>
            <w:shd w:val="clear" w:color="auto" w:fill="auto"/>
            <w:vAlign w:val="bottom"/>
          </w:tcPr>
          <w:p w14:paraId="26E9E1C6" w14:textId="77777777" w:rsidR="008A3BAC" w:rsidRDefault="008A3BAC">
            <w:pPr>
              <w:rPr>
                <w:rFonts w:ascii="宋体"/>
                <w:vanish/>
              </w:rPr>
            </w:pPr>
          </w:p>
        </w:tc>
        <w:tc>
          <w:tcPr>
            <w:tcW w:w="0" w:type="auto"/>
            <w:gridSpan w:val="3"/>
            <w:shd w:val="clear" w:color="auto" w:fill="auto"/>
            <w:vAlign w:val="bottom"/>
          </w:tcPr>
          <w:p w14:paraId="26E9E1C7" w14:textId="77777777" w:rsidR="008A3BAC" w:rsidRDefault="008A3BAC">
            <w:pPr>
              <w:rPr>
                <w:rFonts w:ascii="宋体"/>
                <w:vanish/>
              </w:rPr>
            </w:pPr>
          </w:p>
        </w:tc>
        <w:tc>
          <w:tcPr>
            <w:tcW w:w="0" w:type="auto"/>
            <w:gridSpan w:val="3"/>
            <w:shd w:val="clear" w:color="auto" w:fill="auto"/>
            <w:vAlign w:val="bottom"/>
          </w:tcPr>
          <w:p w14:paraId="26E9E1C8" w14:textId="77777777" w:rsidR="008A3BAC" w:rsidRDefault="008A3BAC">
            <w:pPr>
              <w:rPr>
                <w:rFonts w:ascii="宋体"/>
                <w:vanish/>
              </w:rPr>
            </w:pPr>
          </w:p>
        </w:tc>
      </w:tr>
      <w:tr w:rsidR="008A3BAC" w14:paraId="26E9E1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1CA"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1C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C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C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C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CF"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1D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D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D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1D3" w14:textId="77777777" w:rsidR="008A3BAC" w:rsidRDefault="008A3BAC">
            <w:pPr>
              <w:rPr>
                <w:rFonts w:ascii="宋体"/>
              </w:rPr>
            </w:pPr>
          </w:p>
        </w:tc>
        <w:tc>
          <w:tcPr>
            <w:tcW w:w="0" w:type="auto"/>
            <w:shd w:val="clear" w:color="auto" w:fill="auto"/>
            <w:vAlign w:val="bottom"/>
          </w:tcPr>
          <w:p w14:paraId="26E9E1D4" w14:textId="77777777" w:rsidR="008A3BAC" w:rsidRDefault="008A3BAC">
            <w:pPr>
              <w:rPr>
                <w:rFonts w:ascii="宋体"/>
                <w:vanish/>
              </w:rPr>
            </w:pPr>
          </w:p>
        </w:tc>
        <w:tc>
          <w:tcPr>
            <w:tcW w:w="0" w:type="auto"/>
            <w:shd w:val="clear" w:color="auto" w:fill="auto"/>
            <w:vAlign w:val="bottom"/>
          </w:tcPr>
          <w:p w14:paraId="26E9E1D5" w14:textId="77777777" w:rsidR="008A3BAC" w:rsidRDefault="008A3BAC">
            <w:pPr>
              <w:rPr>
                <w:rFonts w:ascii="宋体"/>
                <w:vanish/>
              </w:rPr>
            </w:pPr>
          </w:p>
        </w:tc>
        <w:tc>
          <w:tcPr>
            <w:tcW w:w="0" w:type="auto"/>
            <w:gridSpan w:val="3"/>
            <w:shd w:val="clear" w:color="auto" w:fill="auto"/>
            <w:vAlign w:val="bottom"/>
          </w:tcPr>
          <w:p w14:paraId="26E9E1D6" w14:textId="77777777" w:rsidR="008A3BAC" w:rsidRDefault="008A3BAC">
            <w:pPr>
              <w:rPr>
                <w:rFonts w:ascii="宋体"/>
                <w:vanish/>
              </w:rPr>
            </w:pPr>
          </w:p>
        </w:tc>
        <w:tc>
          <w:tcPr>
            <w:tcW w:w="0" w:type="auto"/>
            <w:gridSpan w:val="3"/>
            <w:shd w:val="clear" w:color="auto" w:fill="auto"/>
            <w:vAlign w:val="bottom"/>
          </w:tcPr>
          <w:p w14:paraId="26E9E1D7" w14:textId="77777777" w:rsidR="008A3BAC" w:rsidRDefault="008A3BAC">
            <w:pPr>
              <w:rPr>
                <w:rFonts w:ascii="宋体"/>
                <w:vanish/>
              </w:rPr>
            </w:pPr>
          </w:p>
        </w:tc>
        <w:tc>
          <w:tcPr>
            <w:tcW w:w="0" w:type="auto"/>
            <w:gridSpan w:val="3"/>
            <w:shd w:val="clear" w:color="auto" w:fill="auto"/>
            <w:vAlign w:val="bottom"/>
          </w:tcPr>
          <w:p w14:paraId="26E9E1D8" w14:textId="77777777" w:rsidR="008A3BAC" w:rsidRDefault="008A3BAC">
            <w:pPr>
              <w:rPr>
                <w:rFonts w:ascii="宋体"/>
                <w:vanish/>
              </w:rPr>
            </w:pPr>
          </w:p>
        </w:tc>
      </w:tr>
      <w:tr w:rsidR="008A3BAC" w14:paraId="26E9E1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1DA"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1D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1DC" w14:textId="77777777" w:rsidR="008A3BAC" w:rsidRDefault="005C75B9">
            <w:pPr>
              <w:jc w:val="right"/>
              <w:textAlignment w:val="bottom"/>
            </w:pPr>
            <w:r>
              <w:rPr>
                <w:rFonts w:ascii="Arial" w:eastAsia="宋体" w:hAnsi="Arial" w:cs="Arial"/>
                <w:color w:val="000000"/>
                <w:sz w:val="17"/>
                <w:szCs w:val="17"/>
              </w:rPr>
              <w:t>1,858 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DD"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1D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1DF" w14:textId="77777777" w:rsidR="008A3BAC" w:rsidRDefault="005C75B9">
            <w:pPr>
              <w:jc w:val="right"/>
              <w:textAlignment w:val="bottom"/>
            </w:pPr>
            <w:r>
              <w:rPr>
                <w:rFonts w:ascii="Arial" w:eastAsia="宋体" w:hAnsi="Arial" w:cs="Arial"/>
                <w:color w:val="000000"/>
                <w:sz w:val="17"/>
                <w:szCs w:val="17"/>
              </w:rPr>
              <w:t>1,805 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E1"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E3"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1E5"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1E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1E7" w14:textId="77777777" w:rsidR="008A3BAC" w:rsidRDefault="005C75B9">
            <w:pPr>
              <w:jc w:val="right"/>
              <w:textAlignment w:val="bottom"/>
            </w:pPr>
            <w:r>
              <w:rPr>
                <w:rFonts w:ascii="Arial" w:eastAsia="宋体" w:hAnsi="Arial" w:cs="Arial"/>
                <w:color w:val="000000"/>
                <w:sz w:val="17"/>
                <w:szCs w:val="17"/>
              </w:rPr>
              <w:t>6,194 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E8"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1E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1EA" w14:textId="77777777" w:rsidR="008A3BAC" w:rsidRDefault="005C75B9">
            <w:pPr>
              <w:jc w:val="right"/>
              <w:textAlignment w:val="bottom"/>
            </w:pPr>
            <w:r>
              <w:rPr>
                <w:rFonts w:ascii="Arial" w:eastAsia="宋体" w:hAnsi="Arial" w:cs="Arial"/>
                <w:color w:val="000000"/>
                <w:sz w:val="17"/>
                <w:szCs w:val="17"/>
              </w:rPr>
              <w:t>5,763 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EC"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EE"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EF"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1F0" w14:textId="77777777" w:rsidR="008A3BAC" w:rsidRDefault="008A3BAC">
            <w:pPr>
              <w:rPr>
                <w:rFonts w:ascii="宋体"/>
                <w:vanish/>
              </w:rPr>
            </w:pPr>
          </w:p>
        </w:tc>
        <w:tc>
          <w:tcPr>
            <w:tcW w:w="0" w:type="auto"/>
            <w:shd w:val="clear" w:color="auto" w:fill="auto"/>
            <w:vAlign w:val="bottom"/>
          </w:tcPr>
          <w:p w14:paraId="26E9E1F1" w14:textId="77777777" w:rsidR="008A3BAC" w:rsidRDefault="008A3BAC">
            <w:pPr>
              <w:rPr>
                <w:rFonts w:ascii="宋体"/>
                <w:vanish/>
              </w:rPr>
            </w:pPr>
          </w:p>
        </w:tc>
        <w:tc>
          <w:tcPr>
            <w:tcW w:w="0" w:type="auto"/>
            <w:gridSpan w:val="3"/>
            <w:shd w:val="clear" w:color="auto" w:fill="auto"/>
            <w:vAlign w:val="bottom"/>
          </w:tcPr>
          <w:p w14:paraId="26E9E1F2" w14:textId="77777777" w:rsidR="008A3BAC" w:rsidRDefault="008A3BAC">
            <w:pPr>
              <w:rPr>
                <w:rFonts w:ascii="宋体"/>
                <w:vanish/>
              </w:rPr>
            </w:pPr>
          </w:p>
        </w:tc>
        <w:tc>
          <w:tcPr>
            <w:tcW w:w="0" w:type="auto"/>
            <w:gridSpan w:val="3"/>
            <w:shd w:val="clear" w:color="auto" w:fill="auto"/>
            <w:vAlign w:val="bottom"/>
          </w:tcPr>
          <w:p w14:paraId="26E9E1F3" w14:textId="77777777" w:rsidR="008A3BAC" w:rsidRDefault="008A3BAC">
            <w:pPr>
              <w:rPr>
                <w:rFonts w:ascii="宋体"/>
                <w:vanish/>
              </w:rPr>
            </w:pPr>
          </w:p>
        </w:tc>
        <w:tc>
          <w:tcPr>
            <w:tcW w:w="0" w:type="auto"/>
            <w:gridSpan w:val="3"/>
            <w:shd w:val="clear" w:color="auto" w:fill="auto"/>
            <w:vAlign w:val="bottom"/>
          </w:tcPr>
          <w:p w14:paraId="26E9E1F4" w14:textId="77777777" w:rsidR="008A3BAC" w:rsidRDefault="008A3BAC">
            <w:pPr>
              <w:rPr>
                <w:rFonts w:ascii="宋体"/>
                <w:vanish/>
              </w:rPr>
            </w:pPr>
          </w:p>
        </w:tc>
      </w:tr>
      <w:tr w:rsidR="008A3BAC" w14:paraId="26E9E20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1F6" w14:textId="77777777" w:rsidR="008A3BAC" w:rsidRDefault="005C75B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1F7" w14:textId="77777777" w:rsidR="008A3BAC" w:rsidRDefault="005C75B9">
            <w:pPr>
              <w:jc w:val="right"/>
              <w:textAlignment w:val="bottom"/>
            </w:pPr>
            <w:r>
              <w:rPr>
                <w:rFonts w:ascii="Arial" w:eastAsia="宋体" w:hAnsi="Arial" w:cs="Arial"/>
                <w:color w:val="000000"/>
                <w:sz w:val="17"/>
                <w:szCs w:val="17"/>
              </w:rPr>
              <w:t>921 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1F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F9" w14:textId="77777777" w:rsidR="008A3BAC" w:rsidRDefault="005C75B9">
            <w:pPr>
              <w:jc w:val="right"/>
              <w:textAlignment w:val="bottom"/>
            </w:pPr>
            <w:r>
              <w:rPr>
                <w:rFonts w:ascii="Arial" w:eastAsia="宋体" w:hAnsi="Arial" w:cs="Arial"/>
                <w:color w:val="000000"/>
                <w:sz w:val="17"/>
                <w:szCs w:val="17"/>
              </w:rPr>
              <w:t>804 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F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FB"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F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1FD"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1FE"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1FF"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200" w14:textId="77777777" w:rsidR="008A3BAC" w:rsidRDefault="005C75B9">
            <w:pPr>
              <w:jc w:val="right"/>
              <w:textAlignment w:val="bottom"/>
            </w:pPr>
            <w:r>
              <w:rPr>
                <w:rFonts w:ascii="Arial" w:eastAsia="宋体" w:hAnsi="Arial" w:cs="Arial"/>
                <w:color w:val="000000"/>
                <w:sz w:val="17"/>
                <w:szCs w:val="17"/>
              </w:rPr>
              <w:t>3,034 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0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02" w14:textId="77777777" w:rsidR="008A3BAC" w:rsidRDefault="005C75B9">
            <w:pPr>
              <w:jc w:val="right"/>
              <w:textAlignment w:val="bottom"/>
            </w:pPr>
            <w:r>
              <w:rPr>
                <w:rFonts w:ascii="Arial" w:eastAsia="宋体" w:hAnsi="Arial" w:cs="Arial"/>
                <w:color w:val="000000"/>
                <w:sz w:val="17"/>
                <w:szCs w:val="17"/>
              </w:rPr>
              <w:t>2,714 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0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04"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05"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06" w14:textId="77777777" w:rsidR="008A3BAC" w:rsidRDefault="005C75B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07"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208" w14:textId="77777777" w:rsidR="008A3BAC" w:rsidRDefault="008A3BAC">
            <w:pPr>
              <w:rPr>
                <w:rFonts w:ascii="宋体"/>
                <w:vanish/>
              </w:rPr>
            </w:pPr>
          </w:p>
        </w:tc>
        <w:tc>
          <w:tcPr>
            <w:tcW w:w="0" w:type="auto"/>
            <w:shd w:val="clear" w:color="auto" w:fill="auto"/>
            <w:vAlign w:val="bottom"/>
          </w:tcPr>
          <w:p w14:paraId="26E9E209" w14:textId="77777777" w:rsidR="008A3BAC" w:rsidRDefault="008A3BAC">
            <w:pPr>
              <w:rPr>
                <w:rFonts w:ascii="宋体"/>
                <w:vanish/>
              </w:rPr>
            </w:pPr>
          </w:p>
        </w:tc>
        <w:tc>
          <w:tcPr>
            <w:tcW w:w="0" w:type="auto"/>
            <w:gridSpan w:val="3"/>
            <w:shd w:val="clear" w:color="auto" w:fill="auto"/>
            <w:vAlign w:val="bottom"/>
          </w:tcPr>
          <w:p w14:paraId="26E9E20A" w14:textId="77777777" w:rsidR="008A3BAC" w:rsidRDefault="008A3BAC">
            <w:pPr>
              <w:rPr>
                <w:rFonts w:ascii="宋体"/>
                <w:vanish/>
              </w:rPr>
            </w:pPr>
          </w:p>
        </w:tc>
        <w:tc>
          <w:tcPr>
            <w:tcW w:w="0" w:type="auto"/>
            <w:gridSpan w:val="3"/>
            <w:shd w:val="clear" w:color="auto" w:fill="auto"/>
            <w:vAlign w:val="bottom"/>
          </w:tcPr>
          <w:p w14:paraId="26E9E20B" w14:textId="77777777" w:rsidR="008A3BAC" w:rsidRDefault="008A3BAC">
            <w:pPr>
              <w:rPr>
                <w:rFonts w:ascii="宋体"/>
                <w:vanish/>
              </w:rPr>
            </w:pPr>
          </w:p>
        </w:tc>
        <w:tc>
          <w:tcPr>
            <w:tcW w:w="0" w:type="auto"/>
            <w:gridSpan w:val="3"/>
            <w:shd w:val="clear" w:color="auto" w:fill="auto"/>
            <w:vAlign w:val="bottom"/>
          </w:tcPr>
          <w:p w14:paraId="26E9E20C" w14:textId="77777777" w:rsidR="008A3BAC" w:rsidRDefault="008A3BAC">
            <w:pPr>
              <w:rPr>
                <w:rFonts w:ascii="宋体"/>
                <w:vanish/>
              </w:rPr>
            </w:pPr>
          </w:p>
        </w:tc>
      </w:tr>
      <w:tr w:rsidR="008A3BAC" w14:paraId="26E9E22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0E"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20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210" w14:textId="77777777" w:rsidR="008A3BAC" w:rsidRDefault="005C75B9">
            <w:pPr>
              <w:jc w:val="right"/>
              <w:textAlignment w:val="bottom"/>
            </w:pPr>
            <w:r>
              <w:rPr>
                <w:rFonts w:ascii="Arial" w:eastAsia="宋体" w:hAnsi="Arial" w:cs="Arial"/>
                <w:b/>
                <w:bCs/>
                <w:color w:val="000000"/>
                <w:sz w:val="17"/>
                <w:szCs w:val="17"/>
              </w:rPr>
              <w:t>2,779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211"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212"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213" w14:textId="77777777" w:rsidR="008A3BAC" w:rsidRDefault="005C75B9">
            <w:pPr>
              <w:jc w:val="right"/>
              <w:textAlignment w:val="bottom"/>
            </w:pPr>
            <w:r>
              <w:rPr>
                <w:rFonts w:ascii="Arial" w:eastAsia="宋体" w:hAnsi="Arial" w:cs="Arial"/>
                <w:b/>
                <w:bCs/>
                <w:color w:val="000000"/>
                <w:sz w:val="17"/>
                <w:szCs w:val="17"/>
              </w:rPr>
              <w:t>2,609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14"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15" w14:textId="77777777" w:rsidR="008A3BAC" w:rsidRDefault="005C75B9">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16"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17" w14:textId="77777777" w:rsidR="008A3BAC" w:rsidRDefault="005C75B9">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1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19"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21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21B" w14:textId="77777777" w:rsidR="008A3BAC" w:rsidRDefault="005C75B9">
            <w:pPr>
              <w:jc w:val="right"/>
              <w:textAlignment w:val="bottom"/>
            </w:pPr>
            <w:r>
              <w:rPr>
                <w:rFonts w:ascii="Arial" w:eastAsia="宋体" w:hAnsi="Arial" w:cs="Arial"/>
                <w:b/>
                <w:bCs/>
                <w:color w:val="000000"/>
                <w:sz w:val="17"/>
                <w:szCs w:val="17"/>
              </w:rPr>
              <w:t>9,22</w:t>
            </w: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21C"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21D"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21E" w14:textId="77777777" w:rsidR="008A3BAC" w:rsidRDefault="005C75B9">
            <w:pPr>
              <w:jc w:val="right"/>
              <w:textAlignment w:val="bottom"/>
            </w:pPr>
            <w:r>
              <w:rPr>
                <w:rFonts w:ascii="Arial" w:eastAsia="宋体" w:hAnsi="Arial" w:cs="Arial"/>
                <w:b/>
                <w:bCs/>
                <w:color w:val="000000"/>
                <w:sz w:val="17"/>
                <w:szCs w:val="17"/>
              </w:rPr>
              <w:t>8,477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1F"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20"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21"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22"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23"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224" w14:textId="77777777" w:rsidR="008A3BAC" w:rsidRDefault="008A3BAC">
            <w:pPr>
              <w:rPr>
                <w:rFonts w:ascii="宋体"/>
                <w:vanish/>
              </w:rPr>
            </w:pPr>
          </w:p>
        </w:tc>
        <w:tc>
          <w:tcPr>
            <w:tcW w:w="0" w:type="auto"/>
            <w:shd w:val="clear" w:color="auto" w:fill="auto"/>
            <w:vAlign w:val="bottom"/>
          </w:tcPr>
          <w:p w14:paraId="26E9E225" w14:textId="77777777" w:rsidR="008A3BAC" w:rsidRDefault="008A3BAC">
            <w:pPr>
              <w:rPr>
                <w:rFonts w:ascii="宋体"/>
                <w:vanish/>
              </w:rPr>
            </w:pPr>
          </w:p>
        </w:tc>
        <w:tc>
          <w:tcPr>
            <w:tcW w:w="0" w:type="auto"/>
            <w:gridSpan w:val="3"/>
            <w:shd w:val="clear" w:color="auto" w:fill="auto"/>
            <w:vAlign w:val="bottom"/>
          </w:tcPr>
          <w:p w14:paraId="26E9E226" w14:textId="77777777" w:rsidR="008A3BAC" w:rsidRDefault="008A3BAC">
            <w:pPr>
              <w:rPr>
                <w:rFonts w:ascii="宋体"/>
                <w:vanish/>
              </w:rPr>
            </w:pPr>
          </w:p>
        </w:tc>
        <w:tc>
          <w:tcPr>
            <w:tcW w:w="0" w:type="auto"/>
            <w:gridSpan w:val="3"/>
            <w:shd w:val="clear" w:color="auto" w:fill="auto"/>
            <w:vAlign w:val="bottom"/>
          </w:tcPr>
          <w:p w14:paraId="26E9E227" w14:textId="77777777" w:rsidR="008A3BAC" w:rsidRDefault="008A3BAC">
            <w:pPr>
              <w:rPr>
                <w:rFonts w:ascii="宋体"/>
                <w:vanish/>
              </w:rPr>
            </w:pPr>
          </w:p>
        </w:tc>
        <w:tc>
          <w:tcPr>
            <w:tcW w:w="0" w:type="auto"/>
            <w:gridSpan w:val="3"/>
            <w:shd w:val="clear" w:color="auto" w:fill="auto"/>
            <w:vAlign w:val="bottom"/>
          </w:tcPr>
          <w:p w14:paraId="26E9E228" w14:textId="77777777" w:rsidR="008A3BAC" w:rsidRDefault="008A3BAC">
            <w:pPr>
              <w:rPr>
                <w:rFonts w:ascii="宋体"/>
                <w:vanish/>
              </w:rPr>
            </w:pPr>
          </w:p>
        </w:tc>
      </w:tr>
      <w:tr w:rsidR="008A3BAC" w14:paraId="26E9E24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E22A" w14:textId="77777777" w:rsidR="008A3BAC" w:rsidRDefault="005C75B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22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22C" w14:textId="77777777" w:rsidR="008A3BAC" w:rsidRDefault="005C75B9">
            <w:pPr>
              <w:jc w:val="right"/>
              <w:textAlignment w:val="bottom"/>
            </w:pPr>
            <w:r>
              <w:rPr>
                <w:rFonts w:ascii="Arial" w:eastAsia="宋体" w:hAnsi="Arial" w:cs="Arial"/>
                <w:b/>
                <w:bCs/>
                <w:color w:val="000000"/>
                <w:sz w:val="17"/>
                <w:szCs w:val="17"/>
              </w:rPr>
              <w:t>713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22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22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22F" w14:textId="77777777" w:rsidR="008A3BAC" w:rsidRDefault="005C75B9">
            <w:pPr>
              <w:jc w:val="right"/>
              <w:textAlignment w:val="bottom"/>
            </w:pPr>
            <w:r>
              <w:rPr>
                <w:rFonts w:ascii="Arial" w:eastAsia="宋体" w:hAnsi="Arial" w:cs="Arial"/>
                <w:b/>
                <w:bCs/>
                <w:color w:val="000000"/>
                <w:sz w:val="17"/>
                <w:szCs w:val="17"/>
              </w:rPr>
              <w:t>533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230"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231" w14:textId="77777777" w:rsidR="008A3BAC" w:rsidRDefault="005C75B9">
            <w:pPr>
              <w:jc w:val="right"/>
              <w:textAlignment w:val="bottom"/>
            </w:pPr>
            <w:r>
              <w:rPr>
                <w:rFonts w:ascii="Arial" w:eastAsia="宋体" w:hAnsi="Arial" w:cs="Arial"/>
                <w:b/>
                <w:bCs/>
                <w:color w:val="000000"/>
                <w:sz w:val="17"/>
                <w:szCs w:val="17"/>
              </w:rPr>
              <w:t>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23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233"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234"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23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236" w14:textId="77777777" w:rsidR="008A3BAC" w:rsidRDefault="005C75B9">
            <w:pPr>
              <w:jc w:val="right"/>
              <w:textAlignment w:val="bottom"/>
            </w:pPr>
            <w:r>
              <w:rPr>
                <w:rFonts w:ascii="Arial" w:eastAsia="宋体" w:hAnsi="Arial" w:cs="Arial"/>
                <w:b/>
                <w:bCs/>
                <w:color w:val="000000"/>
                <w:sz w:val="17"/>
                <w:szCs w:val="17"/>
              </w:rPr>
              <w:t>2,394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237"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23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239" w14:textId="77777777" w:rsidR="008A3BAC" w:rsidRDefault="005C75B9">
            <w:pPr>
              <w:jc w:val="right"/>
              <w:textAlignment w:val="bottom"/>
            </w:pPr>
            <w:r>
              <w:rPr>
                <w:rFonts w:ascii="Arial" w:eastAsia="宋体" w:hAnsi="Arial" w:cs="Arial"/>
                <w:b/>
                <w:bCs/>
                <w:color w:val="000000"/>
                <w:sz w:val="17"/>
                <w:szCs w:val="17"/>
              </w:rPr>
              <w:t>1,885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23A"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23B" w14:textId="77777777" w:rsidR="008A3BAC" w:rsidRDefault="005C75B9">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23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23D" w14:textId="77777777" w:rsidR="008A3BAC" w:rsidRDefault="008A3BAC">
            <w:pPr>
              <w:rPr>
                <w:rFonts w:ascii="宋体"/>
              </w:rPr>
            </w:pPr>
          </w:p>
        </w:tc>
        <w:tc>
          <w:tcPr>
            <w:tcW w:w="0" w:type="auto"/>
            <w:shd w:val="clear" w:color="auto" w:fill="auto"/>
            <w:vAlign w:val="bottom"/>
          </w:tcPr>
          <w:p w14:paraId="26E9E23E" w14:textId="77777777" w:rsidR="008A3BAC" w:rsidRDefault="008A3BAC">
            <w:pPr>
              <w:rPr>
                <w:rFonts w:ascii="宋体"/>
                <w:vanish/>
              </w:rPr>
            </w:pPr>
          </w:p>
        </w:tc>
        <w:tc>
          <w:tcPr>
            <w:tcW w:w="0" w:type="auto"/>
            <w:shd w:val="clear" w:color="auto" w:fill="auto"/>
            <w:vAlign w:val="bottom"/>
          </w:tcPr>
          <w:p w14:paraId="26E9E23F" w14:textId="77777777" w:rsidR="008A3BAC" w:rsidRDefault="008A3BAC">
            <w:pPr>
              <w:rPr>
                <w:rFonts w:ascii="宋体"/>
                <w:vanish/>
              </w:rPr>
            </w:pPr>
          </w:p>
        </w:tc>
        <w:tc>
          <w:tcPr>
            <w:tcW w:w="0" w:type="auto"/>
            <w:gridSpan w:val="3"/>
            <w:shd w:val="clear" w:color="auto" w:fill="auto"/>
            <w:vAlign w:val="bottom"/>
          </w:tcPr>
          <w:p w14:paraId="26E9E240" w14:textId="77777777" w:rsidR="008A3BAC" w:rsidRDefault="008A3BAC">
            <w:pPr>
              <w:rPr>
                <w:rFonts w:ascii="宋体"/>
                <w:vanish/>
              </w:rPr>
            </w:pPr>
          </w:p>
        </w:tc>
        <w:tc>
          <w:tcPr>
            <w:tcW w:w="0" w:type="auto"/>
            <w:gridSpan w:val="3"/>
            <w:shd w:val="clear" w:color="auto" w:fill="auto"/>
            <w:vAlign w:val="bottom"/>
          </w:tcPr>
          <w:p w14:paraId="26E9E241" w14:textId="77777777" w:rsidR="008A3BAC" w:rsidRDefault="008A3BAC">
            <w:pPr>
              <w:rPr>
                <w:rFonts w:ascii="宋体"/>
                <w:vanish/>
              </w:rPr>
            </w:pPr>
          </w:p>
        </w:tc>
        <w:tc>
          <w:tcPr>
            <w:tcW w:w="0" w:type="auto"/>
            <w:gridSpan w:val="3"/>
            <w:shd w:val="clear" w:color="auto" w:fill="auto"/>
            <w:vAlign w:val="bottom"/>
          </w:tcPr>
          <w:p w14:paraId="26E9E242" w14:textId="77777777" w:rsidR="008A3BAC" w:rsidRDefault="008A3BAC">
            <w:pPr>
              <w:rPr>
                <w:rFonts w:ascii="宋体"/>
                <w:vanish/>
              </w:rPr>
            </w:pPr>
          </w:p>
        </w:tc>
      </w:tr>
    </w:tbl>
    <w:p w14:paraId="26E9E244" w14:textId="77777777" w:rsidR="008A3BAC" w:rsidRDefault="005C75B9">
      <w:pPr>
        <w:spacing w:before="120"/>
      </w:pPr>
      <w:r>
        <w:rPr>
          <w:rFonts w:ascii="sans-serif" w:eastAsia="sans-serif" w:hAnsi="sans-serif" w:cs="sans-serif"/>
          <w:b/>
          <w:bCs/>
          <w:color w:val="808080"/>
          <w:sz w:val="22"/>
          <w:szCs w:val="22"/>
        </w:rPr>
        <w:t>THIRD QUARTER OF FISCAL 2022 COMPARED TO THIRD QUA</w:t>
      </w:r>
      <w:r>
        <w:rPr>
          <w:rFonts w:ascii="sans-serif" w:eastAsia="sans-serif" w:hAnsi="sans-serif" w:cs="sans-serif"/>
          <w:b/>
          <w:bCs/>
          <w:color w:val="808080"/>
          <w:sz w:val="22"/>
          <w:szCs w:val="22"/>
        </w:rPr>
        <w:t>RTER OF FISCAL 2021</w:t>
      </w:r>
    </w:p>
    <w:p w14:paraId="26E9E245" w14:textId="77777777" w:rsidR="008A3BAC" w:rsidRDefault="005C75B9">
      <w:pPr>
        <w:spacing w:after="120"/>
      </w:pPr>
      <w:r>
        <w:rPr>
          <w:rFonts w:ascii="Arial" w:eastAsia="宋体" w:hAnsi="Arial" w:cs="Arial"/>
          <w:color w:val="000000"/>
          <w:sz w:val="17"/>
          <w:szCs w:val="17"/>
        </w:rPr>
        <w:t>On a currency-neutral basis, EMEA revenues for the third quarter of fiscal 2022 increased 13%, primarily driven by growth in Men's. NIKE Direct revenues increased 22% primarily due to comparable store sales growth of 46%, in part due to</w:t>
      </w:r>
      <w:r>
        <w:rPr>
          <w:rFonts w:ascii="Arial" w:eastAsia="宋体" w:hAnsi="Arial" w:cs="Arial"/>
          <w:color w:val="000000"/>
          <w:sz w:val="17"/>
          <w:szCs w:val="17"/>
        </w:rPr>
        <w:t xml:space="preserve"> improved physical retail traffic, digital sales growth of 11% and the addition of new stores.</w:t>
      </w:r>
    </w:p>
    <w:p w14:paraId="26E9E246" w14:textId="77777777" w:rsidR="008A3BAC" w:rsidRDefault="005C75B9">
      <w:pPr>
        <w:spacing w:before="120" w:after="120"/>
        <w:jc w:val="right"/>
      </w:pPr>
      <w:r>
        <w:rPr>
          <w:rFonts w:ascii="Arial" w:eastAsia="宋体" w:hAnsi="Arial" w:cs="Arial"/>
          <w:color w:val="E87722"/>
          <w:sz w:val="17"/>
          <w:szCs w:val="17"/>
        </w:rPr>
        <w:t>35</w:t>
      </w:r>
    </w:p>
    <w:p w14:paraId="26E9E247" w14:textId="77777777" w:rsidR="008A3BAC" w:rsidRDefault="005C75B9">
      <w:r>
        <w:pict w14:anchorId="26E9E86A">
          <v:rect id="_x0000_i1061" style="width:415.3pt;height:1.5pt" o:hralign="center" o:hrstd="t" o:hr="t" fillcolor="#a0a0a0" stroked="f"/>
        </w:pict>
      </w:r>
    </w:p>
    <w:p w14:paraId="26E9E248" w14:textId="77777777" w:rsidR="008A3BAC" w:rsidRDefault="008A3BAC"/>
    <w:p w14:paraId="26E9E249" w14:textId="77777777" w:rsidR="008A3BAC" w:rsidRDefault="005C75B9">
      <w:hyperlink r:id="rId106" w:anchor="i46aba51c6a804f42b3595948c57d2023_7" w:history="1">
        <w:r>
          <w:rPr>
            <w:rStyle w:val="a5"/>
            <w:rFonts w:ascii="sans-serif" w:eastAsia="sans-serif" w:hAnsi="sans-serif" w:cs="sans-serif"/>
            <w:sz w:val="17"/>
            <w:szCs w:val="17"/>
          </w:rPr>
          <w:t>Table of Contents</w:t>
        </w:r>
      </w:hyperlink>
    </w:p>
    <w:p w14:paraId="26E9E24A" w14:textId="77777777" w:rsidR="008A3BAC" w:rsidRDefault="008A3BAC"/>
    <w:p w14:paraId="26E9E24B" w14:textId="77777777" w:rsidR="008A3BAC" w:rsidRDefault="005C75B9">
      <w:pPr>
        <w:spacing w:before="120" w:after="120"/>
      </w:pPr>
      <w:r>
        <w:rPr>
          <w:rFonts w:ascii="Arial" w:eastAsia="宋体" w:hAnsi="Arial" w:cs="Arial"/>
          <w:color w:val="000000"/>
          <w:sz w:val="17"/>
          <w:szCs w:val="17"/>
        </w:rPr>
        <w:t xml:space="preserve">Currency-neutral footwear revenues increased 4%, driven by growth in NIKE </w:t>
      </w:r>
      <w:r>
        <w:rPr>
          <w:rFonts w:ascii="Arial" w:eastAsia="宋体" w:hAnsi="Arial" w:cs="Arial"/>
          <w:color w:val="000000"/>
          <w:sz w:val="17"/>
          <w:szCs w:val="17"/>
        </w:rPr>
        <w:t>Direct, partially offset by declines in our wholesale business. Unit sales of footwear decreased 6%, while higher ASP per pair contributed approximately 10 percentage points of footwear revenue growth. Higher ASP per pair was primarily due to higher full-p</w:t>
      </w:r>
      <w:r>
        <w:rPr>
          <w:rFonts w:ascii="Arial" w:eastAsia="宋体" w:hAnsi="Arial" w:cs="Arial"/>
          <w:color w:val="000000"/>
          <w:sz w:val="17"/>
          <w:szCs w:val="17"/>
        </w:rPr>
        <w:t>rice and NIKE Direct ASPs as well as a higher mix of full-price sales.</w:t>
      </w:r>
    </w:p>
    <w:p w14:paraId="26E9E24C" w14:textId="77777777" w:rsidR="008A3BAC" w:rsidRDefault="005C75B9">
      <w:pPr>
        <w:spacing w:before="120" w:after="120"/>
      </w:pPr>
      <w:r>
        <w:rPr>
          <w:rFonts w:ascii="Arial" w:eastAsia="宋体" w:hAnsi="Arial" w:cs="Arial"/>
          <w:color w:val="000000"/>
          <w:sz w:val="17"/>
          <w:szCs w:val="17"/>
        </w:rPr>
        <w:t>Currency-neutral apparel revenues increased 28% due primarily to higher revenues in Men's. Unit sales of apparel increased 19%, while higher ASP per unit contributed approximately 9 per</w:t>
      </w:r>
      <w:r>
        <w:rPr>
          <w:rFonts w:ascii="Arial" w:eastAsia="宋体" w:hAnsi="Arial" w:cs="Arial"/>
          <w:color w:val="000000"/>
          <w:sz w:val="17"/>
          <w:szCs w:val="17"/>
        </w:rPr>
        <w:t>centage points of apparel revenue growth, primarily due to higher full-price and NIKE Direct ASPs as well as a higher mix of full-price sales.</w:t>
      </w:r>
    </w:p>
    <w:p w14:paraId="26E9E24D" w14:textId="77777777" w:rsidR="008A3BAC" w:rsidRDefault="005C75B9">
      <w:pPr>
        <w:spacing w:before="120" w:after="120"/>
      </w:pPr>
      <w:r>
        <w:rPr>
          <w:rFonts w:ascii="Arial" w:eastAsia="宋体" w:hAnsi="Arial" w:cs="Arial"/>
          <w:color w:val="000000"/>
          <w:sz w:val="17"/>
          <w:szCs w:val="17"/>
        </w:rPr>
        <w:t>Reported EBIT increased 34% as higher revenues and gross margin expansion more than offset higher selling and adm</w:t>
      </w:r>
      <w:r>
        <w:rPr>
          <w:rFonts w:ascii="Arial" w:eastAsia="宋体" w:hAnsi="Arial" w:cs="Arial"/>
          <w:color w:val="000000"/>
          <w:sz w:val="17"/>
          <w:szCs w:val="17"/>
        </w:rPr>
        <w:t>inistrative expense. Gross margin increased approximately 590 basis points primarily due to favorable changes in standard foreign currency exchange rates, higher NIKE Direct margins and a higher mix of full-price sales. Selling and administrative expense i</w:t>
      </w:r>
      <w:r>
        <w:rPr>
          <w:rFonts w:ascii="Arial" w:eastAsia="宋体" w:hAnsi="Arial" w:cs="Arial"/>
          <w:color w:val="000000"/>
          <w:sz w:val="17"/>
          <w:szCs w:val="17"/>
        </w:rPr>
        <w:t xml:space="preserve">ncreased due to higher operating overhead and demand creation expense. Higher operating overhead expense was driven by higher strategic technology investments. Higher demand creation expense was primarily due to higher advertising and marketing expense. </w:t>
      </w:r>
    </w:p>
    <w:p w14:paraId="26E9E24E" w14:textId="77777777" w:rsidR="008A3BAC" w:rsidRDefault="005C75B9">
      <w:pPr>
        <w:spacing w:before="120"/>
      </w:pPr>
      <w:r>
        <w:rPr>
          <w:rFonts w:ascii="sans-serif" w:eastAsia="sans-serif" w:hAnsi="sans-serif" w:cs="sans-serif"/>
          <w:b/>
          <w:bCs/>
          <w:color w:val="808080"/>
          <w:sz w:val="22"/>
          <w:szCs w:val="22"/>
        </w:rPr>
        <w:t>F</w:t>
      </w:r>
      <w:r>
        <w:rPr>
          <w:rFonts w:ascii="sans-serif" w:eastAsia="sans-serif" w:hAnsi="sans-serif" w:cs="sans-serif"/>
          <w:b/>
          <w:bCs/>
          <w:color w:val="808080"/>
          <w:sz w:val="22"/>
          <w:szCs w:val="22"/>
        </w:rPr>
        <w:t>IRST NINE MONTHS OF FISCAL 2022 COMPARED TO FIRST NINE MONTHS OF FISCAL 2021</w:t>
      </w:r>
    </w:p>
    <w:p w14:paraId="26E9E24F" w14:textId="77777777" w:rsidR="008A3BAC" w:rsidRDefault="005C75B9">
      <w:pPr>
        <w:spacing w:after="120"/>
      </w:pPr>
      <w:r>
        <w:rPr>
          <w:rFonts w:ascii="Arial" w:eastAsia="宋体" w:hAnsi="Arial" w:cs="Arial"/>
          <w:color w:val="000000"/>
          <w:sz w:val="17"/>
          <w:szCs w:val="17"/>
        </w:rPr>
        <w:t>On a currency-neutral basis, EMEA revenues for the first nine months of fiscal 2022 increased 9%, due primarily to higher revenues in Men’s. NIKE Direct revenues increased 12% pri</w:t>
      </w:r>
      <w:r>
        <w:rPr>
          <w:rFonts w:ascii="Arial" w:eastAsia="宋体" w:hAnsi="Arial" w:cs="Arial"/>
          <w:color w:val="000000"/>
          <w:sz w:val="17"/>
          <w:szCs w:val="17"/>
        </w:rPr>
        <w:t>marily due to comparable store sales growth of 22%, in part due to improved physical retail traffic, digital sales growth of 4% and the addition of new stores.</w:t>
      </w:r>
    </w:p>
    <w:p w14:paraId="26E9E250" w14:textId="77777777" w:rsidR="008A3BAC" w:rsidRDefault="005C75B9">
      <w:pPr>
        <w:spacing w:before="120" w:after="120"/>
      </w:pPr>
      <w:r>
        <w:rPr>
          <w:rFonts w:ascii="Arial" w:eastAsia="宋体" w:hAnsi="Arial" w:cs="Arial"/>
          <w:color w:val="000000"/>
          <w:sz w:val="17"/>
          <w:szCs w:val="17"/>
        </w:rPr>
        <w:t>Currency-neutral footwear revenues increased 4%, driven by growth in NIKE Direct and our wholesa</w:t>
      </w:r>
      <w:r>
        <w:rPr>
          <w:rFonts w:ascii="Arial" w:eastAsia="宋体" w:hAnsi="Arial" w:cs="Arial"/>
          <w:color w:val="000000"/>
          <w:sz w:val="17"/>
          <w:szCs w:val="17"/>
        </w:rPr>
        <w:t>le business. Unit sales of footwear decreased 4%, while higher ASP per pair contributed approximately 8 percentage points of footwear revenue growth. Higher ASP per pair was primarily due to higher NIKE Direct and full-price ASPs as well as a higher mix of</w:t>
      </w:r>
      <w:r>
        <w:rPr>
          <w:rFonts w:ascii="Arial" w:eastAsia="宋体" w:hAnsi="Arial" w:cs="Arial"/>
          <w:color w:val="000000"/>
          <w:sz w:val="17"/>
          <w:szCs w:val="17"/>
        </w:rPr>
        <w:t xml:space="preserve"> full-price sales.</w:t>
      </w:r>
    </w:p>
    <w:p w14:paraId="26E9E251" w14:textId="77777777" w:rsidR="008A3BAC" w:rsidRDefault="005C75B9">
      <w:pPr>
        <w:spacing w:before="120" w:after="120"/>
      </w:pPr>
      <w:r>
        <w:rPr>
          <w:rFonts w:ascii="Arial" w:eastAsia="宋体" w:hAnsi="Arial" w:cs="Arial"/>
          <w:color w:val="000000"/>
          <w:sz w:val="17"/>
          <w:szCs w:val="17"/>
        </w:rPr>
        <w:t>Currency-neutral apparel revenues increased 16% due primarily to higher revenues in Men's. Unit sales of apparel increased 8%, while higher ASP per unit contributed approximately 8 percentage points of apparel revenue growth, primarily d</w:t>
      </w:r>
      <w:r>
        <w:rPr>
          <w:rFonts w:ascii="Arial" w:eastAsia="宋体" w:hAnsi="Arial" w:cs="Arial"/>
          <w:color w:val="000000"/>
          <w:sz w:val="17"/>
          <w:szCs w:val="17"/>
        </w:rPr>
        <w:t>ue to higher NIKE Direct and full-price ASPs as well as a higher mix of full-price sales.</w:t>
      </w:r>
    </w:p>
    <w:p w14:paraId="26E9E252" w14:textId="77777777" w:rsidR="008A3BAC" w:rsidRDefault="005C75B9">
      <w:pPr>
        <w:spacing w:before="120" w:after="120"/>
      </w:pPr>
      <w:r>
        <w:rPr>
          <w:rFonts w:ascii="Arial" w:eastAsia="宋体" w:hAnsi="Arial" w:cs="Arial"/>
          <w:color w:val="000000"/>
          <w:sz w:val="17"/>
          <w:szCs w:val="17"/>
        </w:rPr>
        <w:t>Reported EBIT increased 27% as higher revenues and gross margin expansion more than offset higher selling and administrative expense. Gross margin increased approxima</w:t>
      </w:r>
      <w:r>
        <w:rPr>
          <w:rFonts w:ascii="Arial" w:eastAsia="宋体" w:hAnsi="Arial" w:cs="Arial"/>
          <w:color w:val="000000"/>
          <w:sz w:val="17"/>
          <w:szCs w:val="17"/>
        </w:rPr>
        <w:t>tely 500 basis points primarily due to higher NIKE Direct margins, favorable changes in standard foreign currency exchange rates and a higher mix of full-price sales, partially offset by higher product costs largely due to increased freight and logistics c</w:t>
      </w:r>
      <w:r>
        <w:rPr>
          <w:rFonts w:ascii="Arial" w:eastAsia="宋体" w:hAnsi="Arial" w:cs="Arial"/>
          <w:color w:val="000000"/>
          <w:sz w:val="17"/>
          <w:szCs w:val="17"/>
        </w:rPr>
        <w:t>osts. Selling and administrative expense increased due to higher demand creation and operating overhead expense. Higher demand creation expense was driven by higher advertising and marketing expense. Higher operating overhead expense was primarily due to h</w:t>
      </w:r>
      <w:r>
        <w:rPr>
          <w:rFonts w:ascii="Arial" w:eastAsia="宋体" w:hAnsi="Arial" w:cs="Arial"/>
          <w:color w:val="000000"/>
          <w:sz w:val="17"/>
          <w:szCs w:val="17"/>
        </w:rPr>
        <w:t xml:space="preserve">igher wage-related expenses and higher strategic technology investments. </w:t>
      </w:r>
    </w:p>
    <w:p w14:paraId="26E9E253" w14:textId="77777777" w:rsidR="008A3BAC" w:rsidRDefault="005C75B9">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8A3BAC" w14:paraId="26E9E277" w14:textId="77777777">
        <w:tc>
          <w:tcPr>
            <w:tcW w:w="50" w:type="pct"/>
            <w:shd w:val="clear" w:color="auto" w:fill="auto"/>
            <w:vAlign w:val="bottom"/>
          </w:tcPr>
          <w:p w14:paraId="26E9E254" w14:textId="77777777" w:rsidR="008A3BAC" w:rsidRDefault="008A3BAC">
            <w:pPr>
              <w:rPr>
                <w:rFonts w:ascii="宋体"/>
              </w:rPr>
            </w:pPr>
          </w:p>
        </w:tc>
        <w:tc>
          <w:tcPr>
            <w:tcW w:w="1387" w:type="pct"/>
            <w:shd w:val="clear" w:color="auto" w:fill="auto"/>
            <w:vAlign w:val="bottom"/>
          </w:tcPr>
          <w:p w14:paraId="26E9E255" w14:textId="77777777" w:rsidR="008A3BAC" w:rsidRDefault="008A3BAC">
            <w:pPr>
              <w:rPr>
                <w:rFonts w:ascii="宋体"/>
              </w:rPr>
            </w:pPr>
          </w:p>
        </w:tc>
        <w:tc>
          <w:tcPr>
            <w:tcW w:w="5" w:type="pct"/>
            <w:shd w:val="clear" w:color="auto" w:fill="auto"/>
            <w:vAlign w:val="bottom"/>
          </w:tcPr>
          <w:p w14:paraId="26E9E256" w14:textId="77777777" w:rsidR="008A3BAC" w:rsidRDefault="008A3BAC">
            <w:pPr>
              <w:rPr>
                <w:rFonts w:ascii="宋体"/>
              </w:rPr>
            </w:pPr>
          </w:p>
        </w:tc>
        <w:tc>
          <w:tcPr>
            <w:tcW w:w="50" w:type="pct"/>
            <w:shd w:val="clear" w:color="auto" w:fill="auto"/>
            <w:vAlign w:val="bottom"/>
          </w:tcPr>
          <w:p w14:paraId="26E9E257" w14:textId="77777777" w:rsidR="008A3BAC" w:rsidRDefault="008A3BAC">
            <w:pPr>
              <w:rPr>
                <w:rFonts w:ascii="宋体"/>
              </w:rPr>
            </w:pPr>
          </w:p>
        </w:tc>
        <w:tc>
          <w:tcPr>
            <w:tcW w:w="384" w:type="pct"/>
            <w:shd w:val="clear" w:color="auto" w:fill="auto"/>
            <w:vAlign w:val="bottom"/>
          </w:tcPr>
          <w:p w14:paraId="26E9E258" w14:textId="77777777" w:rsidR="008A3BAC" w:rsidRDefault="008A3BAC">
            <w:pPr>
              <w:rPr>
                <w:rFonts w:ascii="宋体"/>
              </w:rPr>
            </w:pPr>
          </w:p>
        </w:tc>
        <w:tc>
          <w:tcPr>
            <w:tcW w:w="5" w:type="pct"/>
            <w:shd w:val="clear" w:color="auto" w:fill="auto"/>
            <w:vAlign w:val="bottom"/>
          </w:tcPr>
          <w:p w14:paraId="26E9E259" w14:textId="77777777" w:rsidR="008A3BAC" w:rsidRDefault="008A3BAC">
            <w:pPr>
              <w:rPr>
                <w:rFonts w:ascii="宋体"/>
              </w:rPr>
            </w:pPr>
          </w:p>
        </w:tc>
        <w:tc>
          <w:tcPr>
            <w:tcW w:w="50" w:type="pct"/>
            <w:shd w:val="clear" w:color="auto" w:fill="auto"/>
            <w:vAlign w:val="bottom"/>
          </w:tcPr>
          <w:p w14:paraId="26E9E25A" w14:textId="77777777" w:rsidR="008A3BAC" w:rsidRDefault="008A3BAC">
            <w:pPr>
              <w:rPr>
                <w:rFonts w:ascii="宋体"/>
              </w:rPr>
            </w:pPr>
          </w:p>
        </w:tc>
        <w:tc>
          <w:tcPr>
            <w:tcW w:w="384" w:type="pct"/>
            <w:shd w:val="clear" w:color="auto" w:fill="auto"/>
            <w:vAlign w:val="bottom"/>
          </w:tcPr>
          <w:p w14:paraId="26E9E25B" w14:textId="77777777" w:rsidR="008A3BAC" w:rsidRDefault="008A3BAC">
            <w:pPr>
              <w:rPr>
                <w:rFonts w:ascii="宋体"/>
              </w:rPr>
            </w:pPr>
          </w:p>
        </w:tc>
        <w:tc>
          <w:tcPr>
            <w:tcW w:w="5" w:type="pct"/>
            <w:shd w:val="clear" w:color="auto" w:fill="auto"/>
            <w:vAlign w:val="bottom"/>
          </w:tcPr>
          <w:p w14:paraId="26E9E25C" w14:textId="77777777" w:rsidR="008A3BAC" w:rsidRDefault="008A3BAC">
            <w:pPr>
              <w:rPr>
                <w:rFonts w:ascii="宋体"/>
              </w:rPr>
            </w:pPr>
          </w:p>
        </w:tc>
        <w:tc>
          <w:tcPr>
            <w:tcW w:w="50" w:type="pct"/>
            <w:shd w:val="clear" w:color="auto" w:fill="auto"/>
            <w:vAlign w:val="bottom"/>
          </w:tcPr>
          <w:p w14:paraId="26E9E25D" w14:textId="77777777" w:rsidR="008A3BAC" w:rsidRDefault="008A3BAC">
            <w:pPr>
              <w:rPr>
                <w:rFonts w:ascii="宋体"/>
              </w:rPr>
            </w:pPr>
          </w:p>
        </w:tc>
        <w:tc>
          <w:tcPr>
            <w:tcW w:w="384" w:type="pct"/>
            <w:shd w:val="clear" w:color="auto" w:fill="auto"/>
            <w:vAlign w:val="bottom"/>
          </w:tcPr>
          <w:p w14:paraId="26E9E25E" w14:textId="77777777" w:rsidR="008A3BAC" w:rsidRDefault="008A3BAC">
            <w:pPr>
              <w:rPr>
                <w:rFonts w:ascii="宋体"/>
              </w:rPr>
            </w:pPr>
          </w:p>
        </w:tc>
        <w:tc>
          <w:tcPr>
            <w:tcW w:w="5" w:type="pct"/>
            <w:shd w:val="clear" w:color="auto" w:fill="auto"/>
            <w:vAlign w:val="bottom"/>
          </w:tcPr>
          <w:p w14:paraId="26E9E25F" w14:textId="77777777" w:rsidR="008A3BAC" w:rsidRDefault="008A3BAC">
            <w:pPr>
              <w:rPr>
                <w:rFonts w:ascii="宋体"/>
              </w:rPr>
            </w:pPr>
          </w:p>
        </w:tc>
        <w:tc>
          <w:tcPr>
            <w:tcW w:w="50" w:type="pct"/>
            <w:shd w:val="clear" w:color="auto" w:fill="auto"/>
            <w:vAlign w:val="bottom"/>
          </w:tcPr>
          <w:p w14:paraId="26E9E260" w14:textId="77777777" w:rsidR="008A3BAC" w:rsidRDefault="008A3BAC">
            <w:pPr>
              <w:rPr>
                <w:rFonts w:ascii="宋体"/>
              </w:rPr>
            </w:pPr>
          </w:p>
        </w:tc>
        <w:tc>
          <w:tcPr>
            <w:tcW w:w="384" w:type="pct"/>
            <w:shd w:val="clear" w:color="auto" w:fill="auto"/>
            <w:vAlign w:val="bottom"/>
          </w:tcPr>
          <w:p w14:paraId="26E9E261" w14:textId="77777777" w:rsidR="008A3BAC" w:rsidRDefault="008A3BAC">
            <w:pPr>
              <w:rPr>
                <w:rFonts w:ascii="宋体"/>
              </w:rPr>
            </w:pPr>
          </w:p>
        </w:tc>
        <w:tc>
          <w:tcPr>
            <w:tcW w:w="5" w:type="pct"/>
            <w:shd w:val="clear" w:color="auto" w:fill="auto"/>
            <w:vAlign w:val="bottom"/>
          </w:tcPr>
          <w:p w14:paraId="26E9E262" w14:textId="77777777" w:rsidR="008A3BAC" w:rsidRDefault="008A3BAC">
            <w:pPr>
              <w:rPr>
                <w:rFonts w:ascii="宋体"/>
              </w:rPr>
            </w:pPr>
          </w:p>
        </w:tc>
        <w:tc>
          <w:tcPr>
            <w:tcW w:w="5" w:type="pct"/>
            <w:shd w:val="clear" w:color="auto" w:fill="auto"/>
            <w:vAlign w:val="bottom"/>
          </w:tcPr>
          <w:p w14:paraId="26E9E263" w14:textId="77777777" w:rsidR="008A3BAC" w:rsidRDefault="008A3BAC">
            <w:pPr>
              <w:rPr>
                <w:rFonts w:ascii="宋体"/>
              </w:rPr>
            </w:pPr>
          </w:p>
        </w:tc>
        <w:tc>
          <w:tcPr>
            <w:tcW w:w="28" w:type="pct"/>
            <w:shd w:val="clear" w:color="auto" w:fill="auto"/>
            <w:vAlign w:val="bottom"/>
          </w:tcPr>
          <w:p w14:paraId="26E9E264" w14:textId="77777777" w:rsidR="008A3BAC" w:rsidRDefault="008A3BAC">
            <w:pPr>
              <w:rPr>
                <w:rFonts w:ascii="宋体"/>
              </w:rPr>
            </w:pPr>
          </w:p>
        </w:tc>
        <w:tc>
          <w:tcPr>
            <w:tcW w:w="5" w:type="pct"/>
            <w:shd w:val="clear" w:color="auto" w:fill="auto"/>
            <w:vAlign w:val="bottom"/>
          </w:tcPr>
          <w:p w14:paraId="26E9E265" w14:textId="77777777" w:rsidR="008A3BAC" w:rsidRDefault="008A3BAC">
            <w:pPr>
              <w:rPr>
                <w:rFonts w:ascii="宋体"/>
              </w:rPr>
            </w:pPr>
          </w:p>
        </w:tc>
        <w:tc>
          <w:tcPr>
            <w:tcW w:w="50" w:type="pct"/>
            <w:shd w:val="clear" w:color="auto" w:fill="auto"/>
            <w:vAlign w:val="bottom"/>
          </w:tcPr>
          <w:p w14:paraId="26E9E266" w14:textId="77777777" w:rsidR="008A3BAC" w:rsidRDefault="008A3BAC">
            <w:pPr>
              <w:rPr>
                <w:rFonts w:ascii="宋体"/>
              </w:rPr>
            </w:pPr>
          </w:p>
        </w:tc>
        <w:tc>
          <w:tcPr>
            <w:tcW w:w="384" w:type="pct"/>
            <w:shd w:val="clear" w:color="auto" w:fill="auto"/>
            <w:vAlign w:val="bottom"/>
          </w:tcPr>
          <w:p w14:paraId="26E9E267" w14:textId="77777777" w:rsidR="008A3BAC" w:rsidRDefault="008A3BAC">
            <w:pPr>
              <w:rPr>
                <w:rFonts w:ascii="宋体"/>
              </w:rPr>
            </w:pPr>
          </w:p>
        </w:tc>
        <w:tc>
          <w:tcPr>
            <w:tcW w:w="5" w:type="pct"/>
            <w:shd w:val="clear" w:color="auto" w:fill="auto"/>
            <w:vAlign w:val="bottom"/>
          </w:tcPr>
          <w:p w14:paraId="26E9E268" w14:textId="77777777" w:rsidR="008A3BAC" w:rsidRDefault="008A3BAC">
            <w:pPr>
              <w:rPr>
                <w:rFonts w:ascii="宋体"/>
              </w:rPr>
            </w:pPr>
          </w:p>
        </w:tc>
        <w:tc>
          <w:tcPr>
            <w:tcW w:w="50" w:type="pct"/>
            <w:shd w:val="clear" w:color="auto" w:fill="auto"/>
            <w:vAlign w:val="bottom"/>
          </w:tcPr>
          <w:p w14:paraId="26E9E269" w14:textId="77777777" w:rsidR="008A3BAC" w:rsidRDefault="008A3BAC">
            <w:pPr>
              <w:rPr>
                <w:rFonts w:ascii="宋体"/>
              </w:rPr>
            </w:pPr>
          </w:p>
        </w:tc>
        <w:tc>
          <w:tcPr>
            <w:tcW w:w="384" w:type="pct"/>
            <w:shd w:val="clear" w:color="auto" w:fill="auto"/>
            <w:vAlign w:val="bottom"/>
          </w:tcPr>
          <w:p w14:paraId="26E9E26A" w14:textId="77777777" w:rsidR="008A3BAC" w:rsidRDefault="008A3BAC">
            <w:pPr>
              <w:rPr>
                <w:rFonts w:ascii="宋体"/>
              </w:rPr>
            </w:pPr>
          </w:p>
        </w:tc>
        <w:tc>
          <w:tcPr>
            <w:tcW w:w="5" w:type="pct"/>
            <w:shd w:val="clear" w:color="auto" w:fill="auto"/>
            <w:vAlign w:val="bottom"/>
          </w:tcPr>
          <w:p w14:paraId="26E9E26B" w14:textId="77777777" w:rsidR="008A3BAC" w:rsidRDefault="008A3BAC">
            <w:pPr>
              <w:rPr>
                <w:rFonts w:ascii="宋体"/>
              </w:rPr>
            </w:pPr>
          </w:p>
        </w:tc>
        <w:tc>
          <w:tcPr>
            <w:tcW w:w="50" w:type="pct"/>
            <w:shd w:val="clear" w:color="auto" w:fill="auto"/>
            <w:vAlign w:val="bottom"/>
          </w:tcPr>
          <w:p w14:paraId="26E9E26C" w14:textId="77777777" w:rsidR="008A3BAC" w:rsidRDefault="008A3BAC">
            <w:pPr>
              <w:rPr>
                <w:rFonts w:ascii="宋体"/>
              </w:rPr>
            </w:pPr>
          </w:p>
        </w:tc>
        <w:tc>
          <w:tcPr>
            <w:tcW w:w="384" w:type="pct"/>
            <w:shd w:val="clear" w:color="auto" w:fill="auto"/>
            <w:vAlign w:val="bottom"/>
          </w:tcPr>
          <w:p w14:paraId="26E9E26D" w14:textId="77777777" w:rsidR="008A3BAC" w:rsidRDefault="008A3BAC">
            <w:pPr>
              <w:rPr>
                <w:rFonts w:ascii="宋体"/>
              </w:rPr>
            </w:pPr>
          </w:p>
        </w:tc>
        <w:tc>
          <w:tcPr>
            <w:tcW w:w="5" w:type="pct"/>
            <w:shd w:val="clear" w:color="auto" w:fill="auto"/>
            <w:vAlign w:val="bottom"/>
          </w:tcPr>
          <w:p w14:paraId="26E9E26E" w14:textId="77777777" w:rsidR="008A3BAC" w:rsidRDefault="008A3BAC">
            <w:pPr>
              <w:rPr>
                <w:rFonts w:ascii="宋体"/>
              </w:rPr>
            </w:pPr>
          </w:p>
        </w:tc>
        <w:tc>
          <w:tcPr>
            <w:tcW w:w="50" w:type="pct"/>
            <w:shd w:val="clear" w:color="auto" w:fill="auto"/>
            <w:vAlign w:val="bottom"/>
          </w:tcPr>
          <w:p w14:paraId="26E9E26F" w14:textId="77777777" w:rsidR="008A3BAC" w:rsidRDefault="008A3BAC">
            <w:pPr>
              <w:rPr>
                <w:rFonts w:ascii="宋体"/>
              </w:rPr>
            </w:pPr>
          </w:p>
        </w:tc>
        <w:tc>
          <w:tcPr>
            <w:tcW w:w="384" w:type="pct"/>
            <w:shd w:val="clear" w:color="auto" w:fill="auto"/>
            <w:vAlign w:val="bottom"/>
          </w:tcPr>
          <w:p w14:paraId="26E9E270" w14:textId="77777777" w:rsidR="008A3BAC" w:rsidRDefault="008A3BAC">
            <w:pPr>
              <w:rPr>
                <w:rFonts w:ascii="宋体"/>
              </w:rPr>
            </w:pPr>
          </w:p>
        </w:tc>
        <w:tc>
          <w:tcPr>
            <w:tcW w:w="5" w:type="pct"/>
            <w:shd w:val="clear" w:color="auto" w:fill="auto"/>
            <w:vAlign w:val="bottom"/>
          </w:tcPr>
          <w:p w14:paraId="26E9E271" w14:textId="77777777" w:rsidR="008A3BAC" w:rsidRDefault="008A3BAC">
            <w:pPr>
              <w:rPr>
                <w:rFonts w:ascii="宋体"/>
              </w:rPr>
            </w:pPr>
          </w:p>
        </w:tc>
        <w:tc>
          <w:tcPr>
            <w:tcW w:w="0" w:type="auto"/>
            <w:shd w:val="clear" w:color="auto" w:fill="auto"/>
            <w:vAlign w:val="bottom"/>
          </w:tcPr>
          <w:p w14:paraId="26E9E272" w14:textId="77777777" w:rsidR="008A3BAC" w:rsidRDefault="008A3BAC">
            <w:pPr>
              <w:rPr>
                <w:rFonts w:ascii="宋体"/>
                <w:vanish/>
              </w:rPr>
            </w:pPr>
          </w:p>
        </w:tc>
        <w:tc>
          <w:tcPr>
            <w:tcW w:w="0" w:type="auto"/>
            <w:shd w:val="clear" w:color="auto" w:fill="auto"/>
            <w:vAlign w:val="bottom"/>
          </w:tcPr>
          <w:p w14:paraId="26E9E273" w14:textId="77777777" w:rsidR="008A3BAC" w:rsidRDefault="008A3BAC">
            <w:pPr>
              <w:rPr>
                <w:rFonts w:ascii="宋体"/>
                <w:vanish/>
              </w:rPr>
            </w:pPr>
          </w:p>
        </w:tc>
        <w:tc>
          <w:tcPr>
            <w:tcW w:w="0" w:type="auto"/>
            <w:gridSpan w:val="3"/>
            <w:shd w:val="clear" w:color="auto" w:fill="auto"/>
            <w:vAlign w:val="bottom"/>
          </w:tcPr>
          <w:p w14:paraId="26E9E274" w14:textId="77777777" w:rsidR="008A3BAC" w:rsidRDefault="008A3BAC">
            <w:pPr>
              <w:rPr>
                <w:rFonts w:ascii="宋体"/>
                <w:vanish/>
              </w:rPr>
            </w:pPr>
          </w:p>
        </w:tc>
        <w:tc>
          <w:tcPr>
            <w:tcW w:w="0" w:type="auto"/>
            <w:gridSpan w:val="3"/>
            <w:shd w:val="clear" w:color="auto" w:fill="auto"/>
            <w:vAlign w:val="bottom"/>
          </w:tcPr>
          <w:p w14:paraId="26E9E275" w14:textId="77777777" w:rsidR="008A3BAC" w:rsidRDefault="008A3BAC">
            <w:pPr>
              <w:rPr>
                <w:rFonts w:ascii="宋体"/>
                <w:vanish/>
              </w:rPr>
            </w:pPr>
          </w:p>
        </w:tc>
        <w:tc>
          <w:tcPr>
            <w:tcW w:w="0" w:type="auto"/>
            <w:gridSpan w:val="3"/>
            <w:shd w:val="clear" w:color="auto" w:fill="auto"/>
            <w:vAlign w:val="bottom"/>
          </w:tcPr>
          <w:p w14:paraId="26E9E276" w14:textId="77777777" w:rsidR="008A3BAC" w:rsidRDefault="008A3BAC">
            <w:pPr>
              <w:rPr>
                <w:rFonts w:ascii="宋体"/>
                <w:vanish/>
              </w:rPr>
            </w:pPr>
          </w:p>
        </w:tc>
      </w:tr>
      <w:tr w:rsidR="008A3BAC" w14:paraId="26E9E287" w14:textId="77777777">
        <w:tc>
          <w:tcPr>
            <w:tcW w:w="0" w:type="auto"/>
            <w:gridSpan w:val="3"/>
            <w:shd w:val="clear" w:color="auto" w:fill="auto"/>
            <w:tcMar>
              <w:top w:w="0" w:type="dxa"/>
              <w:left w:w="20" w:type="dxa"/>
              <w:bottom w:w="0" w:type="dxa"/>
              <w:right w:w="20" w:type="dxa"/>
            </w:tcMar>
            <w:vAlign w:val="bottom"/>
          </w:tcPr>
          <w:p w14:paraId="26E9E278"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279"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27A"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27B"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E27C" w14:textId="77777777" w:rsidR="008A3BAC" w:rsidRDefault="008A3BAC">
            <w:pPr>
              <w:rPr>
                <w:rFonts w:ascii="宋体"/>
                <w:vanish/>
              </w:rPr>
            </w:pPr>
          </w:p>
        </w:tc>
        <w:tc>
          <w:tcPr>
            <w:tcW w:w="0" w:type="auto"/>
            <w:shd w:val="clear" w:color="auto" w:fill="auto"/>
            <w:vAlign w:val="bottom"/>
          </w:tcPr>
          <w:p w14:paraId="26E9E27D" w14:textId="77777777" w:rsidR="008A3BAC" w:rsidRDefault="008A3BAC">
            <w:pPr>
              <w:rPr>
                <w:rFonts w:ascii="宋体"/>
                <w:vanish/>
              </w:rPr>
            </w:pPr>
          </w:p>
        </w:tc>
        <w:tc>
          <w:tcPr>
            <w:tcW w:w="0" w:type="auto"/>
            <w:shd w:val="clear" w:color="auto" w:fill="auto"/>
            <w:vAlign w:val="bottom"/>
          </w:tcPr>
          <w:p w14:paraId="26E9E27E" w14:textId="77777777" w:rsidR="008A3BAC" w:rsidRDefault="008A3BAC">
            <w:pPr>
              <w:rPr>
                <w:rFonts w:ascii="宋体"/>
              </w:rPr>
            </w:pPr>
          </w:p>
        </w:tc>
        <w:tc>
          <w:tcPr>
            <w:tcW w:w="0" w:type="auto"/>
            <w:shd w:val="clear" w:color="auto" w:fill="auto"/>
            <w:vAlign w:val="bottom"/>
          </w:tcPr>
          <w:p w14:paraId="26E9E27F" w14:textId="77777777" w:rsidR="008A3BAC" w:rsidRDefault="008A3BAC">
            <w:pPr>
              <w:rPr>
                <w:rFonts w:ascii="宋体"/>
              </w:rPr>
            </w:pPr>
          </w:p>
        </w:tc>
        <w:tc>
          <w:tcPr>
            <w:tcW w:w="0" w:type="auto"/>
            <w:shd w:val="clear" w:color="auto" w:fill="auto"/>
            <w:vAlign w:val="bottom"/>
          </w:tcPr>
          <w:p w14:paraId="26E9E280" w14:textId="77777777" w:rsidR="008A3BAC" w:rsidRDefault="008A3BAC">
            <w:pPr>
              <w:rPr>
                <w:rFonts w:ascii="宋体"/>
              </w:rPr>
            </w:pPr>
          </w:p>
        </w:tc>
        <w:tc>
          <w:tcPr>
            <w:tcW w:w="0" w:type="auto"/>
            <w:shd w:val="clear" w:color="auto" w:fill="auto"/>
            <w:vAlign w:val="bottom"/>
          </w:tcPr>
          <w:p w14:paraId="26E9E281" w14:textId="77777777" w:rsidR="008A3BAC" w:rsidRDefault="008A3BAC">
            <w:pPr>
              <w:rPr>
                <w:rFonts w:ascii="宋体"/>
              </w:rPr>
            </w:pPr>
          </w:p>
        </w:tc>
        <w:tc>
          <w:tcPr>
            <w:tcW w:w="0" w:type="auto"/>
            <w:shd w:val="clear" w:color="auto" w:fill="auto"/>
            <w:vAlign w:val="bottom"/>
          </w:tcPr>
          <w:p w14:paraId="26E9E282" w14:textId="77777777" w:rsidR="008A3BAC" w:rsidRDefault="008A3BAC">
            <w:pPr>
              <w:rPr>
                <w:rFonts w:ascii="宋体"/>
              </w:rPr>
            </w:pPr>
          </w:p>
        </w:tc>
        <w:tc>
          <w:tcPr>
            <w:tcW w:w="0" w:type="auto"/>
            <w:shd w:val="clear" w:color="auto" w:fill="auto"/>
            <w:vAlign w:val="bottom"/>
          </w:tcPr>
          <w:p w14:paraId="26E9E283" w14:textId="77777777" w:rsidR="008A3BAC" w:rsidRDefault="008A3BAC">
            <w:pPr>
              <w:rPr>
                <w:rFonts w:ascii="宋体"/>
              </w:rPr>
            </w:pPr>
          </w:p>
        </w:tc>
        <w:tc>
          <w:tcPr>
            <w:tcW w:w="0" w:type="auto"/>
            <w:shd w:val="clear" w:color="auto" w:fill="auto"/>
            <w:vAlign w:val="bottom"/>
          </w:tcPr>
          <w:p w14:paraId="26E9E284" w14:textId="77777777" w:rsidR="008A3BAC" w:rsidRDefault="008A3BAC">
            <w:pPr>
              <w:rPr>
                <w:rFonts w:ascii="宋体"/>
              </w:rPr>
            </w:pPr>
          </w:p>
        </w:tc>
        <w:tc>
          <w:tcPr>
            <w:tcW w:w="0" w:type="auto"/>
            <w:shd w:val="clear" w:color="auto" w:fill="auto"/>
            <w:vAlign w:val="bottom"/>
          </w:tcPr>
          <w:p w14:paraId="26E9E285" w14:textId="77777777" w:rsidR="008A3BAC" w:rsidRDefault="008A3BAC">
            <w:pPr>
              <w:rPr>
                <w:rFonts w:ascii="宋体"/>
              </w:rPr>
            </w:pPr>
          </w:p>
        </w:tc>
        <w:tc>
          <w:tcPr>
            <w:tcW w:w="0" w:type="auto"/>
            <w:shd w:val="clear" w:color="auto" w:fill="auto"/>
            <w:vAlign w:val="bottom"/>
          </w:tcPr>
          <w:p w14:paraId="26E9E286" w14:textId="77777777" w:rsidR="008A3BAC" w:rsidRDefault="008A3BAC">
            <w:pPr>
              <w:rPr>
                <w:rFonts w:ascii="宋体"/>
              </w:rPr>
            </w:pPr>
          </w:p>
        </w:tc>
      </w:tr>
      <w:tr w:rsidR="008A3BAC" w14:paraId="26E9E297" w14:textId="77777777">
        <w:tc>
          <w:tcPr>
            <w:tcW w:w="0" w:type="auto"/>
            <w:gridSpan w:val="3"/>
            <w:shd w:val="clear" w:color="auto" w:fill="auto"/>
            <w:tcMar>
              <w:top w:w="40" w:type="dxa"/>
              <w:left w:w="20" w:type="dxa"/>
              <w:bottom w:w="40" w:type="dxa"/>
              <w:right w:w="20" w:type="dxa"/>
            </w:tcMar>
            <w:vAlign w:val="bottom"/>
          </w:tcPr>
          <w:p w14:paraId="26E9E288"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9"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A"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B"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C"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6E9E28D"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E"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8F"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90"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91"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6E9E292" w14:textId="77777777" w:rsidR="008A3BAC" w:rsidRDefault="008A3BAC">
            <w:pPr>
              <w:rPr>
                <w:rFonts w:ascii="宋体"/>
                <w:vanish/>
              </w:rPr>
            </w:pPr>
          </w:p>
        </w:tc>
        <w:tc>
          <w:tcPr>
            <w:tcW w:w="0" w:type="auto"/>
            <w:shd w:val="clear" w:color="auto" w:fill="auto"/>
            <w:vAlign w:val="bottom"/>
          </w:tcPr>
          <w:p w14:paraId="26E9E293" w14:textId="77777777" w:rsidR="008A3BAC" w:rsidRDefault="008A3BAC">
            <w:pPr>
              <w:rPr>
                <w:rFonts w:ascii="宋体"/>
                <w:vanish/>
              </w:rPr>
            </w:pPr>
          </w:p>
        </w:tc>
        <w:tc>
          <w:tcPr>
            <w:tcW w:w="0" w:type="auto"/>
            <w:gridSpan w:val="3"/>
            <w:shd w:val="clear" w:color="auto" w:fill="auto"/>
            <w:vAlign w:val="bottom"/>
          </w:tcPr>
          <w:p w14:paraId="26E9E294" w14:textId="77777777" w:rsidR="008A3BAC" w:rsidRDefault="008A3BAC">
            <w:pPr>
              <w:rPr>
                <w:rFonts w:ascii="宋体"/>
                <w:vanish/>
              </w:rPr>
            </w:pPr>
          </w:p>
        </w:tc>
        <w:tc>
          <w:tcPr>
            <w:tcW w:w="0" w:type="auto"/>
            <w:gridSpan w:val="3"/>
            <w:shd w:val="clear" w:color="auto" w:fill="auto"/>
            <w:vAlign w:val="bottom"/>
          </w:tcPr>
          <w:p w14:paraId="26E9E295" w14:textId="77777777" w:rsidR="008A3BAC" w:rsidRDefault="008A3BAC">
            <w:pPr>
              <w:rPr>
                <w:rFonts w:ascii="宋体"/>
                <w:vanish/>
              </w:rPr>
            </w:pPr>
          </w:p>
        </w:tc>
        <w:tc>
          <w:tcPr>
            <w:tcW w:w="0" w:type="auto"/>
            <w:gridSpan w:val="3"/>
            <w:shd w:val="clear" w:color="auto" w:fill="auto"/>
            <w:vAlign w:val="bottom"/>
          </w:tcPr>
          <w:p w14:paraId="26E9E296" w14:textId="77777777" w:rsidR="008A3BAC" w:rsidRDefault="008A3BAC">
            <w:pPr>
              <w:rPr>
                <w:rFonts w:ascii="宋体"/>
                <w:vanish/>
              </w:rPr>
            </w:pPr>
          </w:p>
        </w:tc>
      </w:tr>
      <w:tr w:rsidR="008A3BAC" w14:paraId="26E9E2A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98"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29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9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9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9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9D"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29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9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A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A1" w14:textId="77777777" w:rsidR="008A3BAC" w:rsidRDefault="008A3BAC">
            <w:pPr>
              <w:rPr>
                <w:rFonts w:ascii="宋体"/>
              </w:rPr>
            </w:pPr>
          </w:p>
        </w:tc>
        <w:tc>
          <w:tcPr>
            <w:tcW w:w="0" w:type="auto"/>
            <w:shd w:val="clear" w:color="auto" w:fill="auto"/>
            <w:vAlign w:val="bottom"/>
          </w:tcPr>
          <w:p w14:paraId="26E9E2A2" w14:textId="77777777" w:rsidR="008A3BAC" w:rsidRDefault="008A3BAC">
            <w:pPr>
              <w:rPr>
                <w:rFonts w:ascii="宋体"/>
                <w:vanish/>
              </w:rPr>
            </w:pPr>
          </w:p>
        </w:tc>
        <w:tc>
          <w:tcPr>
            <w:tcW w:w="0" w:type="auto"/>
            <w:shd w:val="clear" w:color="auto" w:fill="auto"/>
            <w:vAlign w:val="bottom"/>
          </w:tcPr>
          <w:p w14:paraId="26E9E2A3" w14:textId="77777777" w:rsidR="008A3BAC" w:rsidRDefault="008A3BAC">
            <w:pPr>
              <w:rPr>
                <w:rFonts w:ascii="宋体"/>
                <w:vanish/>
              </w:rPr>
            </w:pPr>
          </w:p>
        </w:tc>
        <w:tc>
          <w:tcPr>
            <w:tcW w:w="0" w:type="auto"/>
            <w:gridSpan w:val="3"/>
            <w:shd w:val="clear" w:color="auto" w:fill="auto"/>
            <w:vAlign w:val="bottom"/>
          </w:tcPr>
          <w:p w14:paraId="26E9E2A4" w14:textId="77777777" w:rsidR="008A3BAC" w:rsidRDefault="008A3BAC">
            <w:pPr>
              <w:rPr>
                <w:rFonts w:ascii="宋体"/>
                <w:vanish/>
              </w:rPr>
            </w:pPr>
          </w:p>
        </w:tc>
        <w:tc>
          <w:tcPr>
            <w:tcW w:w="0" w:type="auto"/>
            <w:gridSpan w:val="3"/>
            <w:shd w:val="clear" w:color="auto" w:fill="auto"/>
            <w:vAlign w:val="bottom"/>
          </w:tcPr>
          <w:p w14:paraId="26E9E2A5" w14:textId="77777777" w:rsidR="008A3BAC" w:rsidRDefault="008A3BAC">
            <w:pPr>
              <w:rPr>
                <w:rFonts w:ascii="宋体"/>
                <w:vanish/>
              </w:rPr>
            </w:pPr>
          </w:p>
        </w:tc>
        <w:tc>
          <w:tcPr>
            <w:tcW w:w="0" w:type="auto"/>
            <w:gridSpan w:val="3"/>
            <w:shd w:val="clear" w:color="auto" w:fill="auto"/>
            <w:vAlign w:val="bottom"/>
          </w:tcPr>
          <w:p w14:paraId="26E9E2A6" w14:textId="77777777" w:rsidR="008A3BAC" w:rsidRDefault="008A3BAC">
            <w:pPr>
              <w:rPr>
                <w:rFonts w:ascii="宋体"/>
                <w:vanish/>
              </w:rPr>
            </w:pPr>
          </w:p>
        </w:tc>
      </w:tr>
      <w:tr w:rsidR="008A3BAC" w14:paraId="26E9E2C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2A8"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2A9"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2AA" w14:textId="77777777" w:rsidR="008A3BAC" w:rsidRDefault="005C75B9">
            <w:pPr>
              <w:jc w:val="right"/>
              <w:textAlignment w:val="bottom"/>
            </w:pPr>
            <w:r>
              <w:rPr>
                <w:rFonts w:ascii="Arial" w:eastAsia="宋体" w:hAnsi="Arial" w:cs="Arial"/>
                <w:color w:val="000000"/>
                <w:sz w:val="17"/>
                <w:szCs w:val="17"/>
              </w:rPr>
              <w:t>1,554 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AB"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2A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2AD" w14:textId="77777777" w:rsidR="008A3BAC" w:rsidRDefault="005C75B9">
            <w:pPr>
              <w:jc w:val="right"/>
              <w:textAlignment w:val="bottom"/>
            </w:pPr>
            <w:r>
              <w:rPr>
                <w:rFonts w:ascii="Arial" w:eastAsia="宋体" w:hAnsi="Arial" w:cs="Arial"/>
                <w:color w:val="000000"/>
                <w:sz w:val="17"/>
                <w:szCs w:val="17"/>
              </w:rPr>
              <w:t>1,614 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A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AF"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B0"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B1"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B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2B3"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2B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2B5" w14:textId="77777777" w:rsidR="008A3BAC" w:rsidRDefault="005C75B9">
            <w:pPr>
              <w:jc w:val="right"/>
              <w:textAlignment w:val="bottom"/>
            </w:pPr>
            <w:r>
              <w:rPr>
                <w:rFonts w:ascii="Arial" w:eastAsia="宋体" w:hAnsi="Arial" w:cs="Arial"/>
                <w:color w:val="000000"/>
                <w:sz w:val="17"/>
                <w:szCs w:val="17"/>
              </w:rPr>
              <w:t>4,238 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B6"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2B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2B8" w14:textId="77777777" w:rsidR="008A3BAC" w:rsidRDefault="005C75B9">
            <w:pPr>
              <w:jc w:val="right"/>
              <w:textAlignment w:val="bottom"/>
            </w:pPr>
            <w:r>
              <w:rPr>
                <w:rFonts w:ascii="Arial" w:eastAsia="宋体" w:hAnsi="Arial" w:cs="Arial"/>
                <w:color w:val="000000"/>
                <w:sz w:val="17"/>
                <w:szCs w:val="17"/>
              </w:rPr>
              <w:t>4,432 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B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BA"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B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BC"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BD"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2BE" w14:textId="77777777" w:rsidR="008A3BAC" w:rsidRDefault="008A3BAC">
            <w:pPr>
              <w:rPr>
                <w:rFonts w:ascii="宋体"/>
                <w:vanish/>
              </w:rPr>
            </w:pPr>
          </w:p>
        </w:tc>
        <w:tc>
          <w:tcPr>
            <w:tcW w:w="0" w:type="auto"/>
            <w:shd w:val="clear" w:color="auto" w:fill="auto"/>
            <w:vAlign w:val="bottom"/>
          </w:tcPr>
          <w:p w14:paraId="26E9E2BF" w14:textId="77777777" w:rsidR="008A3BAC" w:rsidRDefault="008A3BAC">
            <w:pPr>
              <w:rPr>
                <w:rFonts w:ascii="宋体"/>
                <w:vanish/>
              </w:rPr>
            </w:pPr>
          </w:p>
        </w:tc>
        <w:tc>
          <w:tcPr>
            <w:tcW w:w="0" w:type="auto"/>
            <w:gridSpan w:val="3"/>
            <w:shd w:val="clear" w:color="auto" w:fill="auto"/>
            <w:vAlign w:val="bottom"/>
          </w:tcPr>
          <w:p w14:paraId="26E9E2C0" w14:textId="77777777" w:rsidR="008A3BAC" w:rsidRDefault="008A3BAC">
            <w:pPr>
              <w:rPr>
                <w:rFonts w:ascii="宋体"/>
                <w:vanish/>
              </w:rPr>
            </w:pPr>
          </w:p>
        </w:tc>
        <w:tc>
          <w:tcPr>
            <w:tcW w:w="0" w:type="auto"/>
            <w:gridSpan w:val="3"/>
            <w:shd w:val="clear" w:color="auto" w:fill="auto"/>
            <w:vAlign w:val="bottom"/>
          </w:tcPr>
          <w:p w14:paraId="26E9E2C1" w14:textId="77777777" w:rsidR="008A3BAC" w:rsidRDefault="008A3BAC">
            <w:pPr>
              <w:rPr>
                <w:rFonts w:ascii="宋体"/>
                <w:vanish/>
              </w:rPr>
            </w:pPr>
          </w:p>
        </w:tc>
        <w:tc>
          <w:tcPr>
            <w:tcW w:w="0" w:type="auto"/>
            <w:gridSpan w:val="3"/>
            <w:shd w:val="clear" w:color="auto" w:fill="auto"/>
            <w:vAlign w:val="bottom"/>
          </w:tcPr>
          <w:p w14:paraId="26E9E2C2" w14:textId="77777777" w:rsidR="008A3BAC" w:rsidRDefault="008A3BAC">
            <w:pPr>
              <w:rPr>
                <w:rFonts w:ascii="宋体"/>
                <w:vanish/>
              </w:rPr>
            </w:pPr>
          </w:p>
        </w:tc>
      </w:tr>
      <w:tr w:rsidR="008A3BAC" w14:paraId="26E9E2D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2C4"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2C5" w14:textId="77777777" w:rsidR="008A3BAC" w:rsidRDefault="005C75B9">
            <w:pPr>
              <w:jc w:val="right"/>
              <w:textAlignment w:val="bottom"/>
            </w:pPr>
            <w:r>
              <w:rPr>
                <w:rFonts w:ascii="Arial" w:eastAsia="宋体" w:hAnsi="Arial" w:cs="Arial"/>
                <w:color w:val="000000"/>
                <w:sz w:val="17"/>
                <w:szCs w:val="17"/>
              </w:rPr>
              <w:t>548 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C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C7" w14:textId="77777777" w:rsidR="008A3BAC" w:rsidRDefault="005C75B9">
            <w:pPr>
              <w:jc w:val="right"/>
              <w:textAlignment w:val="bottom"/>
            </w:pPr>
            <w:r>
              <w:rPr>
                <w:rFonts w:ascii="Arial" w:eastAsia="宋体" w:hAnsi="Arial" w:cs="Arial"/>
                <w:color w:val="000000"/>
                <w:sz w:val="17"/>
                <w:szCs w:val="17"/>
              </w:rPr>
              <w:t>616 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C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C9"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CA"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CB"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CC"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2CD"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2CE" w14:textId="77777777" w:rsidR="008A3BAC" w:rsidRDefault="005C75B9">
            <w:pPr>
              <w:jc w:val="right"/>
              <w:textAlignment w:val="bottom"/>
            </w:pPr>
            <w:r>
              <w:rPr>
                <w:rFonts w:ascii="Arial" w:eastAsia="宋体" w:hAnsi="Arial" w:cs="Arial"/>
                <w:color w:val="000000"/>
                <w:sz w:val="17"/>
                <w:szCs w:val="17"/>
              </w:rPr>
              <w:t>1,588 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C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D0" w14:textId="77777777" w:rsidR="008A3BAC" w:rsidRDefault="005C75B9">
            <w:pPr>
              <w:jc w:val="right"/>
              <w:textAlignment w:val="bottom"/>
            </w:pPr>
            <w:r>
              <w:rPr>
                <w:rFonts w:ascii="Arial" w:eastAsia="宋体" w:hAnsi="Arial" w:cs="Arial"/>
                <w:color w:val="000000"/>
                <w:sz w:val="17"/>
                <w:szCs w:val="17"/>
              </w:rPr>
              <w:t>1,775 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D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D2"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D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D4"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D5"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2D6" w14:textId="77777777" w:rsidR="008A3BAC" w:rsidRDefault="008A3BAC">
            <w:pPr>
              <w:rPr>
                <w:rFonts w:ascii="宋体"/>
                <w:vanish/>
              </w:rPr>
            </w:pPr>
          </w:p>
        </w:tc>
        <w:tc>
          <w:tcPr>
            <w:tcW w:w="0" w:type="auto"/>
            <w:shd w:val="clear" w:color="auto" w:fill="auto"/>
            <w:vAlign w:val="bottom"/>
          </w:tcPr>
          <w:p w14:paraId="26E9E2D7" w14:textId="77777777" w:rsidR="008A3BAC" w:rsidRDefault="008A3BAC">
            <w:pPr>
              <w:rPr>
                <w:rFonts w:ascii="宋体"/>
                <w:vanish/>
              </w:rPr>
            </w:pPr>
          </w:p>
        </w:tc>
        <w:tc>
          <w:tcPr>
            <w:tcW w:w="0" w:type="auto"/>
            <w:gridSpan w:val="3"/>
            <w:shd w:val="clear" w:color="auto" w:fill="auto"/>
            <w:vAlign w:val="bottom"/>
          </w:tcPr>
          <w:p w14:paraId="26E9E2D8" w14:textId="77777777" w:rsidR="008A3BAC" w:rsidRDefault="008A3BAC">
            <w:pPr>
              <w:rPr>
                <w:rFonts w:ascii="宋体"/>
                <w:vanish/>
              </w:rPr>
            </w:pPr>
          </w:p>
        </w:tc>
        <w:tc>
          <w:tcPr>
            <w:tcW w:w="0" w:type="auto"/>
            <w:gridSpan w:val="3"/>
            <w:shd w:val="clear" w:color="auto" w:fill="auto"/>
            <w:vAlign w:val="bottom"/>
          </w:tcPr>
          <w:p w14:paraId="26E9E2D9" w14:textId="77777777" w:rsidR="008A3BAC" w:rsidRDefault="008A3BAC">
            <w:pPr>
              <w:rPr>
                <w:rFonts w:ascii="宋体"/>
                <w:vanish/>
              </w:rPr>
            </w:pPr>
          </w:p>
        </w:tc>
        <w:tc>
          <w:tcPr>
            <w:tcW w:w="0" w:type="auto"/>
            <w:gridSpan w:val="3"/>
            <w:shd w:val="clear" w:color="auto" w:fill="auto"/>
            <w:vAlign w:val="bottom"/>
          </w:tcPr>
          <w:p w14:paraId="26E9E2DA" w14:textId="77777777" w:rsidR="008A3BAC" w:rsidRDefault="008A3BAC">
            <w:pPr>
              <w:rPr>
                <w:rFonts w:ascii="宋体"/>
                <w:vanish/>
              </w:rPr>
            </w:pPr>
          </w:p>
        </w:tc>
      </w:tr>
      <w:tr w:rsidR="008A3BAC" w14:paraId="26E9E2F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2DC"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2DD" w14:textId="77777777" w:rsidR="008A3BAC" w:rsidRDefault="005C75B9">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D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DF" w14:textId="77777777" w:rsidR="008A3BAC" w:rsidRDefault="005C75B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E1"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E3"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2E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2E6" w14:textId="77777777" w:rsidR="008A3BAC" w:rsidRDefault="005C75B9">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2E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E8" w14:textId="77777777" w:rsidR="008A3BAC" w:rsidRDefault="005C75B9">
            <w:pPr>
              <w:jc w:val="right"/>
              <w:textAlignment w:val="bottom"/>
            </w:pPr>
            <w:r>
              <w:rPr>
                <w:rFonts w:ascii="Arial" w:eastAsia="宋体" w:hAnsi="Arial" w:cs="Arial"/>
                <w:color w:val="000000"/>
                <w:sz w:val="17"/>
                <w:szCs w:val="17"/>
              </w:rPr>
              <w:t>150 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EA"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2EC"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2ED"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2EE" w14:textId="77777777" w:rsidR="008A3BAC" w:rsidRDefault="008A3BAC">
            <w:pPr>
              <w:rPr>
                <w:rFonts w:ascii="宋体"/>
                <w:vanish/>
              </w:rPr>
            </w:pPr>
          </w:p>
        </w:tc>
        <w:tc>
          <w:tcPr>
            <w:tcW w:w="0" w:type="auto"/>
            <w:shd w:val="clear" w:color="auto" w:fill="auto"/>
            <w:vAlign w:val="bottom"/>
          </w:tcPr>
          <w:p w14:paraId="26E9E2EF" w14:textId="77777777" w:rsidR="008A3BAC" w:rsidRDefault="008A3BAC">
            <w:pPr>
              <w:rPr>
                <w:rFonts w:ascii="宋体"/>
                <w:vanish/>
              </w:rPr>
            </w:pPr>
          </w:p>
        </w:tc>
        <w:tc>
          <w:tcPr>
            <w:tcW w:w="0" w:type="auto"/>
            <w:gridSpan w:val="3"/>
            <w:shd w:val="clear" w:color="auto" w:fill="auto"/>
            <w:vAlign w:val="bottom"/>
          </w:tcPr>
          <w:p w14:paraId="26E9E2F0" w14:textId="77777777" w:rsidR="008A3BAC" w:rsidRDefault="008A3BAC">
            <w:pPr>
              <w:rPr>
                <w:rFonts w:ascii="宋体"/>
                <w:vanish/>
              </w:rPr>
            </w:pPr>
          </w:p>
        </w:tc>
        <w:tc>
          <w:tcPr>
            <w:tcW w:w="0" w:type="auto"/>
            <w:gridSpan w:val="3"/>
            <w:shd w:val="clear" w:color="auto" w:fill="auto"/>
            <w:vAlign w:val="bottom"/>
          </w:tcPr>
          <w:p w14:paraId="26E9E2F1" w14:textId="77777777" w:rsidR="008A3BAC" w:rsidRDefault="008A3BAC">
            <w:pPr>
              <w:rPr>
                <w:rFonts w:ascii="宋体"/>
                <w:vanish/>
              </w:rPr>
            </w:pPr>
          </w:p>
        </w:tc>
        <w:tc>
          <w:tcPr>
            <w:tcW w:w="0" w:type="auto"/>
            <w:gridSpan w:val="3"/>
            <w:shd w:val="clear" w:color="auto" w:fill="auto"/>
            <w:vAlign w:val="bottom"/>
          </w:tcPr>
          <w:p w14:paraId="26E9E2F2" w14:textId="77777777" w:rsidR="008A3BAC" w:rsidRDefault="008A3BAC">
            <w:pPr>
              <w:rPr>
                <w:rFonts w:ascii="宋体"/>
                <w:vanish/>
              </w:rPr>
            </w:pPr>
          </w:p>
        </w:tc>
      </w:tr>
      <w:tr w:rsidR="008A3BAC" w14:paraId="26E9E30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2F4"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2F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2F6" w14:textId="77777777" w:rsidR="008A3BAC" w:rsidRDefault="005C75B9">
            <w:pPr>
              <w:jc w:val="right"/>
              <w:textAlignment w:val="bottom"/>
            </w:pPr>
            <w:r>
              <w:rPr>
                <w:rFonts w:ascii="Arial" w:eastAsia="宋体" w:hAnsi="Arial" w:cs="Arial"/>
                <w:b/>
                <w:bCs/>
                <w:color w:val="000000"/>
                <w:sz w:val="17"/>
                <w:szCs w:val="17"/>
              </w:rPr>
              <w:t>2,160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2F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2F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2F9" w14:textId="77777777" w:rsidR="008A3BAC" w:rsidRDefault="005C75B9">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F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FB" w14:textId="77777777" w:rsidR="008A3BAC" w:rsidRDefault="005C75B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F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2FD"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2F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2FF"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30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301" w14:textId="77777777" w:rsidR="008A3BAC" w:rsidRDefault="005C75B9">
            <w:pPr>
              <w:jc w:val="right"/>
              <w:textAlignment w:val="bottom"/>
            </w:pPr>
            <w:r>
              <w:rPr>
                <w:rFonts w:ascii="Arial" w:eastAsia="宋体" w:hAnsi="Arial" w:cs="Arial"/>
                <w:b/>
                <w:bCs/>
                <w:color w:val="000000"/>
                <w:sz w:val="17"/>
                <w:szCs w:val="17"/>
              </w:rPr>
              <w:t>5,986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30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30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304" w14:textId="77777777" w:rsidR="008A3BAC" w:rsidRDefault="005C75B9">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0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06"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0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08" w14:textId="77777777" w:rsidR="008A3BAC" w:rsidRDefault="005C75B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09"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30A" w14:textId="77777777" w:rsidR="008A3BAC" w:rsidRDefault="008A3BAC">
            <w:pPr>
              <w:rPr>
                <w:rFonts w:ascii="宋体"/>
                <w:vanish/>
              </w:rPr>
            </w:pPr>
          </w:p>
        </w:tc>
        <w:tc>
          <w:tcPr>
            <w:tcW w:w="0" w:type="auto"/>
            <w:shd w:val="clear" w:color="auto" w:fill="auto"/>
            <w:vAlign w:val="bottom"/>
          </w:tcPr>
          <w:p w14:paraId="26E9E30B" w14:textId="77777777" w:rsidR="008A3BAC" w:rsidRDefault="008A3BAC">
            <w:pPr>
              <w:rPr>
                <w:rFonts w:ascii="宋体"/>
                <w:vanish/>
              </w:rPr>
            </w:pPr>
          </w:p>
        </w:tc>
        <w:tc>
          <w:tcPr>
            <w:tcW w:w="0" w:type="auto"/>
            <w:gridSpan w:val="3"/>
            <w:shd w:val="clear" w:color="auto" w:fill="auto"/>
            <w:vAlign w:val="bottom"/>
          </w:tcPr>
          <w:p w14:paraId="26E9E30C" w14:textId="77777777" w:rsidR="008A3BAC" w:rsidRDefault="008A3BAC">
            <w:pPr>
              <w:rPr>
                <w:rFonts w:ascii="宋体"/>
                <w:vanish/>
              </w:rPr>
            </w:pPr>
          </w:p>
        </w:tc>
        <w:tc>
          <w:tcPr>
            <w:tcW w:w="0" w:type="auto"/>
            <w:gridSpan w:val="3"/>
            <w:shd w:val="clear" w:color="auto" w:fill="auto"/>
            <w:vAlign w:val="bottom"/>
          </w:tcPr>
          <w:p w14:paraId="26E9E30D" w14:textId="77777777" w:rsidR="008A3BAC" w:rsidRDefault="008A3BAC">
            <w:pPr>
              <w:rPr>
                <w:rFonts w:ascii="宋体"/>
                <w:vanish/>
              </w:rPr>
            </w:pPr>
          </w:p>
        </w:tc>
        <w:tc>
          <w:tcPr>
            <w:tcW w:w="0" w:type="auto"/>
            <w:gridSpan w:val="3"/>
            <w:shd w:val="clear" w:color="auto" w:fill="auto"/>
            <w:vAlign w:val="bottom"/>
          </w:tcPr>
          <w:p w14:paraId="26E9E30E" w14:textId="77777777" w:rsidR="008A3BAC" w:rsidRDefault="008A3BAC">
            <w:pPr>
              <w:rPr>
                <w:rFonts w:ascii="宋体"/>
                <w:vanish/>
              </w:rPr>
            </w:pPr>
          </w:p>
        </w:tc>
      </w:tr>
      <w:tr w:rsidR="008A3BAC" w14:paraId="26E9E3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10"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31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3"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5"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31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19" w14:textId="77777777" w:rsidR="008A3BAC" w:rsidRDefault="008A3BAC">
            <w:pPr>
              <w:rPr>
                <w:rFonts w:ascii="宋体"/>
              </w:rPr>
            </w:pPr>
          </w:p>
        </w:tc>
        <w:tc>
          <w:tcPr>
            <w:tcW w:w="0" w:type="auto"/>
            <w:shd w:val="clear" w:color="auto" w:fill="auto"/>
            <w:vAlign w:val="bottom"/>
          </w:tcPr>
          <w:p w14:paraId="26E9E31A" w14:textId="77777777" w:rsidR="008A3BAC" w:rsidRDefault="008A3BAC">
            <w:pPr>
              <w:rPr>
                <w:rFonts w:ascii="宋体"/>
                <w:vanish/>
              </w:rPr>
            </w:pPr>
          </w:p>
        </w:tc>
        <w:tc>
          <w:tcPr>
            <w:tcW w:w="0" w:type="auto"/>
            <w:shd w:val="clear" w:color="auto" w:fill="auto"/>
            <w:vAlign w:val="bottom"/>
          </w:tcPr>
          <w:p w14:paraId="26E9E31B" w14:textId="77777777" w:rsidR="008A3BAC" w:rsidRDefault="008A3BAC">
            <w:pPr>
              <w:rPr>
                <w:rFonts w:ascii="宋体"/>
                <w:vanish/>
              </w:rPr>
            </w:pPr>
          </w:p>
        </w:tc>
        <w:tc>
          <w:tcPr>
            <w:tcW w:w="0" w:type="auto"/>
            <w:gridSpan w:val="3"/>
            <w:shd w:val="clear" w:color="auto" w:fill="auto"/>
            <w:vAlign w:val="bottom"/>
          </w:tcPr>
          <w:p w14:paraId="26E9E31C" w14:textId="77777777" w:rsidR="008A3BAC" w:rsidRDefault="008A3BAC">
            <w:pPr>
              <w:rPr>
                <w:rFonts w:ascii="宋体"/>
                <w:vanish/>
              </w:rPr>
            </w:pPr>
          </w:p>
        </w:tc>
        <w:tc>
          <w:tcPr>
            <w:tcW w:w="0" w:type="auto"/>
            <w:gridSpan w:val="3"/>
            <w:shd w:val="clear" w:color="auto" w:fill="auto"/>
            <w:vAlign w:val="bottom"/>
          </w:tcPr>
          <w:p w14:paraId="26E9E31D" w14:textId="77777777" w:rsidR="008A3BAC" w:rsidRDefault="008A3BAC">
            <w:pPr>
              <w:rPr>
                <w:rFonts w:ascii="宋体"/>
                <w:vanish/>
              </w:rPr>
            </w:pPr>
          </w:p>
        </w:tc>
        <w:tc>
          <w:tcPr>
            <w:tcW w:w="0" w:type="auto"/>
            <w:gridSpan w:val="3"/>
            <w:shd w:val="clear" w:color="auto" w:fill="auto"/>
            <w:vAlign w:val="bottom"/>
          </w:tcPr>
          <w:p w14:paraId="26E9E31E" w14:textId="77777777" w:rsidR="008A3BAC" w:rsidRDefault="008A3BAC">
            <w:pPr>
              <w:rPr>
                <w:rFonts w:ascii="宋体"/>
                <w:vanish/>
              </w:rPr>
            </w:pPr>
          </w:p>
        </w:tc>
      </w:tr>
      <w:tr w:rsidR="008A3BAC" w14:paraId="26E9E3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320"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32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322" w14:textId="77777777" w:rsidR="008A3BAC" w:rsidRDefault="005C75B9">
            <w:pPr>
              <w:jc w:val="right"/>
              <w:textAlignment w:val="bottom"/>
            </w:pPr>
            <w:r>
              <w:rPr>
                <w:rFonts w:ascii="Arial" w:eastAsia="宋体" w:hAnsi="Arial" w:cs="Arial"/>
                <w:color w:val="000000"/>
                <w:sz w:val="17"/>
                <w:szCs w:val="17"/>
              </w:rPr>
              <w:t>1,241 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23"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32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325" w14:textId="77777777" w:rsidR="008A3BAC" w:rsidRDefault="005C75B9">
            <w:pPr>
              <w:jc w:val="right"/>
              <w:textAlignment w:val="bottom"/>
            </w:pPr>
            <w:r>
              <w:rPr>
                <w:rFonts w:ascii="Arial" w:eastAsia="宋体" w:hAnsi="Arial" w:cs="Arial"/>
                <w:color w:val="000000"/>
                <w:sz w:val="17"/>
                <w:szCs w:val="17"/>
              </w:rPr>
              <w:t>1,269 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2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27"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2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29"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2A"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32B"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32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32D" w14:textId="77777777" w:rsidR="008A3BAC" w:rsidRDefault="005C75B9">
            <w:pPr>
              <w:jc w:val="right"/>
              <w:textAlignment w:val="bottom"/>
            </w:pPr>
            <w:r>
              <w:rPr>
                <w:rFonts w:ascii="Arial" w:eastAsia="宋体" w:hAnsi="Arial" w:cs="Arial"/>
                <w:color w:val="000000"/>
                <w:sz w:val="17"/>
                <w:szCs w:val="17"/>
              </w:rPr>
              <w:t>3,251 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2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32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330" w14:textId="77777777" w:rsidR="008A3BAC" w:rsidRDefault="005C75B9">
            <w:pPr>
              <w:jc w:val="right"/>
              <w:textAlignment w:val="bottom"/>
            </w:pPr>
            <w:r>
              <w:rPr>
                <w:rFonts w:ascii="Arial" w:eastAsia="宋体" w:hAnsi="Arial" w:cs="Arial"/>
                <w:color w:val="000000"/>
                <w:sz w:val="17"/>
                <w:szCs w:val="17"/>
              </w:rPr>
              <w:t>3,392 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3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32"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3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34"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35"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336" w14:textId="77777777" w:rsidR="008A3BAC" w:rsidRDefault="008A3BAC">
            <w:pPr>
              <w:rPr>
                <w:rFonts w:ascii="宋体"/>
                <w:vanish/>
              </w:rPr>
            </w:pPr>
          </w:p>
        </w:tc>
        <w:tc>
          <w:tcPr>
            <w:tcW w:w="0" w:type="auto"/>
            <w:shd w:val="clear" w:color="auto" w:fill="auto"/>
            <w:vAlign w:val="bottom"/>
          </w:tcPr>
          <w:p w14:paraId="26E9E337" w14:textId="77777777" w:rsidR="008A3BAC" w:rsidRDefault="008A3BAC">
            <w:pPr>
              <w:rPr>
                <w:rFonts w:ascii="宋体"/>
                <w:vanish/>
              </w:rPr>
            </w:pPr>
          </w:p>
        </w:tc>
        <w:tc>
          <w:tcPr>
            <w:tcW w:w="0" w:type="auto"/>
            <w:gridSpan w:val="3"/>
            <w:shd w:val="clear" w:color="auto" w:fill="auto"/>
            <w:vAlign w:val="bottom"/>
          </w:tcPr>
          <w:p w14:paraId="26E9E338" w14:textId="77777777" w:rsidR="008A3BAC" w:rsidRDefault="008A3BAC">
            <w:pPr>
              <w:rPr>
                <w:rFonts w:ascii="宋体"/>
                <w:vanish/>
              </w:rPr>
            </w:pPr>
          </w:p>
        </w:tc>
        <w:tc>
          <w:tcPr>
            <w:tcW w:w="0" w:type="auto"/>
            <w:gridSpan w:val="3"/>
            <w:shd w:val="clear" w:color="auto" w:fill="auto"/>
            <w:vAlign w:val="bottom"/>
          </w:tcPr>
          <w:p w14:paraId="26E9E339" w14:textId="77777777" w:rsidR="008A3BAC" w:rsidRDefault="008A3BAC">
            <w:pPr>
              <w:rPr>
                <w:rFonts w:ascii="宋体"/>
                <w:vanish/>
              </w:rPr>
            </w:pPr>
          </w:p>
        </w:tc>
        <w:tc>
          <w:tcPr>
            <w:tcW w:w="0" w:type="auto"/>
            <w:gridSpan w:val="3"/>
            <w:shd w:val="clear" w:color="auto" w:fill="auto"/>
            <w:vAlign w:val="bottom"/>
          </w:tcPr>
          <w:p w14:paraId="26E9E33A" w14:textId="77777777" w:rsidR="008A3BAC" w:rsidRDefault="008A3BAC">
            <w:pPr>
              <w:rPr>
                <w:rFonts w:ascii="宋体"/>
                <w:vanish/>
              </w:rPr>
            </w:pPr>
          </w:p>
        </w:tc>
      </w:tr>
      <w:tr w:rsidR="008A3BAC" w14:paraId="26E9E3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33C" w14:textId="77777777" w:rsidR="008A3BAC" w:rsidRDefault="005C75B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33D" w14:textId="77777777" w:rsidR="008A3BAC" w:rsidRDefault="005C75B9">
            <w:pPr>
              <w:jc w:val="right"/>
              <w:textAlignment w:val="bottom"/>
            </w:pPr>
            <w:r>
              <w:rPr>
                <w:rFonts w:ascii="Arial" w:eastAsia="宋体" w:hAnsi="Arial" w:cs="Arial"/>
                <w:color w:val="000000"/>
                <w:sz w:val="17"/>
                <w:szCs w:val="17"/>
              </w:rPr>
              <w:t>919 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3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3F" w14:textId="77777777" w:rsidR="008A3BAC" w:rsidRDefault="005C75B9">
            <w:pPr>
              <w:jc w:val="right"/>
              <w:textAlignment w:val="bottom"/>
            </w:pPr>
            <w:r>
              <w:rPr>
                <w:rFonts w:ascii="Arial" w:eastAsia="宋体" w:hAnsi="Arial" w:cs="Arial"/>
                <w:color w:val="000000"/>
                <w:sz w:val="17"/>
                <w:szCs w:val="17"/>
              </w:rPr>
              <w:t>1,010 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41"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43"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34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346" w14:textId="77777777" w:rsidR="008A3BAC" w:rsidRDefault="005C75B9">
            <w:pPr>
              <w:jc w:val="right"/>
              <w:textAlignment w:val="bottom"/>
            </w:pPr>
            <w:r>
              <w:rPr>
                <w:rFonts w:ascii="Arial" w:eastAsia="宋体" w:hAnsi="Arial" w:cs="Arial"/>
                <w:color w:val="000000"/>
                <w:sz w:val="17"/>
                <w:szCs w:val="17"/>
              </w:rPr>
              <w:t>2,735 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4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48" w14:textId="77777777" w:rsidR="008A3BAC" w:rsidRDefault="005C75B9">
            <w:pPr>
              <w:jc w:val="right"/>
              <w:textAlignment w:val="bottom"/>
            </w:pPr>
            <w:r>
              <w:rPr>
                <w:rFonts w:ascii="Arial" w:eastAsia="宋体" w:hAnsi="Arial" w:cs="Arial"/>
                <w:color w:val="000000"/>
                <w:sz w:val="17"/>
                <w:szCs w:val="17"/>
              </w:rPr>
              <w:t>2,965 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4A"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4C"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4D"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34E" w14:textId="77777777" w:rsidR="008A3BAC" w:rsidRDefault="008A3BAC">
            <w:pPr>
              <w:rPr>
                <w:rFonts w:ascii="宋体"/>
                <w:vanish/>
              </w:rPr>
            </w:pPr>
          </w:p>
        </w:tc>
        <w:tc>
          <w:tcPr>
            <w:tcW w:w="0" w:type="auto"/>
            <w:shd w:val="clear" w:color="auto" w:fill="auto"/>
            <w:vAlign w:val="bottom"/>
          </w:tcPr>
          <w:p w14:paraId="26E9E34F" w14:textId="77777777" w:rsidR="008A3BAC" w:rsidRDefault="008A3BAC">
            <w:pPr>
              <w:rPr>
                <w:rFonts w:ascii="宋体"/>
                <w:vanish/>
              </w:rPr>
            </w:pPr>
          </w:p>
        </w:tc>
        <w:tc>
          <w:tcPr>
            <w:tcW w:w="0" w:type="auto"/>
            <w:gridSpan w:val="3"/>
            <w:shd w:val="clear" w:color="auto" w:fill="auto"/>
            <w:vAlign w:val="bottom"/>
          </w:tcPr>
          <w:p w14:paraId="26E9E350" w14:textId="77777777" w:rsidR="008A3BAC" w:rsidRDefault="008A3BAC">
            <w:pPr>
              <w:rPr>
                <w:rFonts w:ascii="宋体"/>
                <w:vanish/>
              </w:rPr>
            </w:pPr>
          </w:p>
        </w:tc>
        <w:tc>
          <w:tcPr>
            <w:tcW w:w="0" w:type="auto"/>
            <w:gridSpan w:val="3"/>
            <w:shd w:val="clear" w:color="auto" w:fill="auto"/>
            <w:vAlign w:val="bottom"/>
          </w:tcPr>
          <w:p w14:paraId="26E9E351" w14:textId="77777777" w:rsidR="008A3BAC" w:rsidRDefault="008A3BAC">
            <w:pPr>
              <w:rPr>
                <w:rFonts w:ascii="宋体"/>
                <w:vanish/>
              </w:rPr>
            </w:pPr>
          </w:p>
        </w:tc>
        <w:tc>
          <w:tcPr>
            <w:tcW w:w="0" w:type="auto"/>
            <w:gridSpan w:val="3"/>
            <w:shd w:val="clear" w:color="auto" w:fill="auto"/>
            <w:vAlign w:val="bottom"/>
          </w:tcPr>
          <w:p w14:paraId="26E9E352" w14:textId="77777777" w:rsidR="008A3BAC" w:rsidRDefault="008A3BAC">
            <w:pPr>
              <w:rPr>
                <w:rFonts w:ascii="宋体"/>
                <w:vanish/>
              </w:rPr>
            </w:pPr>
          </w:p>
        </w:tc>
      </w:tr>
      <w:tr w:rsidR="008A3BAC" w14:paraId="26E9E36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54"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35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356" w14:textId="77777777" w:rsidR="008A3BAC" w:rsidRDefault="005C75B9">
            <w:pPr>
              <w:jc w:val="right"/>
              <w:textAlignment w:val="bottom"/>
            </w:pPr>
            <w:r>
              <w:rPr>
                <w:rFonts w:ascii="Arial" w:eastAsia="宋体" w:hAnsi="Arial" w:cs="Arial"/>
                <w:b/>
                <w:bCs/>
                <w:color w:val="000000"/>
                <w:sz w:val="17"/>
                <w:szCs w:val="17"/>
              </w:rPr>
              <w:t>2,160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357"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358"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359" w14:textId="77777777" w:rsidR="008A3BAC" w:rsidRDefault="005C75B9">
            <w:pPr>
              <w:jc w:val="right"/>
              <w:textAlignment w:val="bottom"/>
            </w:pPr>
            <w:r>
              <w:rPr>
                <w:rFonts w:ascii="Arial" w:eastAsia="宋体" w:hAnsi="Arial" w:cs="Arial"/>
                <w:b/>
                <w:bCs/>
                <w:color w:val="000000"/>
                <w:sz w:val="17"/>
                <w:szCs w:val="17"/>
              </w:rPr>
              <w:t>2,279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5A"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5B" w14:textId="77777777" w:rsidR="008A3BAC" w:rsidRDefault="005C75B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5C"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5D"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5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5F"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36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361" w14:textId="77777777" w:rsidR="008A3BAC" w:rsidRDefault="005C75B9">
            <w:pPr>
              <w:jc w:val="right"/>
              <w:textAlignment w:val="bottom"/>
            </w:pPr>
            <w:r>
              <w:rPr>
                <w:rFonts w:ascii="Arial" w:eastAsia="宋体" w:hAnsi="Arial" w:cs="Arial"/>
                <w:b/>
                <w:bCs/>
                <w:color w:val="000000"/>
                <w:sz w:val="17"/>
                <w:szCs w:val="17"/>
              </w:rPr>
              <w:t>5,9</w:t>
            </w:r>
            <w:r>
              <w:rPr>
                <w:rFonts w:ascii="Arial" w:eastAsia="宋体" w:hAnsi="Arial" w:cs="Arial"/>
                <w:b/>
                <w:bCs/>
                <w:color w:val="000000"/>
                <w:sz w:val="17"/>
                <w:szCs w:val="17"/>
              </w:rPr>
              <w:t>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36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36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364" w14:textId="77777777" w:rsidR="008A3BAC" w:rsidRDefault="005C75B9">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6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66" w14:textId="77777777" w:rsidR="008A3BAC" w:rsidRDefault="005C75B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6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368" w14:textId="77777777" w:rsidR="008A3BAC" w:rsidRDefault="005C75B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369"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36A" w14:textId="77777777" w:rsidR="008A3BAC" w:rsidRDefault="008A3BAC">
            <w:pPr>
              <w:rPr>
                <w:rFonts w:ascii="宋体"/>
                <w:vanish/>
              </w:rPr>
            </w:pPr>
          </w:p>
        </w:tc>
        <w:tc>
          <w:tcPr>
            <w:tcW w:w="0" w:type="auto"/>
            <w:shd w:val="clear" w:color="auto" w:fill="auto"/>
            <w:vAlign w:val="bottom"/>
          </w:tcPr>
          <w:p w14:paraId="26E9E36B" w14:textId="77777777" w:rsidR="008A3BAC" w:rsidRDefault="008A3BAC">
            <w:pPr>
              <w:rPr>
                <w:rFonts w:ascii="宋体"/>
                <w:vanish/>
              </w:rPr>
            </w:pPr>
          </w:p>
        </w:tc>
        <w:tc>
          <w:tcPr>
            <w:tcW w:w="0" w:type="auto"/>
            <w:gridSpan w:val="3"/>
            <w:shd w:val="clear" w:color="auto" w:fill="auto"/>
            <w:vAlign w:val="bottom"/>
          </w:tcPr>
          <w:p w14:paraId="26E9E36C" w14:textId="77777777" w:rsidR="008A3BAC" w:rsidRDefault="008A3BAC">
            <w:pPr>
              <w:rPr>
                <w:rFonts w:ascii="宋体"/>
                <w:vanish/>
              </w:rPr>
            </w:pPr>
          </w:p>
        </w:tc>
        <w:tc>
          <w:tcPr>
            <w:tcW w:w="0" w:type="auto"/>
            <w:gridSpan w:val="3"/>
            <w:shd w:val="clear" w:color="auto" w:fill="auto"/>
            <w:vAlign w:val="bottom"/>
          </w:tcPr>
          <w:p w14:paraId="26E9E36D" w14:textId="77777777" w:rsidR="008A3BAC" w:rsidRDefault="008A3BAC">
            <w:pPr>
              <w:rPr>
                <w:rFonts w:ascii="宋体"/>
                <w:vanish/>
              </w:rPr>
            </w:pPr>
          </w:p>
        </w:tc>
        <w:tc>
          <w:tcPr>
            <w:tcW w:w="0" w:type="auto"/>
            <w:gridSpan w:val="3"/>
            <w:shd w:val="clear" w:color="auto" w:fill="auto"/>
            <w:vAlign w:val="bottom"/>
          </w:tcPr>
          <w:p w14:paraId="26E9E36E" w14:textId="77777777" w:rsidR="008A3BAC" w:rsidRDefault="008A3BAC">
            <w:pPr>
              <w:rPr>
                <w:rFonts w:ascii="宋体"/>
                <w:vanish/>
              </w:rPr>
            </w:pPr>
          </w:p>
        </w:tc>
      </w:tr>
      <w:tr w:rsidR="008A3BAC" w14:paraId="26E9E38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E370" w14:textId="77777777" w:rsidR="008A3BAC" w:rsidRDefault="005C75B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37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372" w14:textId="77777777" w:rsidR="008A3BAC" w:rsidRDefault="005C75B9">
            <w:pPr>
              <w:jc w:val="right"/>
              <w:textAlignment w:val="bottom"/>
            </w:pPr>
            <w:r>
              <w:rPr>
                <w:rFonts w:ascii="Arial" w:eastAsia="宋体" w:hAnsi="Arial" w:cs="Arial"/>
                <w:b/>
                <w:bCs/>
                <w:color w:val="000000"/>
                <w:sz w:val="17"/>
                <w:szCs w:val="17"/>
              </w:rPr>
              <w:t>784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37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37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375" w14:textId="77777777" w:rsidR="008A3BAC" w:rsidRDefault="005C75B9">
            <w:pPr>
              <w:jc w:val="right"/>
              <w:textAlignment w:val="bottom"/>
            </w:pPr>
            <w:r>
              <w:rPr>
                <w:rFonts w:ascii="Arial" w:eastAsia="宋体" w:hAnsi="Arial" w:cs="Arial"/>
                <w:b/>
                <w:bCs/>
                <w:color w:val="000000"/>
                <w:sz w:val="17"/>
                <w:szCs w:val="17"/>
              </w:rPr>
              <w:t>973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376"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377" w14:textId="77777777" w:rsidR="008A3BAC" w:rsidRDefault="005C75B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37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379"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37A"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37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37C" w14:textId="77777777" w:rsidR="008A3BAC" w:rsidRDefault="005C75B9">
            <w:pPr>
              <w:jc w:val="right"/>
              <w:textAlignment w:val="bottom"/>
            </w:pPr>
            <w:r>
              <w:rPr>
                <w:rFonts w:ascii="Arial" w:eastAsia="宋体" w:hAnsi="Arial" w:cs="Arial"/>
                <w:b/>
                <w:bCs/>
                <w:color w:val="000000"/>
                <w:sz w:val="17"/>
                <w:szCs w:val="17"/>
              </w:rPr>
              <w:t>2,054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37D"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37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37F" w14:textId="77777777" w:rsidR="008A3BAC" w:rsidRDefault="005C75B9">
            <w:pPr>
              <w:jc w:val="right"/>
              <w:textAlignment w:val="bottom"/>
            </w:pPr>
            <w:r>
              <w:rPr>
                <w:rFonts w:ascii="Arial" w:eastAsia="宋体" w:hAnsi="Arial" w:cs="Arial"/>
                <w:b/>
                <w:bCs/>
                <w:color w:val="000000"/>
                <w:sz w:val="17"/>
                <w:szCs w:val="17"/>
              </w:rPr>
              <w:t>2,552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380"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381" w14:textId="77777777" w:rsidR="008A3BAC" w:rsidRDefault="005C75B9">
            <w:pPr>
              <w:jc w:val="right"/>
              <w:textAlignment w:val="bottom"/>
            </w:pPr>
            <w:r>
              <w:rPr>
                <w:rFonts w:ascii="Arial" w:eastAsia="宋体" w:hAnsi="Arial" w:cs="Arial"/>
                <w:b/>
                <w:bCs/>
                <w:color w:val="000000"/>
                <w:sz w:val="17"/>
                <w:szCs w:val="17"/>
              </w:rPr>
              <w:t>-20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38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383" w14:textId="77777777" w:rsidR="008A3BAC" w:rsidRDefault="008A3BAC">
            <w:pPr>
              <w:rPr>
                <w:rFonts w:ascii="宋体"/>
              </w:rPr>
            </w:pPr>
          </w:p>
        </w:tc>
        <w:tc>
          <w:tcPr>
            <w:tcW w:w="0" w:type="auto"/>
            <w:shd w:val="clear" w:color="auto" w:fill="auto"/>
            <w:vAlign w:val="bottom"/>
          </w:tcPr>
          <w:p w14:paraId="26E9E384" w14:textId="77777777" w:rsidR="008A3BAC" w:rsidRDefault="008A3BAC">
            <w:pPr>
              <w:rPr>
                <w:rFonts w:ascii="宋体"/>
                <w:vanish/>
              </w:rPr>
            </w:pPr>
          </w:p>
        </w:tc>
        <w:tc>
          <w:tcPr>
            <w:tcW w:w="0" w:type="auto"/>
            <w:shd w:val="clear" w:color="auto" w:fill="auto"/>
            <w:vAlign w:val="bottom"/>
          </w:tcPr>
          <w:p w14:paraId="26E9E385" w14:textId="77777777" w:rsidR="008A3BAC" w:rsidRDefault="008A3BAC">
            <w:pPr>
              <w:rPr>
                <w:rFonts w:ascii="宋体"/>
                <w:vanish/>
              </w:rPr>
            </w:pPr>
          </w:p>
        </w:tc>
        <w:tc>
          <w:tcPr>
            <w:tcW w:w="0" w:type="auto"/>
            <w:gridSpan w:val="3"/>
            <w:shd w:val="clear" w:color="auto" w:fill="auto"/>
            <w:vAlign w:val="bottom"/>
          </w:tcPr>
          <w:p w14:paraId="26E9E386" w14:textId="77777777" w:rsidR="008A3BAC" w:rsidRDefault="008A3BAC">
            <w:pPr>
              <w:rPr>
                <w:rFonts w:ascii="宋体"/>
                <w:vanish/>
              </w:rPr>
            </w:pPr>
          </w:p>
        </w:tc>
        <w:tc>
          <w:tcPr>
            <w:tcW w:w="0" w:type="auto"/>
            <w:gridSpan w:val="3"/>
            <w:shd w:val="clear" w:color="auto" w:fill="auto"/>
            <w:vAlign w:val="bottom"/>
          </w:tcPr>
          <w:p w14:paraId="26E9E387" w14:textId="77777777" w:rsidR="008A3BAC" w:rsidRDefault="008A3BAC">
            <w:pPr>
              <w:rPr>
                <w:rFonts w:ascii="宋体"/>
                <w:vanish/>
              </w:rPr>
            </w:pPr>
          </w:p>
        </w:tc>
        <w:tc>
          <w:tcPr>
            <w:tcW w:w="0" w:type="auto"/>
            <w:gridSpan w:val="3"/>
            <w:shd w:val="clear" w:color="auto" w:fill="auto"/>
            <w:vAlign w:val="bottom"/>
          </w:tcPr>
          <w:p w14:paraId="26E9E388" w14:textId="77777777" w:rsidR="008A3BAC" w:rsidRDefault="008A3BAC">
            <w:pPr>
              <w:rPr>
                <w:rFonts w:ascii="宋体"/>
                <w:vanish/>
              </w:rPr>
            </w:pPr>
          </w:p>
        </w:tc>
      </w:tr>
    </w:tbl>
    <w:p w14:paraId="26E9E38A" w14:textId="77777777" w:rsidR="008A3BAC" w:rsidRDefault="005C75B9">
      <w:pPr>
        <w:spacing w:before="120"/>
      </w:pPr>
      <w:r>
        <w:rPr>
          <w:rFonts w:ascii="sans-serif" w:eastAsia="sans-serif" w:hAnsi="sans-serif" w:cs="sans-serif"/>
          <w:b/>
          <w:bCs/>
          <w:color w:val="808080"/>
          <w:sz w:val="22"/>
          <w:szCs w:val="22"/>
        </w:rPr>
        <w:t>THIRD QUARTER OF FISCAL 2022 COMPARED TO THIRD QUA</w:t>
      </w:r>
      <w:r>
        <w:rPr>
          <w:rFonts w:ascii="sans-serif" w:eastAsia="sans-serif" w:hAnsi="sans-serif" w:cs="sans-serif"/>
          <w:b/>
          <w:bCs/>
          <w:color w:val="808080"/>
          <w:sz w:val="22"/>
          <w:szCs w:val="22"/>
        </w:rPr>
        <w:t>RTER OF FISCAL 2021</w:t>
      </w:r>
    </w:p>
    <w:p w14:paraId="26E9E38B" w14:textId="77777777" w:rsidR="008A3BAC" w:rsidRDefault="005C75B9">
      <w:pPr>
        <w:spacing w:before="60" w:after="120"/>
      </w:pPr>
      <w:r>
        <w:rPr>
          <w:rFonts w:ascii="Arial" w:eastAsia="宋体" w:hAnsi="Arial" w:cs="Arial"/>
          <w:color w:val="000000"/>
          <w:sz w:val="17"/>
          <w:szCs w:val="17"/>
        </w:rPr>
        <w:t>On a currency-neutral basis, Greater China revenues for the third quarter of fiscal 2022 decreased 8%, reflecting impacts from supply chain constraints, government restrictions due to COVID-19 as well as ongoing marketplace dynamics. Th</w:t>
      </w:r>
      <w:r>
        <w:rPr>
          <w:rFonts w:ascii="Arial" w:eastAsia="宋体" w:hAnsi="Arial" w:cs="Arial"/>
          <w:color w:val="000000"/>
          <w:sz w:val="17"/>
          <w:szCs w:val="17"/>
        </w:rPr>
        <w:t>e decrease in revenues was primarily due to lower revenues in Men’s. NIKE Direct revenues decreased 11% due to digital sales declines of 19%, comparable store sales declines of 10%, in part due to reduced physical retail traffic as a result of government r</w:t>
      </w:r>
      <w:r>
        <w:rPr>
          <w:rFonts w:ascii="Arial" w:eastAsia="宋体" w:hAnsi="Arial" w:cs="Arial"/>
          <w:color w:val="000000"/>
          <w:sz w:val="17"/>
          <w:szCs w:val="17"/>
        </w:rPr>
        <w:t xml:space="preserve">estrictions due to COVID-19 as well as ongoing marketplace dynamics, partially offset by the addition of new stores. </w:t>
      </w:r>
    </w:p>
    <w:p w14:paraId="26E9E38C" w14:textId="77777777" w:rsidR="008A3BAC" w:rsidRDefault="005C75B9">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26E9E38D" w14:textId="77777777" w:rsidR="008A3BAC" w:rsidRDefault="005C75B9">
      <w:r>
        <w:pict w14:anchorId="26E9E86B">
          <v:rect id="_x0000_i1062" style="width:415.3pt;height:1.5pt" o:hralign="center" o:hrstd="t" o:hr="t" fillcolor="#a0a0a0" stroked="f"/>
        </w:pict>
      </w:r>
    </w:p>
    <w:p w14:paraId="26E9E38E" w14:textId="77777777" w:rsidR="008A3BAC" w:rsidRDefault="008A3BAC"/>
    <w:p w14:paraId="26E9E38F" w14:textId="77777777" w:rsidR="008A3BAC" w:rsidRDefault="005C75B9">
      <w:hyperlink r:id="rId107" w:anchor="i46aba51c6a804f42b3595948c57d2023_7" w:history="1">
        <w:r>
          <w:rPr>
            <w:rStyle w:val="a5"/>
            <w:rFonts w:ascii="sans-serif" w:eastAsia="sans-serif" w:hAnsi="sans-serif" w:cs="sans-serif"/>
            <w:sz w:val="17"/>
            <w:szCs w:val="17"/>
          </w:rPr>
          <w:t>Table of Contents</w:t>
        </w:r>
      </w:hyperlink>
    </w:p>
    <w:p w14:paraId="26E9E390" w14:textId="77777777" w:rsidR="008A3BAC" w:rsidRDefault="008A3BAC"/>
    <w:p w14:paraId="26E9E391" w14:textId="77777777" w:rsidR="008A3BAC" w:rsidRDefault="005C75B9">
      <w:pPr>
        <w:spacing w:before="120" w:after="120"/>
      </w:pPr>
      <w:r>
        <w:rPr>
          <w:rFonts w:ascii="Arial" w:eastAsia="宋体" w:hAnsi="Arial" w:cs="Arial"/>
          <w:color w:val="000000"/>
          <w:sz w:val="17"/>
          <w:szCs w:val="17"/>
        </w:rPr>
        <w:t xml:space="preserve">Currency-neutral footwear revenues decreased 6%, driven primarily by lower </w:t>
      </w:r>
      <w:r>
        <w:rPr>
          <w:rFonts w:ascii="Arial" w:eastAsia="宋体" w:hAnsi="Arial" w:cs="Arial"/>
          <w:color w:val="000000"/>
          <w:sz w:val="17"/>
          <w:szCs w:val="17"/>
        </w:rPr>
        <w:t>revenues in Men's and Women's, partially offset by growth in the Jordan Brand. Unit sales of footwear increased 2%, while lower ASP per pair reduced footwear revenues by approximately 8 percentage points, driven by lower NIKE Direct and full-price ASPs.</w:t>
      </w:r>
    </w:p>
    <w:p w14:paraId="26E9E392" w14:textId="77777777" w:rsidR="008A3BAC" w:rsidRDefault="005C75B9">
      <w:pPr>
        <w:spacing w:before="120" w:after="120"/>
      </w:pPr>
      <w:r>
        <w:rPr>
          <w:rFonts w:ascii="Arial" w:eastAsia="宋体" w:hAnsi="Arial" w:cs="Arial"/>
          <w:color w:val="000000"/>
          <w:sz w:val="17"/>
          <w:szCs w:val="17"/>
        </w:rPr>
        <w:t>Cu</w:t>
      </w:r>
      <w:r>
        <w:rPr>
          <w:rFonts w:ascii="Arial" w:eastAsia="宋体" w:hAnsi="Arial" w:cs="Arial"/>
          <w:color w:val="000000"/>
          <w:sz w:val="17"/>
          <w:szCs w:val="17"/>
        </w:rPr>
        <w:t>rrency-neutral apparel revenues decreased 13%, due primarily to lower revenues in Men's. Unit sales of apparel decreased 3%, while lower ASP per unit reduced apparel revenues by approximately 10 percentage points, primarily due to lower NIKE Direct and ful</w:t>
      </w:r>
      <w:r>
        <w:rPr>
          <w:rFonts w:ascii="Arial" w:eastAsia="宋体" w:hAnsi="Arial" w:cs="Arial"/>
          <w:color w:val="000000"/>
          <w:sz w:val="17"/>
          <w:szCs w:val="17"/>
        </w:rPr>
        <w:t xml:space="preserve">l-price ASPs. </w:t>
      </w:r>
    </w:p>
    <w:p w14:paraId="26E9E393" w14:textId="77777777" w:rsidR="008A3BAC" w:rsidRDefault="005C75B9">
      <w:pPr>
        <w:spacing w:before="120" w:after="120"/>
      </w:pPr>
      <w:r>
        <w:rPr>
          <w:rFonts w:ascii="Arial" w:eastAsia="宋体" w:hAnsi="Arial" w:cs="Arial"/>
          <w:color w:val="000000"/>
          <w:sz w:val="17"/>
          <w:szCs w:val="17"/>
        </w:rPr>
        <w:t>Reported EBIT decreased 19% due to lower revenues, higher selling and administrative expense and gross margin contraction. Gross margin decreased approximately 140 basis points reflecting lower full-price ASP, net of discounts, and lower NIK</w:t>
      </w:r>
      <w:r>
        <w:rPr>
          <w:rFonts w:ascii="Arial" w:eastAsia="宋体" w:hAnsi="Arial" w:cs="Arial"/>
          <w:color w:val="000000"/>
          <w:sz w:val="17"/>
          <w:szCs w:val="17"/>
        </w:rPr>
        <w:t>E Direct margins, partially offset by favorable changes in standard foreign currency exchange rates and lower product costs due to favorable product mix. Selling and administrative expense increased due to higher demand creation and operating overhead expe</w:t>
      </w:r>
      <w:r>
        <w:rPr>
          <w:rFonts w:ascii="Arial" w:eastAsia="宋体" w:hAnsi="Arial" w:cs="Arial"/>
          <w:color w:val="000000"/>
          <w:sz w:val="17"/>
          <w:szCs w:val="17"/>
        </w:rPr>
        <w:t>nse. Growth in demand creation expense was primarily due to higher advertising and marketing expense. Operating overhead expense increased largely due to higher strategic technology investments and higher wage-related costs.</w:t>
      </w:r>
    </w:p>
    <w:p w14:paraId="26E9E394" w14:textId="77777777" w:rsidR="008A3BAC" w:rsidRDefault="005C75B9">
      <w:pPr>
        <w:spacing w:before="120"/>
      </w:pPr>
      <w:r>
        <w:rPr>
          <w:rFonts w:ascii="sans-serif" w:eastAsia="sans-serif" w:hAnsi="sans-serif" w:cs="sans-serif"/>
          <w:b/>
          <w:bCs/>
          <w:color w:val="808080"/>
          <w:sz w:val="22"/>
          <w:szCs w:val="22"/>
        </w:rPr>
        <w:t>FIRST NINE MONTHS OF FISCAL 202</w:t>
      </w:r>
      <w:r>
        <w:rPr>
          <w:rFonts w:ascii="sans-serif" w:eastAsia="sans-serif" w:hAnsi="sans-serif" w:cs="sans-serif"/>
          <w:b/>
          <w:bCs/>
          <w:color w:val="808080"/>
          <w:sz w:val="22"/>
          <w:szCs w:val="22"/>
        </w:rPr>
        <w:t>2 COMPARED TO FIRST NINE MONTHS OF FISCAL 2021</w:t>
      </w:r>
    </w:p>
    <w:p w14:paraId="26E9E395" w14:textId="77777777" w:rsidR="008A3BAC" w:rsidRDefault="005C75B9">
      <w:pPr>
        <w:spacing w:before="60" w:after="120"/>
      </w:pPr>
      <w:r>
        <w:rPr>
          <w:rFonts w:ascii="Arial" w:eastAsia="宋体" w:hAnsi="Arial" w:cs="Arial"/>
          <w:color w:val="000000"/>
          <w:sz w:val="17"/>
          <w:szCs w:val="17"/>
        </w:rPr>
        <w:t xml:space="preserve">On a currency-neutral basis, Greater China revenues for the first nine months of fiscal 2022 decreased 11%, reflecting impacts from supply chain constraints, government restrictions due to COVID-19 as well as </w:t>
      </w:r>
      <w:r>
        <w:rPr>
          <w:rFonts w:ascii="Arial" w:eastAsia="宋体" w:hAnsi="Arial" w:cs="Arial"/>
          <w:color w:val="000000"/>
          <w:sz w:val="17"/>
          <w:szCs w:val="17"/>
        </w:rPr>
        <w:t>ongoing marketplace dynamics. The decrease in revenues was primarily due to lower revenues in Men’s and Women's. NIKE Direct revenues decreased 13% due to digital sales declines of 19%, comparable store sales declines of 11%, in part due to reduced physica</w:t>
      </w:r>
      <w:r>
        <w:rPr>
          <w:rFonts w:ascii="Arial" w:eastAsia="宋体" w:hAnsi="Arial" w:cs="Arial"/>
          <w:color w:val="000000"/>
          <w:sz w:val="17"/>
          <w:szCs w:val="17"/>
        </w:rPr>
        <w:t xml:space="preserve">l retail traffic as a result of government restrictions due to COVID-19 as well as ongoing marketplace dynamics, partially offset by the addition of new stores. </w:t>
      </w:r>
    </w:p>
    <w:p w14:paraId="26E9E396" w14:textId="77777777" w:rsidR="008A3BAC" w:rsidRDefault="005C75B9">
      <w:pPr>
        <w:spacing w:before="120" w:after="120"/>
      </w:pPr>
      <w:r>
        <w:rPr>
          <w:rFonts w:ascii="Arial" w:eastAsia="宋体" w:hAnsi="Arial" w:cs="Arial"/>
          <w:color w:val="000000"/>
          <w:sz w:val="17"/>
          <w:szCs w:val="17"/>
        </w:rPr>
        <w:t>Currency-neutral footwear revenues decreased 9%, driven primarily by lower revenues in Men's a</w:t>
      </w:r>
      <w:r>
        <w:rPr>
          <w:rFonts w:ascii="Arial" w:eastAsia="宋体" w:hAnsi="Arial" w:cs="Arial"/>
          <w:color w:val="000000"/>
          <w:sz w:val="17"/>
          <w:szCs w:val="17"/>
        </w:rPr>
        <w:t xml:space="preserve">nd Women's. Unit sales of footwear decreased 5%, while lower ASP per pair reduced footwear revenues by approximately 4 percentage points, driven by lower NIKE Direct and full-price ASPs. </w:t>
      </w:r>
    </w:p>
    <w:p w14:paraId="26E9E397" w14:textId="77777777" w:rsidR="008A3BAC" w:rsidRDefault="005C75B9">
      <w:pPr>
        <w:spacing w:before="120" w:after="120"/>
      </w:pPr>
      <w:r>
        <w:rPr>
          <w:rFonts w:ascii="Arial" w:eastAsia="宋体" w:hAnsi="Arial" w:cs="Arial"/>
          <w:color w:val="000000"/>
          <w:sz w:val="17"/>
          <w:szCs w:val="17"/>
        </w:rPr>
        <w:t>Currency-neutral apparel revenues decreased 15%, due primarily to lo</w:t>
      </w:r>
      <w:r>
        <w:rPr>
          <w:rFonts w:ascii="Arial" w:eastAsia="宋体" w:hAnsi="Arial" w:cs="Arial"/>
          <w:color w:val="000000"/>
          <w:sz w:val="17"/>
          <w:szCs w:val="17"/>
        </w:rPr>
        <w:t>wer revenues in Men's and Women's. Unit sales of apparel decreased 8%, while lower ASP per unit reduced apparel revenues by approximately 7 percentage points, primarily due to lower NIKE Direct and full-price ASPs, reflecting higher discounts.</w:t>
      </w:r>
    </w:p>
    <w:p w14:paraId="26E9E398" w14:textId="77777777" w:rsidR="008A3BAC" w:rsidRDefault="005C75B9">
      <w:pPr>
        <w:spacing w:before="120" w:after="120"/>
      </w:pPr>
      <w:r>
        <w:rPr>
          <w:rFonts w:ascii="Arial" w:eastAsia="宋体" w:hAnsi="Arial" w:cs="Arial"/>
          <w:color w:val="000000"/>
          <w:sz w:val="17"/>
          <w:szCs w:val="17"/>
        </w:rPr>
        <w:t>Reported EBI</w:t>
      </w:r>
      <w:r>
        <w:rPr>
          <w:rFonts w:ascii="Arial" w:eastAsia="宋体" w:hAnsi="Arial" w:cs="Arial"/>
          <w:color w:val="000000"/>
          <w:sz w:val="17"/>
          <w:szCs w:val="17"/>
        </w:rPr>
        <w:t>T decreased 20% due to lower revenues, higher selling and administrative expense and gross margin contraction. Gross margin decreased approximately 190 basis points reflecting lower full-price ASP, net of discounts, lower NIKE Direct margins and higher oth</w:t>
      </w:r>
      <w:r>
        <w:rPr>
          <w:rFonts w:ascii="Arial" w:eastAsia="宋体" w:hAnsi="Arial" w:cs="Arial"/>
          <w:color w:val="000000"/>
          <w:sz w:val="17"/>
          <w:szCs w:val="17"/>
        </w:rPr>
        <w:t>er costs, primarily due to higher warehousing and freight. This activity was partially offset by favorable changes in standard foreign currency exchange rates and lower product costs due to favorable product mix. Selling and administrative expense increase</w:t>
      </w:r>
      <w:r>
        <w:rPr>
          <w:rFonts w:ascii="Arial" w:eastAsia="宋体" w:hAnsi="Arial" w:cs="Arial"/>
          <w:color w:val="000000"/>
          <w:sz w:val="17"/>
          <w:szCs w:val="17"/>
        </w:rPr>
        <w:t>d due to higher demand creation and operating overhead expense. Growth in demand creation expense was primarily due to higher advertising and marketing expense. Operating overhead expense increased largely due to higher wage-related costs and higher strate</w:t>
      </w:r>
      <w:r>
        <w:rPr>
          <w:rFonts w:ascii="Arial" w:eastAsia="宋体" w:hAnsi="Arial" w:cs="Arial"/>
          <w:color w:val="000000"/>
          <w:sz w:val="17"/>
          <w:szCs w:val="17"/>
        </w:rPr>
        <w:t>gic technology investments.</w:t>
      </w:r>
    </w:p>
    <w:p w14:paraId="26E9E399" w14:textId="77777777" w:rsidR="008A3BAC" w:rsidRDefault="005C75B9">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8A3BAC" w14:paraId="26E9E3BD" w14:textId="77777777">
        <w:tc>
          <w:tcPr>
            <w:tcW w:w="50" w:type="pct"/>
            <w:shd w:val="clear" w:color="auto" w:fill="auto"/>
            <w:vAlign w:val="bottom"/>
          </w:tcPr>
          <w:p w14:paraId="26E9E39A" w14:textId="77777777" w:rsidR="008A3BAC" w:rsidRDefault="008A3BAC">
            <w:pPr>
              <w:rPr>
                <w:rFonts w:ascii="宋体"/>
              </w:rPr>
            </w:pPr>
          </w:p>
        </w:tc>
        <w:tc>
          <w:tcPr>
            <w:tcW w:w="1387" w:type="pct"/>
            <w:shd w:val="clear" w:color="auto" w:fill="auto"/>
            <w:vAlign w:val="bottom"/>
          </w:tcPr>
          <w:p w14:paraId="26E9E39B" w14:textId="77777777" w:rsidR="008A3BAC" w:rsidRDefault="008A3BAC">
            <w:pPr>
              <w:rPr>
                <w:rFonts w:ascii="宋体"/>
              </w:rPr>
            </w:pPr>
          </w:p>
        </w:tc>
        <w:tc>
          <w:tcPr>
            <w:tcW w:w="5" w:type="pct"/>
            <w:shd w:val="clear" w:color="auto" w:fill="auto"/>
            <w:vAlign w:val="bottom"/>
          </w:tcPr>
          <w:p w14:paraId="26E9E39C" w14:textId="77777777" w:rsidR="008A3BAC" w:rsidRDefault="008A3BAC">
            <w:pPr>
              <w:rPr>
                <w:rFonts w:ascii="宋体"/>
              </w:rPr>
            </w:pPr>
          </w:p>
        </w:tc>
        <w:tc>
          <w:tcPr>
            <w:tcW w:w="50" w:type="pct"/>
            <w:shd w:val="clear" w:color="auto" w:fill="auto"/>
            <w:vAlign w:val="bottom"/>
          </w:tcPr>
          <w:p w14:paraId="26E9E39D" w14:textId="77777777" w:rsidR="008A3BAC" w:rsidRDefault="008A3BAC">
            <w:pPr>
              <w:rPr>
                <w:rFonts w:ascii="宋体"/>
              </w:rPr>
            </w:pPr>
          </w:p>
        </w:tc>
        <w:tc>
          <w:tcPr>
            <w:tcW w:w="384" w:type="pct"/>
            <w:shd w:val="clear" w:color="auto" w:fill="auto"/>
            <w:vAlign w:val="bottom"/>
          </w:tcPr>
          <w:p w14:paraId="26E9E39E" w14:textId="77777777" w:rsidR="008A3BAC" w:rsidRDefault="008A3BAC">
            <w:pPr>
              <w:rPr>
                <w:rFonts w:ascii="宋体"/>
              </w:rPr>
            </w:pPr>
          </w:p>
        </w:tc>
        <w:tc>
          <w:tcPr>
            <w:tcW w:w="5" w:type="pct"/>
            <w:shd w:val="clear" w:color="auto" w:fill="auto"/>
            <w:vAlign w:val="bottom"/>
          </w:tcPr>
          <w:p w14:paraId="26E9E39F" w14:textId="77777777" w:rsidR="008A3BAC" w:rsidRDefault="008A3BAC">
            <w:pPr>
              <w:rPr>
                <w:rFonts w:ascii="宋体"/>
              </w:rPr>
            </w:pPr>
          </w:p>
        </w:tc>
        <w:tc>
          <w:tcPr>
            <w:tcW w:w="50" w:type="pct"/>
            <w:shd w:val="clear" w:color="auto" w:fill="auto"/>
            <w:vAlign w:val="bottom"/>
          </w:tcPr>
          <w:p w14:paraId="26E9E3A0" w14:textId="77777777" w:rsidR="008A3BAC" w:rsidRDefault="008A3BAC">
            <w:pPr>
              <w:rPr>
                <w:rFonts w:ascii="宋体"/>
              </w:rPr>
            </w:pPr>
          </w:p>
        </w:tc>
        <w:tc>
          <w:tcPr>
            <w:tcW w:w="384" w:type="pct"/>
            <w:shd w:val="clear" w:color="auto" w:fill="auto"/>
            <w:vAlign w:val="bottom"/>
          </w:tcPr>
          <w:p w14:paraId="26E9E3A1" w14:textId="77777777" w:rsidR="008A3BAC" w:rsidRDefault="008A3BAC">
            <w:pPr>
              <w:rPr>
                <w:rFonts w:ascii="宋体"/>
              </w:rPr>
            </w:pPr>
          </w:p>
        </w:tc>
        <w:tc>
          <w:tcPr>
            <w:tcW w:w="5" w:type="pct"/>
            <w:shd w:val="clear" w:color="auto" w:fill="auto"/>
            <w:vAlign w:val="bottom"/>
          </w:tcPr>
          <w:p w14:paraId="26E9E3A2" w14:textId="77777777" w:rsidR="008A3BAC" w:rsidRDefault="008A3BAC">
            <w:pPr>
              <w:rPr>
                <w:rFonts w:ascii="宋体"/>
              </w:rPr>
            </w:pPr>
          </w:p>
        </w:tc>
        <w:tc>
          <w:tcPr>
            <w:tcW w:w="50" w:type="pct"/>
            <w:shd w:val="clear" w:color="auto" w:fill="auto"/>
            <w:vAlign w:val="bottom"/>
          </w:tcPr>
          <w:p w14:paraId="26E9E3A3" w14:textId="77777777" w:rsidR="008A3BAC" w:rsidRDefault="008A3BAC">
            <w:pPr>
              <w:rPr>
                <w:rFonts w:ascii="宋体"/>
              </w:rPr>
            </w:pPr>
          </w:p>
        </w:tc>
        <w:tc>
          <w:tcPr>
            <w:tcW w:w="384" w:type="pct"/>
            <w:shd w:val="clear" w:color="auto" w:fill="auto"/>
            <w:vAlign w:val="bottom"/>
          </w:tcPr>
          <w:p w14:paraId="26E9E3A4" w14:textId="77777777" w:rsidR="008A3BAC" w:rsidRDefault="008A3BAC">
            <w:pPr>
              <w:rPr>
                <w:rFonts w:ascii="宋体"/>
              </w:rPr>
            </w:pPr>
          </w:p>
        </w:tc>
        <w:tc>
          <w:tcPr>
            <w:tcW w:w="5" w:type="pct"/>
            <w:shd w:val="clear" w:color="auto" w:fill="auto"/>
            <w:vAlign w:val="bottom"/>
          </w:tcPr>
          <w:p w14:paraId="26E9E3A5" w14:textId="77777777" w:rsidR="008A3BAC" w:rsidRDefault="008A3BAC">
            <w:pPr>
              <w:rPr>
                <w:rFonts w:ascii="宋体"/>
              </w:rPr>
            </w:pPr>
          </w:p>
        </w:tc>
        <w:tc>
          <w:tcPr>
            <w:tcW w:w="50" w:type="pct"/>
            <w:shd w:val="clear" w:color="auto" w:fill="auto"/>
            <w:vAlign w:val="bottom"/>
          </w:tcPr>
          <w:p w14:paraId="26E9E3A6" w14:textId="77777777" w:rsidR="008A3BAC" w:rsidRDefault="008A3BAC">
            <w:pPr>
              <w:rPr>
                <w:rFonts w:ascii="宋体"/>
              </w:rPr>
            </w:pPr>
          </w:p>
        </w:tc>
        <w:tc>
          <w:tcPr>
            <w:tcW w:w="384" w:type="pct"/>
            <w:shd w:val="clear" w:color="auto" w:fill="auto"/>
            <w:vAlign w:val="bottom"/>
          </w:tcPr>
          <w:p w14:paraId="26E9E3A7" w14:textId="77777777" w:rsidR="008A3BAC" w:rsidRDefault="008A3BAC">
            <w:pPr>
              <w:rPr>
                <w:rFonts w:ascii="宋体"/>
              </w:rPr>
            </w:pPr>
          </w:p>
        </w:tc>
        <w:tc>
          <w:tcPr>
            <w:tcW w:w="5" w:type="pct"/>
            <w:shd w:val="clear" w:color="auto" w:fill="auto"/>
            <w:vAlign w:val="bottom"/>
          </w:tcPr>
          <w:p w14:paraId="26E9E3A8" w14:textId="77777777" w:rsidR="008A3BAC" w:rsidRDefault="008A3BAC">
            <w:pPr>
              <w:rPr>
                <w:rFonts w:ascii="宋体"/>
              </w:rPr>
            </w:pPr>
          </w:p>
        </w:tc>
        <w:tc>
          <w:tcPr>
            <w:tcW w:w="5" w:type="pct"/>
            <w:shd w:val="clear" w:color="auto" w:fill="auto"/>
            <w:vAlign w:val="bottom"/>
          </w:tcPr>
          <w:p w14:paraId="26E9E3A9" w14:textId="77777777" w:rsidR="008A3BAC" w:rsidRDefault="008A3BAC">
            <w:pPr>
              <w:rPr>
                <w:rFonts w:ascii="宋体"/>
              </w:rPr>
            </w:pPr>
          </w:p>
        </w:tc>
        <w:tc>
          <w:tcPr>
            <w:tcW w:w="28" w:type="pct"/>
            <w:shd w:val="clear" w:color="auto" w:fill="auto"/>
            <w:vAlign w:val="bottom"/>
          </w:tcPr>
          <w:p w14:paraId="26E9E3AA" w14:textId="77777777" w:rsidR="008A3BAC" w:rsidRDefault="008A3BAC">
            <w:pPr>
              <w:rPr>
                <w:rFonts w:ascii="宋体"/>
              </w:rPr>
            </w:pPr>
          </w:p>
        </w:tc>
        <w:tc>
          <w:tcPr>
            <w:tcW w:w="5" w:type="pct"/>
            <w:shd w:val="clear" w:color="auto" w:fill="auto"/>
            <w:vAlign w:val="bottom"/>
          </w:tcPr>
          <w:p w14:paraId="26E9E3AB" w14:textId="77777777" w:rsidR="008A3BAC" w:rsidRDefault="008A3BAC">
            <w:pPr>
              <w:rPr>
                <w:rFonts w:ascii="宋体"/>
              </w:rPr>
            </w:pPr>
          </w:p>
        </w:tc>
        <w:tc>
          <w:tcPr>
            <w:tcW w:w="50" w:type="pct"/>
            <w:shd w:val="clear" w:color="auto" w:fill="auto"/>
            <w:vAlign w:val="bottom"/>
          </w:tcPr>
          <w:p w14:paraId="26E9E3AC" w14:textId="77777777" w:rsidR="008A3BAC" w:rsidRDefault="008A3BAC">
            <w:pPr>
              <w:rPr>
                <w:rFonts w:ascii="宋体"/>
              </w:rPr>
            </w:pPr>
          </w:p>
        </w:tc>
        <w:tc>
          <w:tcPr>
            <w:tcW w:w="384" w:type="pct"/>
            <w:shd w:val="clear" w:color="auto" w:fill="auto"/>
            <w:vAlign w:val="bottom"/>
          </w:tcPr>
          <w:p w14:paraId="26E9E3AD" w14:textId="77777777" w:rsidR="008A3BAC" w:rsidRDefault="008A3BAC">
            <w:pPr>
              <w:rPr>
                <w:rFonts w:ascii="宋体"/>
              </w:rPr>
            </w:pPr>
          </w:p>
        </w:tc>
        <w:tc>
          <w:tcPr>
            <w:tcW w:w="5" w:type="pct"/>
            <w:shd w:val="clear" w:color="auto" w:fill="auto"/>
            <w:vAlign w:val="bottom"/>
          </w:tcPr>
          <w:p w14:paraId="26E9E3AE" w14:textId="77777777" w:rsidR="008A3BAC" w:rsidRDefault="008A3BAC">
            <w:pPr>
              <w:rPr>
                <w:rFonts w:ascii="宋体"/>
              </w:rPr>
            </w:pPr>
          </w:p>
        </w:tc>
        <w:tc>
          <w:tcPr>
            <w:tcW w:w="50" w:type="pct"/>
            <w:shd w:val="clear" w:color="auto" w:fill="auto"/>
            <w:vAlign w:val="bottom"/>
          </w:tcPr>
          <w:p w14:paraId="26E9E3AF" w14:textId="77777777" w:rsidR="008A3BAC" w:rsidRDefault="008A3BAC">
            <w:pPr>
              <w:rPr>
                <w:rFonts w:ascii="宋体"/>
              </w:rPr>
            </w:pPr>
          </w:p>
        </w:tc>
        <w:tc>
          <w:tcPr>
            <w:tcW w:w="384" w:type="pct"/>
            <w:shd w:val="clear" w:color="auto" w:fill="auto"/>
            <w:vAlign w:val="bottom"/>
          </w:tcPr>
          <w:p w14:paraId="26E9E3B0" w14:textId="77777777" w:rsidR="008A3BAC" w:rsidRDefault="008A3BAC">
            <w:pPr>
              <w:rPr>
                <w:rFonts w:ascii="宋体"/>
              </w:rPr>
            </w:pPr>
          </w:p>
        </w:tc>
        <w:tc>
          <w:tcPr>
            <w:tcW w:w="5" w:type="pct"/>
            <w:shd w:val="clear" w:color="auto" w:fill="auto"/>
            <w:vAlign w:val="bottom"/>
          </w:tcPr>
          <w:p w14:paraId="26E9E3B1" w14:textId="77777777" w:rsidR="008A3BAC" w:rsidRDefault="008A3BAC">
            <w:pPr>
              <w:rPr>
                <w:rFonts w:ascii="宋体"/>
              </w:rPr>
            </w:pPr>
          </w:p>
        </w:tc>
        <w:tc>
          <w:tcPr>
            <w:tcW w:w="50" w:type="pct"/>
            <w:shd w:val="clear" w:color="auto" w:fill="auto"/>
            <w:vAlign w:val="bottom"/>
          </w:tcPr>
          <w:p w14:paraId="26E9E3B2" w14:textId="77777777" w:rsidR="008A3BAC" w:rsidRDefault="008A3BAC">
            <w:pPr>
              <w:rPr>
                <w:rFonts w:ascii="宋体"/>
              </w:rPr>
            </w:pPr>
          </w:p>
        </w:tc>
        <w:tc>
          <w:tcPr>
            <w:tcW w:w="384" w:type="pct"/>
            <w:shd w:val="clear" w:color="auto" w:fill="auto"/>
            <w:vAlign w:val="bottom"/>
          </w:tcPr>
          <w:p w14:paraId="26E9E3B3" w14:textId="77777777" w:rsidR="008A3BAC" w:rsidRDefault="008A3BAC">
            <w:pPr>
              <w:rPr>
                <w:rFonts w:ascii="宋体"/>
              </w:rPr>
            </w:pPr>
          </w:p>
        </w:tc>
        <w:tc>
          <w:tcPr>
            <w:tcW w:w="5" w:type="pct"/>
            <w:shd w:val="clear" w:color="auto" w:fill="auto"/>
            <w:vAlign w:val="bottom"/>
          </w:tcPr>
          <w:p w14:paraId="26E9E3B4" w14:textId="77777777" w:rsidR="008A3BAC" w:rsidRDefault="008A3BAC">
            <w:pPr>
              <w:rPr>
                <w:rFonts w:ascii="宋体"/>
              </w:rPr>
            </w:pPr>
          </w:p>
        </w:tc>
        <w:tc>
          <w:tcPr>
            <w:tcW w:w="50" w:type="pct"/>
            <w:shd w:val="clear" w:color="auto" w:fill="auto"/>
            <w:vAlign w:val="bottom"/>
          </w:tcPr>
          <w:p w14:paraId="26E9E3B5" w14:textId="77777777" w:rsidR="008A3BAC" w:rsidRDefault="008A3BAC">
            <w:pPr>
              <w:rPr>
                <w:rFonts w:ascii="宋体"/>
              </w:rPr>
            </w:pPr>
          </w:p>
        </w:tc>
        <w:tc>
          <w:tcPr>
            <w:tcW w:w="384" w:type="pct"/>
            <w:shd w:val="clear" w:color="auto" w:fill="auto"/>
            <w:vAlign w:val="bottom"/>
          </w:tcPr>
          <w:p w14:paraId="26E9E3B6" w14:textId="77777777" w:rsidR="008A3BAC" w:rsidRDefault="008A3BAC">
            <w:pPr>
              <w:rPr>
                <w:rFonts w:ascii="宋体"/>
              </w:rPr>
            </w:pPr>
          </w:p>
        </w:tc>
        <w:tc>
          <w:tcPr>
            <w:tcW w:w="5" w:type="pct"/>
            <w:shd w:val="clear" w:color="auto" w:fill="auto"/>
            <w:vAlign w:val="bottom"/>
          </w:tcPr>
          <w:p w14:paraId="26E9E3B7" w14:textId="77777777" w:rsidR="008A3BAC" w:rsidRDefault="008A3BAC">
            <w:pPr>
              <w:rPr>
                <w:rFonts w:ascii="宋体"/>
              </w:rPr>
            </w:pPr>
          </w:p>
        </w:tc>
        <w:tc>
          <w:tcPr>
            <w:tcW w:w="0" w:type="auto"/>
            <w:shd w:val="clear" w:color="auto" w:fill="auto"/>
            <w:vAlign w:val="bottom"/>
          </w:tcPr>
          <w:p w14:paraId="26E9E3B8" w14:textId="77777777" w:rsidR="008A3BAC" w:rsidRDefault="008A3BAC">
            <w:pPr>
              <w:rPr>
                <w:rFonts w:ascii="宋体"/>
                <w:vanish/>
              </w:rPr>
            </w:pPr>
          </w:p>
        </w:tc>
        <w:tc>
          <w:tcPr>
            <w:tcW w:w="0" w:type="auto"/>
            <w:shd w:val="clear" w:color="auto" w:fill="auto"/>
            <w:vAlign w:val="bottom"/>
          </w:tcPr>
          <w:p w14:paraId="26E9E3B9" w14:textId="77777777" w:rsidR="008A3BAC" w:rsidRDefault="008A3BAC">
            <w:pPr>
              <w:rPr>
                <w:rFonts w:ascii="宋体"/>
                <w:vanish/>
              </w:rPr>
            </w:pPr>
          </w:p>
        </w:tc>
        <w:tc>
          <w:tcPr>
            <w:tcW w:w="0" w:type="auto"/>
            <w:gridSpan w:val="3"/>
            <w:shd w:val="clear" w:color="auto" w:fill="auto"/>
            <w:vAlign w:val="bottom"/>
          </w:tcPr>
          <w:p w14:paraId="26E9E3BA" w14:textId="77777777" w:rsidR="008A3BAC" w:rsidRDefault="008A3BAC">
            <w:pPr>
              <w:rPr>
                <w:rFonts w:ascii="宋体"/>
                <w:vanish/>
              </w:rPr>
            </w:pPr>
          </w:p>
        </w:tc>
        <w:tc>
          <w:tcPr>
            <w:tcW w:w="0" w:type="auto"/>
            <w:gridSpan w:val="3"/>
            <w:shd w:val="clear" w:color="auto" w:fill="auto"/>
            <w:vAlign w:val="bottom"/>
          </w:tcPr>
          <w:p w14:paraId="26E9E3BB" w14:textId="77777777" w:rsidR="008A3BAC" w:rsidRDefault="008A3BAC">
            <w:pPr>
              <w:rPr>
                <w:rFonts w:ascii="宋体"/>
                <w:vanish/>
              </w:rPr>
            </w:pPr>
          </w:p>
        </w:tc>
        <w:tc>
          <w:tcPr>
            <w:tcW w:w="0" w:type="auto"/>
            <w:gridSpan w:val="3"/>
            <w:shd w:val="clear" w:color="auto" w:fill="auto"/>
            <w:vAlign w:val="bottom"/>
          </w:tcPr>
          <w:p w14:paraId="26E9E3BC" w14:textId="77777777" w:rsidR="008A3BAC" w:rsidRDefault="008A3BAC">
            <w:pPr>
              <w:rPr>
                <w:rFonts w:ascii="宋体"/>
                <w:vanish/>
              </w:rPr>
            </w:pPr>
          </w:p>
        </w:tc>
      </w:tr>
      <w:tr w:rsidR="008A3BAC" w14:paraId="26E9E3CD" w14:textId="77777777">
        <w:tc>
          <w:tcPr>
            <w:tcW w:w="0" w:type="auto"/>
            <w:gridSpan w:val="3"/>
            <w:shd w:val="clear" w:color="auto" w:fill="auto"/>
            <w:tcMar>
              <w:top w:w="0" w:type="dxa"/>
              <w:left w:w="20" w:type="dxa"/>
              <w:bottom w:w="0" w:type="dxa"/>
              <w:right w:w="20" w:type="dxa"/>
            </w:tcMar>
            <w:vAlign w:val="bottom"/>
          </w:tcPr>
          <w:p w14:paraId="26E9E3BE"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3BF"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3C0"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3C1"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E3C2" w14:textId="77777777" w:rsidR="008A3BAC" w:rsidRDefault="008A3BAC">
            <w:pPr>
              <w:rPr>
                <w:rFonts w:ascii="宋体"/>
                <w:vanish/>
              </w:rPr>
            </w:pPr>
          </w:p>
        </w:tc>
        <w:tc>
          <w:tcPr>
            <w:tcW w:w="0" w:type="auto"/>
            <w:shd w:val="clear" w:color="auto" w:fill="auto"/>
            <w:vAlign w:val="bottom"/>
          </w:tcPr>
          <w:p w14:paraId="26E9E3C3" w14:textId="77777777" w:rsidR="008A3BAC" w:rsidRDefault="008A3BAC">
            <w:pPr>
              <w:rPr>
                <w:rFonts w:ascii="宋体"/>
                <w:vanish/>
              </w:rPr>
            </w:pPr>
          </w:p>
        </w:tc>
        <w:tc>
          <w:tcPr>
            <w:tcW w:w="0" w:type="auto"/>
            <w:shd w:val="clear" w:color="auto" w:fill="auto"/>
            <w:vAlign w:val="bottom"/>
          </w:tcPr>
          <w:p w14:paraId="26E9E3C4" w14:textId="77777777" w:rsidR="008A3BAC" w:rsidRDefault="008A3BAC">
            <w:pPr>
              <w:rPr>
                <w:rFonts w:ascii="宋体"/>
              </w:rPr>
            </w:pPr>
          </w:p>
        </w:tc>
        <w:tc>
          <w:tcPr>
            <w:tcW w:w="0" w:type="auto"/>
            <w:shd w:val="clear" w:color="auto" w:fill="auto"/>
            <w:vAlign w:val="bottom"/>
          </w:tcPr>
          <w:p w14:paraId="26E9E3C5" w14:textId="77777777" w:rsidR="008A3BAC" w:rsidRDefault="008A3BAC">
            <w:pPr>
              <w:rPr>
                <w:rFonts w:ascii="宋体"/>
              </w:rPr>
            </w:pPr>
          </w:p>
        </w:tc>
        <w:tc>
          <w:tcPr>
            <w:tcW w:w="0" w:type="auto"/>
            <w:shd w:val="clear" w:color="auto" w:fill="auto"/>
            <w:vAlign w:val="bottom"/>
          </w:tcPr>
          <w:p w14:paraId="26E9E3C6" w14:textId="77777777" w:rsidR="008A3BAC" w:rsidRDefault="008A3BAC">
            <w:pPr>
              <w:rPr>
                <w:rFonts w:ascii="宋体"/>
              </w:rPr>
            </w:pPr>
          </w:p>
        </w:tc>
        <w:tc>
          <w:tcPr>
            <w:tcW w:w="0" w:type="auto"/>
            <w:shd w:val="clear" w:color="auto" w:fill="auto"/>
            <w:vAlign w:val="bottom"/>
          </w:tcPr>
          <w:p w14:paraId="26E9E3C7" w14:textId="77777777" w:rsidR="008A3BAC" w:rsidRDefault="008A3BAC">
            <w:pPr>
              <w:rPr>
                <w:rFonts w:ascii="宋体"/>
              </w:rPr>
            </w:pPr>
          </w:p>
        </w:tc>
        <w:tc>
          <w:tcPr>
            <w:tcW w:w="0" w:type="auto"/>
            <w:shd w:val="clear" w:color="auto" w:fill="auto"/>
            <w:vAlign w:val="bottom"/>
          </w:tcPr>
          <w:p w14:paraId="26E9E3C8" w14:textId="77777777" w:rsidR="008A3BAC" w:rsidRDefault="008A3BAC">
            <w:pPr>
              <w:rPr>
                <w:rFonts w:ascii="宋体"/>
              </w:rPr>
            </w:pPr>
          </w:p>
        </w:tc>
        <w:tc>
          <w:tcPr>
            <w:tcW w:w="0" w:type="auto"/>
            <w:shd w:val="clear" w:color="auto" w:fill="auto"/>
            <w:vAlign w:val="bottom"/>
          </w:tcPr>
          <w:p w14:paraId="26E9E3C9" w14:textId="77777777" w:rsidR="008A3BAC" w:rsidRDefault="008A3BAC">
            <w:pPr>
              <w:rPr>
                <w:rFonts w:ascii="宋体"/>
              </w:rPr>
            </w:pPr>
          </w:p>
        </w:tc>
        <w:tc>
          <w:tcPr>
            <w:tcW w:w="0" w:type="auto"/>
            <w:shd w:val="clear" w:color="auto" w:fill="auto"/>
            <w:vAlign w:val="bottom"/>
          </w:tcPr>
          <w:p w14:paraId="26E9E3CA" w14:textId="77777777" w:rsidR="008A3BAC" w:rsidRDefault="008A3BAC">
            <w:pPr>
              <w:rPr>
                <w:rFonts w:ascii="宋体"/>
              </w:rPr>
            </w:pPr>
          </w:p>
        </w:tc>
        <w:tc>
          <w:tcPr>
            <w:tcW w:w="0" w:type="auto"/>
            <w:shd w:val="clear" w:color="auto" w:fill="auto"/>
            <w:vAlign w:val="bottom"/>
          </w:tcPr>
          <w:p w14:paraId="26E9E3CB" w14:textId="77777777" w:rsidR="008A3BAC" w:rsidRDefault="008A3BAC">
            <w:pPr>
              <w:rPr>
                <w:rFonts w:ascii="宋体"/>
              </w:rPr>
            </w:pPr>
          </w:p>
        </w:tc>
        <w:tc>
          <w:tcPr>
            <w:tcW w:w="0" w:type="auto"/>
            <w:shd w:val="clear" w:color="auto" w:fill="auto"/>
            <w:vAlign w:val="bottom"/>
          </w:tcPr>
          <w:p w14:paraId="26E9E3CC" w14:textId="77777777" w:rsidR="008A3BAC" w:rsidRDefault="008A3BAC">
            <w:pPr>
              <w:rPr>
                <w:rFonts w:ascii="宋体"/>
              </w:rPr>
            </w:pPr>
          </w:p>
        </w:tc>
      </w:tr>
      <w:tr w:rsidR="008A3BAC" w14:paraId="26E9E3DD" w14:textId="77777777">
        <w:tc>
          <w:tcPr>
            <w:tcW w:w="0" w:type="auto"/>
            <w:gridSpan w:val="3"/>
            <w:shd w:val="clear" w:color="auto" w:fill="auto"/>
            <w:tcMar>
              <w:top w:w="40" w:type="dxa"/>
              <w:left w:w="20" w:type="dxa"/>
              <w:bottom w:w="40" w:type="dxa"/>
              <w:right w:w="20" w:type="dxa"/>
            </w:tcMar>
            <w:vAlign w:val="bottom"/>
          </w:tcPr>
          <w:p w14:paraId="26E9E3CE"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CF"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0"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1"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2"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6E9E3D3"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4"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5"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6"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7"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6E9E3D8" w14:textId="77777777" w:rsidR="008A3BAC" w:rsidRDefault="008A3BAC">
            <w:pPr>
              <w:rPr>
                <w:rFonts w:ascii="宋体"/>
                <w:vanish/>
              </w:rPr>
            </w:pPr>
          </w:p>
        </w:tc>
        <w:tc>
          <w:tcPr>
            <w:tcW w:w="0" w:type="auto"/>
            <w:shd w:val="clear" w:color="auto" w:fill="auto"/>
            <w:vAlign w:val="bottom"/>
          </w:tcPr>
          <w:p w14:paraId="26E9E3D9" w14:textId="77777777" w:rsidR="008A3BAC" w:rsidRDefault="008A3BAC">
            <w:pPr>
              <w:rPr>
                <w:rFonts w:ascii="宋体"/>
                <w:vanish/>
              </w:rPr>
            </w:pPr>
          </w:p>
        </w:tc>
        <w:tc>
          <w:tcPr>
            <w:tcW w:w="0" w:type="auto"/>
            <w:gridSpan w:val="3"/>
            <w:shd w:val="clear" w:color="auto" w:fill="auto"/>
            <w:vAlign w:val="bottom"/>
          </w:tcPr>
          <w:p w14:paraId="26E9E3DA" w14:textId="77777777" w:rsidR="008A3BAC" w:rsidRDefault="008A3BAC">
            <w:pPr>
              <w:rPr>
                <w:rFonts w:ascii="宋体"/>
                <w:vanish/>
              </w:rPr>
            </w:pPr>
          </w:p>
        </w:tc>
        <w:tc>
          <w:tcPr>
            <w:tcW w:w="0" w:type="auto"/>
            <w:gridSpan w:val="3"/>
            <w:shd w:val="clear" w:color="auto" w:fill="auto"/>
            <w:vAlign w:val="bottom"/>
          </w:tcPr>
          <w:p w14:paraId="26E9E3DB" w14:textId="77777777" w:rsidR="008A3BAC" w:rsidRDefault="008A3BAC">
            <w:pPr>
              <w:rPr>
                <w:rFonts w:ascii="宋体"/>
                <w:vanish/>
              </w:rPr>
            </w:pPr>
          </w:p>
        </w:tc>
        <w:tc>
          <w:tcPr>
            <w:tcW w:w="0" w:type="auto"/>
            <w:gridSpan w:val="3"/>
            <w:shd w:val="clear" w:color="auto" w:fill="auto"/>
            <w:vAlign w:val="bottom"/>
          </w:tcPr>
          <w:p w14:paraId="26E9E3DC" w14:textId="77777777" w:rsidR="008A3BAC" w:rsidRDefault="008A3BAC">
            <w:pPr>
              <w:rPr>
                <w:rFonts w:ascii="宋体"/>
                <w:vanish/>
              </w:rPr>
            </w:pPr>
          </w:p>
        </w:tc>
      </w:tr>
      <w:tr w:rsidR="008A3BAC" w14:paraId="26E9E3E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3DE"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3D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0"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1"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2"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3"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3E4"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5"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3E7" w14:textId="77777777" w:rsidR="008A3BAC" w:rsidRDefault="008A3BAC">
            <w:pPr>
              <w:rPr>
                <w:rFonts w:ascii="宋体"/>
              </w:rPr>
            </w:pPr>
          </w:p>
        </w:tc>
        <w:tc>
          <w:tcPr>
            <w:tcW w:w="0" w:type="auto"/>
            <w:shd w:val="clear" w:color="auto" w:fill="auto"/>
            <w:vAlign w:val="bottom"/>
          </w:tcPr>
          <w:p w14:paraId="26E9E3E8" w14:textId="77777777" w:rsidR="008A3BAC" w:rsidRDefault="008A3BAC">
            <w:pPr>
              <w:rPr>
                <w:rFonts w:ascii="宋体"/>
                <w:vanish/>
              </w:rPr>
            </w:pPr>
          </w:p>
        </w:tc>
        <w:tc>
          <w:tcPr>
            <w:tcW w:w="0" w:type="auto"/>
            <w:shd w:val="clear" w:color="auto" w:fill="auto"/>
            <w:vAlign w:val="bottom"/>
          </w:tcPr>
          <w:p w14:paraId="26E9E3E9" w14:textId="77777777" w:rsidR="008A3BAC" w:rsidRDefault="008A3BAC">
            <w:pPr>
              <w:rPr>
                <w:rFonts w:ascii="宋体"/>
                <w:vanish/>
              </w:rPr>
            </w:pPr>
          </w:p>
        </w:tc>
        <w:tc>
          <w:tcPr>
            <w:tcW w:w="0" w:type="auto"/>
            <w:gridSpan w:val="3"/>
            <w:shd w:val="clear" w:color="auto" w:fill="auto"/>
            <w:vAlign w:val="bottom"/>
          </w:tcPr>
          <w:p w14:paraId="26E9E3EA" w14:textId="77777777" w:rsidR="008A3BAC" w:rsidRDefault="008A3BAC">
            <w:pPr>
              <w:rPr>
                <w:rFonts w:ascii="宋体"/>
                <w:vanish/>
              </w:rPr>
            </w:pPr>
          </w:p>
        </w:tc>
        <w:tc>
          <w:tcPr>
            <w:tcW w:w="0" w:type="auto"/>
            <w:gridSpan w:val="3"/>
            <w:shd w:val="clear" w:color="auto" w:fill="auto"/>
            <w:vAlign w:val="bottom"/>
          </w:tcPr>
          <w:p w14:paraId="26E9E3EB" w14:textId="77777777" w:rsidR="008A3BAC" w:rsidRDefault="008A3BAC">
            <w:pPr>
              <w:rPr>
                <w:rFonts w:ascii="宋体"/>
                <w:vanish/>
              </w:rPr>
            </w:pPr>
          </w:p>
        </w:tc>
        <w:tc>
          <w:tcPr>
            <w:tcW w:w="0" w:type="auto"/>
            <w:gridSpan w:val="3"/>
            <w:shd w:val="clear" w:color="auto" w:fill="auto"/>
            <w:vAlign w:val="bottom"/>
          </w:tcPr>
          <w:p w14:paraId="26E9E3EC" w14:textId="77777777" w:rsidR="008A3BAC" w:rsidRDefault="008A3BAC">
            <w:pPr>
              <w:rPr>
                <w:rFonts w:ascii="宋体"/>
                <w:vanish/>
              </w:rPr>
            </w:pPr>
          </w:p>
        </w:tc>
      </w:tr>
      <w:tr w:rsidR="008A3BAC" w14:paraId="26E9E40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3EE"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3E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3F0" w14:textId="77777777" w:rsidR="008A3BAC" w:rsidRDefault="005C75B9">
            <w:pPr>
              <w:jc w:val="right"/>
              <w:textAlignment w:val="bottom"/>
            </w:pPr>
            <w:r>
              <w:rPr>
                <w:rFonts w:ascii="Arial" w:eastAsia="宋体" w:hAnsi="Arial" w:cs="Arial"/>
                <w:color w:val="000000"/>
                <w:sz w:val="17"/>
                <w:szCs w:val="17"/>
              </w:rPr>
              <w:t>1,005 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F1"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3F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3F3" w14:textId="77777777" w:rsidR="008A3BAC" w:rsidRDefault="005C75B9">
            <w:pPr>
              <w:jc w:val="right"/>
              <w:textAlignment w:val="bottom"/>
            </w:pPr>
            <w:r>
              <w:rPr>
                <w:rFonts w:ascii="Arial" w:eastAsia="宋体" w:hAnsi="Arial" w:cs="Arial"/>
                <w:color w:val="000000"/>
                <w:sz w:val="17"/>
                <w:szCs w:val="17"/>
              </w:rPr>
              <w:t>903 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F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F5"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F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3F7" w14:textId="77777777" w:rsidR="008A3BAC" w:rsidRDefault="005C75B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F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3F9"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3F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3FB" w14:textId="77777777" w:rsidR="008A3BAC" w:rsidRDefault="005C75B9">
            <w:pPr>
              <w:jc w:val="right"/>
              <w:textAlignment w:val="bottom"/>
            </w:pPr>
            <w:r>
              <w:rPr>
                <w:rFonts w:ascii="Arial" w:eastAsia="宋体" w:hAnsi="Arial" w:cs="Arial"/>
                <w:color w:val="000000"/>
                <w:sz w:val="17"/>
                <w:szCs w:val="17"/>
              </w:rPr>
              <w:t>2,914 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3FC"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3FD"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3FE" w14:textId="77777777" w:rsidR="008A3BAC" w:rsidRDefault="005C75B9">
            <w:pPr>
              <w:jc w:val="right"/>
              <w:textAlignment w:val="bottom"/>
            </w:pPr>
            <w:r>
              <w:rPr>
                <w:rFonts w:ascii="Arial" w:eastAsia="宋体" w:hAnsi="Arial" w:cs="Arial"/>
                <w:color w:val="000000"/>
                <w:sz w:val="17"/>
                <w:szCs w:val="17"/>
              </w:rPr>
              <w:t>2,652 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3F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00"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01"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02" w14:textId="77777777" w:rsidR="008A3BAC" w:rsidRDefault="005C75B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03"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404" w14:textId="77777777" w:rsidR="008A3BAC" w:rsidRDefault="008A3BAC">
            <w:pPr>
              <w:rPr>
                <w:rFonts w:ascii="宋体"/>
                <w:vanish/>
              </w:rPr>
            </w:pPr>
          </w:p>
        </w:tc>
        <w:tc>
          <w:tcPr>
            <w:tcW w:w="0" w:type="auto"/>
            <w:shd w:val="clear" w:color="auto" w:fill="auto"/>
            <w:vAlign w:val="bottom"/>
          </w:tcPr>
          <w:p w14:paraId="26E9E405" w14:textId="77777777" w:rsidR="008A3BAC" w:rsidRDefault="008A3BAC">
            <w:pPr>
              <w:rPr>
                <w:rFonts w:ascii="宋体"/>
                <w:vanish/>
              </w:rPr>
            </w:pPr>
          </w:p>
        </w:tc>
        <w:tc>
          <w:tcPr>
            <w:tcW w:w="0" w:type="auto"/>
            <w:gridSpan w:val="3"/>
            <w:shd w:val="clear" w:color="auto" w:fill="auto"/>
            <w:vAlign w:val="bottom"/>
          </w:tcPr>
          <w:p w14:paraId="26E9E406" w14:textId="77777777" w:rsidR="008A3BAC" w:rsidRDefault="008A3BAC">
            <w:pPr>
              <w:rPr>
                <w:rFonts w:ascii="宋体"/>
                <w:vanish/>
              </w:rPr>
            </w:pPr>
          </w:p>
        </w:tc>
        <w:tc>
          <w:tcPr>
            <w:tcW w:w="0" w:type="auto"/>
            <w:gridSpan w:val="3"/>
            <w:shd w:val="clear" w:color="auto" w:fill="auto"/>
            <w:vAlign w:val="bottom"/>
          </w:tcPr>
          <w:p w14:paraId="26E9E407" w14:textId="77777777" w:rsidR="008A3BAC" w:rsidRDefault="008A3BAC">
            <w:pPr>
              <w:rPr>
                <w:rFonts w:ascii="宋体"/>
                <w:vanish/>
              </w:rPr>
            </w:pPr>
          </w:p>
        </w:tc>
        <w:tc>
          <w:tcPr>
            <w:tcW w:w="0" w:type="auto"/>
            <w:gridSpan w:val="3"/>
            <w:shd w:val="clear" w:color="auto" w:fill="auto"/>
            <w:vAlign w:val="bottom"/>
          </w:tcPr>
          <w:p w14:paraId="26E9E408" w14:textId="77777777" w:rsidR="008A3BAC" w:rsidRDefault="008A3BAC">
            <w:pPr>
              <w:rPr>
                <w:rFonts w:ascii="宋体"/>
                <w:vanish/>
              </w:rPr>
            </w:pPr>
          </w:p>
        </w:tc>
      </w:tr>
      <w:tr w:rsidR="008A3BAC" w14:paraId="26E9E42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40A"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0B" w14:textId="77777777" w:rsidR="008A3BAC" w:rsidRDefault="005C75B9">
            <w:pPr>
              <w:jc w:val="right"/>
              <w:textAlignment w:val="bottom"/>
            </w:pPr>
            <w:r>
              <w:rPr>
                <w:rFonts w:ascii="Arial" w:eastAsia="宋体" w:hAnsi="Arial" w:cs="Arial"/>
                <w:color w:val="000000"/>
                <w:sz w:val="17"/>
                <w:szCs w:val="17"/>
              </w:rPr>
              <w:t>394 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0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0D" w14:textId="77777777" w:rsidR="008A3BAC" w:rsidRDefault="005C75B9">
            <w:pPr>
              <w:jc w:val="right"/>
              <w:textAlignment w:val="bottom"/>
            </w:pPr>
            <w:r>
              <w:rPr>
                <w:rFonts w:ascii="Arial" w:eastAsia="宋体" w:hAnsi="Arial" w:cs="Arial"/>
                <w:color w:val="000000"/>
                <w:sz w:val="17"/>
                <w:szCs w:val="17"/>
              </w:rPr>
              <w:t>365 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0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0F"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10"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11" w14:textId="77777777" w:rsidR="008A3BAC" w:rsidRDefault="005C75B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1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41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14" w14:textId="77777777" w:rsidR="008A3BAC" w:rsidRDefault="005C75B9">
            <w:pPr>
              <w:jc w:val="right"/>
              <w:textAlignment w:val="bottom"/>
            </w:pPr>
            <w:r>
              <w:rPr>
                <w:rFonts w:ascii="Arial" w:eastAsia="宋体" w:hAnsi="Arial" w:cs="Arial"/>
                <w:color w:val="000000"/>
                <w:sz w:val="17"/>
                <w:szCs w:val="17"/>
              </w:rPr>
              <w:t>1,181 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1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16" w14:textId="77777777" w:rsidR="008A3BAC" w:rsidRDefault="005C75B9">
            <w:pPr>
              <w:jc w:val="right"/>
              <w:textAlignment w:val="bottom"/>
            </w:pPr>
            <w:r>
              <w:rPr>
                <w:rFonts w:ascii="Arial" w:eastAsia="宋体" w:hAnsi="Arial" w:cs="Arial"/>
                <w:color w:val="000000"/>
                <w:sz w:val="17"/>
                <w:szCs w:val="17"/>
              </w:rPr>
              <w:t>1,098 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1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18"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1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1A" w14:textId="77777777" w:rsidR="008A3BAC" w:rsidRDefault="005C75B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1B"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41C" w14:textId="77777777" w:rsidR="008A3BAC" w:rsidRDefault="008A3BAC">
            <w:pPr>
              <w:rPr>
                <w:rFonts w:ascii="宋体"/>
                <w:vanish/>
              </w:rPr>
            </w:pPr>
          </w:p>
        </w:tc>
        <w:tc>
          <w:tcPr>
            <w:tcW w:w="0" w:type="auto"/>
            <w:shd w:val="clear" w:color="auto" w:fill="auto"/>
            <w:vAlign w:val="bottom"/>
          </w:tcPr>
          <w:p w14:paraId="26E9E41D" w14:textId="77777777" w:rsidR="008A3BAC" w:rsidRDefault="008A3BAC">
            <w:pPr>
              <w:rPr>
                <w:rFonts w:ascii="宋体"/>
                <w:vanish/>
              </w:rPr>
            </w:pPr>
          </w:p>
        </w:tc>
        <w:tc>
          <w:tcPr>
            <w:tcW w:w="0" w:type="auto"/>
            <w:gridSpan w:val="3"/>
            <w:shd w:val="clear" w:color="auto" w:fill="auto"/>
            <w:vAlign w:val="bottom"/>
          </w:tcPr>
          <w:p w14:paraId="26E9E41E" w14:textId="77777777" w:rsidR="008A3BAC" w:rsidRDefault="008A3BAC">
            <w:pPr>
              <w:rPr>
                <w:rFonts w:ascii="宋体"/>
                <w:vanish/>
              </w:rPr>
            </w:pPr>
          </w:p>
        </w:tc>
        <w:tc>
          <w:tcPr>
            <w:tcW w:w="0" w:type="auto"/>
            <w:gridSpan w:val="3"/>
            <w:shd w:val="clear" w:color="auto" w:fill="auto"/>
            <w:vAlign w:val="bottom"/>
          </w:tcPr>
          <w:p w14:paraId="26E9E41F" w14:textId="77777777" w:rsidR="008A3BAC" w:rsidRDefault="008A3BAC">
            <w:pPr>
              <w:rPr>
                <w:rFonts w:ascii="宋体"/>
                <w:vanish/>
              </w:rPr>
            </w:pPr>
          </w:p>
        </w:tc>
        <w:tc>
          <w:tcPr>
            <w:tcW w:w="0" w:type="auto"/>
            <w:gridSpan w:val="3"/>
            <w:shd w:val="clear" w:color="auto" w:fill="auto"/>
            <w:vAlign w:val="bottom"/>
          </w:tcPr>
          <w:p w14:paraId="26E9E420" w14:textId="77777777" w:rsidR="008A3BAC" w:rsidRDefault="008A3BAC">
            <w:pPr>
              <w:rPr>
                <w:rFonts w:ascii="宋体"/>
                <w:vanish/>
              </w:rPr>
            </w:pPr>
          </w:p>
        </w:tc>
      </w:tr>
      <w:tr w:rsidR="008A3BAC" w14:paraId="26E9E43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422"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23" w14:textId="77777777" w:rsidR="008A3BAC" w:rsidRDefault="005C75B9">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2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25" w14:textId="77777777" w:rsidR="008A3BAC" w:rsidRDefault="005C75B9">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2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27" w14:textId="77777777" w:rsidR="008A3BAC" w:rsidRDefault="005C75B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2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29" w14:textId="77777777" w:rsidR="008A3BAC" w:rsidRDefault="005C75B9">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2A"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42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2C" w14:textId="77777777" w:rsidR="008A3BAC" w:rsidRDefault="005C75B9">
            <w:pPr>
              <w:jc w:val="right"/>
              <w:textAlignment w:val="bottom"/>
            </w:pPr>
            <w:r>
              <w:rPr>
                <w:rFonts w:ascii="Arial" w:eastAsia="宋体" w:hAnsi="Arial" w:cs="Arial"/>
                <w:color w:val="000000"/>
                <w:sz w:val="17"/>
                <w:szCs w:val="17"/>
              </w:rPr>
              <w:t>178 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2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2E" w14:textId="77777777" w:rsidR="008A3BAC" w:rsidRDefault="005C75B9">
            <w:pPr>
              <w:jc w:val="right"/>
              <w:textAlignment w:val="bottom"/>
            </w:pPr>
            <w:r>
              <w:rPr>
                <w:rFonts w:ascii="Arial" w:eastAsia="宋体" w:hAnsi="Arial" w:cs="Arial"/>
                <w:color w:val="000000"/>
                <w:sz w:val="17"/>
                <w:szCs w:val="17"/>
              </w:rPr>
              <w:t>135 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2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30" w14:textId="77777777" w:rsidR="008A3BAC" w:rsidRDefault="005C75B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31"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32" w14:textId="77777777" w:rsidR="008A3BAC" w:rsidRDefault="005C75B9">
            <w:pPr>
              <w:jc w:val="right"/>
              <w:textAlignment w:val="bottom"/>
            </w:pPr>
            <w:r>
              <w:rPr>
                <w:rFonts w:ascii="Arial" w:eastAsia="宋体" w:hAnsi="Arial" w:cs="Arial"/>
                <w:color w:val="000000"/>
                <w:sz w:val="17"/>
                <w:szCs w:val="17"/>
              </w:rPr>
              <w:t>36</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33"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434" w14:textId="77777777" w:rsidR="008A3BAC" w:rsidRDefault="008A3BAC">
            <w:pPr>
              <w:rPr>
                <w:rFonts w:ascii="宋体"/>
                <w:vanish/>
              </w:rPr>
            </w:pPr>
          </w:p>
        </w:tc>
        <w:tc>
          <w:tcPr>
            <w:tcW w:w="0" w:type="auto"/>
            <w:shd w:val="clear" w:color="auto" w:fill="auto"/>
            <w:vAlign w:val="bottom"/>
          </w:tcPr>
          <w:p w14:paraId="26E9E435" w14:textId="77777777" w:rsidR="008A3BAC" w:rsidRDefault="008A3BAC">
            <w:pPr>
              <w:rPr>
                <w:rFonts w:ascii="宋体"/>
                <w:vanish/>
              </w:rPr>
            </w:pPr>
          </w:p>
        </w:tc>
        <w:tc>
          <w:tcPr>
            <w:tcW w:w="0" w:type="auto"/>
            <w:gridSpan w:val="3"/>
            <w:shd w:val="clear" w:color="auto" w:fill="auto"/>
            <w:vAlign w:val="bottom"/>
          </w:tcPr>
          <w:p w14:paraId="26E9E436" w14:textId="77777777" w:rsidR="008A3BAC" w:rsidRDefault="008A3BAC">
            <w:pPr>
              <w:rPr>
                <w:rFonts w:ascii="宋体"/>
                <w:vanish/>
              </w:rPr>
            </w:pPr>
          </w:p>
        </w:tc>
        <w:tc>
          <w:tcPr>
            <w:tcW w:w="0" w:type="auto"/>
            <w:gridSpan w:val="3"/>
            <w:shd w:val="clear" w:color="auto" w:fill="auto"/>
            <w:vAlign w:val="bottom"/>
          </w:tcPr>
          <w:p w14:paraId="26E9E437" w14:textId="77777777" w:rsidR="008A3BAC" w:rsidRDefault="008A3BAC">
            <w:pPr>
              <w:rPr>
                <w:rFonts w:ascii="宋体"/>
                <w:vanish/>
              </w:rPr>
            </w:pPr>
          </w:p>
        </w:tc>
        <w:tc>
          <w:tcPr>
            <w:tcW w:w="0" w:type="auto"/>
            <w:gridSpan w:val="3"/>
            <w:shd w:val="clear" w:color="auto" w:fill="auto"/>
            <w:vAlign w:val="bottom"/>
          </w:tcPr>
          <w:p w14:paraId="26E9E438" w14:textId="77777777" w:rsidR="008A3BAC" w:rsidRDefault="008A3BAC">
            <w:pPr>
              <w:rPr>
                <w:rFonts w:ascii="宋体"/>
                <w:vanish/>
              </w:rPr>
            </w:pPr>
          </w:p>
        </w:tc>
      </w:tr>
      <w:tr w:rsidR="008A3BAC" w14:paraId="26E9E4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43A"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43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43C" w14:textId="77777777" w:rsidR="008A3BAC" w:rsidRDefault="005C75B9">
            <w:pPr>
              <w:jc w:val="right"/>
              <w:textAlignment w:val="bottom"/>
            </w:pPr>
            <w:r>
              <w:rPr>
                <w:rFonts w:ascii="Arial" w:eastAsia="宋体" w:hAnsi="Arial" w:cs="Arial"/>
                <w:b/>
                <w:bCs/>
                <w:color w:val="000000"/>
                <w:sz w:val="17"/>
                <w:szCs w:val="17"/>
              </w:rPr>
              <w:t>1,461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43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43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43F" w14:textId="77777777" w:rsidR="008A3BAC" w:rsidRDefault="005C75B9">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41" w14:textId="77777777" w:rsidR="008A3BAC" w:rsidRDefault="005C75B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43" w14:textId="77777777" w:rsidR="008A3BAC" w:rsidRDefault="005C75B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4"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45"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44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447" w14:textId="77777777" w:rsidR="008A3BAC" w:rsidRDefault="005C75B9">
            <w:pPr>
              <w:jc w:val="right"/>
              <w:textAlignment w:val="bottom"/>
            </w:pPr>
            <w:r>
              <w:rPr>
                <w:rFonts w:ascii="Arial" w:eastAsia="宋体" w:hAnsi="Arial" w:cs="Arial"/>
                <w:b/>
                <w:bCs/>
                <w:color w:val="000000"/>
                <w:sz w:val="17"/>
                <w:szCs w:val="17"/>
              </w:rPr>
              <w:t>4,273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44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44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44A" w14:textId="77777777" w:rsidR="008A3BAC" w:rsidRDefault="005C75B9">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4C" w14:textId="77777777" w:rsidR="008A3BAC" w:rsidRDefault="005C75B9">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D"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4E" w14:textId="77777777" w:rsidR="008A3BAC" w:rsidRDefault="005C75B9">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4F"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450" w14:textId="77777777" w:rsidR="008A3BAC" w:rsidRDefault="008A3BAC">
            <w:pPr>
              <w:rPr>
                <w:rFonts w:ascii="宋体"/>
                <w:vanish/>
              </w:rPr>
            </w:pPr>
          </w:p>
        </w:tc>
        <w:tc>
          <w:tcPr>
            <w:tcW w:w="0" w:type="auto"/>
            <w:shd w:val="clear" w:color="auto" w:fill="auto"/>
            <w:vAlign w:val="bottom"/>
          </w:tcPr>
          <w:p w14:paraId="26E9E451" w14:textId="77777777" w:rsidR="008A3BAC" w:rsidRDefault="008A3BAC">
            <w:pPr>
              <w:rPr>
                <w:rFonts w:ascii="宋体"/>
                <w:vanish/>
              </w:rPr>
            </w:pPr>
          </w:p>
        </w:tc>
        <w:tc>
          <w:tcPr>
            <w:tcW w:w="0" w:type="auto"/>
            <w:gridSpan w:val="3"/>
            <w:shd w:val="clear" w:color="auto" w:fill="auto"/>
            <w:vAlign w:val="bottom"/>
          </w:tcPr>
          <w:p w14:paraId="26E9E452" w14:textId="77777777" w:rsidR="008A3BAC" w:rsidRDefault="008A3BAC">
            <w:pPr>
              <w:rPr>
                <w:rFonts w:ascii="宋体"/>
                <w:vanish/>
              </w:rPr>
            </w:pPr>
          </w:p>
        </w:tc>
        <w:tc>
          <w:tcPr>
            <w:tcW w:w="0" w:type="auto"/>
            <w:gridSpan w:val="3"/>
            <w:shd w:val="clear" w:color="auto" w:fill="auto"/>
            <w:vAlign w:val="bottom"/>
          </w:tcPr>
          <w:p w14:paraId="26E9E453" w14:textId="77777777" w:rsidR="008A3BAC" w:rsidRDefault="008A3BAC">
            <w:pPr>
              <w:rPr>
                <w:rFonts w:ascii="宋体"/>
                <w:vanish/>
              </w:rPr>
            </w:pPr>
          </w:p>
        </w:tc>
        <w:tc>
          <w:tcPr>
            <w:tcW w:w="0" w:type="auto"/>
            <w:gridSpan w:val="3"/>
            <w:shd w:val="clear" w:color="auto" w:fill="auto"/>
            <w:vAlign w:val="bottom"/>
          </w:tcPr>
          <w:p w14:paraId="26E9E454" w14:textId="77777777" w:rsidR="008A3BAC" w:rsidRDefault="008A3BAC">
            <w:pPr>
              <w:rPr>
                <w:rFonts w:ascii="宋体"/>
                <w:vanish/>
              </w:rPr>
            </w:pPr>
          </w:p>
        </w:tc>
      </w:tr>
      <w:tr w:rsidR="008A3BAC" w14:paraId="26E9E4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456"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45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B"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45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5F" w14:textId="77777777" w:rsidR="008A3BAC" w:rsidRDefault="008A3BAC">
            <w:pPr>
              <w:rPr>
                <w:rFonts w:ascii="宋体"/>
              </w:rPr>
            </w:pPr>
          </w:p>
        </w:tc>
        <w:tc>
          <w:tcPr>
            <w:tcW w:w="0" w:type="auto"/>
            <w:shd w:val="clear" w:color="auto" w:fill="auto"/>
            <w:vAlign w:val="bottom"/>
          </w:tcPr>
          <w:p w14:paraId="26E9E460" w14:textId="77777777" w:rsidR="008A3BAC" w:rsidRDefault="008A3BAC">
            <w:pPr>
              <w:rPr>
                <w:rFonts w:ascii="宋体"/>
                <w:vanish/>
              </w:rPr>
            </w:pPr>
          </w:p>
        </w:tc>
        <w:tc>
          <w:tcPr>
            <w:tcW w:w="0" w:type="auto"/>
            <w:shd w:val="clear" w:color="auto" w:fill="auto"/>
            <w:vAlign w:val="bottom"/>
          </w:tcPr>
          <w:p w14:paraId="26E9E461" w14:textId="77777777" w:rsidR="008A3BAC" w:rsidRDefault="008A3BAC">
            <w:pPr>
              <w:rPr>
                <w:rFonts w:ascii="宋体"/>
                <w:vanish/>
              </w:rPr>
            </w:pPr>
          </w:p>
        </w:tc>
        <w:tc>
          <w:tcPr>
            <w:tcW w:w="0" w:type="auto"/>
            <w:gridSpan w:val="3"/>
            <w:shd w:val="clear" w:color="auto" w:fill="auto"/>
            <w:vAlign w:val="bottom"/>
          </w:tcPr>
          <w:p w14:paraId="26E9E462" w14:textId="77777777" w:rsidR="008A3BAC" w:rsidRDefault="008A3BAC">
            <w:pPr>
              <w:rPr>
                <w:rFonts w:ascii="宋体"/>
                <w:vanish/>
              </w:rPr>
            </w:pPr>
          </w:p>
        </w:tc>
        <w:tc>
          <w:tcPr>
            <w:tcW w:w="0" w:type="auto"/>
            <w:gridSpan w:val="3"/>
            <w:shd w:val="clear" w:color="auto" w:fill="auto"/>
            <w:vAlign w:val="bottom"/>
          </w:tcPr>
          <w:p w14:paraId="26E9E463" w14:textId="77777777" w:rsidR="008A3BAC" w:rsidRDefault="008A3BAC">
            <w:pPr>
              <w:rPr>
                <w:rFonts w:ascii="宋体"/>
                <w:vanish/>
              </w:rPr>
            </w:pPr>
          </w:p>
        </w:tc>
        <w:tc>
          <w:tcPr>
            <w:tcW w:w="0" w:type="auto"/>
            <w:gridSpan w:val="3"/>
            <w:shd w:val="clear" w:color="auto" w:fill="auto"/>
            <w:vAlign w:val="bottom"/>
          </w:tcPr>
          <w:p w14:paraId="26E9E464" w14:textId="77777777" w:rsidR="008A3BAC" w:rsidRDefault="008A3BAC">
            <w:pPr>
              <w:rPr>
                <w:rFonts w:ascii="宋体"/>
                <w:vanish/>
              </w:rPr>
            </w:pPr>
          </w:p>
        </w:tc>
      </w:tr>
      <w:tr w:rsidR="008A3BAC" w14:paraId="26E9E48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466"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46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468" w14:textId="77777777" w:rsidR="008A3BAC" w:rsidRDefault="005C75B9">
            <w:pPr>
              <w:jc w:val="right"/>
              <w:textAlignment w:val="bottom"/>
            </w:pPr>
            <w:r>
              <w:rPr>
                <w:rFonts w:ascii="Arial" w:eastAsia="宋体" w:hAnsi="Arial" w:cs="Arial"/>
                <w:color w:val="000000"/>
                <w:sz w:val="17"/>
                <w:szCs w:val="17"/>
              </w:rPr>
              <w:t>860 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69"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46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46B" w14:textId="77777777" w:rsidR="008A3BAC" w:rsidRDefault="005C75B9">
            <w:pPr>
              <w:jc w:val="right"/>
              <w:textAlignment w:val="bottom"/>
            </w:pPr>
            <w:r>
              <w:rPr>
                <w:rFonts w:ascii="Arial" w:eastAsia="宋体" w:hAnsi="Arial" w:cs="Arial"/>
                <w:color w:val="000000"/>
                <w:sz w:val="17"/>
                <w:szCs w:val="17"/>
              </w:rPr>
              <w:t>846 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6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6D"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6E"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6F" w14:textId="77777777" w:rsidR="008A3BAC" w:rsidRDefault="005C75B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70"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471"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472"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473" w14:textId="77777777" w:rsidR="008A3BAC" w:rsidRDefault="005C75B9">
            <w:pPr>
              <w:jc w:val="right"/>
              <w:textAlignment w:val="bottom"/>
            </w:pPr>
            <w:r>
              <w:rPr>
                <w:rFonts w:ascii="Arial" w:eastAsia="宋体" w:hAnsi="Arial" w:cs="Arial"/>
                <w:color w:val="000000"/>
                <w:sz w:val="17"/>
                <w:szCs w:val="17"/>
              </w:rPr>
              <w:t>2,571 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74"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475"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476" w14:textId="77777777" w:rsidR="008A3BAC" w:rsidRDefault="005C75B9">
            <w:pPr>
              <w:jc w:val="right"/>
              <w:textAlignment w:val="bottom"/>
            </w:pPr>
            <w:r>
              <w:rPr>
                <w:rFonts w:ascii="Arial" w:eastAsia="宋体" w:hAnsi="Arial" w:cs="Arial"/>
                <w:color w:val="000000"/>
                <w:sz w:val="17"/>
                <w:szCs w:val="17"/>
              </w:rPr>
              <w:t>2,479 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7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78"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7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7A"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7B"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47C" w14:textId="77777777" w:rsidR="008A3BAC" w:rsidRDefault="008A3BAC">
            <w:pPr>
              <w:rPr>
                <w:rFonts w:ascii="宋体"/>
                <w:vanish/>
              </w:rPr>
            </w:pPr>
          </w:p>
        </w:tc>
        <w:tc>
          <w:tcPr>
            <w:tcW w:w="0" w:type="auto"/>
            <w:shd w:val="clear" w:color="auto" w:fill="auto"/>
            <w:vAlign w:val="bottom"/>
          </w:tcPr>
          <w:p w14:paraId="26E9E47D" w14:textId="77777777" w:rsidR="008A3BAC" w:rsidRDefault="008A3BAC">
            <w:pPr>
              <w:rPr>
                <w:rFonts w:ascii="宋体"/>
                <w:vanish/>
              </w:rPr>
            </w:pPr>
          </w:p>
        </w:tc>
        <w:tc>
          <w:tcPr>
            <w:tcW w:w="0" w:type="auto"/>
            <w:gridSpan w:val="3"/>
            <w:shd w:val="clear" w:color="auto" w:fill="auto"/>
            <w:vAlign w:val="bottom"/>
          </w:tcPr>
          <w:p w14:paraId="26E9E47E" w14:textId="77777777" w:rsidR="008A3BAC" w:rsidRDefault="008A3BAC">
            <w:pPr>
              <w:rPr>
                <w:rFonts w:ascii="宋体"/>
                <w:vanish/>
              </w:rPr>
            </w:pPr>
          </w:p>
        </w:tc>
        <w:tc>
          <w:tcPr>
            <w:tcW w:w="0" w:type="auto"/>
            <w:gridSpan w:val="3"/>
            <w:shd w:val="clear" w:color="auto" w:fill="auto"/>
            <w:vAlign w:val="bottom"/>
          </w:tcPr>
          <w:p w14:paraId="26E9E47F" w14:textId="77777777" w:rsidR="008A3BAC" w:rsidRDefault="008A3BAC">
            <w:pPr>
              <w:rPr>
                <w:rFonts w:ascii="宋体"/>
                <w:vanish/>
              </w:rPr>
            </w:pPr>
          </w:p>
        </w:tc>
        <w:tc>
          <w:tcPr>
            <w:tcW w:w="0" w:type="auto"/>
            <w:gridSpan w:val="3"/>
            <w:shd w:val="clear" w:color="auto" w:fill="auto"/>
            <w:vAlign w:val="bottom"/>
          </w:tcPr>
          <w:p w14:paraId="26E9E480" w14:textId="77777777" w:rsidR="008A3BAC" w:rsidRDefault="008A3BAC">
            <w:pPr>
              <w:rPr>
                <w:rFonts w:ascii="宋体"/>
                <w:vanish/>
              </w:rPr>
            </w:pPr>
          </w:p>
        </w:tc>
      </w:tr>
      <w:tr w:rsidR="008A3BAC" w14:paraId="26E9E4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482" w14:textId="77777777" w:rsidR="008A3BAC" w:rsidRDefault="005C75B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83" w14:textId="77777777" w:rsidR="008A3BAC" w:rsidRDefault="005C75B9">
            <w:pPr>
              <w:jc w:val="right"/>
              <w:textAlignment w:val="bottom"/>
            </w:pPr>
            <w:r>
              <w:rPr>
                <w:rFonts w:ascii="Arial" w:eastAsia="宋体" w:hAnsi="Arial" w:cs="Arial"/>
                <w:color w:val="000000"/>
                <w:sz w:val="17"/>
                <w:szCs w:val="17"/>
              </w:rPr>
              <w:t>601 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8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85" w14:textId="77777777" w:rsidR="008A3BAC" w:rsidRDefault="005C75B9">
            <w:pPr>
              <w:jc w:val="right"/>
              <w:textAlignment w:val="bottom"/>
            </w:pPr>
            <w:r>
              <w:rPr>
                <w:rFonts w:ascii="Arial" w:eastAsia="宋体" w:hAnsi="Arial" w:cs="Arial"/>
                <w:color w:val="000000"/>
                <w:sz w:val="17"/>
                <w:szCs w:val="17"/>
              </w:rPr>
              <w:t>469 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8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87"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8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89" w14:textId="77777777" w:rsidR="008A3BAC" w:rsidRDefault="005C75B9">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8A"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48B"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48C" w14:textId="77777777" w:rsidR="008A3BAC" w:rsidRDefault="005C75B9">
            <w:pPr>
              <w:jc w:val="right"/>
              <w:textAlignment w:val="bottom"/>
            </w:pPr>
            <w:r>
              <w:rPr>
                <w:rFonts w:ascii="Arial" w:eastAsia="宋体" w:hAnsi="Arial" w:cs="Arial"/>
                <w:color w:val="000000"/>
                <w:sz w:val="17"/>
                <w:szCs w:val="17"/>
              </w:rPr>
              <w:t>1,702 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48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8E" w14:textId="77777777" w:rsidR="008A3BAC" w:rsidRDefault="005C75B9">
            <w:pPr>
              <w:jc w:val="right"/>
              <w:textAlignment w:val="bottom"/>
            </w:pPr>
            <w:r>
              <w:rPr>
                <w:rFonts w:ascii="Arial" w:eastAsia="宋体" w:hAnsi="Arial" w:cs="Arial"/>
                <w:color w:val="000000"/>
                <w:sz w:val="17"/>
                <w:szCs w:val="17"/>
              </w:rPr>
              <w:t>1,406 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8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90"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91"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492" w14:textId="77777777" w:rsidR="008A3BAC" w:rsidRDefault="005C75B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493"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494" w14:textId="77777777" w:rsidR="008A3BAC" w:rsidRDefault="008A3BAC">
            <w:pPr>
              <w:rPr>
                <w:rFonts w:ascii="宋体"/>
                <w:vanish/>
              </w:rPr>
            </w:pPr>
          </w:p>
        </w:tc>
        <w:tc>
          <w:tcPr>
            <w:tcW w:w="0" w:type="auto"/>
            <w:shd w:val="clear" w:color="auto" w:fill="auto"/>
            <w:vAlign w:val="bottom"/>
          </w:tcPr>
          <w:p w14:paraId="26E9E495" w14:textId="77777777" w:rsidR="008A3BAC" w:rsidRDefault="008A3BAC">
            <w:pPr>
              <w:rPr>
                <w:rFonts w:ascii="宋体"/>
                <w:vanish/>
              </w:rPr>
            </w:pPr>
          </w:p>
        </w:tc>
        <w:tc>
          <w:tcPr>
            <w:tcW w:w="0" w:type="auto"/>
            <w:gridSpan w:val="3"/>
            <w:shd w:val="clear" w:color="auto" w:fill="auto"/>
            <w:vAlign w:val="bottom"/>
          </w:tcPr>
          <w:p w14:paraId="26E9E496" w14:textId="77777777" w:rsidR="008A3BAC" w:rsidRDefault="008A3BAC">
            <w:pPr>
              <w:rPr>
                <w:rFonts w:ascii="宋体"/>
                <w:vanish/>
              </w:rPr>
            </w:pPr>
          </w:p>
        </w:tc>
        <w:tc>
          <w:tcPr>
            <w:tcW w:w="0" w:type="auto"/>
            <w:gridSpan w:val="3"/>
            <w:shd w:val="clear" w:color="auto" w:fill="auto"/>
            <w:vAlign w:val="bottom"/>
          </w:tcPr>
          <w:p w14:paraId="26E9E497" w14:textId="77777777" w:rsidR="008A3BAC" w:rsidRDefault="008A3BAC">
            <w:pPr>
              <w:rPr>
                <w:rFonts w:ascii="宋体"/>
                <w:vanish/>
              </w:rPr>
            </w:pPr>
          </w:p>
        </w:tc>
        <w:tc>
          <w:tcPr>
            <w:tcW w:w="0" w:type="auto"/>
            <w:gridSpan w:val="3"/>
            <w:shd w:val="clear" w:color="auto" w:fill="auto"/>
            <w:vAlign w:val="bottom"/>
          </w:tcPr>
          <w:p w14:paraId="26E9E498" w14:textId="77777777" w:rsidR="008A3BAC" w:rsidRDefault="008A3BAC">
            <w:pPr>
              <w:rPr>
                <w:rFonts w:ascii="宋体"/>
                <w:vanish/>
              </w:rPr>
            </w:pPr>
          </w:p>
        </w:tc>
      </w:tr>
      <w:tr w:rsidR="008A3BAC" w14:paraId="26E9E4B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49A"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49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49C" w14:textId="77777777" w:rsidR="008A3BAC" w:rsidRDefault="005C75B9">
            <w:pPr>
              <w:jc w:val="right"/>
              <w:textAlignment w:val="bottom"/>
            </w:pPr>
            <w:r>
              <w:rPr>
                <w:rFonts w:ascii="Arial" w:eastAsia="宋体" w:hAnsi="Arial" w:cs="Arial"/>
                <w:b/>
                <w:bCs/>
                <w:color w:val="000000"/>
                <w:sz w:val="17"/>
                <w:szCs w:val="17"/>
              </w:rPr>
              <w:t>1,461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49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49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49F" w14:textId="77777777" w:rsidR="008A3BAC" w:rsidRDefault="005C75B9">
            <w:pPr>
              <w:jc w:val="right"/>
              <w:textAlignment w:val="bottom"/>
            </w:pPr>
            <w:r>
              <w:rPr>
                <w:rFonts w:ascii="Arial" w:eastAsia="宋体" w:hAnsi="Arial" w:cs="Arial"/>
                <w:b/>
                <w:bCs/>
                <w:color w:val="000000"/>
                <w:sz w:val="17"/>
                <w:szCs w:val="17"/>
              </w:rPr>
              <w:t>1,315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A1" w14:textId="77777777" w:rsidR="008A3BAC" w:rsidRDefault="005C75B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A3" w14:textId="77777777" w:rsidR="008A3BAC" w:rsidRDefault="005C75B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4"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4A5"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4A6"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4A7" w14:textId="77777777" w:rsidR="008A3BAC" w:rsidRDefault="005C75B9">
            <w:pPr>
              <w:jc w:val="right"/>
              <w:textAlignment w:val="bottom"/>
            </w:pPr>
            <w:r>
              <w:rPr>
                <w:rFonts w:ascii="Arial" w:eastAsia="宋体" w:hAnsi="Arial" w:cs="Arial"/>
                <w:b/>
                <w:bCs/>
                <w:color w:val="000000"/>
                <w:sz w:val="17"/>
                <w:szCs w:val="17"/>
              </w:rPr>
              <w:t>4,2</w:t>
            </w:r>
            <w:r>
              <w:rPr>
                <w:rFonts w:ascii="Arial" w:eastAsia="宋体" w:hAnsi="Arial" w:cs="Arial"/>
                <w:b/>
                <w:bCs/>
                <w:color w:val="000000"/>
                <w:sz w:val="17"/>
                <w:szCs w:val="17"/>
              </w:rPr>
              <w:t>73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4A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4A9"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4AA" w14:textId="77777777" w:rsidR="008A3BAC" w:rsidRDefault="005C75B9">
            <w:pPr>
              <w:jc w:val="right"/>
              <w:textAlignment w:val="bottom"/>
            </w:pPr>
            <w:r>
              <w:rPr>
                <w:rFonts w:ascii="Arial" w:eastAsia="宋体" w:hAnsi="Arial" w:cs="Arial"/>
                <w:b/>
                <w:bCs/>
                <w:color w:val="000000"/>
                <w:sz w:val="17"/>
                <w:szCs w:val="17"/>
              </w:rPr>
              <w:t>3,885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AC" w14:textId="77777777" w:rsidR="008A3BAC" w:rsidRDefault="005C75B9">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D"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4AE" w14:textId="77777777" w:rsidR="008A3BAC" w:rsidRDefault="005C75B9">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4AF" w14:textId="77777777" w:rsidR="008A3BAC" w:rsidRDefault="005C75B9">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6E9E4B0" w14:textId="77777777" w:rsidR="008A3BAC" w:rsidRDefault="008A3BAC">
            <w:pPr>
              <w:rPr>
                <w:rFonts w:ascii="宋体"/>
                <w:vanish/>
              </w:rPr>
            </w:pPr>
          </w:p>
        </w:tc>
        <w:tc>
          <w:tcPr>
            <w:tcW w:w="0" w:type="auto"/>
            <w:shd w:val="clear" w:color="auto" w:fill="auto"/>
            <w:vAlign w:val="bottom"/>
          </w:tcPr>
          <w:p w14:paraId="26E9E4B1" w14:textId="77777777" w:rsidR="008A3BAC" w:rsidRDefault="008A3BAC">
            <w:pPr>
              <w:rPr>
                <w:rFonts w:ascii="宋体"/>
                <w:vanish/>
              </w:rPr>
            </w:pPr>
          </w:p>
        </w:tc>
        <w:tc>
          <w:tcPr>
            <w:tcW w:w="0" w:type="auto"/>
            <w:gridSpan w:val="3"/>
            <w:shd w:val="clear" w:color="auto" w:fill="auto"/>
            <w:vAlign w:val="bottom"/>
          </w:tcPr>
          <w:p w14:paraId="26E9E4B2" w14:textId="77777777" w:rsidR="008A3BAC" w:rsidRDefault="008A3BAC">
            <w:pPr>
              <w:rPr>
                <w:rFonts w:ascii="宋体"/>
                <w:vanish/>
              </w:rPr>
            </w:pPr>
          </w:p>
        </w:tc>
        <w:tc>
          <w:tcPr>
            <w:tcW w:w="0" w:type="auto"/>
            <w:gridSpan w:val="3"/>
            <w:shd w:val="clear" w:color="auto" w:fill="auto"/>
            <w:vAlign w:val="bottom"/>
          </w:tcPr>
          <w:p w14:paraId="26E9E4B3" w14:textId="77777777" w:rsidR="008A3BAC" w:rsidRDefault="008A3BAC">
            <w:pPr>
              <w:rPr>
                <w:rFonts w:ascii="宋体"/>
                <w:vanish/>
              </w:rPr>
            </w:pPr>
          </w:p>
        </w:tc>
        <w:tc>
          <w:tcPr>
            <w:tcW w:w="0" w:type="auto"/>
            <w:gridSpan w:val="3"/>
            <w:shd w:val="clear" w:color="auto" w:fill="auto"/>
            <w:vAlign w:val="bottom"/>
          </w:tcPr>
          <w:p w14:paraId="26E9E4B4" w14:textId="77777777" w:rsidR="008A3BAC" w:rsidRDefault="008A3BAC">
            <w:pPr>
              <w:rPr>
                <w:rFonts w:ascii="宋体"/>
                <w:vanish/>
              </w:rPr>
            </w:pPr>
          </w:p>
        </w:tc>
      </w:tr>
      <w:tr w:rsidR="008A3BAC" w14:paraId="26E9E4C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E4B6" w14:textId="77777777" w:rsidR="008A3BAC" w:rsidRDefault="005C75B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4B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4B8" w14:textId="77777777" w:rsidR="008A3BAC" w:rsidRDefault="005C75B9">
            <w:pPr>
              <w:jc w:val="right"/>
              <w:textAlignment w:val="bottom"/>
            </w:pPr>
            <w:r>
              <w:rPr>
                <w:rFonts w:ascii="Arial" w:eastAsia="宋体" w:hAnsi="Arial" w:cs="Arial"/>
                <w:b/>
                <w:bCs/>
                <w:color w:val="000000"/>
                <w:sz w:val="17"/>
                <w:szCs w:val="17"/>
              </w:rPr>
              <w:t>478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4B9"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4B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4BB" w14:textId="77777777" w:rsidR="008A3BAC" w:rsidRDefault="005C75B9">
            <w:pPr>
              <w:jc w:val="right"/>
              <w:textAlignment w:val="bottom"/>
            </w:pPr>
            <w:r>
              <w:rPr>
                <w:rFonts w:ascii="Arial" w:eastAsia="宋体" w:hAnsi="Arial" w:cs="Arial"/>
                <w:b/>
                <w:bCs/>
                <w:color w:val="000000"/>
                <w:sz w:val="17"/>
                <w:szCs w:val="17"/>
              </w:rPr>
              <w:t>408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4BC"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4BD" w14:textId="77777777" w:rsidR="008A3BAC" w:rsidRDefault="005C75B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4B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4BF"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4C0"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4C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4C2" w14:textId="77777777" w:rsidR="008A3BAC" w:rsidRDefault="005C75B9">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4C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4C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4C5" w14:textId="77777777" w:rsidR="008A3BAC" w:rsidRDefault="005C75B9">
            <w:pPr>
              <w:jc w:val="right"/>
              <w:textAlignment w:val="bottom"/>
            </w:pPr>
            <w:r>
              <w:rPr>
                <w:rFonts w:ascii="Arial" w:eastAsia="宋体" w:hAnsi="Arial" w:cs="Arial"/>
                <w:b/>
                <w:bCs/>
                <w:color w:val="000000"/>
                <w:sz w:val="17"/>
                <w:szCs w:val="17"/>
              </w:rPr>
              <w:t>1,112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4C6"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4C7" w14:textId="77777777" w:rsidR="008A3BAC" w:rsidRDefault="005C75B9">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4C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4C9" w14:textId="77777777" w:rsidR="008A3BAC" w:rsidRDefault="008A3BAC">
            <w:pPr>
              <w:rPr>
                <w:rFonts w:ascii="宋体"/>
              </w:rPr>
            </w:pPr>
          </w:p>
        </w:tc>
        <w:tc>
          <w:tcPr>
            <w:tcW w:w="0" w:type="auto"/>
            <w:shd w:val="clear" w:color="auto" w:fill="auto"/>
            <w:vAlign w:val="bottom"/>
          </w:tcPr>
          <w:p w14:paraId="26E9E4CA" w14:textId="77777777" w:rsidR="008A3BAC" w:rsidRDefault="008A3BAC">
            <w:pPr>
              <w:rPr>
                <w:rFonts w:ascii="宋体"/>
                <w:vanish/>
              </w:rPr>
            </w:pPr>
          </w:p>
        </w:tc>
        <w:tc>
          <w:tcPr>
            <w:tcW w:w="0" w:type="auto"/>
            <w:shd w:val="clear" w:color="auto" w:fill="auto"/>
            <w:vAlign w:val="bottom"/>
          </w:tcPr>
          <w:p w14:paraId="26E9E4CB" w14:textId="77777777" w:rsidR="008A3BAC" w:rsidRDefault="008A3BAC">
            <w:pPr>
              <w:rPr>
                <w:rFonts w:ascii="宋体"/>
                <w:vanish/>
              </w:rPr>
            </w:pPr>
          </w:p>
        </w:tc>
        <w:tc>
          <w:tcPr>
            <w:tcW w:w="0" w:type="auto"/>
            <w:gridSpan w:val="3"/>
            <w:shd w:val="clear" w:color="auto" w:fill="auto"/>
            <w:vAlign w:val="bottom"/>
          </w:tcPr>
          <w:p w14:paraId="26E9E4CC" w14:textId="77777777" w:rsidR="008A3BAC" w:rsidRDefault="008A3BAC">
            <w:pPr>
              <w:rPr>
                <w:rFonts w:ascii="宋体"/>
                <w:vanish/>
              </w:rPr>
            </w:pPr>
          </w:p>
        </w:tc>
        <w:tc>
          <w:tcPr>
            <w:tcW w:w="0" w:type="auto"/>
            <w:gridSpan w:val="3"/>
            <w:shd w:val="clear" w:color="auto" w:fill="auto"/>
            <w:vAlign w:val="bottom"/>
          </w:tcPr>
          <w:p w14:paraId="26E9E4CD" w14:textId="77777777" w:rsidR="008A3BAC" w:rsidRDefault="008A3BAC">
            <w:pPr>
              <w:rPr>
                <w:rFonts w:ascii="宋体"/>
                <w:vanish/>
              </w:rPr>
            </w:pPr>
          </w:p>
        </w:tc>
        <w:tc>
          <w:tcPr>
            <w:tcW w:w="0" w:type="auto"/>
            <w:gridSpan w:val="3"/>
            <w:shd w:val="clear" w:color="auto" w:fill="auto"/>
            <w:vAlign w:val="bottom"/>
          </w:tcPr>
          <w:p w14:paraId="26E9E4CE" w14:textId="77777777" w:rsidR="008A3BAC" w:rsidRDefault="008A3BAC">
            <w:pPr>
              <w:rPr>
                <w:rFonts w:ascii="宋体"/>
                <w:vanish/>
              </w:rPr>
            </w:pPr>
          </w:p>
        </w:tc>
      </w:tr>
    </w:tbl>
    <w:p w14:paraId="26E9E4D0" w14:textId="77777777" w:rsidR="008A3BAC" w:rsidRDefault="005C75B9">
      <w:pPr>
        <w:spacing w:before="120" w:after="120"/>
      </w:pPr>
      <w:r>
        <w:rPr>
          <w:rFonts w:ascii="Arial" w:eastAsia="宋体" w:hAnsi="Arial" w:cs="Arial"/>
          <w:color w:val="000000"/>
          <w:sz w:val="17"/>
          <w:szCs w:val="17"/>
        </w:rPr>
        <w:t>As discussed previously, our NIKE Brand business i</w:t>
      </w:r>
      <w:r>
        <w:rPr>
          <w:rFonts w:ascii="Arial" w:eastAsia="宋体" w:hAnsi="Arial" w:cs="Arial"/>
          <w:color w:val="000000"/>
          <w:sz w:val="17"/>
          <w:szCs w:val="17"/>
        </w:rPr>
        <w:t>n Brazil transitioned to a distributor operating model during fiscal 2021 and our NIKE Brand businesses in Argentina, Chile and Uruguay have remained classified as held-for-sale. The impacts of closing the Brazil transaction as well as classifying the Arge</w:t>
      </w:r>
      <w:r>
        <w:rPr>
          <w:rFonts w:ascii="Arial" w:eastAsia="宋体" w:hAnsi="Arial" w:cs="Arial"/>
          <w:color w:val="000000"/>
          <w:sz w:val="17"/>
          <w:szCs w:val="17"/>
        </w:rPr>
        <w:t xml:space="preserve">ntina, Chile, and Uruguay entities as held-for-sale in fiscal 2020 are included within Corporate and are not reflected in the APLA operating segment results. For more information see Note 13 — Acquisitions and Divestitures within the accompanying Notes to </w:t>
      </w:r>
      <w:r>
        <w:rPr>
          <w:rFonts w:ascii="Arial" w:eastAsia="宋体" w:hAnsi="Arial" w:cs="Arial"/>
          <w:color w:val="000000"/>
          <w:sz w:val="17"/>
          <w:szCs w:val="17"/>
        </w:rPr>
        <w:t xml:space="preserve">the Unaudited Condensed Consolidated Financial Statements. </w:t>
      </w:r>
    </w:p>
    <w:p w14:paraId="26E9E4D1" w14:textId="77777777" w:rsidR="008A3BAC" w:rsidRDefault="005C75B9">
      <w:pPr>
        <w:spacing w:before="120" w:after="120"/>
        <w:jc w:val="right"/>
      </w:pPr>
      <w:r>
        <w:rPr>
          <w:rFonts w:ascii="Arial" w:eastAsia="宋体" w:hAnsi="Arial" w:cs="Arial"/>
          <w:color w:val="E87722"/>
          <w:sz w:val="17"/>
          <w:szCs w:val="17"/>
        </w:rPr>
        <w:t>37</w:t>
      </w:r>
    </w:p>
    <w:p w14:paraId="26E9E4D2" w14:textId="77777777" w:rsidR="008A3BAC" w:rsidRDefault="005C75B9">
      <w:r>
        <w:pict w14:anchorId="26E9E86C">
          <v:rect id="_x0000_i1063" style="width:415.3pt;height:1.5pt" o:hralign="center" o:hrstd="t" o:hr="t" fillcolor="#a0a0a0" stroked="f"/>
        </w:pict>
      </w:r>
    </w:p>
    <w:p w14:paraId="26E9E4D3" w14:textId="77777777" w:rsidR="008A3BAC" w:rsidRDefault="008A3BAC"/>
    <w:p w14:paraId="26E9E4D4" w14:textId="77777777" w:rsidR="008A3BAC" w:rsidRDefault="005C75B9">
      <w:hyperlink r:id="rId108" w:anchor="i46aba51c6a804f42b3595948c57d2023_7" w:history="1">
        <w:r>
          <w:rPr>
            <w:rStyle w:val="a5"/>
            <w:rFonts w:ascii="sans-serif" w:eastAsia="sans-serif" w:hAnsi="sans-serif" w:cs="sans-serif"/>
            <w:sz w:val="17"/>
            <w:szCs w:val="17"/>
          </w:rPr>
          <w:t>Table of Contents</w:t>
        </w:r>
      </w:hyperlink>
    </w:p>
    <w:p w14:paraId="26E9E4D5" w14:textId="77777777" w:rsidR="008A3BAC" w:rsidRDefault="008A3BAC"/>
    <w:p w14:paraId="26E9E4D6" w14:textId="77777777" w:rsidR="008A3BAC" w:rsidRDefault="005C75B9">
      <w:pPr>
        <w:spacing w:before="120"/>
      </w:pPr>
      <w:r>
        <w:rPr>
          <w:rFonts w:ascii="sans-serif" w:eastAsia="sans-serif" w:hAnsi="sans-serif" w:cs="sans-serif"/>
          <w:b/>
          <w:bCs/>
          <w:color w:val="808080"/>
          <w:sz w:val="22"/>
          <w:szCs w:val="22"/>
        </w:rPr>
        <w:t xml:space="preserve">THIRD </w:t>
      </w:r>
      <w:r>
        <w:rPr>
          <w:rFonts w:ascii="sans-serif" w:eastAsia="sans-serif" w:hAnsi="sans-serif" w:cs="sans-serif"/>
          <w:b/>
          <w:bCs/>
          <w:color w:val="808080"/>
          <w:sz w:val="22"/>
          <w:szCs w:val="22"/>
        </w:rPr>
        <w:t>QUARTER OF FISCAL 2022 COMPARED TO THIRD QUARTER OF FISCAL 2021</w:t>
      </w:r>
    </w:p>
    <w:p w14:paraId="26E9E4D7" w14:textId="77777777" w:rsidR="008A3BAC" w:rsidRDefault="005C75B9">
      <w:pPr>
        <w:spacing w:before="60" w:after="120"/>
      </w:pPr>
      <w:r>
        <w:rPr>
          <w:rFonts w:ascii="Arial" w:eastAsia="宋体" w:hAnsi="Arial" w:cs="Arial"/>
          <w:color w:val="000000"/>
          <w:sz w:val="17"/>
          <w:szCs w:val="17"/>
        </w:rPr>
        <w:t>On a currency-neutral basis, APLA revenues increased 19% for the third quarter of fiscal 2022. The increase was due to higher revenues across nearly all territories, led by Korea, Mexico and S</w:t>
      </w:r>
      <w:r>
        <w:rPr>
          <w:rFonts w:ascii="Arial" w:eastAsia="宋体" w:hAnsi="Arial" w:cs="Arial"/>
          <w:color w:val="000000"/>
          <w:sz w:val="17"/>
          <w:szCs w:val="17"/>
        </w:rPr>
        <w:t xml:space="preserve">OCO (which comprises Argentina, Chile and Uruguay), which increased 23%, 51% and 43%, respectively. Revenues increased primarily due to higher revenues in Women's and Men’s. NIKE Direct revenues increased 39%, primarily due to digital sales growth of 61%, </w:t>
      </w:r>
      <w:r>
        <w:rPr>
          <w:rFonts w:ascii="Arial" w:eastAsia="宋体" w:hAnsi="Arial" w:cs="Arial"/>
          <w:color w:val="000000"/>
          <w:sz w:val="17"/>
          <w:szCs w:val="17"/>
        </w:rPr>
        <w:t>comparable store sales growth of 17%, in part due to improved physical retail traffic, and the addition of new stores.</w:t>
      </w:r>
    </w:p>
    <w:p w14:paraId="26E9E4D8" w14:textId="77777777" w:rsidR="008A3BAC" w:rsidRDefault="005C75B9">
      <w:r>
        <w:rPr>
          <w:rFonts w:ascii="Arial" w:eastAsia="宋体" w:hAnsi="Arial" w:cs="Arial"/>
          <w:color w:val="000000"/>
          <w:sz w:val="17"/>
          <w:szCs w:val="17"/>
        </w:rPr>
        <w:t>Currency-neutral footwear revenues increased 20%, due primarily to higher revenues in Women's. Unit sales of footwear increased 9%, while</w:t>
      </w:r>
      <w:r>
        <w:rPr>
          <w:rFonts w:ascii="Arial" w:eastAsia="宋体" w:hAnsi="Arial" w:cs="Arial"/>
          <w:color w:val="000000"/>
          <w:sz w:val="17"/>
          <w:szCs w:val="17"/>
        </w:rPr>
        <w:t xml:space="preserve"> higher ASP per pair contributed approximately 11 percentage points of footwear revenue growth. Higher ASP per pair was driven by higher NIKE Direct ASP and the favorable impact of growth in our NIKE Direct business, as well as higher full-price and off-pr</w:t>
      </w:r>
      <w:r>
        <w:rPr>
          <w:rFonts w:ascii="Arial" w:eastAsia="宋体" w:hAnsi="Arial" w:cs="Arial"/>
          <w:color w:val="000000"/>
          <w:sz w:val="17"/>
          <w:szCs w:val="17"/>
        </w:rPr>
        <w:t>ice ASPs. Higher ASPs, in part, reflect inflationary conditions in our SOCO territory.</w:t>
      </w:r>
    </w:p>
    <w:p w14:paraId="26E9E4D9" w14:textId="77777777" w:rsidR="008A3BAC" w:rsidRDefault="005C75B9">
      <w:pPr>
        <w:spacing w:before="120" w:after="120"/>
      </w:pPr>
      <w:r>
        <w:rPr>
          <w:rFonts w:ascii="Arial" w:eastAsia="宋体" w:hAnsi="Arial" w:cs="Arial"/>
          <w:color w:val="000000"/>
          <w:sz w:val="17"/>
          <w:szCs w:val="17"/>
        </w:rPr>
        <w:t>Currency-neutral apparel revenues increased 16%, due primarily to higher revenues in Men's. Unit sales of apparel increased 15%, while higher ASP per unit contributed ap</w:t>
      </w:r>
      <w:r>
        <w:rPr>
          <w:rFonts w:ascii="Arial" w:eastAsia="宋体" w:hAnsi="Arial" w:cs="Arial"/>
          <w:color w:val="000000"/>
          <w:sz w:val="17"/>
          <w:szCs w:val="17"/>
        </w:rPr>
        <w:t>proximately 1 percentage point of apparel revenue growth, driven by higher off-price ASP and a higher mix of full-price sales, partially offset by lower full-price ASP. Higher ASPs, in part, reflect inflationary conditions in our SOCO territory.</w:t>
      </w:r>
    </w:p>
    <w:p w14:paraId="26E9E4DA" w14:textId="77777777" w:rsidR="008A3BAC" w:rsidRDefault="005C75B9">
      <w:pPr>
        <w:spacing w:before="120" w:after="120"/>
      </w:pPr>
      <w:r>
        <w:rPr>
          <w:rFonts w:ascii="Arial" w:eastAsia="宋体" w:hAnsi="Arial" w:cs="Arial"/>
          <w:color w:val="000000"/>
          <w:sz w:val="17"/>
          <w:szCs w:val="17"/>
        </w:rPr>
        <w:t>Reported E</w:t>
      </w:r>
      <w:r>
        <w:rPr>
          <w:rFonts w:ascii="Arial" w:eastAsia="宋体" w:hAnsi="Arial" w:cs="Arial"/>
          <w:color w:val="000000"/>
          <w:sz w:val="17"/>
          <w:szCs w:val="17"/>
        </w:rPr>
        <w:t>BIT increased 17% for the third quarter of fiscal 2022, as higher revenues and gross margin expansion more than offset higher selling and administrative expense. Gross margin increased approximately 230 basis points primarily due to favorable changes in st</w:t>
      </w:r>
      <w:r>
        <w:rPr>
          <w:rFonts w:ascii="Arial" w:eastAsia="宋体" w:hAnsi="Arial" w:cs="Arial"/>
          <w:color w:val="000000"/>
          <w:sz w:val="17"/>
          <w:szCs w:val="17"/>
        </w:rPr>
        <w:t>andard foreign currency exchange rates, higher margins and the favorable impact of growth in our NIKE Direct business, as well as lower product costs and a higher mix of full-price sales. This activity was partially offset by lower full-price ASP, net of d</w:t>
      </w:r>
      <w:r>
        <w:rPr>
          <w:rFonts w:ascii="Arial" w:eastAsia="宋体" w:hAnsi="Arial" w:cs="Arial"/>
          <w:color w:val="000000"/>
          <w:sz w:val="17"/>
          <w:szCs w:val="17"/>
        </w:rPr>
        <w:t>iscounts. Selling and administrative expense increased due to higher operating overhead and demand creation expense. Higher operating overhead expense was primarily due to an increase in NIKE Direct strategic technology investments, as well as higher wage-</w:t>
      </w:r>
      <w:r>
        <w:rPr>
          <w:rFonts w:ascii="Arial" w:eastAsia="宋体" w:hAnsi="Arial" w:cs="Arial"/>
          <w:color w:val="000000"/>
          <w:sz w:val="17"/>
          <w:szCs w:val="17"/>
        </w:rPr>
        <w:t xml:space="preserve">related expenses. The increase in demand creation expense was primarily due to higher digital marketing investments to support heightened digital demand. </w:t>
      </w:r>
    </w:p>
    <w:p w14:paraId="26E9E4DB"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OF FISCAL 2021</w:t>
      </w:r>
    </w:p>
    <w:p w14:paraId="26E9E4DC" w14:textId="77777777" w:rsidR="008A3BAC" w:rsidRDefault="005C75B9">
      <w:pPr>
        <w:spacing w:before="60" w:after="120"/>
      </w:pPr>
      <w:r>
        <w:rPr>
          <w:rFonts w:ascii="Arial" w:eastAsia="宋体" w:hAnsi="Arial" w:cs="Arial"/>
          <w:color w:val="000000"/>
          <w:sz w:val="17"/>
          <w:szCs w:val="17"/>
        </w:rPr>
        <w:t>On a currency-neutral b</w:t>
      </w:r>
      <w:r>
        <w:rPr>
          <w:rFonts w:ascii="Arial" w:eastAsia="宋体" w:hAnsi="Arial" w:cs="Arial"/>
          <w:color w:val="000000"/>
          <w:sz w:val="17"/>
          <w:szCs w:val="17"/>
        </w:rPr>
        <w:t>asis, APLA revenues increased 13% for the first nine months of fiscal 2022. The increase was due to higher revenues across nearly all territories, driven by SOCO, Mexico and Korea, which increased 61%, 31% and 13%, respectively. Revenues increased primaril</w:t>
      </w:r>
      <w:r>
        <w:rPr>
          <w:rFonts w:ascii="Arial" w:eastAsia="宋体" w:hAnsi="Arial" w:cs="Arial"/>
          <w:color w:val="000000"/>
          <w:sz w:val="17"/>
          <w:szCs w:val="17"/>
        </w:rPr>
        <w:t>y due to higher revenues in Men’s and Women's. NIKE Direct revenues increased 25%, primarily due to digital sales growth of 48% and comparable store sales growth of 10%, partially offset by store closures.</w:t>
      </w:r>
    </w:p>
    <w:p w14:paraId="26E9E4DD" w14:textId="77777777" w:rsidR="008A3BAC" w:rsidRDefault="005C75B9">
      <w:pPr>
        <w:spacing w:before="120" w:after="120"/>
      </w:pPr>
      <w:r>
        <w:rPr>
          <w:rFonts w:ascii="Arial" w:eastAsia="宋体" w:hAnsi="Arial" w:cs="Arial"/>
          <w:color w:val="000000"/>
          <w:sz w:val="17"/>
          <w:szCs w:val="17"/>
        </w:rPr>
        <w:t xml:space="preserve">Currency-neutral footwear revenues increased 13%, </w:t>
      </w:r>
      <w:r>
        <w:rPr>
          <w:rFonts w:ascii="Arial" w:eastAsia="宋体" w:hAnsi="Arial" w:cs="Arial"/>
          <w:color w:val="000000"/>
          <w:sz w:val="17"/>
          <w:szCs w:val="17"/>
        </w:rPr>
        <w:t>due primarily to higher revenues in Women's. Unit sales of footwear decreased 1%, while higher ASP per pair contributed approximately 14 percentage points of footwear revenue growth. Higher ASP per pair was driven by higher NIKE Direct ASP, higher full-pri</w:t>
      </w:r>
      <w:r>
        <w:rPr>
          <w:rFonts w:ascii="Arial" w:eastAsia="宋体" w:hAnsi="Arial" w:cs="Arial"/>
          <w:color w:val="000000"/>
          <w:sz w:val="17"/>
          <w:szCs w:val="17"/>
        </w:rPr>
        <w:t>ce ASP, reflecting lower discounts, higher off-price ASP and a higher mix of full-price sales. Higher ASPs, in part, reflect inflationary conditions in our SOCO territory.</w:t>
      </w:r>
    </w:p>
    <w:p w14:paraId="26E9E4DE" w14:textId="77777777" w:rsidR="008A3BAC" w:rsidRDefault="005C75B9">
      <w:pPr>
        <w:spacing w:before="120" w:after="120"/>
      </w:pPr>
      <w:r>
        <w:rPr>
          <w:rFonts w:ascii="Arial" w:eastAsia="宋体" w:hAnsi="Arial" w:cs="Arial"/>
          <w:color w:val="000000"/>
          <w:sz w:val="17"/>
          <w:szCs w:val="17"/>
        </w:rPr>
        <w:t>Currency-neutral apparel revenues increased 10%, due primarily to higher revenues in</w:t>
      </w:r>
      <w:r>
        <w:rPr>
          <w:rFonts w:ascii="Arial" w:eastAsia="宋体" w:hAnsi="Arial" w:cs="Arial"/>
          <w:color w:val="000000"/>
          <w:sz w:val="17"/>
          <w:szCs w:val="17"/>
        </w:rPr>
        <w:t xml:space="preserve"> Men's. Unit sales of apparel remained flat, while higher ASP per unit contributed approximately 10 percentage points of apparel revenue growth, driven by higher NIKE Direct, full-price and off-price ASPs, as well as a higher mix of full-price sales. Highe</w:t>
      </w:r>
      <w:r>
        <w:rPr>
          <w:rFonts w:ascii="Arial" w:eastAsia="宋体" w:hAnsi="Arial" w:cs="Arial"/>
          <w:color w:val="000000"/>
          <w:sz w:val="17"/>
          <w:szCs w:val="17"/>
        </w:rPr>
        <w:t>r ASPs, in part, reflect inflationary conditions in our SOCO territory.</w:t>
      </w:r>
    </w:p>
    <w:p w14:paraId="26E9E4DF" w14:textId="77777777" w:rsidR="008A3BAC" w:rsidRDefault="005C75B9">
      <w:pPr>
        <w:spacing w:before="120" w:after="120"/>
      </w:pPr>
      <w:r>
        <w:rPr>
          <w:rFonts w:ascii="Arial" w:eastAsia="宋体" w:hAnsi="Arial" w:cs="Arial"/>
          <w:color w:val="000000"/>
          <w:sz w:val="17"/>
          <w:szCs w:val="17"/>
        </w:rPr>
        <w:t>Reported EBIT increased 21% for the first nine months of fiscal 2022, as higher revenues and gross margin expansion more than offset higher selling and administrative expense. Gross ma</w:t>
      </w:r>
      <w:r>
        <w:rPr>
          <w:rFonts w:ascii="Arial" w:eastAsia="宋体" w:hAnsi="Arial" w:cs="Arial"/>
          <w:color w:val="000000"/>
          <w:sz w:val="17"/>
          <w:szCs w:val="17"/>
        </w:rPr>
        <w:t>rgin increased approximately 420 basis points primarily due to higher margins and the favorable impact of growth in our NIKE Direct business, lower product costs, lower other costs, a higher mix of full-price sales and higher full-price ASP due to lower di</w:t>
      </w:r>
      <w:r>
        <w:rPr>
          <w:rFonts w:ascii="Arial" w:eastAsia="宋体" w:hAnsi="Arial" w:cs="Arial"/>
          <w:color w:val="000000"/>
          <w:sz w:val="17"/>
          <w:szCs w:val="17"/>
        </w:rPr>
        <w:t>scounts. The decrease in other costs was primarily due to the favorable rate impact of fixed supply chain costs on a higher volume of wholesale shipments, as well as lower inventory obsolescence. Selling and administrative expense increased due to higher d</w:t>
      </w:r>
      <w:r>
        <w:rPr>
          <w:rFonts w:ascii="Arial" w:eastAsia="宋体" w:hAnsi="Arial" w:cs="Arial"/>
          <w:color w:val="000000"/>
          <w:sz w:val="17"/>
          <w:szCs w:val="17"/>
        </w:rPr>
        <w:t>emand creation and operating overhead expense. Higher demand creation expense was primarily due to higher digital marketing investments to support heightened digital demand. The increase in operating overhead expense was primarily due to an increase in NIK</w:t>
      </w:r>
      <w:r>
        <w:rPr>
          <w:rFonts w:ascii="Arial" w:eastAsia="宋体" w:hAnsi="Arial" w:cs="Arial"/>
          <w:color w:val="000000"/>
          <w:sz w:val="17"/>
          <w:szCs w:val="17"/>
        </w:rPr>
        <w:t>E Direct strategic technology investments, lower bad debt recoveries and higher wage-related expenses.</w:t>
      </w:r>
    </w:p>
    <w:p w14:paraId="26E9E4E0" w14:textId="77777777" w:rsidR="008A3BAC" w:rsidRDefault="005C75B9">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26E9E4E1" w14:textId="77777777" w:rsidR="008A3BAC" w:rsidRDefault="005C75B9">
      <w:r>
        <w:pict w14:anchorId="26E9E86D">
          <v:rect id="_x0000_i1064" style="width:415.3pt;height:1.5pt" o:hralign="center" o:hrstd="t" o:hr="t" fillcolor="#a0a0a0" stroked="f"/>
        </w:pict>
      </w:r>
    </w:p>
    <w:p w14:paraId="26E9E4E2" w14:textId="77777777" w:rsidR="008A3BAC" w:rsidRDefault="008A3BAC"/>
    <w:p w14:paraId="26E9E4E3" w14:textId="77777777" w:rsidR="008A3BAC" w:rsidRDefault="005C75B9">
      <w:hyperlink r:id="rId109" w:anchor="i46aba51c6a804f42b3595948c57d2023_7" w:history="1">
        <w:r>
          <w:rPr>
            <w:rStyle w:val="a5"/>
            <w:rFonts w:ascii="sans-serif" w:eastAsia="sans-serif" w:hAnsi="sans-serif" w:cs="sans-serif"/>
            <w:sz w:val="17"/>
            <w:szCs w:val="17"/>
          </w:rPr>
          <w:t>Table of Contents</w:t>
        </w:r>
      </w:hyperlink>
    </w:p>
    <w:p w14:paraId="26E9E4E4" w14:textId="77777777" w:rsidR="008A3BAC" w:rsidRDefault="008A3BAC"/>
    <w:p w14:paraId="26E9E4E5" w14:textId="77777777" w:rsidR="008A3BAC" w:rsidRDefault="005C75B9">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607"/>
        <w:gridCol w:w="36"/>
        <w:gridCol w:w="115"/>
        <w:gridCol w:w="397"/>
        <w:gridCol w:w="36"/>
        <w:gridCol w:w="115"/>
        <w:gridCol w:w="397"/>
        <w:gridCol w:w="36"/>
        <w:gridCol w:w="74"/>
        <w:gridCol w:w="563"/>
        <w:gridCol w:w="172"/>
        <w:gridCol w:w="99"/>
        <w:gridCol w:w="755"/>
        <w:gridCol w:w="172"/>
        <w:gridCol w:w="36"/>
        <w:gridCol w:w="36"/>
        <w:gridCol w:w="36"/>
        <w:gridCol w:w="115"/>
        <w:gridCol w:w="539"/>
        <w:gridCol w:w="36"/>
        <w:gridCol w:w="115"/>
        <w:gridCol w:w="539"/>
        <w:gridCol w:w="36"/>
        <w:gridCol w:w="74"/>
        <w:gridCol w:w="563"/>
        <w:gridCol w:w="172"/>
        <w:gridCol w:w="99"/>
        <w:gridCol w:w="755"/>
        <w:gridCol w:w="172"/>
        <w:gridCol w:w="36"/>
        <w:gridCol w:w="36"/>
        <w:gridCol w:w="36"/>
        <w:gridCol w:w="36"/>
        <w:gridCol w:w="36"/>
        <w:gridCol w:w="36"/>
        <w:gridCol w:w="36"/>
        <w:gridCol w:w="36"/>
        <w:gridCol w:w="36"/>
        <w:gridCol w:w="36"/>
        <w:gridCol w:w="36"/>
      </w:tblGrid>
      <w:tr w:rsidR="008A3BAC" w14:paraId="26E9E509" w14:textId="77777777">
        <w:tc>
          <w:tcPr>
            <w:tcW w:w="50" w:type="pct"/>
            <w:shd w:val="clear" w:color="auto" w:fill="auto"/>
            <w:vAlign w:val="bottom"/>
          </w:tcPr>
          <w:p w14:paraId="26E9E4E6" w14:textId="77777777" w:rsidR="008A3BAC" w:rsidRDefault="008A3BAC">
            <w:pPr>
              <w:rPr>
                <w:rFonts w:ascii="宋体"/>
              </w:rPr>
            </w:pPr>
          </w:p>
        </w:tc>
        <w:tc>
          <w:tcPr>
            <w:tcW w:w="1387" w:type="pct"/>
            <w:shd w:val="clear" w:color="auto" w:fill="auto"/>
            <w:vAlign w:val="bottom"/>
          </w:tcPr>
          <w:p w14:paraId="26E9E4E7" w14:textId="77777777" w:rsidR="008A3BAC" w:rsidRDefault="008A3BAC">
            <w:pPr>
              <w:rPr>
                <w:rFonts w:ascii="宋体"/>
              </w:rPr>
            </w:pPr>
          </w:p>
        </w:tc>
        <w:tc>
          <w:tcPr>
            <w:tcW w:w="5" w:type="pct"/>
            <w:shd w:val="clear" w:color="auto" w:fill="auto"/>
            <w:vAlign w:val="bottom"/>
          </w:tcPr>
          <w:p w14:paraId="26E9E4E8" w14:textId="77777777" w:rsidR="008A3BAC" w:rsidRDefault="008A3BAC">
            <w:pPr>
              <w:rPr>
                <w:rFonts w:ascii="宋体"/>
              </w:rPr>
            </w:pPr>
          </w:p>
        </w:tc>
        <w:tc>
          <w:tcPr>
            <w:tcW w:w="50" w:type="pct"/>
            <w:shd w:val="clear" w:color="auto" w:fill="auto"/>
            <w:vAlign w:val="bottom"/>
          </w:tcPr>
          <w:p w14:paraId="26E9E4E9" w14:textId="77777777" w:rsidR="008A3BAC" w:rsidRDefault="008A3BAC">
            <w:pPr>
              <w:rPr>
                <w:rFonts w:ascii="宋体"/>
              </w:rPr>
            </w:pPr>
          </w:p>
        </w:tc>
        <w:tc>
          <w:tcPr>
            <w:tcW w:w="384" w:type="pct"/>
            <w:shd w:val="clear" w:color="auto" w:fill="auto"/>
            <w:vAlign w:val="bottom"/>
          </w:tcPr>
          <w:p w14:paraId="26E9E4EA" w14:textId="77777777" w:rsidR="008A3BAC" w:rsidRDefault="008A3BAC">
            <w:pPr>
              <w:rPr>
                <w:rFonts w:ascii="宋体"/>
              </w:rPr>
            </w:pPr>
          </w:p>
        </w:tc>
        <w:tc>
          <w:tcPr>
            <w:tcW w:w="5" w:type="pct"/>
            <w:shd w:val="clear" w:color="auto" w:fill="auto"/>
            <w:vAlign w:val="bottom"/>
          </w:tcPr>
          <w:p w14:paraId="26E9E4EB" w14:textId="77777777" w:rsidR="008A3BAC" w:rsidRDefault="008A3BAC">
            <w:pPr>
              <w:rPr>
                <w:rFonts w:ascii="宋体"/>
              </w:rPr>
            </w:pPr>
          </w:p>
        </w:tc>
        <w:tc>
          <w:tcPr>
            <w:tcW w:w="50" w:type="pct"/>
            <w:shd w:val="clear" w:color="auto" w:fill="auto"/>
            <w:vAlign w:val="bottom"/>
          </w:tcPr>
          <w:p w14:paraId="26E9E4EC" w14:textId="77777777" w:rsidR="008A3BAC" w:rsidRDefault="008A3BAC">
            <w:pPr>
              <w:rPr>
                <w:rFonts w:ascii="宋体"/>
              </w:rPr>
            </w:pPr>
          </w:p>
        </w:tc>
        <w:tc>
          <w:tcPr>
            <w:tcW w:w="384" w:type="pct"/>
            <w:shd w:val="clear" w:color="auto" w:fill="auto"/>
            <w:vAlign w:val="bottom"/>
          </w:tcPr>
          <w:p w14:paraId="26E9E4ED" w14:textId="77777777" w:rsidR="008A3BAC" w:rsidRDefault="008A3BAC">
            <w:pPr>
              <w:rPr>
                <w:rFonts w:ascii="宋体"/>
              </w:rPr>
            </w:pPr>
          </w:p>
        </w:tc>
        <w:tc>
          <w:tcPr>
            <w:tcW w:w="5" w:type="pct"/>
            <w:shd w:val="clear" w:color="auto" w:fill="auto"/>
            <w:vAlign w:val="bottom"/>
          </w:tcPr>
          <w:p w14:paraId="26E9E4EE" w14:textId="77777777" w:rsidR="008A3BAC" w:rsidRDefault="008A3BAC">
            <w:pPr>
              <w:rPr>
                <w:rFonts w:ascii="宋体"/>
              </w:rPr>
            </w:pPr>
          </w:p>
        </w:tc>
        <w:tc>
          <w:tcPr>
            <w:tcW w:w="50" w:type="pct"/>
            <w:shd w:val="clear" w:color="auto" w:fill="auto"/>
            <w:vAlign w:val="bottom"/>
          </w:tcPr>
          <w:p w14:paraId="26E9E4EF" w14:textId="77777777" w:rsidR="008A3BAC" w:rsidRDefault="008A3BAC">
            <w:pPr>
              <w:rPr>
                <w:rFonts w:ascii="宋体"/>
              </w:rPr>
            </w:pPr>
          </w:p>
        </w:tc>
        <w:tc>
          <w:tcPr>
            <w:tcW w:w="384" w:type="pct"/>
            <w:shd w:val="clear" w:color="auto" w:fill="auto"/>
            <w:vAlign w:val="bottom"/>
          </w:tcPr>
          <w:p w14:paraId="26E9E4F0" w14:textId="77777777" w:rsidR="008A3BAC" w:rsidRDefault="008A3BAC">
            <w:pPr>
              <w:rPr>
                <w:rFonts w:ascii="宋体"/>
              </w:rPr>
            </w:pPr>
          </w:p>
        </w:tc>
        <w:tc>
          <w:tcPr>
            <w:tcW w:w="5" w:type="pct"/>
            <w:shd w:val="clear" w:color="auto" w:fill="auto"/>
            <w:vAlign w:val="bottom"/>
          </w:tcPr>
          <w:p w14:paraId="26E9E4F1" w14:textId="77777777" w:rsidR="008A3BAC" w:rsidRDefault="008A3BAC">
            <w:pPr>
              <w:rPr>
                <w:rFonts w:ascii="宋体"/>
              </w:rPr>
            </w:pPr>
          </w:p>
        </w:tc>
        <w:tc>
          <w:tcPr>
            <w:tcW w:w="50" w:type="pct"/>
            <w:shd w:val="clear" w:color="auto" w:fill="auto"/>
            <w:vAlign w:val="bottom"/>
          </w:tcPr>
          <w:p w14:paraId="26E9E4F2" w14:textId="77777777" w:rsidR="008A3BAC" w:rsidRDefault="008A3BAC">
            <w:pPr>
              <w:rPr>
                <w:rFonts w:ascii="宋体"/>
              </w:rPr>
            </w:pPr>
          </w:p>
        </w:tc>
        <w:tc>
          <w:tcPr>
            <w:tcW w:w="384" w:type="pct"/>
            <w:shd w:val="clear" w:color="auto" w:fill="auto"/>
            <w:vAlign w:val="bottom"/>
          </w:tcPr>
          <w:p w14:paraId="26E9E4F3" w14:textId="77777777" w:rsidR="008A3BAC" w:rsidRDefault="008A3BAC">
            <w:pPr>
              <w:rPr>
                <w:rFonts w:ascii="宋体"/>
              </w:rPr>
            </w:pPr>
          </w:p>
        </w:tc>
        <w:tc>
          <w:tcPr>
            <w:tcW w:w="5" w:type="pct"/>
            <w:shd w:val="clear" w:color="auto" w:fill="auto"/>
            <w:vAlign w:val="bottom"/>
          </w:tcPr>
          <w:p w14:paraId="26E9E4F4" w14:textId="77777777" w:rsidR="008A3BAC" w:rsidRDefault="008A3BAC">
            <w:pPr>
              <w:rPr>
                <w:rFonts w:ascii="宋体"/>
              </w:rPr>
            </w:pPr>
          </w:p>
        </w:tc>
        <w:tc>
          <w:tcPr>
            <w:tcW w:w="5" w:type="pct"/>
            <w:shd w:val="clear" w:color="auto" w:fill="auto"/>
            <w:vAlign w:val="bottom"/>
          </w:tcPr>
          <w:p w14:paraId="26E9E4F5" w14:textId="77777777" w:rsidR="008A3BAC" w:rsidRDefault="008A3BAC">
            <w:pPr>
              <w:rPr>
                <w:rFonts w:ascii="宋体"/>
              </w:rPr>
            </w:pPr>
          </w:p>
        </w:tc>
        <w:tc>
          <w:tcPr>
            <w:tcW w:w="28" w:type="pct"/>
            <w:shd w:val="clear" w:color="auto" w:fill="auto"/>
            <w:vAlign w:val="bottom"/>
          </w:tcPr>
          <w:p w14:paraId="26E9E4F6" w14:textId="77777777" w:rsidR="008A3BAC" w:rsidRDefault="008A3BAC">
            <w:pPr>
              <w:rPr>
                <w:rFonts w:ascii="宋体"/>
              </w:rPr>
            </w:pPr>
          </w:p>
        </w:tc>
        <w:tc>
          <w:tcPr>
            <w:tcW w:w="5" w:type="pct"/>
            <w:shd w:val="clear" w:color="auto" w:fill="auto"/>
            <w:vAlign w:val="bottom"/>
          </w:tcPr>
          <w:p w14:paraId="26E9E4F7" w14:textId="77777777" w:rsidR="008A3BAC" w:rsidRDefault="008A3BAC">
            <w:pPr>
              <w:rPr>
                <w:rFonts w:ascii="宋体"/>
              </w:rPr>
            </w:pPr>
          </w:p>
        </w:tc>
        <w:tc>
          <w:tcPr>
            <w:tcW w:w="50" w:type="pct"/>
            <w:shd w:val="clear" w:color="auto" w:fill="auto"/>
            <w:vAlign w:val="bottom"/>
          </w:tcPr>
          <w:p w14:paraId="26E9E4F8" w14:textId="77777777" w:rsidR="008A3BAC" w:rsidRDefault="008A3BAC">
            <w:pPr>
              <w:rPr>
                <w:rFonts w:ascii="宋体"/>
              </w:rPr>
            </w:pPr>
          </w:p>
        </w:tc>
        <w:tc>
          <w:tcPr>
            <w:tcW w:w="384" w:type="pct"/>
            <w:shd w:val="clear" w:color="auto" w:fill="auto"/>
            <w:vAlign w:val="bottom"/>
          </w:tcPr>
          <w:p w14:paraId="26E9E4F9" w14:textId="77777777" w:rsidR="008A3BAC" w:rsidRDefault="008A3BAC">
            <w:pPr>
              <w:rPr>
                <w:rFonts w:ascii="宋体"/>
              </w:rPr>
            </w:pPr>
          </w:p>
        </w:tc>
        <w:tc>
          <w:tcPr>
            <w:tcW w:w="5" w:type="pct"/>
            <w:shd w:val="clear" w:color="auto" w:fill="auto"/>
            <w:vAlign w:val="bottom"/>
          </w:tcPr>
          <w:p w14:paraId="26E9E4FA" w14:textId="77777777" w:rsidR="008A3BAC" w:rsidRDefault="008A3BAC">
            <w:pPr>
              <w:rPr>
                <w:rFonts w:ascii="宋体"/>
              </w:rPr>
            </w:pPr>
          </w:p>
        </w:tc>
        <w:tc>
          <w:tcPr>
            <w:tcW w:w="50" w:type="pct"/>
            <w:shd w:val="clear" w:color="auto" w:fill="auto"/>
            <w:vAlign w:val="bottom"/>
          </w:tcPr>
          <w:p w14:paraId="26E9E4FB" w14:textId="77777777" w:rsidR="008A3BAC" w:rsidRDefault="008A3BAC">
            <w:pPr>
              <w:rPr>
                <w:rFonts w:ascii="宋体"/>
              </w:rPr>
            </w:pPr>
          </w:p>
        </w:tc>
        <w:tc>
          <w:tcPr>
            <w:tcW w:w="384" w:type="pct"/>
            <w:shd w:val="clear" w:color="auto" w:fill="auto"/>
            <w:vAlign w:val="bottom"/>
          </w:tcPr>
          <w:p w14:paraId="26E9E4FC" w14:textId="77777777" w:rsidR="008A3BAC" w:rsidRDefault="008A3BAC">
            <w:pPr>
              <w:rPr>
                <w:rFonts w:ascii="宋体"/>
              </w:rPr>
            </w:pPr>
          </w:p>
        </w:tc>
        <w:tc>
          <w:tcPr>
            <w:tcW w:w="5" w:type="pct"/>
            <w:shd w:val="clear" w:color="auto" w:fill="auto"/>
            <w:vAlign w:val="bottom"/>
          </w:tcPr>
          <w:p w14:paraId="26E9E4FD" w14:textId="77777777" w:rsidR="008A3BAC" w:rsidRDefault="008A3BAC">
            <w:pPr>
              <w:rPr>
                <w:rFonts w:ascii="宋体"/>
              </w:rPr>
            </w:pPr>
          </w:p>
        </w:tc>
        <w:tc>
          <w:tcPr>
            <w:tcW w:w="50" w:type="pct"/>
            <w:shd w:val="clear" w:color="auto" w:fill="auto"/>
            <w:vAlign w:val="bottom"/>
          </w:tcPr>
          <w:p w14:paraId="26E9E4FE" w14:textId="77777777" w:rsidR="008A3BAC" w:rsidRDefault="008A3BAC">
            <w:pPr>
              <w:rPr>
                <w:rFonts w:ascii="宋体"/>
              </w:rPr>
            </w:pPr>
          </w:p>
        </w:tc>
        <w:tc>
          <w:tcPr>
            <w:tcW w:w="384" w:type="pct"/>
            <w:shd w:val="clear" w:color="auto" w:fill="auto"/>
            <w:vAlign w:val="bottom"/>
          </w:tcPr>
          <w:p w14:paraId="26E9E4FF" w14:textId="77777777" w:rsidR="008A3BAC" w:rsidRDefault="008A3BAC">
            <w:pPr>
              <w:rPr>
                <w:rFonts w:ascii="宋体"/>
              </w:rPr>
            </w:pPr>
          </w:p>
        </w:tc>
        <w:tc>
          <w:tcPr>
            <w:tcW w:w="5" w:type="pct"/>
            <w:shd w:val="clear" w:color="auto" w:fill="auto"/>
            <w:vAlign w:val="bottom"/>
          </w:tcPr>
          <w:p w14:paraId="26E9E500" w14:textId="77777777" w:rsidR="008A3BAC" w:rsidRDefault="008A3BAC">
            <w:pPr>
              <w:rPr>
                <w:rFonts w:ascii="宋体"/>
              </w:rPr>
            </w:pPr>
          </w:p>
        </w:tc>
        <w:tc>
          <w:tcPr>
            <w:tcW w:w="50" w:type="pct"/>
            <w:shd w:val="clear" w:color="auto" w:fill="auto"/>
            <w:vAlign w:val="bottom"/>
          </w:tcPr>
          <w:p w14:paraId="26E9E501" w14:textId="77777777" w:rsidR="008A3BAC" w:rsidRDefault="008A3BAC">
            <w:pPr>
              <w:rPr>
                <w:rFonts w:ascii="宋体"/>
              </w:rPr>
            </w:pPr>
          </w:p>
        </w:tc>
        <w:tc>
          <w:tcPr>
            <w:tcW w:w="384" w:type="pct"/>
            <w:shd w:val="clear" w:color="auto" w:fill="auto"/>
            <w:vAlign w:val="bottom"/>
          </w:tcPr>
          <w:p w14:paraId="26E9E502" w14:textId="77777777" w:rsidR="008A3BAC" w:rsidRDefault="008A3BAC">
            <w:pPr>
              <w:rPr>
                <w:rFonts w:ascii="宋体"/>
              </w:rPr>
            </w:pPr>
          </w:p>
        </w:tc>
        <w:tc>
          <w:tcPr>
            <w:tcW w:w="5" w:type="pct"/>
            <w:shd w:val="clear" w:color="auto" w:fill="auto"/>
            <w:vAlign w:val="bottom"/>
          </w:tcPr>
          <w:p w14:paraId="26E9E503" w14:textId="77777777" w:rsidR="008A3BAC" w:rsidRDefault="008A3BAC">
            <w:pPr>
              <w:rPr>
                <w:rFonts w:ascii="宋体"/>
              </w:rPr>
            </w:pPr>
          </w:p>
        </w:tc>
        <w:tc>
          <w:tcPr>
            <w:tcW w:w="0" w:type="auto"/>
            <w:shd w:val="clear" w:color="auto" w:fill="auto"/>
            <w:vAlign w:val="bottom"/>
          </w:tcPr>
          <w:p w14:paraId="26E9E504" w14:textId="77777777" w:rsidR="008A3BAC" w:rsidRDefault="008A3BAC">
            <w:pPr>
              <w:rPr>
                <w:rFonts w:ascii="宋体"/>
                <w:vanish/>
              </w:rPr>
            </w:pPr>
          </w:p>
        </w:tc>
        <w:tc>
          <w:tcPr>
            <w:tcW w:w="0" w:type="auto"/>
            <w:shd w:val="clear" w:color="auto" w:fill="auto"/>
            <w:vAlign w:val="bottom"/>
          </w:tcPr>
          <w:p w14:paraId="26E9E505" w14:textId="77777777" w:rsidR="008A3BAC" w:rsidRDefault="008A3BAC">
            <w:pPr>
              <w:rPr>
                <w:rFonts w:ascii="宋体"/>
                <w:vanish/>
              </w:rPr>
            </w:pPr>
          </w:p>
        </w:tc>
        <w:tc>
          <w:tcPr>
            <w:tcW w:w="0" w:type="auto"/>
            <w:gridSpan w:val="3"/>
            <w:shd w:val="clear" w:color="auto" w:fill="auto"/>
            <w:vAlign w:val="bottom"/>
          </w:tcPr>
          <w:p w14:paraId="26E9E506" w14:textId="77777777" w:rsidR="008A3BAC" w:rsidRDefault="008A3BAC">
            <w:pPr>
              <w:rPr>
                <w:rFonts w:ascii="宋体"/>
                <w:vanish/>
              </w:rPr>
            </w:pPr>
          </w:p>
        </w:tc>
        <w:tc>
          <w:tcPr>
            <w:tcW w:w="0" w:type="auto"/>
            <w:gridSpan w:val="3"/>
            <w:shd w:val="clear" w:color="auto" w:fill="auto"/>
            <w:vAlign w:val="bottom"/>
          </w:tcPr>
          <w:p w14:paraId="26E9E507" w14:textId="77777777" w:rsidR="008A3BAC" w:rsidRDefault="008A3BAC">
            <w:pPr>
              <w:rPr>
                <w:rFonts w:ascii="宋体"/>
                <w:vanish/>
              </w:rPr>
            </w:pPr>
          </w:p>
        </w:tc>
        <w:tc>
          <w:tcPr>
            <w:tcW w:w="0" w:type="auto"/>
            <w:gridSpan w:val="3"/>
            <w:shd w:val="clear" w:color="auto" w:fill="auto"/>
            <w:vAlign w:val="bottom"/>
          </w:tcPr>
          <w:p w14:paraId="26E9E508" w14:textId="77777777" w:rsidR="008A3BAC" w:rsidRDefault="008A3BAC">
            <w:pPr>
              <w:rPr>
                <w:rFonts w:ascii="宋体"/>
                <w:vanish/>
              </w:rPr>
            </w:pPr>
          </w:p>
        </w:tc>
      </w:tr>
      <w:tr w:rsidR="008A3BAC" w14:paraId="26E9E519" w14:textId="77777777">
        <w:tc>
          <w:tcPr>
            <w:tcW w:w="0" w:type="auto"/>
            <w:gridSpan w:val="3"/>
            <w:shd w:val="clear" w:color="auto" w:fill="auto"/>
            <w:tcMar>
              <w:top w:w="0" w:type="dxa"/>
              <w:left w:w="20" w:type="dxa"/>
              <w:bottom w:w="0" w:type="dxa"/>
              <w:right w:w="20" w:type="dxa"/>
            </w:tcMar>
            <w:vAlign w:val="bottom"/>
          </w:tcPr>
          <w:p w14:paraId="26E9E50A"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50B"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50C"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50D"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E50E" w14:textId="77777777" w:rsidR="008A3BAC" w:rsidRDefault="008A3BAC">
            <w:pPr>
              <w:rPr>
                <w:rFonts w:ascii="宋体"/>
                <w:vanish/>
              </w:rPr>
            </w:pPr>
          </w:p>
        </w:tc>
        <w:tc>
          <w:tcPr>
            <w:tcW w:w="0" w:type="auto"/>
            <w:shd w:val="clear" w:color="auto" w:fill="auto"/>
            <w:vAlign w:val="bottom"/>
          </w:tcPr>
          <w:p w14:paraId="26E9E50F" w14:textId="77777777" w:rsidR="008A3BAC" w:rsidRDefault="008A3BAC">
            <w:pPr>
              <w:rPr>
                <w:rFonts w:ascii="宋体"/>
                <w:vanish/>
              </w:rPr>
            </w:pPr>
          </w:p>
        </w:tc>
        <w:tc>
          <w:tcPr>
            <w:tcW w:w="0" w:type="auto"/>
            <w:shd w:val="clear" w:color="auto" w:fill="auto"/>
            <w:vAlign w:val="bottom"/>
          </w:tcPr>
          <w:p w14:paraId="26E9E510" w14:textId="77777777" w:rsidR="008A3BAC" w:rsidRDefault="008A3BAC">
            <w:pPr>
              <w:rPr>
                <w:rFonts w:ascii="宋体"/>
              </w:rPr>
            </w:pPr>
          </w:p>
        </w:tc>
        <w:tc>
          <w:tcPr>
            <w:tcW w:w="0" w:type="auto"/>
            <w:shd w:val="clear" w:color="auto" w:fill="auto"/>
            <w:vAlign w:val="bottom"/>
          </w:tcPr>
          <w:p w14:paraId="26E9E511" w14:textId="77777777" w:rsidR="008A3BAC" w:rsidRDefault="008A3BAC">
            <w:pPr>
              <w:rPr>
                <w:rFonts w:ascii="宋体"/>
              </w:rPr>
            </w:pPr>
          </w:p>
        </w:tc>
        <w:tc>
          <w:tcPr>
            <w:tcW w:w="0" w:type="auto"/>
            <w:shd w:val="clear" w:color="auto" w:fill="auto"/>
            <w:vAlign w:val="bottom"/>
          </w:tcPr>
          <w:p w14:paraId="26E9E512" w14:textId="77777777" w:rsidR="008A3BAC" w:rsidRDefault="008A3BAC">
            <w:pPr>
              <w:rPr>
                <w:rFonts w:ascii="宋体"/>
              </w:rPr>
            </w:pPr>
          </w:p>
        </w:tc>
        <w:tc>
          <w:tcPr>
            <w:tcW w:w="0" w:type="auto"/>
            <w:shd w:val="clear" w:color="auto" w:fill="auto"/>
            <w:vAlign w:val="bottom"/>
          </w:tcPr>
          <w:p w14:paraId="26E9E513" w14:textId="77777777" w:rsidR="008A3BAC" w:rsidRDefault="008A3BAC">
            <w:pPr>
              <w:rPr>
                <w:rFonts w:ascii="宋体"/>
              </w:rPr>
            </w:pPr>
          </w:p>
        </w:tc>
        <w:tc>
          <w:tcPr>
            <w:tcW w:w="0" w:type="auto"/>
            <w:shd w:val="clear" w:color="auto" w:fill="auto"/>
            <w:vAlign w:val="bottom"/>
          </w:tcPr>
          <w:p w14:paraId="26E9E514" w14:textId="77777777" w:rsidR="008A3BAC" w:rsidRDefault="008A3BAC">
            <w:pPr>
              <w:rPr>
                <w:rFonts w:ascii="宋体"/>
              </w:rPr>
            </w:pPr>
          </w:p>
        </w:tc>
        <w:tc>
          <w:tcPr>
            <w:tcW w:w="0" w:type="auto"/>
            <w:shd w:val="clear" w:color="auto" w:fill="auto"/>
            <w:vAlign w:val="bottom"/>
          </w:tcPr>
          <w:p w14:paraId="26E9E515" w14:textId="77777777" w:rsidR="008A3BAC" w:rsidRDefault="008A3BAC">
            <w:pPr>
              <w:rPr>
                <w:rFonts w:ascii="宋体"/>
              </w:rPr>
            </w:pPr>
          </w:p>
        </w:tc>
        <w:tc>
          <w:tcPr>
            <w:tcW w:w="0" w:type="auto"/>
            <w:shd w:val="clear" w:color="auto" w:fill="auto"/>
            <w:vAlign w:val="bottom"/>
          </w:tcPr>
          <w:p w14:paraId="26E9E516" w14:textId="77777777" w:rsidR="008A3BAC" w:rsidRDefault="008A3BAC">
            <w:pPr>
              <w:rPr>
                <w:rFonts w:ascii="宋体"/>
              </w:rPr>
            </w:pPr>
          </w:p>
        </w:tc>
        <w:tc>
          <w:tcPr>
            <w:tcW w:w="0" w:type="auto"/>
            <w:shd w:val="clear" w:color="auto" w:fill="auto"/>
            <w:vAlign w:val="bottom"/>
          </w:tcPr>
          <w:p w14:paraId="26E9E517" w14:textId="77777777" w:rsidR="008A3BAC" w:rsidRDefault="008A3BAC">
            <w:pPr>
              <w:rPr>
                <w:rFonts w:ascii="宋体"/>
              </w:rPr>
            </w:pPr>
          </w:p>
        </w:tc>
        <w:tc>
          <w:tcPr>
            <w:tcW w:w="0" w:type="auto"/>
            <w:shd w:val="clear" w:color="auto" w:fill="auto"/>
            <w:vAlign w:val="bottom"/>
          </w:tcPr>
          <w:p w14:paraId="26E9E518" w14:textId="77777777" w:rsidR="008A3BAC" w:rsidRDefault="008A3BAC">
            <w:pPr>
              <w:rPr>
                <w:rFonts w:ascii="宋体"/>
              </w:rPr>
            </w:pPr>
          </w:p>
        </w:tc>
      </w:tr>
      <w:tr w:rsidR="008A3BAC" w14:paraId="26E9E529" w14:textId="77777777">
        <w:tc>
          <w:tcPr>
            <w:tcW w:w="0" w:type="auto"/>
            <w:gridSpan w:val="3"/>
            <w:shd w:val="clear" w:color="auto" w:fill="auto"/>
            <w:tcMar>
              <w:top w:w="40" w:type="dxa"/>
              <w:left w:w="20" w:type="dxa"/>
              <w:bottom w:w="40" w:type="dxa"/>
              <w:right w:w="20" w:type="dxa"/>
            </w:tcMar>
            <w:vAlign w:val="bottom"/>
          </w:tcPr>
          <w:p w14:paraId="26E9E51A"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1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1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1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1E"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6E9E51F"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20"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21"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22"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23"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6E9E524" w14:textId="77777777" w:rsidR="008A3BAC" w:rsidRDefault="008A3BAC">
            <w:pPr>
              <w:rPr>
                <w:rFonts w:ascii="宋体"/>
                <w:vanish/>
              </w:rPr>
            </w:pPr>
          </w:p>
        </w:tc>
        <w:tc>
          <w:tcPr>
            <w:tcW w:w="0" w:type="auto"/>
            <w:shd w:val="clear" w:color="auto" w:fill="auto"/>
            <w:vAlign w:val="bottom"/>
          </w:tcPr>
          <w:p w14:paraId="26E9E525" w14:textId="77777777" w:rsidR="008A3BAC" w:rsidRDefault="008A3BAC">
            <w:pPr>
              <w:rPr>
                <w:rFonts w:ascii="宋体"/>
                <w:vanish/>
              </w:rPr>
            </w:pPr>
          </w:p>
        </w:tc>
        <w:tc>
          <w:tcPr>
            <w:tcW w:w="0" w:type="auto"/>
            <w:gridSpan w:val="3"/>
            <w:shd w:val="clear" w:color="auto" w:fill="auto"/>
            <w:vAlign w:val="bottom"/>
          </w:tcPr>
          <w:p w14:paraId="26E9E526" w14:textId="77777777" w:rsidR="008A3BAC" w:rsidRDefault="008A3BAC">
            <w:pPr>
              <w:rPr>
                <w:rFonts w:ascii="宋体"/>
                <w:vanish/>
              </w:rPr>
            </w:pPr>
          </w:p>
        </w:tc>
        <w:tc>
          <w:tcPr>
            <w:tcW w:w="0" w:type="auto"/>
            <w:gridSpan w:val="3"/>
            <w:shd w:val="clear" w:color="auto" w:fill="auto"/>
            <w:vAlign w:val="bottom"/>
          </w:tcPr>
          <w:p w14:paraId="26E9E527" w14:textId="77777777" w:rsidR="008A3BAC" w:rsidRDefault="008A3BAC">
            <w:pPr>
              <w:rPr>
                <w:rFonts w:ascii="宋体"/>
                <w:vanish/>
              </w:rPr>
            </w:pPr>
          </w:p>
        </w:tc>
        <w:tc>
          <w:tcPr>
            <w:tcW w:w="0" w:type="auto"/>
            <w:gridSpan w:val="3"/>
            <w:shd w:val="clear" w:color="auto" w:fill="auto"/>
            <w:vAlign w:val="bottom"/>
          </w:tcPr>
          <w:p w14:paraId="26E9E528" w14:textId="77777777" w:rsidR="008A3BAC" w:rsidRDefault="008A3BAC">
            <w:pPr>
              <w:rPr>
                <w:rFonts w:ascii="宋体"/>
                <w:vanish/>
              </w:rPr>
            </w:pPr>
          </w:p>
        </w:tc>
      </w:tr>
      <w:tr w:rsidR="008A3BAC" w14:paraId="26E9E5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2A"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52B"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52C" w14:textId="77777777" w:rsidR="008A3BAC" w:rsidRDefault="005C75B9">
            <w:pPr>
              <w:jc w:val="right"/>
              <w:textAlignment w:val="bottom"/>
            </w:pPr>
            <w:r>
              <w:rPr>
                <w:rFonts w:ascii="Arial" w:eastAsia="宋体" w:hAnsi="Arial" w:cs="Arial"/>
                <w:color w:val="000000"/>
                <w:sz w:val="17"/>
                <w:szCs w:val="17"/>
              </w:rPr>
              <w:t>41 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52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52E"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52F"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31" w14:textId="77777777" w:rsidR="008A3BAC" w:rsidRDefault="005C75B9">
            <w:pPr>
              <w:jc w:val="right"/>
              <w:textAlignment w:val="bottom"/>
            </w:pPr>
            <w:r>
              <w:rPr>
                <w:rFonts w:ascii="Arial" w:eastAsia="宋体" w:hAnsi="Arial" w:cs="Arial"/>
                <w:color w:val="000000"/>
                <w:sz w:val="17"/>
                <w:szCs w:val="17"/>
              </w:rPr>
              <w:t>583 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33" w14:textId="77777777" w:rsidR="008A3BAC" w:rsidRDefault="005C75B9">
            <w:pPr>
              <w:jc w:val="right"/>
              <w:textAlignment w:val="bottom"/>
            </w:pPr>
            <w:r>
              <w:rPr>
                <w:rFonts w:ascii="Arial" w:eastAsia="宋体" w:hAnsi="Arial" w:cs="Arial"/>
                <w:color w:val="000000"/>
                <w:sz w:val="17"/>
                <w:szCs w:val="17"/>
              </w:rPr>
              <w:t>561 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35"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536"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537" w14:textId="77777777" w:rsidR="008A3BAC" w:rsidRDefault="005C75B9">
            <w:pPr>
              <w:jc w:val="right"/>
              <w:textAlignment w:val="bottom"/>
            </w:pPr>
            <w:r>
              <w:rPr>
                <w:rFonts w:ascii="Arial" w:eastAsia="宋体" w:hAnsi="Arial" w:cs="Arial"/>
                <w:color w:val="000000"/>
                <w:sz w:val="17"/>
                <w:szCs w:val="17"/>
              </w:rPr>
              <w:t>54 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538"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539"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53A" w14:textId="77777777" w:rsidR="008A3BAC" w:rsidRDefault="005C75B9">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B"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3C" w14:textId="77777777" w:rsidR="008A3BAC" w:rsidRDefault="005C75B9">
            <w:pPr>
              <w:jc w:val="right"/>
              <w:textAlignment w:val="bottom"/>
            </w:pPr>
            <w:r>
              <w:rPr>
                <w:rFonts w:ascii="Arial" w:eastAsia="宋体" w:hAnsi="Arial" w:cs="Arial"/>
                <w:color w:val="000000"/>
                <w:sz w:val="17"/>
                <w:szCs w:val="17"/>
              </w:rPr>
              <w:t>200 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3E" w14:textId="77777777" w:rsidR="008A3BAC" w:rsidRDefault="005C75B9">
            <w:pPr>
              <w:jc w:val="right"/>
              <w:textAlignment w:val="bottom"/>
            </w:pPr>
            <w:r>
              <w:rPr>
                <w:rFonts w:ascii="Arial" w:eastAsia="宋体" w:hAnsi="Arial" w:cs="Arial"/>
                <w:color w:val="000000"/>
                <w:sz w:val="17"/>
                <w:szCs w:val="17"/>
              </w:rPr>
              <w:t>206 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3F"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540" w14:textId="77777777" w:rsidR="008A3BAC" w:rsidRDefault="008A3BAC">
            <w:pPr>
              <w:rPr>
                <w:rFonts w:ascii="宋体"/>
                <w:vanish/>
              </w:rPr>
            </w:pPr>
          </w:p>
        </w:tc>
        <w:tc>
          <w:tcPr>
            <w:tcW w:w="0" w:type="auto"/>
            <w:shd w:val="clear" w:color="auto" w:fill="auto"/>
            <w:vAlign w:val="bottom"/>
          </w:tcPr>
          <w:p w14:paraId="26E9E541" w14:textId="77777777" w:rsidR="008A3BAC" w:rsidRDefault="008A3BAC">
            <w:pPr>
              <w:rPr>
                <w:rFonts w:ascii="宋体"/>
                <w:vanish/>
              </w:rPr>
            </w:pPr>
          </w:p>
        </w:tc>
        <w:tc>
          <w:tcPr>
            <w:tcW w:w="0" w:type="auto"/>
            <w:gridSpan w:val="3"/>
            <w:shd w:val="clear" w:color="auto" w:fill="auto"/>
            <w:vAlign w:val="bottom"/>
          </w:tcPr>
          <w:p w14:paraId="26E9E542" w14:textId="77777777" w:rsidR="008A3BAC" w:rsidRDefault="008A3BAC">
            <w:pPr>
              <w:rPr>
                <w:rFonts w:ascii="宋体"/>
                <w:vanish/>
              </w:rPr>
            </w:pPr>
          </w:p>
        </w:tc>
        <w:tc>
          <w:tcPr>
            <w:tcW w:w="0" w:type="auto"/>
            <w:gridSpan w:val="3"/>
            <w:shd w:val="clear" w:color="auto" w:fill="auto"/>
            <w:vAlign w:val="bottom"/>
          </w:tcPr>
          <w:p w14:paraId="26E9E543" w14:textId="77777777" w:rsidR="008A3BAC" w:rsidRDefault="008A3BAC">
            <w:pPr>
              <w:rPr>
                <w:rFonts w:ascii="宋体"/>
                <w:vanish/>
              </w:rPr>
            </w:pPr>
          </w:p>
        </w:tc>
        <w:tc>
          <w:tcPr>
            <w:tcW w:w="0" w:type="auto"/>
            <w:gridSpan w:val="3"/>
            <w:shd w:val="clear" w:color="auto" w:fill="auto"/>
            <w:vAlign w:val="bottom"/>
          </w:tcPr>
          <w:p w14:paraId="26E9E544" w14:textId="77777777" w:rsidR="008A3BAC" w:rsidRDefault="008A3BAC">
            <w:pPr>
              <w:rPr>
                <w:rFonts w:ascii="宋体"/>
                <w:vanish/>
              </w:rPr>
            </w:pPr>
          </w:p>
        </w:tc>
      </w:tr>
      <w:tr w:rsidR="008A3BAC" w14:paraId="26E9E55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E546" w14:textId="77777777" w:rsidR="008A3BAC" w:rsidRDefault="005C75B9">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E54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E548" w14:textId="77777777" w:rsidR="008A3BAC" w:rsidRDefault="005C75B9">
            <w:pPr>
              <w:jc w:val="right"/>
              <w:textAlignment w:val="bottom"/>
            </w:pPr>
            <w:r>
              <w:rPr>
                <w:rFonts w:ascii="Arial" w:eastAsia="宋体" w:hAnsi="Arial" w:cs="Arial"/>
                <w:color w:val="000000"/>
                <w:sz w:val="17"/>
                <w:szCs w:val="17"/>
              </w:rPr>
              <w:t>(975)</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E549"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54A"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E54B" w14:textId="77777777" w:rsidR="008A3BAC" w:rsidRDefault="005C75B9">
            <w:pPr>
              <w:jc w:val="right"/>
              <w:textAlignment w:val="bottom"/>
            </w:pPr>
            <w:r>
              <w:rPr>
                <w:rFonts w:ascii="Arial" w:eastAsia="宋体" w:hAnsi="Arial" w:cs="Arial"/>
                <w:color w:val="000000"/>
                <w:sz w:val="17"/>
                <w:szCs w:val="17"/>
              </w:rPr>
              <w:t>(852)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54C"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54D"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54E"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E54F" w14:textId="77777777" w:rsidR="008A3BAC" w:rsidRDefault="008A3BAC">
            <w:pPr>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E550" w14:textId="77777777" w:rsidR="008A3BAC" w:rsidRDefault="008A3BAC">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E55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E552" w14:textId="77777777" w:rsidR="008A3BAC" w:rsidRDefault="005C75B9">
            <w:pPr>
              <w:jc w:val="right"/>
              <w:textAlignment w:val="bottom"/>
            </w:pPr>
            <w:r>
              <w:rPr>
                <w:rFonts w:ascii="Arial" w:eastAsia="宋体" w:hAnsi="Arial" w:cs="Arial"/>
                <w:color w:val="000000"/>
                <w:sz w:val="17"/>
                <w:szCs w:val="17"/>
              </w:rPr>
              <w:t>(3,033)</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E553"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55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E555" w14:textId="77777777" w:rsidR="008A3BAC" w:rsidRDefault="005C75B9">
            <w:pPr>
              <w:jc w:val="right"/>
              <w:textAlignment w:val="bottom"/>
            </w:pPr>
            <w:r>
              <w:rPr>
                <w:rFonts w:ascii="Arial" w:eastAsia="宋体" w:hAnsi="Arial" w:cs="Arial"/>
                <w:color w:val="000000"/>
                <w:sz w:val="17"/>
                <w:szCs w:val="17"/>
              </w:rPr>
              <w:t>(2,546)</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556"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557" w14:textId="77777777" w:rsidR="008A3BAC" w:rsidRDefault="005C75B9">
            <w:pPr>
              <w:jc w:val="right"/>
              <w:textAlignment w:val="bottom"/>
            </w:pPr>
            <w:r>
              <w:rPr>
                <w:rFonts w:ascii="Arial" w:eastAsia="宋体" w:hAnsi="Arial" w:cs="Arial"/>
                <w:color w:val="000000"/>
                <w:sz w:val="17"/>
                <w:szCs w:val="17"/>
              </w:rPr>
              <w:t>-19 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558"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E559" w14:textId="77777777" w:rsidR="008A3BAC" w:rsidRDefault="008A3BAC">
            <w:pPr>
              <w:rPr>
                <w:rFonts w:ascii="宋体"/>
              </w:rPr>
            </w:pPr>
          </w:p>
        </w:tc>
        <w:tc>
          <w:tcPr>
            <w:tcW w:w="0" w:type="auto"/>
            <w:shd w:val="clear" w:color="auto" w:fill="auto"/>
            <w:vAlign w:val="bottom"/>
          </w:tcPr>
          <w:p w14:paraId="26E9E55A" w14:textId="77777777" w:rsidR="008A3BAC" w:rsidRDefault="008A3BAC">
            <w:pPr>
              <w:rPr>
                <w:rFonts w:ascii="宋体"/>
                <w:vanish/>
              </w:rPr>
            </w:pPr>
          </w:p>
        </w:tc>
        <w:tc>
          <w:tcPr>
            <w:tcW w:w="0" w:type="auto"/>
            <w:shd w:val="clear" w:color="auto" w:fill="auto"/>
            <w:vAlign w:val="bottom"/>
          </w:tcPr>
          <w:p w14:paraId="26E9E55B" w14:textId="77777777" w:rsidR="008A3BAC" w:rsidRDefault="008A3BAC">
            <w:pPr>
              <w:rPr>
                <w:rFonts w:ascii="宋体"/>
                <w:vanish/>
              </w:rPr>
            </w:pPr>
          </w:p>
        </w:tc>
        <w:tc>
          <w:tcPr>
            <w:tcW w:w="0" w:type="auto"/>
            <w:gridSpan w:val="3"/>
            <w:shd w:val="clear" w:color="auto" w:fill="auto"/>
            <w:vAlign w:val="bottom"/>
          </w:tcPr>
          <w:p w14:paraId="26E9E55C" w14:textId="77777777" w:rsidR="008A3BAC" w:rsidRDefault="008A3BAC">
            <w:pPr>
              <w:rPr>
                <w:rFonts w:ascii="宋体"/>
                <w:vanish/>
              </w:rPr>
            </w:pPr>
          </w:p>
        </w:tc>
        <w:tc>
          <w:tcPr>
            <w:tcW w:w="0" w:type="auto"/>
            <w:gridSpan w:val="3"/>
            <w:shd w:val="clear" w:color="auto" w:fill="auto"/>
            <w:vAlign w:val="bottom"/>
          </w:tcPr>
          <w:p w14:paraId="26E9E55D" w14:textId="77777777" w:rsidR="008A3BAC" w:rsidRDefault="008A3BAC">
            <w:pPr>
              <w:rPr>
                <w:rFonts w:ascii="宋体"/>
                <w:vanish/>
              </w:rPr>
            </w:pPr>
          </w:p>
        </w:tc>
        <w:tc>
          <w:tcPr>
            <w:tcW w:w="0" w:type="auto"/>
            <w:gridSpan w:val="3"/>
            <w:shd w:val="clear" w:color="auto" w:fill="auto"/>
            <w:vAlign w:val="bottom"/>
          </w:tcPr>
          <w:p w14:paraId="26E9E55E" w14:textId="77777777" w:rsidR="008A3BAC" w:rsidRDefault="008A3BAC">
            <w:pPr>
              <w:rPr>
                <w:rFonts w:ascii="宋体"/>
                <w:vanish/>
              </w:rPr>
            </w:pPr>
          </w:p>
        </w:tc>
      </w:tr>
    </w:tbl>
    <w:p w14:paraId="26E9E560" w14:textId="77777777" w:rsidR="008A3BAC" w:rsidRDefault="005C75B9">
      <w:pPr>
        <w:spacing w:before="120" w:after="120"/>
      </w:pPr>
      <w:r>
        <w:rPr>
          <w:rFonts w:ascii="Arial" w:eastAsia="宋体" w:hAnsi="Arial" w:cs="Arial"/>
          <w:color w:val="000000"/>
          <w:sz w:val="17"/>
          <w:szCs w:val="17"/>
        </w:rPr>
        <w:t>Global Brand Divisions primarily represe</w:t>
      </w:r>
      <w:r>
        <w:rPr>
          <w:rFonts w:ascii="Arial" w:eastAsia="宋体" w:hAnsi="Arial" w:cs="Arial"/>
          <w:color w:val="000000"/>
          <w:sz w:val="17"/>
          <w:szCs w:val="17"/>
        </w:rPr>
        <w:t xml:space="preserve">nt demand creation and operating overhead expense, including product creation and design expenses that are centrally managed for the NIKE Brand, as well as costs associated with NIKE Direct global digital operations and enterprise technology. Global Brand </w:t>
      </w:r>
      <w:r>
        <w:rPr>
          <w:rFonts w:ascii="Arial" w:eastAsia="宋体" w:hAnsi="Arial" w:cs="Arial"/>
          <w:color w:val="000000"/>
          <w:sz w:val="17"/>
          <w:szCs w:val="17"/>
        </w:rPr>
        <w:t>Divisions revenues include NIKE Brand licensing and other miscellaneous revenues that are not part of a geographic operating segment.</w:t>
      </w:r>
    </w:p>
    <w:p w14:paraId="26E9E561" w14:textId="77777777" w:rsidR="008A3BAC" w:rsidRDefault="005C75B9">
      <w:pPr>
        <w:spacing w:before="120"/>
      </w:pPr>
      <w:r>
        <w:rPr>
          <w:rFonts w:ascii="sans-serif" w:eastAsia="sans-serif" w:hAnsi="sans-serif" w:cs="sans-serif"/>
          <w:b/>
          <w:bCs/>
          <w:color w:val="808080"/>
          <w:sz w:val="22"/>
          <w:szCs w:val="22"/>
        </w:rPr>
        <w:t>THIRD QUARTER OF FISCAL 2022 COMPARED TO THIRD QUARTER OF FISCAL 2021</w:t>
      </w:r>
    </w:p>
    <w:p w14:paraId="26E9E562" w14:textId="77777777" w:rsidR="008A3BAC" w:rsidRDefault="005C75B9">
      <w:pPr>
        <w:spacing w:before="60" w:after="120"/>
      </w:pPr>
      <w:r>
        <w:rPr>
          <w:rFonts w:ascii="Arial" w:eastAsia="宋体" w:hAnsi="Arial" w:cs="Arial"/>
          <w:color w:val="000000"/>
          <w:sz w:val="17"/>
          <w:szCs w:val="17"/>
        </w:rPr>
        <w:t>Global Brand Divisions' loss before interest and tax</w:t>
      </w:r>
      <w:r>
        <w:rPr>
          <w:rFonts w:ascii="Arial" w:eastAsia="宋体" w:hAnsi="Arial" w:cs="Arial"/>
          <w:color w:val="000000"/>
          <w:sz w:val="17"/>
          <w:szCs w:val="17"/>
        </w:rPr>
        <w:t>es increased 14% for the third quarter of fiscal 2022 driven by higher operating overhead and higher demand creation expense. Higher operating overhead expense was primarily due to an increase in strategic technology investments. Higher demand creation exp</w:t>
      </w:r>
      <w:r>
        <w:rPr>
          <w:rFonts w:ascii="Arial" w:eastAsia="宋体" w:hAnsi="Arial" w:cs="Arial"/>
          <w:color w:val="000000"/>
          <w:sz w:val="17"/>
          <w:szCs w:val="17"/>
        </w:rPr>
        <w:t>ense was primarily due to higher advertising and marketing expense as well as higher digital marketing investments to support heightened digital demand.</w:t>
      </w:r>
    </w:p>
    <w:p w14:paraId="26E9E563"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OF FISCAL 2021</w:t>
      </w:r>
    </w:p>
    <w:p w14:paraId="26E9E564" w14:textId="77777777" w:rsidR="008A3BAC" w:rsidRDefault="005C75B9">
      <w:pPr>
        <w:spacing w:before="60" w:after="120"/>
      </w:pPr>
      <w:r>
        <w:rPr>
          <w:rFonts w:ascii="Arial" w:eastAsia="宋体" w:hAnsi="Arial" w:cs="Arial"/>
          <w:color w:val="000000"/>
          <w:sz w:val="17"/>
          <w:szCs w:val="17"/>
        </w:rPr>
        <w:t>Global Brand Divisions' l</w:t>
      </w:r>
      <w:r>
        <w:rPr>
          <w:rFonts w:ascii="Arial" w:eastAsia="宋体" w:hAnsi="Arial" w:cs="Arial"/>
          <w:color w:val="000000"/>
          <w:sz w:val="17"/>
          <w:szCs w:val="17"/>
        </w:rPr>
        <w:t>oss before interest and taxes increased 19% for the first nine months of fiscal 2022 driven by higher operating overhead and higher demand creation expense. Higher operating overhead expense was primarily due to an increase in strategic technology investme</w:t>
      </w:r>
      <w:r>
        <w:rPr>
          <w:rFonts w:ascii="Arial" w:eastAsia="宋体" w:hAnsi="Arial" w:cs="Arial"/>
          <w:color w:val="000000"/>
          <w:sz w:val="17"/>
          <w:szCs w:val="17"/>
        </w:rPr>
        <w:t>nts as well as continued investment in digital capabilities. Higher demand creation expense was primarily due to higher advertising and marketing expense.</w:t>
      </w:r>
    </w:p>
    <w:p w14:paraId="26E9E565" w14:textId="77777777" w:rsidR="008A3BAC" w:rsidRDefault="005C75B9">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175"/>
        <w:gridCol w:w="2316"/>
        <w:gridCol w:w="37"/>
        <w:gridCol w:w="112"/>
        <w:gridCol w:w="320"/>
        <w:gridCol w:w="36"/>
        <w:gridCol w:w="112"/>
        <w:gridCol w:w="320"/>
        <w:gridCol w:w="36"/>
        <w:gridCol w:w="73"/>
        <w:gridCol w:w="544"/>
        <w:gridCol w:w="167"/>
        <w:gridCol w:w="97"/>
        <w:gridCol w:w="729"/>
        <w:gridCol w:w="167"/>
        <w:gridCol w:w="40"/>
        <w:gridCol w:w="32"/>
        <w:gridCol w:w="36"/>
        <w:gridCol w:w="112"/>
        <w:gridCol w:w="457"/>
        <w:gridCol w:w="36"/>
        <w:gridCol w:w="112"/>
        <w:gridCol w:w="457"/>
        <w:gridCol w:w="36"/>
        <w:gridCol w:w="73"/>
        <w:gridCol w:w="544"/>
        <w:gridCol w:w="167"/>
        <w:gridCol w:w="97"/>
        <w:gridCol w:w="729"/>
        <w:gridCol w:w="167"/>
      </w:tblGrid>
      <w:tr w:rsidR="008A3BAC" w14:paraId="26E9E584" w14:textId="77777777">
        <w:tc>
          <w:tcPr>
            <w:tcW w:w="50" w:type="pct"/>
            <w:shd w:val="clear" w:color="auto" w:fill="auto"/>
            <w:vAlign w:val="bottom"/>
          </w:tcPr>
          <w:p w14:paraId="26E9E566" w14:textId="77777777" w:rsidR="008A3BAC" w:rsidRDefault="008A3BAC">
            <w:pPr>
              <w:rPr>
                <w:rFonts w:ascii="宋体"/>
              </w:rPr>
            </w:pPr>
          </w:p>
        </w:tc>
        <w:tc>
          <w:tcPr>
            <w:tcW w:w="1387" w:type="pct"/>
            <w:shd w:val="clear" w:color="auto" w:fill="auto"/>
            <w:vAlign w:val="bottom"/>
          </w:tcPr>
          <w:p w14:paraId="26E9E567" w14:textId="77777777" w:rsidR="008A3BAC" w:rsidRDefault="008A3BAC">
            <w:pPr>
              <w:rPr>
                <w:rFonts w:ascii="宋体"/>
              </w:rPr>
            </w:pPr>
          </w:p>
        </w:tc>
        <w:tc>
          <w:tcPr>
            <w:tcW w:w="5" w:type="pct"/>
            <w:shd w:val="clear" w:color="auto" w:fill="auto"/>
            <w:vAlign w:val="bottom"/>
          </w:tcPr>
          <w:p w14:paraId="26E9E568" w14:textId="77777777" w:rsidR="008A3BAC" w:rsidRDefault="008A3BAC">
            <w:pPr>
              <w:rPr>
                <w:rFonts w:ascii="宋体"/>
              </w:rPr>
            </w:pPr>
          </w:p>
        </w:tc>
        <w:tc>
          <w:tcPr>
            <w:tcW w:w="50" w:type="pct"/>
            <w:shd w:val="clear" w:color="auto" w:fill="auto"/>
            <w:vAlign w:val="bottom"/>
          </w:tcPr>
          <w:p w14:paraId="26E9E569" w14:textId="77777777" w:rsidR="008A3BAC" w:rsidRDefault="008A3BAC">
            <w:pPr>
              <w:rPr>
                <w:rFonts w:ascii="宋体"/>
              </w:rPr>
            </w:pPr>
          </w:p>
        </w:tc>
        <w:tc>
          <w:tcPr>
            <w:tcW w:w="384" w:type="pct"/>
            <w:shd w:val="clear" w:color="auto" w:fill="auto"/>
            <w:vAlign w:val="bottom"/>
          </w:tcPr>
          <w:p w14:paraId="26E9E56A" w14:textId="77777777" w:rsidR="008A3BAC" w:rsidRDefault="008A3BAC">
            <w:pPr>
              <w:rPr>
                <w:rFonts w:ascii="宋体"/>
              </w:rPr>
            </w:pPr>
          </w:p>
        </w:tc>
        <w:tc>
          <w:tcPr>
            <w:tcW w:w="5" w:type="pct"/>
            <w:shd w:val="clear" w:color="auto" w:fill="auto"/>
            <w:vAlign w:val="bottom"/>
          </w:tcPr>
          <w:p w14:paraId="26E9E56B" w14:textId="77777777" w:rsidR="008A3BAC" w:rsidRDefault="008A3BAC">
            <w:pPr>
              <w:rPr>
                <w:rFonts w:ascii="宋体"/>
              </w:rPr>
            </w:pPr>
          </w:p>
        </w:tc>
        <w:tc>
          <w:tcPr>
            <w:tcW w:w="50" w:type="pct"/>
            <w:shd w:val="clear" w:color="auto" w:fill="auto"/>
            <w:vAlign w:val="bottom"/>
          </w:tcPr>
          <w:p w14:paraId="26E9E56C" w14:textId="77777777" w:rsidR="008A3BAC" w:rsidRDefault="008A3BAC">
            <w:pPr>
              <w:rPr>
                <w:rFonts w:ascii="宋体"/>
              </w:rPr>
            </w:pPr>
          </w:p>
        </w:tc>
        <w:tc>
          <w:tcPr>
            <w:tcW w:w="384" w:type="pct"/>
            <w:shd w:val="clear" w:color="auto" w:fill="auto"/>
            <w:vAlign w:val="bottom"/>
          </w:tcPr>
          <w:p w14:paraId="26E9E56D" w14:textId="77777777" w:rsidR="008A3BAC" w:rsidRDefault="008A3BAC">
            <w:pPr>
              <w:rPr>
                <w:rFonts w:ascii="宋体"/>
              </w:rPr>
            </w:pPr>
          </w:p>
        </w:tc>
        <w:tc>
          <w:tcPr>
            <w:tcW w:w="5" w:type="pct"/>
            <w:shd w:val="clear" w:color="auto" w:fill="auto"/>
            <w:vAlign w:val="bottom"/>
          </w:tcPr>
          <w:p w14:paraId="26E9E56E" w14:textId="77777777" w:rsidR="008A3BAC" w:rsidRDefault="008A3BAC">
            <w:pPr>
              <w:rPr>
                <w:rFonts w:ascii="宋体"/>
              </w:rPr>
            </w:pPr>
          </w:p>
        </w:tc>
        <w:tc>
          <w:tcPr>
            <w:tcW w:w="50" w:type="pct"/>
            <w:shd w:val="clear" w:color="auto" w:fill="auto"/>
            <w:vAlign w:val="bottom"/>
          </w:tcPr>
          <w:p w14:paraId="26E9E56F" w14:textId="77777777" w:rsidR="008A3BAC" w:rsidRDefault="008A3BAC">
            <w:pPr>
              <w:rPr>
                <w:rFonts w:ascii="宋体"/>
              </w:rPr>
            </w:pPr>
          </w:p>
        </w:tc>
        <w:tc>
          <w:tcPr>
            <w:tcW w:w="384" w:type="pct"/>
            <w:shd w:val="clear" w:color="auto" w:fill="auto"/>
            <w:vAlign w:val="bottom"/>
          </w:tcPr>
          <w:p w14:paraId="26E9E570" w14:textId="77777777" w:rsidR="008A3BAC" w:rsidRDefault="008A3BAC">
            <w:pPr>
              <w:rPr>
                <w:rFonts w:ascii="宋体"/>
              </w:rPr>
            </w:pPr>
          </w:p>
        </w:tc>
        <w:tc>
          <w:tcPr>
            <w:tcW w:w="5" w:type="pct"/>
            <w:shd w:val="clear" w:color="auto" w:fill="auto"/>
            <w:vAlign w:val="bottom"/>
          </w:tcPr>
          <w:p w14:paraId="26E9E571" w14:textId="77777777" w:rsidR="008A3BAC" w:rsidRDefault="008A3BAC">
            <w:pPr>
              <w:rPr>
                <w:rFonts w:ascii="宋体"/>
              </w:rPr>
            </w:pPr>
          </w:p>
        </w:tc>
        <w:tc>
          <w:tcPr>
            <w:tcW w:w="50" w:type="pct"/>
            <w:shd w:val="clear" w:color="auto" w:fill="auto"/>
            <w:vAlign w:val="bottom"/>
          </w:tcPr>
          <w:p w14:paraId="26E9E572" w14:textId="77777777" w:rsidR="008A3BAC" w:rsidRDefault="008A3BAC">
            <w:pPr>
              <w:rPr>
                <w:rFonts w:ascii="宋体"/>
              </w:rPr>
            </w:pPr>
          </w:p>
        </w:tc>
        <w:tc>
          <w:tcPr>
            <w:tcW w:w="384" w:type="pct"/>
            <w:shd w:val="clear" w:color="auto" w:fill="auto"/>
            <w:vAlign w:val="bottom"/>
          </w:tcPr>
          <w:p w14:paraId="26E9E573" w14:textId="77777777" w:rsidR="008A3BAC" w:rsidRDefault="008A3BAC">
            <w:pPr>
              <w:rPr>
                <w:rFonts w:ascii="宋体"/>
              </w:rPr>
            </w:pPr>
          </w:p>
        </w:tc>
        <w:tc>
          <w:tcPr>
            <w:tcW w:w="5" w:type="pct"/>
            <w:shd w:val="clear" w:color="auto" w:fill="auto"/>
            <w:vAlign w:val="bottom"/>
          </w:tcPr>
          <w:p w14:paraId="26E9E574" w14:textId="77777777" w:rsidR="008A3BAC" w:rsidRDefault="008A3BAC">
            <w:pPr>
              <w:rPr>
                <w:rFonts w:ascii="宋体"/>
              </w:rPr>
            </w:pPr>
          </w:p>
        </w:tc>
        <w:tc>
          <w:tcPr>
            <w:tcW w:w="5" w:type="pct"/>
            <w:shd w:val="clear" w:color="auto" w:fill="auto"/>
            <w:vAlign w:val="bottom"/>
          </w:tcPr>
          <w:p w14:paraId="26E9E575" w14:textId="77777777" w:rsidR="008A3BAC" w:rsidRDefault="008A3BAC">
            <w:pPr>
              <w:rPr>
                <w:rFonts w:ascii="宋体"/>
              </w:rPr>
            </w:pPr>
          </w:p>
        </w:tc>
        <w:tc>
          <w:tcPr>
            <w:tcW w:w="28" w:type="pct"/>
            <w:shd w:val="clear" w:color="auto" w:fill="auto"/>
            <w:vAlign w:val="bottom"/>
          </w:tcPr>
          <w:p w14:paraId="26E9E576" w14:textId="77777777" w:rsidR="008A3BAC" w:rsidRDefault="008A3BAC">
            <w:pPr>
              <w:rPr>
                <w:rFonts w:ascii="宋体"/>
              </w:rPr>
            </w:pPr>
          </w:p>
        </w:tc>
        <w:tc>
          <w:tcPr>
            <w:tcW w:w="5" w:type="pct"/>
            <w:shd w:val="clear" w:color="auto" w:fill="auto"/>
            <w:vAlign w:val="bottom"/>
          </w:tcPr>
          <w:p w14:paraId="26E9E577" w14:textId="77777777" w:rsidR="008A3BAC" w:rsidRDefault="008A3BAC">
            <w:pPr>
              <w:rPr>
                <w:rFonts w:ascii="宋体"/>
              </w:rPr>
            </w:pPr>
          </w:p>
        </w:tc>
        <w:tc>
          <w:tcPr>
            <w:tcW w:w="50" w:type="pct"/>
            <w:shd w:val="clear" w:color="auto" w:fill="auto"/>
            <w:vAlign w:val="bottom"/>
          </w:tcPr>
          <w:p w14:paraId="26E9E578" w14:textId="77777777" w:rsidR="008A3BAC" w:rsidRDefault="008A3BAC">
            <w:pPr>
              <w:rPr>
                <w:rFonts w:ascii="宋体"/>
              </w:rPr>
            </w:pPr>
          </w:p>
        </w:tc>
        <w:tc>
          <w:tcPr>
            <w:tcW w:w="384" w:type="pct"/>
            <w:shd w:val="clear" w:color="auto" w:fill="auto"/>
            <w:vAlign w:val="bottom"/>
          </w:tcPr>
          <w:p w14:paraId="26E9E579" w14:textId="77777777" w:rsidR="008A3BAC" w:rsidRDefault="008A3BAC">
            <w:pPr>
              <w:rPr>
                <w:rFonts w:ascii="宋体"/>
              </w:rPr>
            </w:pPr>
          </w:p>
        </w:tc>
        <w:tc>
          <w:tcPr>
            <w:tcW w:w="5" w:type="pct"/>
            <w:shd w:val="clear" w:color="auto" w:fill="auto"/>
            <w:vAlign w:val="bottom"/>
          </w:tcPr>
          <w:p w14:paraId="26E9E57A" w14:textId="77777777" w:rsidR="008A3BAC" w:rsidRDefault="008A3BAC">
            <w:pPr>
              <w:rPr>
                <w:rFonts w:ascii="宋体"/>
              </w:rPr>
            </w:pPr>
          </w:p>
        </w:tc>
        <w:tc>
          <w:tcPr>
            <w:tcW w:w="50" w:type="pct"/>
            <w:shd w:val="clear" w:color="auto" w:fill="auto"/>
            <w:vAlign w:val="bottom"/>
          </w:tcPr>
          <w:p w14:paraId="26E9E57B" w14:textId="77777777" w:rsidR="008A3BAC" w:rsidRDefault="008A3BAC">
            <w:pPr>
              <w:rPr>
                <w:rFonts w:ascii="宋体"/>
              </w:rPr>
            </w:pPr>
          </w:p>
        </w:tc>
        <w:tc>
          <w:tcPr>
            <w:tcW w:w="384" w:type="pct"/>
            <w:shd w:val="clear" w:color="auto" w:fill="auto"/>
            <w:vAlign w:val="bottom"/>
          </w:tcPr>
          <w:p w14:paraId="26E9E57C" w14:textId="77777777" w:rsidR="008A3BAC" w:rsidRDefault="008A3BAC">
            <w:pPr>
              <w:rPr>
                <w:rFonts w:ascii="宋体"/>
              </w:rPr>
            </w:pPr>
          </w:p>
        </w:tc>
        <w:tc>
          <w:tcPr>
            <w:tcW w:w="5" w:type="pct"/>
            <w:shd w:val="clear" w:color="auto" w:fill="auto"/>
            <w:vAlign w:val="bottom"/>
          </w:tcPr>
          <w:p w14:paraId="26E9E57D" w14:textId="77777777" w:rsidR="008A3BAC" w:rsidRDefault="008A3BAC">
            <w:pPr>
              <w:rPr>
                <w:rFonts w:ascii="宋体"/>
              </w:rPr>
            </w:pPr>
          </w:p>
        </w:tc>
        <w:tc>
          <w:tcPr>
            <w:tcW w:w="50" w:type="pct"/>
            <w:shd w:val="clear" w:color="auto" w:fill="auto"/>
            <w:vAlign w:val="bottom"/>
          </w:tcPr>
          <w:p w14:paraId="26E9E57E" w14:textId="77777777" w:rsidR="008A3BAC" w:rsidRDefault="008A3BAC">
            <w:pPr>
              <w:rPr>
                <w:rFonts w:ascii="宋体"/>
              </w:rPr>
            </w:pPr>
          </w:p>
        </w:tc>
        <w:tc>
          <w:tcPr>
            <w:tcW w:w="384" w:type="pct"/>
            <w:shd w:val="clear" w:color="auto" w:fill="auto"/>
            <w:vAlign w:val="bottom"/>
          </w:tcPr>
          <w:p w14:paraId="26E9E57F" w14:textId="77777777" w:rsidR="008A3BAC" w:rsidRDefault="008A3BAC">
            <w:pPr>
              <w:rPr>
                <w:rFonts w:ascii="宋体"/>
              </w:rPr>
            </w:pPr>
          </w:p>
        </w:tc>
        <w:tc>
          <w:tcPr>
            <w:tcW w:w="5" w:type="pct"/>
            <w:shd w:val="clear" w:color="auto" w:fill="auto"/>
            <w:vAlign w:val="bottom"/>
          </w:tcPr>
          <w:p w14:paraId="26E9E580" w14:textId="77777777" w:rsidR="008A3BAC" w:rsidRDefault="008A3BAC">
            <w:pPr>
              <w:rPr>
                <w:rFonts w:ascii="宋体"/>
              </w:rPr>
            </w:pPr>
          </w:p>
        </w:tc>
        <w:tc>
          <w:tcPr>
            <w:tcW w:w="50" w:type="pct"/>
            <w:shd w:val="clear" w:color="auto" w:fill="auto"/>
            <w:vAlign w:val="bottom"/>
          </w:tcPr>
          <w:p w14:paraId="26E9E581" w14:textId="77777777" w:rsidR="008A3BAC" w:rsidRDefault="008A3BAC">
            <w:pPr>
              <w:rPr>
                <w:rFonts w:ascii="宋体"/>
              </w:rPr>
            </w:pPr>
          </w:p>
        </w:tc>
        <w:tc>
          <w:tcPr>
            <w:tcW w:w="384" w:type="pct"/>
            <w:shd w:val="clear" w:color="auto" w:fill="auto"/>
            <w:vAlign w:val="bottom"/>
          </w:tcPr>
          <w:p w14:paraId="26E9E582" w14:textId="77777777" w:rsidR="008A3BAC" w:rsidRDefault="008A3BAC">
            <w:pPr>
              <w:rPr>
                <w:rFonts w:ascii="宋体"/>
              </w:rPr>
            </w:pPr>
          </w:p>
        </w:tc>
        <w:tc>
          <w:tcPr>
            <w:tcW w:w="5" w:type="pct"/>
            <w:shd w:val="clear" w:color="auto" w:fill="auto"/>
            <w:vAlign w:val="bottom"/>
          </w:tcPr>
          <w:p w14:paraId="26E9E583" w14:textId="77777777" w:rsidR="008A3BAC" w:rsidRDefault="008A3BAC">
            <w:pPr>
              <w:rPr>
                <w:rFonts w:ascii="宋体"/>
              </w:rPr>
            </w:pPr>
          </w:p>
        </w:tc>
      </w:tr>
      <w:tr w:rsidR="008A3BAC" w14:paraId="26E9E589" w14:textId="77777777">
        <w:tc>
          <w:tcPr>
            <w:tcW w:w="0" w:type="auto"/>
            <w:gridSpan w:val="3"/>
            <w:shd w:val="clear" w:color="auto" w:fill="auto"/>
            <w:tcMar>
              <w:top w:w="0" w:type="dxa"/>
              <w:left w:w="20" w:type="dxa"/>
              <w:bottom w:w="0" w:type="dxa"/>
              <w:right w:w="20" w:type="dxa"/>
            </w:tcMar>
            <w:vAlign w:val="bottom"/>
          </w:tcPr>
          <w:p w14:paraId="26E9E585"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586"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587" w14:textId="77777777" w:rsidR="008A3BAC" w:rsidRDefault="008A3BAC">
            <w:pPr>
              <w:rPr>
                <w:rFonts w:ascii="宋体"/>
              </w:rPr>
            </w:pPr>
          </w:p>
        </w:tc>
        <w:tc>
          <w:tcPr>
            <w:tcW w:w="0" w:type="auto"/>
            <w:gridSpan w:val="12"/>
            <w:shd w:val="clear" w:color="auto" w:fill="auto"/>
            <w:tcMar>
              <w:top w:w="40" w:type="dxa"/>
              <w:left w:w="20" w:type="dxa"/>
              <w:bottom w:w="40" w:type="dxa"/>
              <w:right w:w="20" w:type="dxa"/>
            </w:tcMar>
            <w:vAlign w:val="bottom"/>
          </w:tcPr>
          <w:p w14:paraId="26E9E588"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r>
      <w:tr w:rsidR="008A3BAC" w14:paraId="26E9E594" w14:textId="77777777">
        <w:tc>
          <w:tcPr>
            <w:tcW w:w="0" w:type="auto"/>
            <w:gridSpan w:val="3"/>
            <w:shd w:val="clear" w:color="auto" w:fill="auto"/>
            <w:tcMar>
              <w:top w:w="40" w:type="dxa"/>
              <w:left w:w="20" w:type="dxa"/>
              <w:bottom w:w="40" w:type="dxa"/>
              <w:right w:w="20" w:type="dxa"/>
            </w:tcMar>
            <w:vAlign w:val="bottom"/>
          </w:tcPr>
          <w:p w14:paraId="26E9E58A"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8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8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8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8E" w14:textId="77777777" w:rsidR="008A3BAC" w:rsidRDefault="005C75B9">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vAlign w:val="bottom"/>
          </w:tcPr>
          <w:p w14:paraId="26E9E58F"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90"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91"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92"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93" w14:textId="77777777" w:rsidR="008A3BAC" w:rsidRDefault="005C75B9">
            <w:pPr>
              <w:jc w:val="right"/>
              <w:textAlignment w:val="bottom"/>
            </w:pPr>
            <w:r>
              <w:rPr>
                <w:rFonts w:ascii="sans-serif" w:eastAsia="sans-serif" w:hAnsi="sans-serif" w:cs="sans-serif"/>
                <w:b/>
                <w:bCs/>
                <w:color w:val="000000"/>
                <w:sz w:val="17"/>
                <w:szCs w:val="17"/>
              </w:rPr>
              <w:t>% CHANGE EXCLUDING CURRENCY CHANGES</w:t>
            </w:r>
          </w:p>
        </w:tc>
      </w:tr>
      <w:tr w:rsidR="008A3BAC" w14:paraId="26E9E59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95"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596"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7"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A"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59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C"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9E" w14:textId="77777777" w:rsidR="008A3BAC" w:rsidRDefault="008A3BAC">
            <w:pPr>
              <w:rPr>
                <w:rFonts w:ascii="宋体"/>
              </w:rPr>
            </w:pPr>
          </w:p>
        </w:tc>
      </w:tr>
      <w:tr w:rsidR="008A3BAC" w14:paraId="26E9E5B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5A0" w14:textId="77777777" w:rsidR="008A3BAC" w:rsidRDefault="005C75B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5A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5A2" w14:textId="77777777" w:rsidR="008A3BAC" w:rsidRDefault="005C75B9">
            <w:pPr>
              <w:jc w:val="right"/>
              <w:textAlignment w:val="bottom"/>
            </w:pPr>
            <w:r>
              <w:rPr>
                <w:rFonts w:ascii="Arial" w:eastAsia="宋体" w:hAnsi="Arial" w:cs="Arial"/>
                <w:color w:val="000000"/>
                <w:sz w:val="17"/>
                <w:szCs w:val="17"/>
              </w:rPr>
              <w:t>503 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A3"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5A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5A5" w14:textId="77777777" w:rsidR="008A3BAC" w:rsidRDefault="005C75B9">
            <w:pPr>
              <w:jc w:val="right"/>
              <w:textAlignment w:val="bottom"/>
            </w:pPr>
            <w:r>
              <w:rPr>
                <w:rFonts w:ascii="Arial" w:eastAsia="宋体" w:hAnsi="Arial" w:cs="Arial"/>
                <w:color w:val="000000"/>
                <w:sz w:val="17"/>
                <w:szCs w:val="17"/>
              </w:rPr>
              <w:t>513 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A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A7"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A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A9" w14:textId="77777777" w:rsidR="008A3BAC" w:rsidRDefault="005C75B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AA"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5AB"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5A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5AD" w14:textId="77777777" w:rsidR="008A3BAC" w:rsidRDefault="005C75B9">
            <w:pPr>
              <w:jc w:val="right"/>
              <w:textAlignment w:val="bottom"/>
            </w:pPr>
            <w:r>
              <w:rPr>
                <w:rFonts w:ascii="Arial" w:eastAsia="宋体" w:hAnsi="Arial" w:cs="Arial"/>
                <w:color w:val="000000"/>
                <w:sz w:val="17"/>
                <w:szCs w:val="17"/>
              </w:rPr>
              <w:t>1,555 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AE"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5A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5B0" w14:textId="77777777" w:rsidR="008A3BAC" w:rsidRDefault="005C75B9">
            <w:pPr>
              <w:jc w:val="right"/>
              <w:textAlignment w:val="bottom"/>
            </w:pPr>
            <w:r>
              <w:rPr>
                <w:rFonts w:ascii="Arial" w:eastAsia="宋体" w:hAnsi="Arial" w:cs="Arial"/>
                <w:color w:val="000000"/>
                <w:sz w:val="17"/>
                <w:szCs w:val="17"/>
              </w:rPr>
              <w:t>1,442 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B2" w14:textId="77777777" w:rsidR="008A3BAC" w:rsidRDefault="005C75B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B4"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5" w14:textId="77777777" w:rsidR="008A3BAC" w:rsidRDefault="005C75B9">
            <w:pPr>
              <w:jc w:val="right"/>
              <w:textAlignment w:val="bottom"/>
            </w:pPr>
            <w:r>
              <w:rPr>
                <w:rFonts w:ascii="Arial" w:eastAsia="宋体" w:hAnsi="Arial" w:cs="Arial"/>
                <w:color w:val="000000"/>
                <w:sz w:val="17"/>
                <w:szCs w:val="17"/>
              </w:rPr>
              <w:t>%</w:t>
            </w:r>
          </w:p>
        </w:tc>
      </w:tr>
      <w:tr w:rsidR="008A3BAC" w14:paraId="26E9E5C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5B7" w14:textId="77777777" w:rsidR="008A3BAC" w:rsidRDefault="005C75B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B8" w14:textId="77777777" w:rsidR="008A3BAC" w:rsidRDefault="005C75B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B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BA"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BC" w14:textId="77777777" w:rsidR="008A3BAC" w:rsidRDefault="005C75B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D"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BE"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BF"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5C0"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C1" w14:textId="77777777" w:rsidR="008A3BAC" w:rsidRDefault="005C75B9">
            <w:pPr>
              <w:jc w:val="right"/>
              <w:textAlignment w:val="bottom"/>
            </w:pPr>
            <w:r>
              <w:rPr>
                <w:rFonts w:ascii="Arial" w:eastAsia="宋体" w:hAnsi="Arial" w:cs="Arial"/>
                <w:color w:val="000000"/>
                <w:sz w:val="17"/>
                <w:szCs w:val="17"/>
              </w:rPr>
              <w:t>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C2"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C3" w14:textId="77777777" w:rsidR="008A3BAC" w:rsidRDefault="005C75B9">
            <w:pPr>
              <w:jc w:val="right"/>
              <w:textAlignment w:val="bottom"/>
            </w:pPr>
            <w:r>
              <w:rPr>
                <w:rFonts w:ascii="Arial" w:eastAsia="宋体" w:hAnsi="Arial" w:cs="Arial"/>
                <w:color w:val="000000"/>
                <w:sz w:val="17"/>
                <w:szCs w:val="17"/>
              </w:rPr>
              <w:t>82 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C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C5"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C6"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C7"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C8" w14:textId="77777777" w:rsidR="008A3BAC" w:rsidRDefault="005C75B9">
            <w:pPr>
              <w:jc w:val="right"/>
              <w:textAlignment w:val="bottom"/>
            </w:pPr>
            <w:r>
              <w:rPr>
                <w:rFonts w:ascii="Arial" w:eastAsia="宋体" w:hAnsi="Arial" w:cs="Arial"/>
                <w:color w:val="000000"/>
                <w:sz w:val="17"/>
                <w:szCs w:val="17"/>
              </w:rPr>
              <w:t>%</w:t>
            </w:r>
          </w:p>
        </w:tc>
      </w:tr>
      <w:tr w:rsidR="008A3BAC" w14:paraId="26E9E5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5CA" w14:textId="77777777" w:rsidR="008A3BAC" w:rsidRDefault="005C75B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CB" w14:textId="77777777" w:rsidR="008A3BAC" w:rsidRDefault="005C75B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CC"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CD"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C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CF"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D0"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D1" w14:textId="77777777" w:rsidR="008A3BAC" w:rsidRDefault="005C75B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D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5D3"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D4" w14:textId="77777777" w:rsidR="008A3BAC" w:rsidRDefault="005C75B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D5"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D6"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D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D8" w14:textId="77777777" w:rsidR="008A3BAC" w:rsidRDefault="005C75B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D9"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DA" w14:textId="77777777" w:rsidR="008A3BAC" w:rsidRDefault="005C75B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DB" w14:textId="77777777" w:rsidR="008A3BAC" w:rsidRDefault="005C75B9">
            <w:pPr>
              <w:jc w:val="right"/>
              <w:textAlignment w:val="bottom"/>
            </w:pPr>
            <w:r>
              <w:rPr>
                <w:rFonts w:ascii="Arial" w:eastAsia="宋体" w:hAnsi="Arial" w:cs="Arial"/>
                <w:color w:val="000000"/>
                <w:sz w:val="17"/>
                <w:szCs w:val="17"/>
              </w:rPr>
              <w:t>%</w:t>
            </w:r>
          </w:p>
        </w:tc>
      </w:tr>
      <w:tr w:rsidR="008A3BAC" w14:paraId="26E9E5E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5DD" w14:textId="77777777" w:rsidR="008A3BAC" w:rsidRDefault="005C75B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DE"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DF"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0" w14:textId="77777777" w:rsidR="008A3BAC" w:rsidRDefault="005C75B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1"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2"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3"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4" w14:textId="77777777" w:rsidR="008A3BAC" w:rsidRDefault="005C75B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5"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5E6"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5E7" w14:textId="77777777" w:rsidR="008A3BAC" w:rsidRDefault="005C75B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5E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9" w14:textId="77777777" w:rsidR="008A3BAC" w:rsidRDefault="005C75B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A"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B" w14:textId="77777777" w:rsidR="008A3BAC" w:rsidRDefault="005C75B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C"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5ED" w14:textId="77777777" w:rsidR="008A3BAC" w:rsidRDefault="005C75B9">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5EE" w14:textId="77777777" w:rsidR="008A3BAC" w:rsidRDefault="005C75B9">
            <w:pPr>
              <w:jc w:val="right"/>
              <w:textAlignment w:val="bottom"/>
            </w:pPr>
            <w:r>
              <w:rPr>
                <w:rFonts w:ascii="Arial" w:eastAsia="宋体" w:hAnsi="Arial" w:cs="Arial"/>
                <w:color w:val="000000"/>
                <w:sz w:val="17"/>
                <w:szCs w:val="17"/>
              </w:rPr>
              <w:t>%</w:t>
            </w:r>
          </w:p>
        </w:tc>
      </w:tr>
      <w:tr w:rsidR="008A3BAC" w14:paraId="26E9E6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5F0"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5F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5F2" w14:textId="77777777" w:rsidR="008A3BAC" w:rsidRDefault="005C75B9">
            <w:pPr>
              <w:jc w:val="right"/>
              <w:textAlignment w:val="bottom"/>
            </w:pPr>
            <w:r>
              <w:rPr>
                <w:rFonts w:ascii="Arial" w:eastAsia="宋体" w:hAnsi="Arial" w:cs="Arial"/>
                <w:b/>
                <w:bCs/>
                <w:color w:val="000000"/>
                <w:sz w:val="17"/>
                <w:szCs w:val="17"/>
              </w:rPr>
              <w:t>567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5F3"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5F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5F5" w14:textId="77777777" w:rsidR="008A3BAC" w:rsidRDefault="005C75B9">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F6"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F7" w14:textId="77777777" w:rsidR="008A3BAC" w:rsidRDefault="005C75B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F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5F9"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5FA"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5FB"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5FC"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5FD" w14:textId="77777777" w:rsidR="008A3BAC" w:rsidRDefault="005C75B9">
            <w:pPr>
              <w:jc w:val="right"/>
              <w:textAlignment w:val="bottom"/>
            </w:pPr>
            <w:r>
              <w:rPr>
                <w:rFonts w:ascii="Arial" w:eastAsia="宋体" w:hAnsi="Arial" w:cs="Arial"/>
                <w:b/>
                <w:bCs/>
                <w:color w:val="000000"/>
                <w:sz w:val="17"/>
                <w:szCs w:val="17"/>
              </w:rPr>
              <w:t>1,753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5FE"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5FF"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600" w14:textId="77777777" w:rsidR="008A3BAC" w:rsidRDefault="005C75B9">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01"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02"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03"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04"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05" w14:textId="77777777" w:rsidR="008A3BAC" w:rsidRDefault="005C75B9">
            <w:pPr>
              <w:jc w:val="right"/>
              <w:textAlignment w:val="bottom"/>
            </w:pPr>
            <w:r>
              <w:rPr>
                <w:rFonts w:ascii="Arial" w:eastAsia="宋体" w:hAnsi="Arial" w:cs="Arial"/>
                <w:b/>
                <w:bCs/>
                <w:color w:val="000000"/>
                <w:sz w:val="17"/>
                <w:szCs w:val="17"/>
              </w:rPr>
              <w:t>%</w:t>
            </w:r>
          </w:p>
        </w:tc>
      </w:tr>
      <w:tr w:rsidR="008A3BAC" w14:paraId="26E9E61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07" w14:textId="77777777" w:rsidR="008A3BAC" w:rsidRDefault="005C75B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608"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9"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A"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B"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C" w14:textId="77777777" w:rsidR="008A3BAC" w:rsidRDefault="008A3BAC">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6E9E60D"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E"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0F" w14:textId="77777777" w:rsidR="008A3BAC" w:rsidRDefault="008A3BAC">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10" w14:textId="77777777" w:rsidR="008A3BAC" w:rsidRDefault="008A3BAC">
            <w:pPr>
              <w:rPr>
                <w:rFonts w:ascii="宋体"/>
              </w:rPr>
            </w:pPr>
          </w:p>
        </w:tc>
      </w:tr>
      <w:tr w:rsidR="008A3BAC" w14:paraId="26E9E6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612" w14:textId="77777777" w:rsidR="008A3BAC" w:rsidRDefault="005C75B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61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614" w14:textId="77777777" w:rsidR="008A3BAC" w:rsidRDefault="005C75B9">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15"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61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617" w14:textId="77777777" w:rsidR="008A3BAC" w:rsidRDefault="005C75B9">
            <w:pPr>
              <w:jc w:val="right"/>
              <w:textAlignment w:val="bottom"/>
            </w:pPr>
            <w:r>
              <w:rPr>
                <w:rFonts w:ascii="Arial" w:eastAsia="宋体" w:hAnsi="Arial" w:cs="Arial"/>
                <w:color w:val="000000"/>
                <w:sz w:val="17"/>
                <w:szCs w:val="17"/>
              </w:rPr>
              <w:t>366 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18"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19" w14:textId="77777777" w:rsidR="008A3BAC" w:rsidRDefault="005C75B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1A"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1B"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1C"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61D" w14:textId="77777777" w:rsidR="008A3BAC" w:rsidRDefault="008A3BAC">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61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61F" w14:textId="77777777" w:rsidR="008A3BAC" w:rsidRDefault="005C75B9">
            <w:pPr>
              <w:jc w:val="right"/>
              <w:textAlignment w:val="bottom"/>
            </w:pPr>
            <w:r>
              <w:rPr>
                <w:rFonts w:ascii="Arial" w:eastAsia="宋体" w:hAnsi="Arial" w:cs="Arial"/>
                <w:color w:val="000000"/>
                <w:sz w:val="17"/>
                <w:szCs w:val="17"/>
              </w:rPr>
              <w:t>975 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20" w14:textId="77777777" w:rsidR="008A3BAC" w:rsidRDefault="008A3BAC">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6E9E621"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6E9E622" w14:textId="77777777" w:rsidR="008A3BAC" w:rsidRDefault="005C75B9">
            <w:pPr>
              <w:jc w:val="right"/>
              <w:textAlignment w:val="bottom"/>
            </w:pPr>
            <w:r>
              <w:rPr>
                <w:rFonts w:ascii="Arial" w:eastAsia="宋体" w:hAnsi="Arial" w:cs="Arial"/>
                <w:color w:val="000000"/>
                <w:sz w:val="17"/>
                <w:szCs w:val="17"/>
              </w:rPr>
              <w:t>998 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23"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24" w14:textId="77777777" w:rsidR="008A3BAC" w:rsidRDefault="005C75B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25"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26" w14:textId="77777777" w:rsidR="008A3BAC" w:rsidRDefault="005C75B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27" w14:textId="77777777" w:rsidR="008A3BAC" w:rsidRDefault="005C75B9">
            <w:pPr>
              <w:jc w:val="right"/>
              <w:textAlignment w:val="bottom"/>
            </w:pPr>
            <w:r>
              <w:rPr>
                <w:rFonts w:ascii="Arial" w:eastAsia="宋体" w:hAnsi="Arial" w:cs="Arial"/>
                <w:color w:val="000000"/>
                <w:sz w:val="17"/>
                <w:szCs w:val="17"/>
              </w:rPr>
              <w:t>%</w:t>
            </w:r>
          </w:p>
        </w:tc>
      </w:tr>
      <w:tr w:rsidR="008A3BAC" w14:paraId="26E9E63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6E9E629" w14:textId="77777777" w:rsidR="008A3BAC" w:rsidRDefault="005C75B9">
            <w:pPr>
              <w:textAlignment w:val="bottom"/>
            </w:pPr>
            <w:r>
              <w:rPr>
                <w:rFonts w:ascii="Arial" w:eastAsia="宋体" w:hAnsi="Arial" w:cs="Arial"/>
                <w:color w:val="000000"/>
                <w:sz w:val="17"/>
                <w:szCs w:val="17"/>
              </w:rPr>
              <w:t>Sales through Dir</w:t>
            </w:r>
            <w:r>
              <w:rPr>
                <w:rFonts w:ascii="Arial" w:eastAsia="宋体" w:hAnsi="Arial" w:cs="Arial"/>
                <w:color w:val="000000"/>
                <w:sz w:val="17"/>
                <w:szCs w:val="17"/>
              </w:rPr>
              <w:t>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62A" w14:textId="77777777" w:rsidR="008A3BAC" w:rsidRDefault="005C75B9">
            <w:pPr>
              <w:jc w:val="right"/>
              <w:textAlignment w:val="bottom"/>
            </w:pPr>
            <w:r>
              <w:rPr>
                <w:rFonts w:ascii="Arial" w:eastAsia="宋体" w:hAnsi="Arial" w:cs="Arial"/>
                <w:color w:val="000000"/>
                <w:sz w:val="17"/>
                <w:szCs w:val="17"/>
              </w:rPr>
              <w:t>236 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2B"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2C" w14:textId="77777777" w:rsidR="008A3BAC" w:rsidRDefault="005C75B9">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2D"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2E" w14:textId="77777777" w:rsidR="008A3BAC" w:rsidRDefault="005C75B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2F"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30" w14:textId="77777777" w:rsidR="008A3BAC" w:rsidRDefault="005C75B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31"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632"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633" w14:textId="77777777" w:rsidR="008A3BAC" w:rsidRDefault="005C75B9">
            <w:pPr>
              <w:jc w:val="right"/>
              <w:textAlignment w:val="bottom"/>
            </w:pPr>
            <w:r>
              <w:rPr>
                <w:rFonts w:ascii="Arial" w:eastAsia="宋体" w:hAnsi="Arial" w:cs="Arial"/>
                <w:color w:val="000000"/>
                <w:sz w:val="17"/>
                <w:szCs w:val="17"/>
              </w:rPr>
              <w:t>688 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34"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35" w14:textId="77777777" w:rsidR="008A3BAC" w:rsidRDefault="005C75B9">
            <w:pPr>
              <w:jc w:val="right"/>
              <w:textAlignment w:val="bottom"/>
            </w:pPr>
            <w:r>
              <w:rPr>
                <w:rFonts w:ascii="Arial" w:eastAsia="宋体" w:hAnsi="Arial" w:cs="Arial"/>
                <w:color w:val="000000"/>
                <w:sz w:val="17"/>
                <w:szCs w:val="17"/>
              </w:rPr>
              <w:t>548 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36"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37" w14:textId="77777777" w:rsidR="008A3BAC" w:rsidRDefault="005C75B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38"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39" w14:textId="77777777" w:rsidR="008A3BAC" w:rsidRDefault="005C75B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3A" w14:textId="77777777" w:rsidR="008A3BAC" w:rsidRDefault="005C75B9">
            <w:pPr>
              <w:jc w:val="right"/>
              <w:textAlignment w:val="bottom"/>
            </w:pPr>
            <w:r>
              <w:rPr>
                <w:rFonts w:ascii="Arial" w:eastAsia="宋体" w:hAnsi="Arial" w:cs="Arial"/>
                <w:color w:val="000000"/>
                <w:sz w:val="17"/>
                <w:szCs w:val="17"/>
              </w:rPr>
              <w:t>%</w:t>
            </w:r>
          </w:p>
        </w:tc>
      </w:tr>
      <w:tr w:rsidR="008A3BAC" w14:paraId="26E9E64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63C" w14:textId="77777777" w:rsidR="008A3BAC" w:rsidRDefault="005C75B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63D" w14:textId="77777777" w:rsidR="008A3BAC" w:rsidRDefault="005C75B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3E"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3F" w14:textId="77777777" w:rsidR="008A3BAC" w:rsidRDefault="005C75B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0"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41" w14:textId="77777777" w:rsidR="008A3BAC" w:rsidRDefault="005C75B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2"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43" w14:textId="77777777" w:rsidR="008A3BAC" w:rsidRDefault="005C75B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4"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645" w14:textId="77777777" w:rsidR="008A3BAC" w:rsidRDefault="008A3BAC">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6E9E646" w14:textId="77777777" w:rsidR="008A3BAC" w:rsidRDefault="005C75B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647"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48" w14:textId="77777777" w:rsidR="008A3BAC" w:rsidRDefault="005C75B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9" w14:textId="77777777" w:rsidR="008A3BAC" w:rsidRDefault="008A3BAC">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4A" w14:textId="77777777" w:rsidR="008A3BAC" w:rsidRDefault="005C75B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B" w14:textId="77777777" w:rsidR="008A3BAC" w:rsidRDefault="005C75B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6E9E64C" w14:textId="77777777" w:rsidR="008A3BAC" w:rsidRDefault="005C75B9">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26E9E64D" w14:textId="77777777" w:rsidR="008A3BAC" w:rsidRDefault="005C75B9">
            <w:pPr>
              <w:jc w:val="right"/>
              <w:textAlignment w:val="bottom"/>
            </w:pPr>
            <w:r>
              <w:rPr>
                <w:rFonts w:ascii="Arial" w:eastAsia="宋体" w:hAnsi="Arial" w:cs="Arial"/>
                <w:color w:val="000000"/>
                <w:sz w:val="17"/>
                <w:szCs w:val="17"/>
              </w:rPr>
              <w:t>%</w:t>
            </w:r>
          </w:p>
        </w:tc>
      </w:tr>
      <w:tr w:rsidR="008A3BAC" w14:paraId="26E9E66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4F" w14:textId="77777777" w:rsidR="008A3BAC" w:rsidRDefault="005C75B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650"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651" w14:textId="77777777" w:rsidR="008A3BAC" w:rsidRDefault="005C75B9">
            <w:pPr>
              <w:jc w:val="right"/>
              <w:textAlignment w:val="bottom"/>
            </w:pPr>
            <w:r>
              <w:rPr>
                <w:rFonts w:ascii="Arial" w:eastAsia="宋体" w:hAnsi="Arial" w:cs="Arial"/>
                <w:b/>
                <w:bCs/>
                <w:color w:val="000000"/>
                <w:sz w:val="17"/>
                <w:szCs w:val="17"/>
              </w:rPr>
              <w:t>567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652"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653"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654" w14:textId="77777777" w:rsidR="008A3BAC" w:rsidRDefault="005C75B9">
            <w:pPr>
              <w:jc w:val="right"/>
              <w:textAlignment w:val="bottom"/>
            </w:pPr>
            <w:r>
              <w:rPr>
                <w:rFonts w:ascii="Arial" w:eastAsia="宋体" w:hAnsi="Arial" w:cs="Arial"/>
                <w:b/>
                <w:bCs/>
                <w:color w:val="000000"/>
                <w:sz w:val="17"/>
                <w:szCs w:val="17"/>
              </w:rPr>
              <w:t>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55"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56" w14:textId="77777777" w:rsidR="008A3BAC" w:rsidRDefault="005C75B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57"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58" w14:textId="77777777" w:rsidR="008A3BAC" w:rsidRDefault="005C75B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59"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5A"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65B"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65C" w14:textId="77777777" w:rsidR="008A3BAC" w:rsidRDefault="005C75B9">
            <w:pPr>
              <w:jc w:val="right"/>
              <w:textAlignment w:val="bottom"/>
            </w:pPr>
            <w:r>
              <w:rPr>
                <w:rFonts w:ascii="Arial" w:eastAsia="宋体" w:hAnsi="Arial" w:cs="Arial"/>
                <w:b/>
                <w:bCs/>
                <w:color w:val="000000"/>
                <w:sz w:val="17"/>
                <w:szCs w:val="17"/>
              </w:rPr>
              <w:t>1,753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65D"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65E"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65F" w14:textId="77777777" w:rsidR="008A3BAC" w:rsidRDefault="005C75B9">
            <w:pPr>
              <w:jc w:val="right"/>
              <w:textAlignment w:val="bottom"/>
            </w:pPr>
            <w:r>
              <w:rPr>
                <w:rFonts w:ascii="Arial" w:eastAsia="宋体" w:hAnsi="Arial" w:cs="Arial"/>
                <w:b/>
                <w:bCs/>
                <w:color w:val="000000"/>
                <w:sz w:val="17"/>
                <w:szCs w:val="17"/>
              </w:rPr>
              <w:t>1,609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60"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61" w14:textId="77777777" w:rsidR="008A3BAC" w:rsidRDefault="005C75B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62"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63" w14:textId="77777777" w:rsidR="008A3BAC" w:rsidRDefault="005C75B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64" w14:textId="77777777" w:rsidR="008A3BAC" w:rsidRDefault="005C75B9">
            <w:pPr>
              <w:jc w:val="right"/>
              <w:textAlignment w:val="bottom"/>
            </w:pPr>
            <w:r>
              <w:rPr>
                <w:rFonts w:ascii="Arial" w:eastAsia="宋体" w:hAnsi="Arial" w:cs="Arial"/>
                <w:b/>
                <w:bCs/>
                <w:color w:val="000000"/>
                <w:sz w:val="17"/>
                <w:szCs w:val="17"/>
              </w:rPr>
              <w:t>%</w:t>
            </w:r>
          </w:p>
        </w:tc>
      </w:tr>
      <w:tr w:rsidR="008A3BAC" w14:paraId="26E9E67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6E9E666" w14:textId="77777777" w:rsidR="008A3BAC" w:rsidRDefault="005C75B9">
            <w:pPr>
              <w:textAlignment w:val="bottom"/>
            </w:pPr>
            <w:r>
              <w:rPr>
                <w:rFonts w:ascii="Arial" w:eastAsia="宋体" w:hAnsi="Arial" w:cs="Arial"/>
                <w:b/>
                <w:bCs/>
                <w:color w:val="000000"/>
                <w:sz w:val="17"/>
                <w:szCs w:val="17"/>
              </w:rPr>
              <w:t>EARNINGS BEFORE INTERE</w:t>
            </w:r>
            <w:r>
              <w:rPr>
                <w:rFonts w:ascii="Arial" w:eastAsia="宋体" w:hAnsi="Arial" w:cs="Arial"/>
                <w:b/>
                <w:bCs/>
                <w:color w:val="000000"/>
                <w:sz w:val="17"/>
                <w:szCs w:val="17"/>
              </w:rPr>
              <w:t>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667"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668" w14:textId="77777777" w:rsidR="008A3BAC" w:rsidRDefault="005C75B9">
            <w:pPr>
              <w:jc w:val="right"/>
              <w:textAlignment w:val="bottom"/>
            </w:pPr>
            <w:r>
              <w:rPr>
                <w:rFonts w:ascii="Arial" w:eastAsia="宋体" w:hAnsi="Arial" w:cs="Arial"/>
                <w:b/>
                <w:bCs/>
                <w:color w:val="000000"/>
                <w:sz w:val="17"/>
                <w:szCs w:val="17"/>
              </w:rPr>
              <w:t>168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669"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66A"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66B" w14:textId="77777777" w:rsidR="008A3BAC" w:rsidRDefault="005C75B9">
            <w:pPr>
              <w:jc w:val="right"/>
              <w:textAlignment w:val="bottom"/>
            </w:pPr>
            <w:r>
              <w:rPr>
                <w:rFonts w:ascii="Arial" w:eastAsia="宋体" w:hAnsi="Arial" w:cs="Arial"/>
                <w:b/>
                <w:bCs/>
                <w:color w:val="000000"/>
                <w:sz w:val="17"/>
                <w:szCs w:val="17"/>
              </w:rPr>
              <w:t>150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66C"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66D" w14:textId="77777777" w:rsidR="008A3BAC" w:rsidRDefault="005C75B9">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66E"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66F"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670" w14:textId="77777777" w:rsidR="008A3BAC" w:rsidRDefault="008A3BAC">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671"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672" w14:textId="77777777" w:rsidR="008A3BAC" w:rsidRDefault="005C75B9">
            <w:pPr>
              <w:jc w:val="right"/>
              <w:textAlignment w:val="bottom"/>
            </w:pPr>
            <w:r>
              <w:rPr>
                <w:rFonts w:ascii="Arial" w:eastAsia="宋体" w:hAnsi="Arial" w:cs="Arial"/>
                <w:b/>
                <w:bCs/>
                <w:color w:val="000000"/>
                <w:sz w:val="17"/>
                <w:szCs w:val="17"/>
              </w:rPr>
              <w:t>504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673" w14:textId="77777777" w:rsidR="008A3BAC" w:rsidRDefault="008A3BAC">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674"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6E9E675" w14:textId="77777777" w:rsidR="008A3BAC" w:rsidRDefault="005C75B9">
            <w:pPr>
              <w:jc w:val="right"/>
              <w:textAlignment w:val="bottom"/>
            </w:pPr>
            <w:r>
              <w:rPr>
                <w:rFonts w:ascii="Arial" w:eastAsia="宋体" w:hAnsi="Arial" w:cs="Arial"/>
                <w:b/>
                <w:bCs/>
                <w:color w:val="000000"/>
                <w:sz w:val="17"/>
                <w:szCs w:val="17"/>
              </w:rPr>
              <w:t>405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676" w14:textId="77777777" w:rsidR="008A3BAC" w:rsidRDefault="008A3BAC">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6E9E677" w14:textId="77777777" w:rsidR="008A3BAC" w:rsidRDefault="005C75B9">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6E9E678" w14:textId="77777777" w:rsidR="008A3BAC" w:rsidRDefault="005C75B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679" w14:textId="77777777" w:rsidR="008A3BAC" w:rsidRDefault="008A3BAC">
            <w:pPr>
              <w:rPr>
                <w:rFonts w:ascii="宋体"/>
              </w:rPr>
            </w:pPr>
          </w:p>
        </w:tc>
      </w:tr>
    </w:tbl>
    <w:p w14:paraId="26E9E67B" w14:textId="77777777" w:rsidR="008A3BAC" w:rsidRDefault="005C75B9">
      <w:pPr>
        <w:spacing w:before="60" w:after="60"/>
        <w:ind w:hanging="360"/>
      </w:pPr>
      <w:r>
        <w:rPr>
          <w:rFonts w:ascii="Arial" w:eastAsia="宋体" w:hAnsi="Arial" w:cs="Arial"/>
          <w:i/>
          <w:iCs/>
          <w:color w:val="000000"/>
          <w:sz w:val="14"/>
          <w:szCs w:val="14"/>
        </w:rPr>
        <w:t xml:space="preserve">(1)Other revenues consist of territories serviced by third-party licensees who pay </w:t>
      </w:r>
      <w:r>
        <w:rPr>
          <w:rFonts w:ascii="Arial" w:eastAsia="宋体" w:hAnsi="Arial" w:cs="Arial"/>
          <w:i/>
          <w:iCs/>
          <w:color w:val="000000"/>
          <w:sz w:val="14"/>
          <w:szCs w:val="14"/>
        </w:rPr>
        <w:t>royalties to Converse for the use of its registered trademarks and other intellectual property rights. We do not own the Converse trademarks in Japan and accordingly do not earn revenues in Japan.</w:t>
      </w:r>
    </w:p>
    <w:p w14:paraId="26E9E67C" w14:textId="77777777" w:rsidR="008A3BAC" w:rsidRDefault="005C75B9">
      <w:pPr>
        <w:spacing w:before="120"/>
      </w:pPr>
      <w:r>
        <w:rPr>
          <w:rFonts w:ascii="sans-serif" w:eastAsia="sans-serif" w:hAnsi="sans-serif" w:cs="sans-serif"/>
          <w:b/>
          <w:bCs/>
          <w:color w:val="808080"/>
          <w:sz w:val="22"/>
          <w:szCs w:val="22"/>
        </w:rPr>
        <w:t>THIRD QUARTER OF FISCAL 2022 COMPARED TO THIRD QUARTER OF F</w:t>
      </w:r>
      <w:r>
        <w:rPr>
          <w:rFonts w:ascii="sans-serif" w:eastAsia="sans-serif" w:hAnsi="sans-serif" w:cs="sans-serif"/>
          <w:b/>
          <w:bCs/>
          <w:color w:val="808080"/>
          <w:sz w:val="22"/>
          <w:szCs w:val="22"/>
        </w:rPr>
        <w:t>ISCAL 2021</w:t>
      </w:r>
    </w:p>
    <w:p w14:paraId="26E9E67D" w14:textId="77777777" w:rsidR="008A3BAC" w:rsidRDefault="005C75B9">
      <w:pPr>
        <w:spacing w:before="60" w:after="120"/>
      </w:pPr>
      <w:r>
        <w:rPr>
          <w:rFonts w:ascii="Arial" w:eastAsia="宋体" w:hAnsi="Arial" w:cs="Arial"/>
          <w:color w:val="000000"/>
          <w:sz w:val="17"/>
          <w:szCs w:val="17"/>
        </w:rPr>
        <w:t>On a currency-neutral basis, Converse revenues increased 2% for the third quarter of fiscal 2022 as revenue growth in North America and Western Europe was partially offset by declines in Asia. Wholesale revenues decreased 14%, primarily due to o</w:t>
      </w:r>
      <w:r>
        <w:rPr>
          <w:rFonts w:ascii="Arial" w:eastAsia="宋体" w:hAnsi="Arial" w:cs="Arial"/>
          <w:color w:val="000000"/>
          <w:sz w:val="17"/>
          <w:szCs w:val="17"/>
        </w:rPr>
        <w:t>ngoing marketplace dynamics in China and global supply chain constraints, while direct to consumer revenues increased 32%. Combined unit sales within the wholesale and direct to consumer channels decreased 10%, while ASP increased 11%, driven by higher ful</w:t>
      </w:r>
      <w:r>
        <w:rPr>
          <w:rFonts w:ascii="Arial" w:eastAsia="宋体" w:hAnsi="Arial" w:cs="Arial"/>
          <w:color w:val="000000"/>
          <w:sz w:val="17"/>
          <w:szCs w:val="17"/>
        </w:rPr>
        <w:t xml:space="preserve">l price ASP, due to lower discounts and growth in direct to consumer. </w:t>
      </w:r>
    </w:p>
    <w:p w14:paraId="26E9E67E" w14:textId="77777777" w:rsidR="008A3BAC" w:rsidRDefault="005C75B9">
      <w:pPr>
        <w:spacing w:after="120"/>
      </w:pPr>
      <w:r>
        <w:rPr>
          <w:rFonts w:ascii="Arial" w:eastAsia="宋体" w:hAnsi="Arial" w:cs="Arial"/>
          <w:color w:val="000000"/>
          <w:sz w:val="17"/>
          <w:szCs w:val="17"/>
        </w:rPr>
        <w:t>Reported EBIT increased 12%, driven by gross margin expansion, partially offset by higher selling and administrative expense. Gross margin increased approximately 410 basis points as de</w:t>
      </w:r>
      <w:r>
        <w:rPr>
          <w:rFonts w:ascii="Arial" w:eastAsia="宋体" w:hAnsi="Arial" w:cs="Arial"/>
          <w:color w:val="000000"/>
          <w:sz w:val="17"/>
          <w:szCs w:val="17"/>
        </w:rPr>
        <w:t xml:space="preserve">creased promotions and higher margins in direct to consumer, </w:t>
      </w:r>
    </w:p>
    <w:p w14:paraId="26E9E67F" w14:textId="77777777" w:rsidR="008A3BAC" w:rsidRDefault="005C75B9">
      <w:pPr>
        <w:spacing w:before="120" w:after="120"/>
        <w:jc w:val="right"/>
      </w:pPr>
      <w:r>
        <w:rPr>
          <w:rFonts w:ascii="Arial" w:eastAsia="宋体" w:hAnsi="Arial" w:cs="Arial"/>
          <w:color w:val="E87722"/>
          <w:sz w:val="17"/>
          <w:szCs w:val="17"/>
        </w:rPr>
        <w:t>39</w:t>
      </w:r>
    </w:p>
    <w:p w14:paraId="26E9E680" w14:textId="77777777" w:rsidR="008A3BAC" w:rsidRDefault="005C75B9">
      <w:r>
        <w:pict w14:anchorId="26E9E86E">
          <v:rect id="_x0000_i1065" style="width:415.3pt;height:1.5pt" o:hralign="center" o:hrstd="t" o:hr="t" fillcolor="#a0a0a0" stroked="f"/>
        </w:pict>
      </w:r>
    </w:p>
    <w:p w14:paraId="26E9E681" w14:textId="77777777" w:rsidR="008A3BAC" w:rsidRDefault="008A3BAC">
      <w:pPr>
        <w:spacing w:before="120" w:after="120"/>
      </w:pPr>
    </w:p>
    <w:p w14:paraId="26E9E682" w14:textId="77777777" w:rsidR="008A3BAC" w:rsidRDefault="005C75B9">
      <w:pPr>
        <w:spacing w:after="120"/>
      </w:pPr>
      <w:r>
        <w:rPr>
          <w:rFonts w:ascii="Arial" w:eastAsia="宋体" w:hAnsi="Arial" w:cs="Arial"/>
          <w:color w:val="000000"/>
          <w:sz w:val="17"/>
          <w:szCs w:val="17"/>
        </w:rPr>
        <w:t>favorable changes in standard foreign currency exchange rates, and higher ASP net of discounts were partially offset by higher product costs due to increased freight and logistics costs. S</w:t>
      </w:r>
      <w:r>
        <w:rPr>
          <w:rFonts w:ascii="Arial" w:eastAsia="宋体" w:hAnsi="Arial" w:cs="Arial"/>
          <w:color w:val="000000"/>
          <w:sz w:val="17"/>
          <w:szCs w:val="17"/>
        </w:rPr>
        <w:t>elling and administrative expense increased due to higher operating overhead expense as a result of an increase in professional services costs. Demand creation expense was relatively flat compared to the prior year.</w:t>
      </w:r>
    </w:p>
    <w:p w14:paraId="26E9E683" w14:textId="77777777" w:rsidR="008A3BAC" w:rsidRDefault="005C75B9">
      <w:pPr>
        <w:spacing w:before="120"/>
      </w:pPr>
      <w:r>
        <w:rPr>
          <w:rFonts w:ascii="sans-serif" w:eastAsia="sans-serif" w:hAnsi="sans-serif" w:cs="sans-serif"/>
          <w:b/>
          <w:bCs/>
          <w:color w:val="808080"/>
          <w:sz w:val="22"/>
          <w:szCs w:val="22"/>
        </w:rPr>
        <w:t xml:space="preserve">FIRST NINE MONTHS OF FISCAL 2022 </w:t>
      </w:r>
      <w:r>
        <w:rPr>
          <w:rFonts w:ascii="sans-serif" w:eastAsia="sans-serif" w:hAnsi="sans-serif" w:cs="sans-serif"/>
          <w:b/>
          <w:bCs/>
          <w:color w:val="808080"/>
          <w:sz w:val="22"/>
          <w:szCs w:val="22"/>
        </w:rPr>
        <w:t>COMPARED TO FIRST NINE MONTHS OF FISCAL 2021</w:t>
      </w:r>
    </w:p>
    <w:p w14:paraId="26E9E684" w14:textId="77777777" w:rsidR="008A3BAC" w:rsidRDefault="005C75B9">
      <w:pPr>
        <w:spacing w:before="60" w:after="120"/>
      </w:pPr>
      <w:r>
        <w:rPr>
          <w:rFonts w:ascii="Arial" w:eastAsia="宋体" w:hAnsi="Arial" w:cs="Arial"/>
          <w:color w:val="000000"/>
          <w:sz w:val="17"/>
          <w:szCs w:val="17"/>
        </w:rPr>
        <w:t>On a currency-neutral basis, Converse revenues increased 8% for the first nine months of fiscal 2022 as revenue growth in North America, Western Europe and licensee markets more than offset declines in Asia. Who</w:t>
      </w:r>
      <w:r>
        <w:rPr>
          <w:rFonts w:ascii="Arial" w:eastAsia="宋体" w:hAnsi="Arial" w:cs="Arial"/>
          <w:color w:val="000000"/>
          <w:sz w:val="17"/>
          <w:szCs w:val="17"/>
        </w:rPr>
        <w:t>lesale revenues decreased 3%, primarily due to ongoing marketplace dynamics in China and global supply chain constraints, while direct to consumer revenues increased 25%. Combined unit sales within the wholesale and direct to consumer channels decreased 5%</w:t>
      </w:r>
      <w:r>
        <w:rPr>
          <w:rFonts w:ascii="Arial" w:eastAsia="宋体" w:hAnsi="Arial" w:cs="Arial"/>
          <w:color w:val="000000"/>
          <w:sz w:val="17"/>
          <w:szCs w:val="17"/>
        </w:rPr>
        <w:t>, while ASP increased 11%, driven by higher full price ASP, due to lower discounts and growth in direct to consumer.</w:t>
      </w:r>
    </w:p>
    <w:p w14:paraId="26E9E685" w14:textId="77777777" w:rsidR="008A3BAC" w:rsidRDefault="005C75B9">
      <w:pPr>
        <w:spacing w:before="120"/>
      </w:pPr>
      <w:r>
        <w:rPr>
          <w:rFonts w:ascii="Arial" w:eastAsia="宋体" w:hAnsi="Arial" w:cs="Arial"/>
          <w:color w:val="000000"/>
          <w:sz w:val="17"/>
          <w:szCs w:val="17"/>
        </w:rPr>
        <w:t>Reported EBIT increased 24%, driven by higher revenues and gross margin expansion, partially offset by higher selling and administrative ex</w:t>
      </w:r>
      <w:r>
        <w:rPr>
          <w:rFonts w:ascii="Arial" w:eastAsia="宋体" w:hAnsi="Arial" w:cs="Arial"/>
          <w:color w:val="000000"/>
          <w:sz w:val="17"/>
          <w:szCs w:val="17"/>
        </w:rPr>
        <w:t>pense. Gross margin increased approximately 330 basis points as higher margins in direct to consumer, favorable changes in standard foreign currency exchange rates, growth in licensee revenues, and higher ASP were slightly offset by higher product costs du</w:t>
      </w:r>
      <w:r>
        <w:rPr>
          <w:rFonts w:ascii="Arial" w:eastAsia="宋体" w:hAnsi="Arial" w:cs="Arial"/>
          <w:color w:val="000000"/>
          <w:sz w:val="17"/>
          <w:szCs w:val="17"/>
        </w:rPr>
        <w:t>e to increased freight, duty and logistics costs. Selling and administrative expense increased due to higher operating overhead and demand creation expense. Operating overhead expense increased primarily due to an increase in professional services costs, w</w:t>
      </w:r>
      <w:r>
        <w:rPr>
          <w:rFonts w:ascii="Arial" w:eastAsia="宋体" w:hAnsi="Arial" w:cs="Arial"/>
          <w:color w:val="000000"/>
          <w:sz w:val="17"/>
          <w:szCs w:val="17"/>
        </w:rPr>
        <w:t>hile demand creation expense increased primarily due to higher advertising and marketing expense.</w:t>
      </w:r>
    </w:p>
    <w:p w14:paraId="26E9E686" w14:textId="77777777" w:rsidR="008A3BAC" w:rsidRDefault="005C75B9">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26E9E687" w14:textId="77777777" w:rsidR="008A3BAC" w:rsidRDefault="005C75B9">
      <w:r>
        <w:pict w14:anchorId="26E9E86F">
          <v:rect id="_x0000_i1066" style="width:415.3pt;height:1.5pt" o:hralign="center" o:hrstd="t" o:hr="t" fillcolor="#a0a0a0" stroked="f"/>
        </w:pict>
      </w:r>
    </w:p>
    <w:p w14:paraId="26E9E688" w14:textId="77777777" w:rsidR="008A3BAC" w:rsidRDefault="008A3BAC"/>
    <w:p w14:paraId="26E9E689" w14:textId="77777777" w:rsidR="008A3BAC" w:rsidRDefault="005C75B9">
      <w:hyperlink r:id="rId110" w:anchor="i46aba51c6a804f42b3595948c57d2023_7" w:history="1">
        <w:r>
          <w:rPr>
            <w:rStyle w:val="a5"/>
            <w:rFonts w:ascii="sans-serif" w:eastAsia="sans-serif" w:hAnsi="sans-serif" w:cs="sans-serif"/>
            <w:sz w:val="17"/>
            <w:szCs w:val="17"/>
          </w:rPr>
          <w:t>Ta</w:t>
        </w:r>
        <w:r>
          <w:rPr>
            <w:rStyle w:val="a5"/>
            <w:rFonts w:ascii="sans-serif" w:eastAsia="sans-serif" w:hAnsi="sans-serif" w:cs="sans-serif"/>
            <w:sz w:val="17"/>
            <w:szCs w:val="17"/>
          </w:rPr>
          <w:t>ble of Contents</w:t>
        </w:r>
      </w:hyperlink>
    </w:p>
    <w:p w14:paraId="26E9E68A" w14:textId="77777777" w:rsidR="008A3BAC" w:rsidRDefault="008A3BAC"/>
    <w:p w14:paraId="26E9E68B" w14:textId="77777777" w:rsidR="008A3BAC" w:rsidRDefault="005C75B9">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346"/>
        <w:gridCol w:w="37"/>
        <w:gridCol w:w="115"/>
        <w:gridCol w:w="590"/>
        <w:gridCol w:w="36"/>
        <w:gridCol w:w="115"/>
        <w:gridCol w:w="590"/>
        <w:gridCol w:w="36"/>
        <w:gridCol w:w="70"/>
        <w:gridCol w:w="568"/>
        <w:gridCol w:w="172"/>
        <w:gridCol w:w="36"/>
        <w:gridCol w:w="36"/>
        <w:gridCol w:w="36"/>
        <w:gridCol w:w="115"/>
        <w:gridCol w:w="539"/>
        <w:gridCol w:w="36"/>
        <w:gridCol w:w="115"/>
        <w:gridCol w:w="576"/>
        <w:gridCol w:w="36"/>
        <w:gridCol w:w="70"/>
        <w:gridCol w:w="568"/>
        <w:gridCol w:w="172"/>
        <w:gridCol w:w="36"/>
        <w:gridCol w:w="36"/>
        <w:gridCol w:w="36"/>
        <w:gridCol w:w="36"/>
        <w:gridCol w:w="36"/>
        <w:gridCol w:w="36"/>
        <w:gridCol w:w="36"/>
        <w:gridCol w:w="36"/>
      </w:tblGrid>
      <w:tr w:rsidR="008A3BAC" w14:paraId="26E9E6A8" w14:textId="77777777">
        <w:tc>
          <w:tcPr>
            <w:tcW w:w="50" w:type="pct"/>
            <w:shd w:val="clear" w:color="auto" w:fill="auto"/>
            <w:vAlign w:val="bottom"/>
          </w:tcPr>
          <w:p w14:paraId="26E9E68C" w14:textId="77777777" w:rsidR="008A3BAC" w:rsidRDefault="008A3BAC">
            <w:pPr>
              <w:rPr>
                <w:rFonts w:ascii="宋体"/>
              </w:rPr>
            </w:pPr>
          </w:p>
        </w:tc>
        <w:tc>
          <w:tcPr>
            <w:tcW w:w="2128" w:type="pct"/>
            <w:shd w:val="clear" w:color="auto" w:fill="auto"/>
            <w:vAlign w:val="bottom"/>
          </w:tcPr>
          <w:p w14:paraId="26E9E68D" w14:textId="77777777" w:rsidR="008A3BAC" w:rsidRDefault="008A3BAC">
            <w:pPr>
              <w:rPr>
                <w:rFonts w:ascii="宋体"/>
              </w:rPr>
            </w:pPr>
          </w:p>
        </w:tc>
        <w:tc>
          <w:tcPr>
            <w:tcW w:w="5" w:type="pct"/>
            <w:shd w:val="clear" w:color="auto" w:fill="auto"/>
            <w:vAlign w:val="bottom"/>
          </w:tcPr>
          <w:p w14:paraId="26E9E68E" w14:textId="77777777" w:rsidR="008A3BAC" w:rsidRDefault="008A3BAC">
            <w:pPr>
              <w:rPr>
                <w:rFonts w:ascii="宋体"/>
              </w:rPr>
            </w:pPr>
          </w:p>
        </w:tc>
        <w:tc>
          <w:tcPr>
            <w:tcW w:w="50" w:type="pct"/>
            <w:shd w:val="clear" w:color="auto" w:fill="auto"/>
            <w:vAlign w:val="bottom"/>
          </w:tcPr>
          <w:p w14:paraId="26E9E68F" w14:textId="77777777" w:rsidR="008A3BAC" w:rsidRDefault="008A3BAC">
            <w:pPr>
              <w:rPr>
                <w:rFonts w:ascii="宋体"/>
              </w:rPr>
            </w:pPr>
          </w:p>
        </w:tc>
        <w:tc>
          <w:tcPr>
            <w:tcW w:w="407" w:type="pct"/>
            <w:shd w:val="clear" w:color="auto" w:fill="auto"/>
            <w:vAlign w:val="bottom"/>
          </w:tcPr>
          <w:p w14:paraId="26E9E690" w14:textId="77777777" w:rsidR="008A3BAC" w:rsidRDefault="008A3BAC">
            <w:pPr>
              <w:rPr>
                <w:rFonts w:ascii="宋体"/>
              </w:rPr>
            </w:pPr>
          </w:p>
        </w:tc>
        <w:tc>
          <w:tcPr>
            <w:tcW w:w="5" w:type="pct"/>
            <w:shd w:val="clear" w:color="auto" w:fill="auto"/>
            <w:vAlign w:val="bottom"/>
          </w:tcPr>
          <w:p w14:paraId="26E9E691" w14:textId="77777777" w:rsidR="008A3BAC" w:rsidRDefault="008A3BAC">
            <w:pPr>
              <w:rPr>
                <w:rFonts w:ascii="宋体"/>
              </w:rPr>
            </w:pPr>
          </w:p>
        </w:tc>
        <w:tc>
          <w:tcPr>
            <w:tcW w:w="50" w:type="pct"/>
            <w:shd w:val="clear" w:color="auto" w:fill="auto"/>
            <w:vAlign w:val="bottom"/>
          </w:tcPr>
          <w:p w14:paraId="26E9E692" w14:textId="77777777" w:rsidR="008A3BAC" w:rsidRDefault="008A3BAC">
            <w:pPr>
              <w:rPr>
                <w:rFonts w:ascii="宋体"/>
              </w:rPr>
            </w:pPr>
          </w:p>
        </w:tc>
        <w:tc>
          <w:tcPr>
            <w:tcW w:w="407" w:type="pct"/>
            <w:shd w:val="clear" w:color="auto" w:fill="auto"/>
            <w:vAlign w:val="bottom"/>
          </w:tcPr>
          <w:p w14:paraId="26E9E693" w14:textId="77777777" w:rsidR="008A3BAC" w:rsidRDefault="008A3BAC">
            <w:pPr>
              <w:rPr>
                <w:rFonts w:ascii="宋体"/>
              </w:rPr>
            </w:pPr>
          </w:p>
        </w:tc>
        <w:tc>
          <w:tcPr>
            <w:tcW w:w="5" w:type="pct"/>
            <w:shd w:val="clear" w:color="auto" w:fill="auto"/>
            <w:vAlign w:val="bottom"/>
          </w:tcPr>
          <w:p w14:paraId="26E9E694" w14:textId="77777777" w:rsidR="008A3BAC" w:rsidRDefault="008A3BAC">
            <w:pPr>
              <w:rPr>
                <w:rFonts w:ascii="宋体"/>
              </w:rPr>
            </w:pPr>
          </w:p>
        </w:tc>
        <w:tc>
          <w:tcPr>
            <w:tcW w:w="50" w:type="pct"/>
            <w:shd w:val="clear" w:color="auto" w:fill="auto"/>
            <w:vAlign w:val="bottom"/>
          </w:tcPr>
          <w:p w14:paraId="26E9E695" w14:textId="77777777" w:rsidR="008A3BAC" w:rsidRDefault="008A3BAC">
            <w:pPr>
              <w:rPr>
                <w:rFonts w:ascii="宋体"/>
              </w:rPr>
            </w:pPr>
          </w:p>
        </w:tc>
        <w:tc>
          <w:tcPr>
            <w:tcW w:w="407" w:type="pct"/>
            <w:shd w:val="clear" w:color="auto" w:fill="auto"/>
            <w:vAlign w:val="bottom"/>
          </w:tcPr>
          <w:p w14:paraId="26E9E696" w14:textId="77777777" w:rsidR="008A3BAC" w:rsidRDefault="008A3BAC">
            <w:pPr>
              <w:rPr>
                <w:rFonts w:ascii="宋体"/>
              </w:rPr>
            </w:pPr>
          </w:p>
        </w:tc>
        <w:tc>
          <w:tcPr>
            <w:tcW w:w="5" w:type="pct"/>
            <w:shd w:val="clear" w:color="auto" w:fill="auto"/>
            <w:vAlign w:val="bottom"/>
          </w:tcPr>
          <w:p w14:paraId="26E9E697" w14:textId="77777777" w:rsidR="008A3BAC" w:rsidRDefault="008A3BAC">
            <w:pPr>
              <w:rPr>
                <w:rFonts w:ascii="宋体"/>
              </w:rPr>
            </w:pPr>
          </w:p>
        </w:tc>
        <w:tc>
          <w:tcPr>
            <w:tcW w:w="5" w:type="pct"/>
            <w:shd w:val="clear" w:color="auto" w:fill="auto"/>
            <w:vAlign w:val="bottom"/>
          </w:tcPr>
          <w:p w14:paraId="26E9E698" w14:textId="77777777" w:rsidR="008A3BAC" w:rsidRDefault="008A3BAC">
            <w:pPr>
              <w:rPr>
                <w:rFonts w:ascii="宋体"/>
              </w:rPr>
            </w:pPr>
          </w:p>
        </w:tc>
        <w:tc>
          <w:tcPr>
            <w:tcW w:w="28" w:type="pct"/>
            <w:shd w:val="clear" w:color="auto" w:fill="auto"/>
            <w:vAlign w:val="bottom"/>
          </w:tcPr>
          <w:p w14:paraId="26E9E699" w14:textId="77777777" w:rsidR="008A3BAC" w:rsidRDefault="008A3BAC">
            <w:pPr>
              <w:rPr>
                <w:rFonts w:ascii="宋体"/>
              </w:rPr>
            </w:pPr>
          </w:p>
        </w:tc>
        <w:tc>
          <w:tcPr>
            <w:tcW w:w="5" w:type="pct"/>
            <w:shd w:val="clear" w:color="auto" w:fill="auto"/>
            <w:vAlign w:val="bottom"/>
          </w:tcPr>
          <w:p w14:paraId="26E9E69A" w14:textId="77777777" w:rsidR="008A3BAC" w:rsidRDefault="008A3BAC">
            <w:pPr>
              <w:rPr>
                <w:rFonts w:ascii="宋体"/>
              </w:rPr>
            </w:pPr>
          </w:p>
        </w:tc>
        <w:tc>
          <w:tcPr>
            <w:tcW w:w="50" w:type="pct"/>
            <w:shd w:val="clear" w:color="auto" w:fill="auto"/>
            <w:vAlign w:val="bottom"/>
          </w:tcPr>
          <w:p w14:paraId="26E9E69B" w14:textId="77777777" w:rsidR="008A3BAC" w:rsidRDefault="008A3BAC">
            <w:pPr>
              <w:rPr>
                <w:rFonts w:ascii="宋体"/>
              </w:rPr>
            </w:pPr>
          </w:p>
        </w:tc>
        <w:tc>
          <w:tcPr>
            <w:tcW w:w="407" w:type="pct"/>
            <w:shd w:val="clear" w:color="auto" w:fill="auto"/>
            <w:vAlign w:val="bottom"/>
          </w:tcPr>
          <w:p w14:paraId="26E9E69C" w14:textId="77777777" w:rsidR="008A3BAC" w:rsidRDefault="008A3BAC">
            <w:pPr>
              <w:rPr>
                <w:rFonts w:ascii="宋体"/>
              </w:rPr>
            </w:pPr>
          </w:p>
        </w:tc>
        <w:tc>
          <w:tcPr>
            <w:tcW w:w="5" w:type="pct"/>
            <w:shd w:val="clear" w:color="auto" w:fill="auto"/>
            <w:vAlign w:val="bottom"/>
          </w:tcPr>
          <w:p w14:paraId="26E9E69D" w14:textId="77777777" w:rsidR="008A3BAC" w:rsidRDefault="008A3BAC">
            <w:pPr>
              <w:rPr>
                <w:rFonts w:ascii="宋体"/>
              </w:rPr>
            </w:pPr>
          </w:p>
        </w:tc>
        <w:tc>
          <w:tcPr>
            <w:tcW w:w="50" w:type="pct"/>
            <w:shd w:val="clear" w:color="auto" w:fill="auto"/>
            <w:vAlign w:val="bottom"/>
          </w:tcPr>
          <w:p w14:paraId="26E9E69E" w14:textId="77777777" w:rsidR="008A3BAC" w:rsidRDefault="008A3BAC">
            <w:pPr>
              <w:rPr>
                <w:rFonts w:ascii="宋体"/>
              </w:rPr>
            </w:pPr>
          </w:p>
        </w:tc>
        <w:tc>
          <w:tcPr>
            <w:tcW w:w="407" w:type="pct"/>
            <w:shd w:val="clear" w:color="auto" w:fill="auto"/>
            <w:vAlign w:val="bottom"/>
          </w:tcPr>
          <w:p w14:paraId="26E9E69F" w14:textId="77777777" w:rsidR="008A3BAC" w:rsidRDefault="008A3BAC">
            <w:pPr>
              <w:rPr>
                <w:rFonts w:ascii="宋体"/>
              </w:rPr>
            </w:pPr>
          </w:p>
        </w:tc>
        <w:tc>
          <w:tcPr>
            <w:tcW w:w="5" w:type="pct"/>
            <w:shd w:val="clear" w:color="auto" w:fill="auto"/>
            <w:vAlign w:val="bottom"/>
          </w:tcPr>
          <w:p w14:paraId="26E9E6A0" w14:textId="77777777" w:rsidR="008A3BAC" w:rsidRDefault="008A3BAC">
            <w:pPr>
              <w:rPr>
                <w:rFonts w:ascii="宋体"/>
              </w:rPr>
            </w:pPr>
          </w:p>
        </w:tc>
        <w:tc>
          <w:tcPr>
            <w:tcW w:w="50" w:type="pct"/>
            <w:shd w:val="clear" w:color="auto" w:fill="auto"/>
            <w:vAlign w:val="bottom"/>
          </w:tcPr>
          <w:p w14:paraId="26E9E6A1" w14:textId="77777777" w:rsidR="008A3BAC" w:rsidRDefault="008A3BAC">
            <w:pPr>
              <w:rPr>
                <w:rFonts w:ascii="宋体"/>
              </w:rPr>
            </w:pPr>
          </w:p>
        </w:tc>
        <w:tc>
          <w:tcPr>
            <w:tcW w:w="408" w:type="pct"/>
            <w:shd w:val="clear" w:color="auto" w:fill="auto"/>
            <w:vAlign w:val="bottom"/>
          </w:tcPr>
          <w:p w14:paraId="26E9E6A2" w14:textId="77777777" w:rsidR="008A3BAC" w:rsidRDefault="008A3BAC">
            <w:pPr>
              <w:rPr>
                <w:rFonts w:ascii="宋体"/>
              </w:rPr>
            </w:pPr>
          </w:p>
        </w:tc>
        <w:tc>
          <w:tcPr>
            <w:tcW w:w="5" w:type="pct"/>
            <w:shd w:val="clear" w:color="auto" w:fill="auto"/>
            <w:vAlign w:val="bottom"/>
          </w:tcPr>
          <w:p w14:paraId="26E9E6A3" w14:textId="77777777" w:rsidR="008A3BAC" w:rsidRDefault="008A3BAC">
            <w:pPr>
              <w:rPr>
                <w:rFonts w:ascii="宋体"/>
              </w:rPr>
            </w:pPr>
          </w:p>
        </w:tc>
        <w:tc>
          <w:tcPr>
            <w:tcW w:w="0" w:type="auto"/>
            <w:shd w:val="clear" w:color="auto" w:fill="auto"/>
            <w:vAlign w:val="bottom"/>
          </w:tcPr>
          <w:p w14:paraId="26E9E6A4" w14:textId="77777777" w:rsidR="008A3BAC" w:rsidRDefault="008A3BAC">
            <w:pPr>
              <w:rPr>
                <w:rFonts w:ascii="宋体"/>
                <w:vanish/>
              </w:rPr>
            </w:pPr>
          </w:p>
        </w:tc>
        <w:tc>
          <w:tcPr>
            <w:tcW w:w="0" w:type="auto"/>
            <w:shd w:val="clear" w:color="auto" w:fill="auto"/>
            <w:vAlign w:val="bottom"/>
          </w:tcPr>
          <w:p w14:paraId="26E9E6A5" w14:textId="77777777" w:rsidR="008A3BAC" w:rsidRDefault="008A3BAC">
            <w:pPr>
              <w:rPr>
                <w:rFonts w:ascii="宋体"/>
                <w:vanish/>
              </w:rPr>
            </w:pPr>
          </w:p>
        </w:tc>
        <w:tc>
          <w:tcPr>
            <w:tcW w:w="0" w:type="auto"/>
            <w:gridSpan w:val="3"/>
            <w:shd w:val="clear" w:color="auto" w:fill="auto"/>
            <w:vAlign w:val="bottom"/>
          </w:tcPr>
          <w:p w14:paraId="26E9E6A6" w14:textId="77777777" w:rsidR="008A3BAC" w:rsidRDefault="008A3BAC">
            <w:pPr>
              <w:rPr>
                <w:rFonts w:ascii="宋体"/>
                <w:vanish/>
              </w:rPr>
            </w:pPr>
          </w:p>
        </w:tc>
        <w:tc>
          <w:tcPr>
            <w:tcW w:w="0" w:type="auto"/>
            <w:gridSpan w:val="3"/>
            <w:shd w:val="clear" w:color="auto" w:fill="auto"/>
            <w:vAlign w:val="bottom"/>
          </w:tcPr>
          <w:p w14:paraId="26E9E6A7" w14:textId="77777777" w:rsidR="008A3BAC" w:rsidRDefault="008A3BAC">
            <w:pPr>
              <w:rPr>
                <w:rFonts w:ascii="宋体"/>
                <w:vanish/>
              </w:rPr>
            </w:pPr>
          </w:p>
        </w:tc>
      </w:tr>
      <w:tr w:rsidR="008A3BAC" w14:paraId="26E9E6B5" w14:textId="77777777">
        <w:tc>
          <w:tcPr>
            <w:tcW w:w="0" w:type="auto"/>
            <w:gridSpan w:val="3"/>
            <w:shd w:val="clear" w:color="auto" w:fill="auto"/>
            <w:tcMar>
              <w:top w:w="0" w:type="dxa"/>
              <w:left w:w="20" w:type="dxa"/>
              <w:bottom w:w="0" w:type="dxa"/>
              <w:right w:w="20" w:type="dxa"/>
            </w:tcMar>
            <w:vAlign w:val="bottom"/>
          </w:tcPr>
          <w:p w14:paraId="26E9E6A9"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E6AA" w14:textId="77777777" w:rsidR="008A3BAC" w:rsidRDefault="005C75B9">
            <w:pPr>
              <w:jc w:val="center"/>
              <w:textAlignment w:val="bottom"/>
            </w:pPr>
            <w:r>
              <w:rPr>
                <w:rFonts w:ascii="sans-serif" w:eastAsia="sans-serif" w:hAnsi="sans-serif" w:cs="sans-serif"/>
                <w:b/>
                <w:bCs/>
                <w:color w:val="000000"/>
                <w:sz w:val="17"/>
                <w:szCs w:val="17"/>
              </w:rPr>
              <w:t>THREE MONTHS ENDED FEBRUARY 28,</w:t>
            </w:r>
          </w:p>
        </w:tc>
        <w:tc>
          <w:tcPr>
            <w:tcW w:w="0" w:type="auto"/>
            <w:gridSpan w:val="3"/>
            <w:shd w:val="clear" w:color="auto" w:fill="auto"/>
            <w:tcMar>
              <w:top w:w="0" w:type="dxa"/>
              <w:left w:w="20" w:type="dxa"/>
              <w:bottom w:w="0" w:type="dxa"/>
              <w:right w:w="20" w:type="dxa"/>
            </w:tcMar>
            <w:vAlign w:val="bottom"/>
          </w:tcPr>
          <w:p w14:paraId="26E9E6AB" w14:textId="77777777" w:rsidR="008A3BAC" w:rsidRDefault="008A3BAC">
            <w:pPr>
              <w:rPr>
                <w:rFonts w:ascii="宋体"/>
              </w:rPr>
            </w:pPr>
          </w:p>
        </w:tc>
        <w:tc>
          <w:tcPr>
            <w:tcW w:w="0" w:type="auto"/>
            <w:gridSpan w:val="9"/>
            <w:shd w:val="clear" w:color="auto" w:fill="auto"/>
            <w:tcMar>
              <w:top w:w="40" w:type="dxa"/>
              <w:left w:w="20" w:type="dxa"/>
              <w:bottom w:w="40" w:type="dxa"/>
              <w:right w:w="20" w:type="dxa"/>
            </w:tcMar>
            <w:vAlign w:val="bottom"/>
          </w:tcPr>
          <w:p w14:paraId="26E9E6AC" w14:textId="77777777" w:rsidR="008A3BAC" w:rsidRDefault="005C75B9">
            <w:pPr>
              <w:jc w:val="center"/>
              <w:textAlignment w:val="bottom"/>
            </w:pPr>
            <w:r>
              <w:rPr>
                <w:rFonts w:ascii="sans-serif" w:eastAsia="sans-serif" w:hAnsi="sans-serif" w:cs="sans-serif"/>
                <w:b/>
                <w:bCs/>
                <w:color w:val="000000"/>
                <w:sz w:val="17"/>
                <w:szCs w:val="17"/>
              </w:rPr>
              <w:t>NINE MONTHS ENDED FEBRUARY 28,</w:t>
            </w:r>
          </w:p>
        </w:tc>
        <w:tc>
          <w:tcPr>
            <w:tcW w:w="0" w:type="auto"/>
            <w:shd w:val="clear" w:color="auto" w:fill="auto"/>
            <w:vAlign w:val="bottom"/>
          </w:tcPr>
          <w:p w14:paraId="26E9E6AD" w14:textId="77777777" w:rsidR="008A3BAC" w:rsidRDefault="008A3BAC">
            <w:pPr>
              <w:rPr>
                <w:rFonts w:ascii="宋体"/>
                <w:vanish/>
              </w:rPr>
            </w:pPr>
          </w:p>
        </w:tc>
        <w:tc>
          <w:tcPr>
            <w:tcW w:w="0" w:type="auto"/>
            <w:shd w:val="clear" w:color="auto" w:fill="auto"/>
            <w:vAlign w:val="bottom"/>
          </w:tcPr>
          <w:p w14:paraId="26E9E6AE" w14:textId="77777777" w:rsidR="008A3BAC" w:rsidRDefault="008A3BAC">
            <w:pPr>
              <w:rPr>
                <w:rFonts w:ascii="宋体"/>
                <w:vanish/>
              </w:rPr>
            </w:pPr>
          </w:p>
        </w:tc>
        <w:tc>
          <w:tcPr>
            <w:tcW w:w="0" w:type="auto"/>
            <w:shd w:val="clear" w:color="auto" w:fill="auto"/>
            <w:vAlign w:val="bottom"/>
          </w:tcPr>
          <w:p w14:paraId="26E9E6AF" w14:textId="77777777" w:rsidR="008A3BAC" w:rsidRDefault="008A3BAC">
            <w:pPr>
              <w:rPr>
                <w:rFonts w:ascii="宋体"/>
              </w:rPr>
            </w:pPr>
          </w:p>
        </w:tc>
        <w:tc>
          <w:tcPr>
            <w:tcW w:w="0" w:type="auto"/>
            <w:shd w:val="clear" w:color="auto" w:fill="auto"/>
            <w:vAlign w:val="bottom"/>
          </w:tcPr>
          <w:p w14:paraId="26E9E6B0" w14:textId="77777777" w:rsidR="008A3BAC" w:rsidRDefault="008A3BAC">
            <w:pPr>
              <w:rPr>
                <w:rFonts w:ascii="宋体"/>
              </w:rPr>
            </w:pPr>
          </w:p>
        </w:tc>
        <w:tc>
          <w:tcPr>
            <w:tcW w:w="0" w:type="auto"/>
            <w:shd w:val="clear" w:color="auto" w:fill="auto"/>
            <w:vAlign w:val="bottom"/>
          </w:tcPr>
          <w:p w14:paraId="26E9E6B1" w14:textId="77777777" w:rsidR="008A3BAC" w:rsidRDefault="008A3BAC">
            <w:pPr>
              <w:rPr>
                <w:rFonts w:ascii="宋体"/>
              </w:rPr>
            </w:pPr>
          </w:p>
        </w:tc>
        <w:tc>
          <w:tcPr>
            <w:tcW w:w="0" w:type="auto"/>
            <w:shd w:val="clear" w:color="auto" w:fill="auto"/>
            <w:vAlign w:val="bottom"/>
          </w:tcPr>
          <w:p w14:paraId="26E9E6B2" w14:textId="77777777" w:rsidR="008A3BAC" w:rsidRDefault="008A3BAC">
            <w:pPr>
              <w:rPr>
                <w:rFonts w:ascii="宋体"/>
              </w:rPr>
            </w:pPr>
          </w:p>
        </w:tc>
        <w:tc>
          <w:tcPr>
            <w:tcW w:w="0" w:type="auto"/>
            <w:shd w:val="clear" w:color="auto" w:fill="auto"/>
            <w:vAlign w:val="bottom"/>
          </w:tcPr>
          <w:p w14:paraId="26E9E6B3" w14:textId="77777777" w:rsidR="008A3BAC" w:rsidRDefault="008A3BAC">
            <w:pPr>
              <w:rPr>
                <w:rFonts w:ascii="宋体"/>
              </w:rPr>
            </w:pPr>
          </w:p>
        </w:tc>
        <w:tc>
          <w:tcPr>
            <w:tcW w:w="0" w:type="auto"/>
            <w:shd w:val="clear" w:color="auto" w:fill="auto"/>
            <w:vAlign w:val="bottom"/>
          </w:tcPr>
          <w:p w14:paraId="26E9E6B4" w14:textId="77777777" w:rsidR="008A3BAC" w:rsidRDefault="008A3BAC">
            <w:pPr>
              <w:rPr>
                <w:rFonts w:ascii="宋体"/>
              </w:rPr>
            </w:pPr>
          </w:p>
        </w:tc>
      </w:tr>
      <w:tr w:rsidR="008A3BAC" w14:paraId="26E9E6C2" w14:textId="77777777">
        <w:tc>
          <w:tcPr>
            <w:tcW w:w="0" w:type="auto"/>
            <w:gridSpan w:val="3"/>
            <w:shd w:val="clear" w:color="auto" w:fill="auto"/>
            <w:tcMar>
              <w:top w:w="40" w:type="dxa"/>
              <w:left w:w="20" w:type="dxa"/>
              <w:bottom w:w="40" w:type="dxa"/>
              <w:right w:w="20" w:type="dxa"/>
            </w:tcMar>
            <w:vAlign w:val="bottom"/>
          </w:tcPr>
          <w:p w14:paraId="26E9E6B6" w14:textId="77777777" w:rsidR="008A3BAC" w:rsidRDefault="005C75B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7"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8"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9"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6E9E6BA" w14:textId="77777777" w:rsidR="008A3BAC" w:rsidRDefault="008A3BAC">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B" w14:textId="77777777" w:rsidR="008A3BAC" w:rsidRDefault="005C75B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C" w14:textId="77777777" w:rsidR="008A3BAC" w:rsidRDefault="005C75B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BD" w14:textId="77777777" w:rsidR="008A3BAC" w:rsidRDefault="005C75B9">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6E9E6BE" w14:textId="77777777" w:rsidR="008A3BAC" w:rsidRDefault="008A3BAC">
            <w:pPr>
              <w:rPr>
                <w:rFonts w:ascii="宋体"/>
                <w:vanish/>
              </w:rPr>
            </w:pPr>
          </w:p>
        </w:tc>
        <w:tc>
          <w:tcPr>
            <w:tcW w:w="0" w:type="auto"/>
            <w:shd w:val="clear" w:color="auto" w:fill="auto"/>
            <w:vAlign w:val="bottom"/>
          </w:tcPr>
          <w:p w14:paraId="26E9E6BF" w14:textId="77777777" w:rsidR="008A3BAC" w:rsidRDefault="008A3BAC">
            <w:pPr>
              <w:rPr>
                <w:rFonts w:ascii="宋体"/>
                <w:vanish/>
              </w:rPr>
            </w:pPr>
          </w:p>
        </w:tc>
        <w:tc>
          <w:tcPr>
            <w:tcW w:w="0" w:type="auto"/>
            <w:gridSpan w:val="3"/>
            <w:shd w:val="clear" w:color="auto" w:fill="auto"/>
            <w:vAlign w:val="bottom"/>
          </w:tcPr>
          <w:p w14:paraId="26E9E6C0" w14:textId="77777777" w:rsidR="008A3BAC" w:rsidRDefault="008A3BAC">
            <w:pPr>
              <w:rPr>
                <w:rFonts w:ascii="宋体"/>
                <w:vanish/>
              </w:rPr>
            </w:pPr>
          </w:p>
        </w:tc>
        <w:tc>
          <w:tcPr>
            <w:tcW w:w="0" w:type="auto"/>
            <w:gridSpan w:val="3"/>
            <w:shd w:val="clear" w:color="auto" w:fill="auto"/>
            <w:vAlign w:val="bottom"/>
          </w:tcPr>
          <w:p w14:paraId="26E9E6C1" w14:textId="77777777" w:rsidR="008A3BAC" w:rsidRDefault="008A3BAC">
            <w:pPr>
              <w:rPr>
                <w:rFonts w:ascii="宋体"/>
                <w:vanish/>
              </w:rPr>
            </w:pPr>
          </w:p>
        </w:tc>
      </w:tr>
      <w:tr w:rsidR="008A3BAC" w14:paraId="26E9E6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6C3" w14:textId="77777777" w:rsidR="008A3BAC" w:rsidRDefault="005C75B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6C4"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6C5" w14:textId="77777777" w:rsidR="008A3BAC" w:rsidRDefault="005C75B9">
            <w:pPr>
              <w:jc w:val="right"/>
              <w:textAlignment w:val="bottom"/>
            </w:pPr>
            <w:r>
              <w:rPr>
                <w:rFonts w:ascii="Arial" w:eastAsia="宋体" w:hAnsi="Arial" w:cs="Arial"/>
                <w:color w:val="000000"/>
                <w:sz w:val="17"/>
                <w:szCs w:val="17"/>
              </w:rPr>
              <w:t>(19)</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6C6"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6C7"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6C8"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C9"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CA"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CB" w14:textId="77777777" w:rsidR="008A3BAC" w:rsidRDefault="008A3BAC">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6E9E6CC" w14:textId="77777777" w:rsidR="008A3BAC" w:rsidRDefault="008A3BAC">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6C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6CE" w14:textId="77777777" w:rsidR="008A3BAC" w:rsidRDefault="005C75B9">
            <w:pPr>
              <w:jc w:val="right"/>
              <w:textAlignment w:val="bottom"/>
            </w:pPr>
            <w:r>
              <w:rPr>
                <w:rFonts w:ascii="Arial" w:eastAsia="宋体" w:hAnsi="Arial" w:cs="Arial"/>
                <w:color w:val="000000"/>
                <w:sz w:val="17"/>
                <w:szCs w:val="17"/>
              </w:rPr>
              <w:t>(56)</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6CF" w14:textId="77777777" w:rsidR="008A3BAC" w:rsidRDefault="008A3BAC">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6E9E6D0"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6E9E6D1" w14:textId="77777777" w:rsidR="008A3BAC" w:rsidRDefault="005C75B9">
            <w:pPr>
              <w:jc w:val="right"/>
              <w:textAlignment w:val="bottom"/>
            </w:pPr>
            <w:r>
              <w:rPr>
                <w:rFonts w:ascii="Arial" w:eastAsia="宋体" w:hAnsi="Arial" w:cs="Arial"/>
                <w:color w:val="000000"/>
                <w:sz w:val="17"/>
                <w:szCs w:val="17"/>
              </w:rPr>
              <w:t>53 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D2" w14:textId="77777777" w:rsidR="008A3BAC" w:rsidRDefault="008A3BAC">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6E9E6D3" w14:textId="77777777" w:rsidR="008A3BAC" w:rsidRDefault="005C75B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6E9E6D4" w14:textId="77777777" w:rsidR="008A3BAC" w:rsidRDefault="008A3BAC">
            <w:pPr>
              <w:jc w:val="right"/>
              <w:rPr>
                <w:rFonts w:ascii="宋体"/>
              </w:rPr>
            </w:pPr>
          </w:p>
        </w:tc>
        <w:tc>
          <w:tcPr>
            <w:tcW w:w="0" w:type="auto"/>
            <w:shd w:val="clear" w:color="auto" w:fill="auto"/>
            <w:vAlign w:val="bottom"/>
          </w:tcPr>
          <w:p w14:paraId="26E9E6D5" w14:textId="77777777" w:rsidR="008A3BAC" w:rsidRDefault="008A3BAC">
            <w:pPr>
              <w:rPr>
                <w:rFonts w:ascii="宋体"/>
                <w:vanish/>
              </w:rPr>
            </w:pPr>
          </w:p>
        </w:tc>
        <w:tc>
          <w:tcPr>
            <w:tcW w:w="0" w:type="auto"/>
            <w:shd w:val="clear" w:color="auto" w:fill="auto"/>
            <w:vAlign w:val="bottom"/>
          </w:tcPr>
          <w:p w14:paraId="26E9E6D6" w14:textId="77777777" w:rsidR="008A3BAC" w:rsidRDefault="008A3BAC">
            <w:pPr>
              <w:rPr>
                <w:rFonts w:ascii="宋体"/>
                <w:vanish/>
              </w:rPr>
            </w:pPr>
          </w:p>
        </w:tc>
        <w:tc>
          <w:tcPr>
            <w:tcW w:w="0" w:type="auto"/>
            <w:gridSpan w:val="3"/>
            <w:shd w:val="clear" w:color="auto" w:fill="auto"/>
            <w:vAlign w:val="bottom"/>
          </w:tcPr>
          <w:p w14:paraId="26E9E6D7" w14:textId="77777777" w:rsidR="008A3BAC" w:rsidRDefault="008A3BAC">
            <w:pPr>
              <w:rPr>
                <w:rFonts w:ascii="宋体"/>
                <w:vanish/>
              </w:rPr>
            </w:pPr>
          </w:p>
        </w:tc>
        <w:tc>
          <w:tcPr>
            <w:tcW w:w="0" w:type="auto"/>
            <w:gridSpan w:val="3"/>
            <w:shd w:val="clear" w:color="auto" w:fill="auto"/>
            <w:vAlign w:val="bottom"/>
          </w:tcPr>
          <w:p w14:paraId="26E9E6D8" w14:textId="77777777" w:rsidR="008A3BAC" w:rsidRDefault="008A3BAC">
            <w:pPr>
              <w:rPr>
                <w:rFonts w:ascii="宋体"/>
                <w:vanish/>
              </w:rPr>
            </w:pPr>
          </w:p>
        </w:tc>
      </w:tr>
      <w:tr w:rsidR="008A3BAC" w14:paraId="26E9E6F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E6DA" w14:textId="77777777" w:rsidR="008A3BAC" w:rsidRDefault="005C75B9">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E6DB"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E6DC" w14:textId="77777777" w:rsidR="008A3BAC" w:rsidRDefault="005C75B9">
            <w:pPr>
              <w:jc w:val="right"/>
              <w:textAlignment w:val="bottom"/>
            </w:pPr>
            <w:r>
              <w:rPr>
                <w:rFonts w:ascii="Arial" w:eastAsia="宋体" w:hAnsi="Arial" w:cs="Arial"/>
                <w:color w:val="000000"/>
                <w:sz w:val="17"/>
                <w:szCs w:val="17"/>
              </w:rPr>
              <w:t>(412)</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E6DD"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6DE"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E6DF" w14:textId="77777777" w:rsidR="008A3BAC" w:rsidRDefault="005C75B9">
            <w:pPr>
              <w:jc w:val="right"/>
              <w:textAlignment w:val="bottom"/>
            </w:pPr>
            <w:r>
              <w:rPr>
                <w:rFonts w:ascii="Arial" w:eastAsia="宋体" w:hAnsi="Arial" w:cs="Arial"/>
                <w:color w:val="000000"/>
                <w:sz w:val="17"/>
                <w:szCs w:val="17"/>
              </w:rPr>
              <w:t>(482)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6E0"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6E1" w14:textId="77777777" w:rsidR="008A3BAC" w:rsidRDefault="005C75B9">
            <w:pPr>
              <w:jc w:val="right"/>
              <w:textAlignment w:val="bottom"/>
            </w:pPr>
            <w:r>
              <w:rPr>
                <w:rFonts w:ascii="Arial" w:eastAsia="宋体" w:hAnsi="Arial" w:cs="Arial"/>
                <w:color w:val="000000"/>
                <w:sz w:val="17"/>
                <w:szCs w:val="17"/>
              </w:rPr>
              <w:t>15 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6E2" w14:textId="77777777" w:rsidR="008A3BAC" w:rsidRDefault="005C75B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6E9E6E3" w14:textId="77777777" w:rsidR="008A3BAC" w:rsidRDefault="008A3BAC">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6E9E6E4"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6E9E6E5" w14:textId="77777777" w:rsidR="008A3BAC" w:rsidRDefault="005C75B9">
            <w:pPr>
              <w:jc w:val="right"/>
              <w:textAlignment w:val="bottom"/>
            </w:pPr>
            <w:r>
              <w:rPr>
                <w:rFonts w:ascii="Arial" w:eastAsia="宋体" w:hAnsi="Arial" w:cs="Arial"/>
                <w:color w:val="000000"/>
                <w:sz w:val="17"/>
                <w:szCs w:val="17"/>
              </w:rPr>
              <w:t>(1,460)</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6E9E6E6" w14:textId="77777777" w:rsidR="008A3BAC" w:rsidRDefault="008A3BAC">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6E7"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6E9E6E8" w14:textId="77777777" w:rsidR="008A3BAC" w:rsidRDefault="005C75B9">
            <w:pPr>
              <w:jc w:val="right"/>
              <w:textAlignment w:val="bottom"/>
            </w:pPr>
            <w:r>
              <w:rPr>
                <w:rFonts w:ascii="Arial" w:eastAsia="宋体" w:hAnsi="Arial" w:cs="Arial"/>
                <w:color w:val="000000"/>
                <w:sz w:val="17"/>
                <w:szCs w:val="17"/>
              </w:rPr>
              <w:t>(1,697)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6E9" w14:textId="77777777" w:rsidR="008A3BAC" w:rsidRDefault="008A3BAC">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6E9E6EA" w14:textId="77777777" w:rsidR="008A3BAC" w:rsidRDefault="005C75B9">
            <w:pPr>
              <w:jc w:val="right"/>
              <w:textAlignment w:val="bottom"/>
            </w:pPr>
            <w:r>
              <w:rPr>
                <w:rFonts w:ascii="Arial" w:eastAsia="宋体" w:hAnsi="Arial" w:cs="Arial"/>
                <w:color w:val="000000"/>
                <w:sz w:val="17"/>
                <w:szCs w:val="17"/>
              </w:rPr>
              <w:t>14 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6E9E6EB" w14:textId="77777777" w:rsidR="008A3BAC" w:rsidRDefault="005C75B9">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6E9E6EC" w14:textId="77777777" w:rsidR="008A3BAC" w:rsidRDefault="008A3BAC">
            <w:pPr>
              <w:rPr>
                <w:rFonts w:ascii="宋体"/>
                <w:vanish/>
              </w:rPr>
            </w:pPr>
          </w:p>
        </w:tc>
        <w:tc>
          <w:tcPr>
            <w:tcW w:w="0" w:type="auto"/>
            <w:shd w:val="clear" w:color="auto" w:fill="auto"/>
            <w:vAlign w:val="bottom"/>
          </w:tcPr>
          <w:p w14:paraId="26E9E6ED" w14:textId="77777777" w:rsidR="008A3BAC" w:rsidRDefault="008A3BAC">
            <w:pPr>
              <w:rPr>
                <w:rFonts w:ascii="宋体"/>
                <w:vanish/>
              </w:rPr>
            </w:pPr>
          </w:p>
        </w:tc>
        <w:tc>
          <w:tcPr>
            <w:tcW w:w="0" w:type="auto"/>
            <w:gridSpan w:val="3"/>
            <w:shd w:val="clear" w:color="auto" w:fill="auto"/>
            <w:vAlign w:val="bottom"/>
          </w:tcPr>
          <w:p w14:paraId="26E9E6EE" w14:textId="77777777" w:rsidR="008A3BAC" w:rsidRDefault="008A3BAC">
            <w:pPr>
              <w:rPr>
                <w:rFonts w:ascii="宋体"/>
                <w:vanish/>
              </w:rPr>
            </w:pPr>
          </w:p>
        </w:tc>
        <w:tc>
          <w:tcPr>
            <w:tcW w:w="0" w:type="auto"/>
            <w:gridSpan w:val="3"/>
            <w:shd w:val="clear" w:color="auto" w:fill="auto"/>
            <w:vAlign w:val="bottom"/>
          </w:tcPr>
          <w:p w14:paraId="26E9E6EF" w14:textId="77777777" w:rsidR="008A3BAC" w:rsidRDefault="008A3BAC">
            <w:pPr>
              <w:rPr>
                <w:rFonts w:ascii="宋体"/>
                <w:vanish/>
              </w:rPr>
            </w:pPr>
          </w:p>
        </w:tc>
      </w:tr>
    </w:tbl>
    <w:p w14:paraId="26E9E6F1" w14:textId="77777777" w:rsidR="008A3BAC" w:rsidRDefault="005C75B9">
      <w:pPr>
        <w:spacing w:before="120" w:after="120"/>
      </w:pPr>
      <w:r>
        <w:rPr>
          <w:rFonts w:ascii="Arial" w:eastAsia="宋体" w:hAnsi="Arial" w:cs="Arial"/>
          <w:color w:val="000000"/>
          <w:sz w:val="17"/>
          <w:szCs w:val="17"/>
        </w:rPr>
        <w:t xml:space="preserve">Corporate revenues primarily </w:t>
      </w:r>
      <w:r>
        <w:rPr>
          <w:rFonts w:ascii="Arial" w:eastAsia="宋体" w:hAnsi="Arial" w:cs="Arial"/>
          <w:color w:val="000000"/>
          <w:sz w:val="17"/>
          <w:szCs w:val="17"/>
        </w:rPr>
        <w:t>consist of foreign currency hedge gains and losses related to revenues generated by entities within the NIKE Brand geographic operating segments and Converse, but managed through our central foreign exchange risk management program.</w:t>
      </w:r>
    </w:p>
    <w:p w14:paraId="26E9E6F2" w14:textId="77777777" w:rsidR="008A3BAC" w:rsidRDefault="005C75B9">
      <w:pPr>
        <w:spacing w:before="120" w:after="120"/>
      </w:pPr>
      <w:r>
        <w:rPr>
          <w:rFonts w:ascii="Arial" w:eastAsia="宋体" w:hAnsi="Arial" w:cs="Arial"/>
          <w:color w:val="000000"/>
          <w:sz w:val="17"/>
          <w:szCs w:val="17"/>
        </w:rPr>
        <w:t>The Corporate loss befo</w:t>
      </w:r>
      <w:r>
        <w:rPr>
          <w:rFonts w:ascii="Arial" w:eastAsia="宋体" w:hAnsi="Arial" w:cs="Arial"/>
          <w:color w:val="000000"/>
          <w:sz w:val="17"/>
          <w:szCs w:val="17"/>
        </w:rPr>
        <w:t>re interest and taxes primarily consists of unallocated general and administrative expenses, including expenses associated with centrally managed departments; depreciation and amortization related to our corporate headquarters; unallocated insurance, benef</w:t>
      </w:r>
      <w:r>
        <w:rPr>
          <w:rFonts w:ascii="Arial" w:eastAsia="宋体" w:hAnsi="Arial" w:cs="Arial"/>
          <w:color w:val="000000"/>
          <w:sz w:val="17"/>
          <w:szCs w:val="17"/>
        </w:rPr>
        <w:t xml:space="preserve">it and compensation programs, including stock-based compensation; and certain foreign currency gains and losses. </w:t>
      </w:r>
    </w:p>
    <w:p w14:paraId="26E9E6F3" w14:textId="77777777" w:rsidR="008A3BAC" w:rsidRDefault="005C75B9">
      <w:pPr>
        <w:spacing w:before="120" w:after="120"/>
      </w:pPr>
      <w:r>
        <w:rPr>
          <w:rFonts w:ascii="Arial" w:eastAsia="宋体" w:hAnsi="Arial" w:cs="Arial"/>
          <w:color w:val="000000"/>
          <w:sz w:val="17"/>
          <w:szCs w:val="17"/>
        </w:rPr>
        <w:t xml:space="preserve">In addition to the foreign currency gains and losses recognized in Corporate revenues, foreign currency results in Corporate include </w:t>
      </w:r>
      <w:r>
        <w:rPr>
          <w:rFonts w:ascii="Arial" w:eastAsia="宋体" w:hAnsi="Arial" w:cs="Arial"/>
          <w:color w:val="000000"/>
          <w:sz w:val="17"/>
          <w:szCs w:val="17"/>
        </w:rPr>
        <w:t xml:space="preserve">gains and losses resulting from the difference between actual foreign currency exchange rates and standard rates used to record non-functional currency denominated product purchases within the NIKE Brand geographic operating segments and Converse; related </w:t>
      </w:r>
      <w:r>
        <w:rPr>
          <w:rFonts w:ascii="Arial" w:eastAsia="宋体" w:hAnsi="Arial" w:cs="Arial"/>
          <w:color w:val="000000"/>
          <w:sz w:val="17"/>
          <w:szCs w:val="17"/>
        </w:rPr>
        <w:t>foreign currency hedge results; conversion gains and losses arising from remeasurement of monetary assets and liabilities in non-functional currencies; and certain other foreign currency derivative instruments.</w:t>
      </w:r>
    </w:p>
    <w:p w14:paraId="26E9E6F4" w14:textId="77777777" w:rsidR="008A3BAC" w:rsidRDefault="005C75B9">
      <w:pPr>
        <w:spacing w:before="120"/>
      </w:pPr>
      <w:r>
        <w:rPr>
          <w:rFonts w:ascii="sans-serif" w:eastAsia="sans-serif" w:hAnsi="sans-serif" w:cs="sans-serif"/>
          <w:b/>
          <w:bCs/>
          <w:color w:val="808080"/>
          <w:sz w:val="22"/>
          <w:szCs w:val="22"/>
        </w:rPr>
        <w:t>THIRD QUARTER OF FISCAL 2022 COMPARED TO THIR</w:t>
      </w:r>
      <w:r>
        <w:rPr>
          <w:rFonts w:ascii="sans-serif" w:eastAsia="sans-serif" w:hAnsi="sans-serif" w:cs="sans-serif"/>
          <w:b/>
          <w:bCs/>
          <w:color w:val="808080"/>
          <w:sz w:val="22"/>
          <w:szCs w:val="22"/>
        </w:rPr>
        <w:t>D QUARTER OF FISCAL 2021</w:t>
      </w:r>
    </w:p>
    <w:p w14:paraId="26E9E6F5" w14:textId="77777777" w:rsidR="008A3BAC" w:rsidRDefault="005C75B9">
      <w:pPr>
        <w:spacing w:before="60" w:after="120"/>
      </w:pPr>
      <w:r>
        <w:rPr>
          <w:rFonts w:ascii="Arial" w:eastAsia="宋体" w:hAnsi="Arial" w:cs="Arial"/>
          <w:color w:val="000000"/>
          <w:sz w:val="17"/>
          <w:szCs w:val="17"/>
        </w:rPr>
        <w:t>Corporate's loss before interest and taxes decreased $70 million for the third quarter of fiscal 2022, primarily due to the following:</w:t>
      </w:r>
    </w:p>
    <w:p w14:paraId="26E9E6F6"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change in net foreign currency gains and losses of $87 million related to the remea</w:t>
      </w:r>
      <w:r>
        <w:rPr>
          <w:rFonts w:ascii="Arial" w:eastAsia="宋体" w:hAnsi="Arial" w:cs="Arial"/>
          <w:color w:val="000000"/>
          <w:sz w:val="17"/>
          <w:szCs w:val="17"/>
        </w:rPr>
        <w:t>surement of monetary assets and liabilities denominated in non-functional currencies and the impact of certain foreign currency derivative instruments, reported as a component of consolidated Other (income) expense, net;</w:t>
      </w:r>
    </w:p>
    <w:p w14:paraId="26E9E6F7"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$58 milli</w:t>
      </w:r>
      <w:r>
        <w:rPr>
          <w:rFonts w:ascii="Arial" w:eastAsia="宋体" w:hAnsi="Arial" w:cs="Arial"/>
          <w:color w:val="000000"/>
          <w:sz w:val="17"/>
          <w:szCs w:val="17"/>
        </w:rPr>
        <w:t>on related to the difference between actual foreign currency exchange rates and standard foreign currency exchange rates assigned to the NIKE Brand geographic operating segments and Converse, net of hedge gains and losses; these results are reported as a c</w:t>
      </w:r>
      <w:r>
        <w:rPr>
          <w:rFonts w:ascii="Arial" w:eastAsia="宋体" w:hAnsi="Arial" w:cs="Arial"/>
          <w:color w:val="000000"/>
          <w:sz w:val="17"/>
          <w:szCs w:val="17"/>
        </w:rPr>
        <w:t>omponent of consolidated gross margin; and</w:t>
      </w:r>
    </w:p>
    <w:p w14:paraId="26E9E6F8"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change of $41 million, primarily due to higher restructuring-related costs related to our organizational realignment in the prior year.</w:t>
      </w:r>
    </w:p>
    <w:p w14:paraId="26E9E6F9" w14:textId="77777777" w:rsidR="008A3BAC" w:rsidRDefault="005C75B9">
      <w:pPr>
        <w:spacing w:before="120"/>
      </w:pPr>
      <w:r>
        <w:rPr>
          <w:rFonts w:ascii="sans-serif" w:eastAsia="sans-serif" w:hAnsi="sans-serif" w:cs="sans-serif"/>
          <w:b/>
          <w:bCs/>
          <w:color w:val="808080"/>
          <w:sz w:val="22"/>
          <w:szCs w:val="22"/>
        </w:rPr>
        <w:t>FIRST NINE MONTHS OF FISCAL 2022 COMPARED TO FIRST NINE MONTHS O</w:t>
      </w:r>
      <w:r>
        <w:rPr>
          <w:rFonts w:ascii="sans-serif" w:eastAsia="sans-serif" w:hAnsi="sans-serif" w:cs="sans-serif"/>
          <w:b/>
          <w:bCs/>
          <w:color w:val="808080"/>
          <w:sz w:val="22"/>
          <w:szCs w:val="22"/>
        </w:rPr>
        <w:t>F FISCAL 2021</w:t>
      </w:r>
    </w:p>
    <w:p w14:paraId="26E9E6FA" w14:textId="77777777" w:rsidR="008A3BAC" w:rsidRDefault="005C75B9">
      <w:pPr>
        <w:spacing w:before="60" w:after="120"/>
      </w:pPr>
      <w:r>
        <w:rPr>
          <w:rFonts w:ascii="Arial" w:eastAsia="宋体" w:hAnsi="Arial" w:cs="Arial"/>
          <w:color w:val="000000"/>
          <w:sz w:val="17"/>
          <w:szCs w:val="17"/>
        </w:rPr>
        <w:t>Corporate's loss before interest and taxes decreased $237 million for the first nine months of fiscal 2022, primarily due to the following:</w:t>
      </w:r>
    </w:p>
    <w:p w14:paraId="26E9E6FB"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 favorable change of $206 million largely due to higher restructuring-related costs associated with our organizational realignment as well as a net incremental charge related to our planned, strategic distributor partnership transition within APLA, both o</w:t>
      </w:r>
      <w:r>
        <w:rPr>
          <w:rFonts w:ascii="Arial" w:eastAsia="宋体" w:hAnsi="Arial" w:cs="Arial"/>
          <w:color w:val="000000"/>
          <w:sz w:val="17"/>
          <w:szCs w:val="17"/>
        </w:rPr>
        <w:t xml:space="preserve">f which occurred in the prior year, partially offset by higher-wage related expenses in the first nine months of fiscal 2022; </w:t>
      </w:r>
    </w:p>
    <w:p w14:paraId="26E9E6FC"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a favorable change in net foreign currency gains and losses of $125 million related to the remeasurement of monetary assets and </w:t>
      </w:r>
      <w:r>
        <w:rPr>
          <w:rFonts w:ascii="Arial" w:eastAsia="宋体" w:hAnsi="Arial" w:cs="Arial"/>
          <w:color w:val="000000"/>
          <w:sz w:val="17"/>
          <w:szCs w:val="17"/>
        </w:rPr>
        <w:t>liabilities denominated in non-functional currencies and the impact of certain foreign currency derivative instruments, reported as a component of consolidated Other (income) expense, net; and</w:t>
      </w:r>
    </w:p>
    <w:p w14:paraId="26E9E6FD"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an unfavorable change of $94 million related to the difference</w:t>
      </w:r>
      <w:r>
        <w:rPr>
          <w:rFonts w:ascii="Arial" w:eastAsia="宋体" w:hAnsi="Arial" w:cs="Arial"/>
          <w:color w:val="000000"/>
          <w:sz w:val="17"/>
          <w:szCs w:val="17"/>
        </w:rPr>
        <w:t xml:space="preserve"> between actual foreign currency exchange rates and standard foreign currency exchange rates assigned to the NIKE Brand geographic operating segments and Converse, net of hedge gains and losses; these results are reported as a component of consolidated gro</w:t>
      </w:r>
      <w:r>
        <w:rPr>
          <w:rFonts w:ascii="Arial" w:eastAsia="宋体" w:hAnsi="Arial" w:cs="Arial"/>
          <w:color w:val="000000"/>
          <w:sz w:val="17"/>
          <w:szCs w:val="17"/>
        </w:rPr>
        <w:t>ss margin.</w:t>
      </w:r>
    </w:p>
    <w:p w14:paraId="26E9E6FE" w14:textId="77777777" w:rsidR="008A3BAC" w:rsidRDefault="005C75B9">
      <w:pPr>
        <w:spacing w:before="300" w:after="120"/>
      </w:pPr>
      <w:r>
        <w:rPr>
          <w:rFonts w:ascii="sans-serif" w:eastAsia="sans-serif" w:hAnsi="sans-serif" w:cs="sans-serif"/>
          <w:b/>
          <w:bCs/>
          <w:color w:val="E87722"/>
          <w:sz w:val="36"/>
          <w:szCs w:val="36"/>
        </w:rPr>
        <w:t>FOREIGN CURRENCY EXPOSURES AND HEDGING PRACTICES</w:t>
      </w:r>
    </w:p>
    <w:p w14:paraId="26E9E6FF" w14:textId="77777777" w:rsidR="008A3BAC" w:rsidRDefault="005C75B9">
      <w:pPr>
        <w:spacing w:before="240" w:after="120"/>
      </w:pPr>
      <w:r>
        <w:rPr>
          <w:rFonts w:ascii="sans-serif" w:eastAsia="sans-serif" w:hAnsi="sans-serif" w:cs="sans-serif"/>
          <w:b/>
          <w:bCs/>
          <w:color w:val="000000"/>
          <w:sz w:val="28"/>
          <w:szCs w:val="28"/>
        </w:rPr>
        <w:t>OVERVIEW</w:t>
      </w:r>
    </w:p>
    <w:p w14:paraId="26E9E700" w14:textId="77777777" w:rsidR="008A3BAC" w:rsidRDefault="005C75B9">
      <w:pPr>
        <w:spacing w:before="120" w:after="120"/>
      </w:pPr>
      <w:r>
        <w:rPr>
          <w:rFonts w:ascii="Arial" w:eastAsia="宋体" w:hAnsi="Arial" w:cs="Arial"/>
          <w:color w:val="000000"/>
          <w:sz w:val="17"/>
          <w:szCs w:val="17"/>
        </w:rPr>
        <w:t>As a global company with significant operations outside the United States, in the normal course of business we are exposed to risk arising from changes in currency exchange rates. Our pri</w:t>
      </w:r>
      <w:r>
        <w:rPr>
          <w:rFonts w:ascii="Arial" w:eastAsia="宋体" w:hAnsi="Arial" w:cs="Arial"/>
          <w:color w:val="000000"/>
          <w:sz w:val="17"/>
          <w:szCs w:val="17"/>
        </w:rPr>
        <w:t>mary foreign currency exposures arise from the recording of transactions denominated in non-functional currencies and the translation of foreign currency denominated results of operations, financial position and cash flows into U.S. Dollars.</w:t>
      </w:r>
    </w:p>
    <w:p w14:paraId="26E9E701" w14:textId="77777777" w:rsidR="008A3BAC" w:rsidRDefault="005C75B9">
      <w:pPr>
        <w:spacing w:before="120" w:after="120"/>
      </w:pPr>
      <w:r>
        <w:rPr>
          <w:rFonts w:ascii="Arial" w:eastAsia="宋体" w:hAnsi="Arial" w:cs="Arial"/>
          <w:color w:val="000000"/>
          <w:sz w:val="17"/>
          <w:szCs w:val="17"/>
        </w:rPr>
        <w:t>Our foreign ex</w:t>
      </w:r>
      <w:r>
        <w:rPr>
          <w:rFonts w:ascii="Arial" w:eastAsia="宋体" w:hAnsi="Arial" w:cs="Arial"/>
          <w:color w:val="000000"/>
          <w:sz w:val="17"/>
          <w:szCs w:val="17"/>
        </w:rPr>
        <w:t xml:space="preserve">change risk management program is intended to lessen both the positive and negative effects of currency fluctuations on our consolidated results of operations, financial position and cash flows. We manage global foreign exchange risk </w:t>
      </w:r>
    </w:p>
    <w:p w14:paraId="26E9E702" w14:textId="77777777" w:rsidR="008A3BAC" w:rsidRDefault="005C75B9">
      <w:pPr>
        <w:spacing w:before="120" w:after="120"/>
        <w:jc w:val="right"/>
      </w:pPr>
      <w:r>
        <w:rPr>
          <w:rFonts w:ascii="Arial" w:eastAsia="宋体" w:hAnsi="Arial" w:cs="Arial"/>
          <w:color w:val="E87722"/>
          <w:sz w:val="17"/>
          <w:szCs w:val="17"/>
        </w:rPr>
        <w:t>41</w:t>
      </w:r>
    </w:p>
    <w:p w14:paraId="26E9E703" w14:textId="77777777" w:rsidR="008A3BAC" w:rsidRDefault="005C75B9">
      <w:r>
        <w:pict w14:anchorId="26E9E870">
          <v:rect id="_x0000_i1067" style="width:415.3pt;height:1.5pt" o:hralign="center" o:hrstd="t" o:hr="t" fillcolor="#a0a0a0" stroked="f"/>
        </w:pict>
      </w:r>
    </w:p>
    <w:p w14:paraId="26E9E704" w14:textId="77777777" w:rsidR="008A3BAC" w:rsidRDefault="008A3BAC"/>
    <w:p w14:paraId="26E9E705" w14:textId="77777777" w:rsidR="008A3BAC" w:rsidRDefault="005C75B9">
      <w:hyperlink r:id="rId111" w:anchor="i46aba51c6a804f42b3595948c57d2023_7" w:history="1">
        <w:r>
          <w:rPr>
            <w:rStyle w:val="a5"/>
            <w:rFonts w:ascii="sans-serif" w:eastAsia="sans-serif" w:hAnsi="sans-serif" w:cs="sans-serif"/>
            <w:sz w:val="17"/>
            <w:szCs w:val="17"/>
          </w:rPr>
          <w:t>Table of Contents</w:t>
        </w:r>
      </w:hyperlink>
    </w:p>
    <w:p w14:paraId="26E9E706" w14:textId="77777777" w:rsidR="008A3BAC" w:rsidRDefault="008A3BAC"/>
    <w:p w14:paraId="26E9E707" w14:textId="77777777" w:rsidR="008A3BAC" w:rsidRDefault="005C75B9">
      <w:pPr>
        <w:spacing w:before="120" w:after="120"/>
      </w:pPr>
      <w:r>
        <w:rPr>
          <w:rFonts w:ascii="Arial" w:eastAsia="宋体" w:hAnsi="Arial" w:cs="Arial"/>
          <w:color w:val="000000"/>
          <w:sz w:val="17"/>
          <w:szCs w:val="17"/>
        </w:rPr>
        <w:t>centrally on a portfolio basis to address those risks material to NIKE, Inc. Our hedging policy is designed to partially or entirely offset the impact of exchange rate changes on the underlying net exposures being hedged. Where exposures are hedged, our pr</w:t>
      </w:r>
      <w:r>
        <w:rPr>
          <w:rFonts w:ascii="Arial" w:eastAsia="宋体" w:hAnsi="Arial" w:cs="Arial"/>
          <w:color w:val="000000"/>
          <w:sz w:val="17"/>
          <w:szCs w:val="17"/>
        </w:rPr>
        <w:t>ogram has the effect of delaying the impact of exchange rate movements on our Unaudited Condensed Consolidated Financial Statements; the length of the delay is dependent upon hedge horizons. We do not hold or issue derivative instruments for trading or spe</w:t>
      </w:r>
      <w:r>
        <w:rPr>
          <w:rFonts w:ascii="Arial" w:eastAsia="宋体" w:hAnsi="Arial" w:cs="Arial"/>
          <w:color w:val="000000"/>
          <w:sz w:val="17"/>
          <w:szCs w:val="17"/>
        </w:rPr>
        <w:t xml:space="preserve">culative purposes. As of and for the three and nine months ended February 28, 2022, there have been no material changes to the Company's hedging program or strategy from what was disclosed within the Annual Report on Form 10-K. </w:t>
      </w:r>
    </w:p>
    <w:p w14:paraId="26E9E708" w14:textId="77777777" w:rsidR="008A3BAC" w:rsidRDefault="005C75B9">
      <w:pPr>
        <w:spacing w:before="120" w:after="120"/>
      </w:pPr>
      <w:r>
        <w:rPr>
          <w:rFonts w:ascii="Arial" w:eastAsia="宋体" w:hAnsi="Arial" w:cs="Arial"/>
          <w:color w:val="000000"/>
          <w:sz w:val="17"/>
          <w:szCs w:val="17"/>
        </w:rPr>
        <w:t>Refer to Note 4 — Fair Valu</w:t>
      </w:r>
      <w:r>
        <w:rPr>
          <w:rFonts w:ascii="Arial" w:eastAsia="宋体" w:hAnsi="Arial" w:cs="Arial"/>
          <w:color w:val="000000"/>
          <w:sz w:val="17"/>
          <w:szCs w:val="17"/>
        </w:rPr>
        <w:t>e Measurements and Note 9 — Risk Management and Derivatives in the accompanying Notes to the Unaudited Condensed Consolidated Financial Statements for additional description of outstanding derivatives at each reported period end. For additional information</w:t>
      </w:r>
      <w:r>
        <w:rPr>
          <w:rFonts w:ascii="Arial" w:eastAsia="宋体" w:hAnsi="Arial" w:cs="Arial"/>
          <w:color w:val="000000"/>
          <w:sz w:val="17"/>
          <w:szCs w:val="17"/>
        </w:rPr>
        <w:t xml:space="preserve"> about our Foreign Currency Exposures and Hedging Practices refer to Part II, Item 7. Management's Discussion and Analysis of Financial Condition and Results of Operations of our Annual Report on Form 10-K for the fiscal year ended May 31, 2021.</w:t>
      </w:r>
    </w:p>
    <w:p w14:paraId="26E9E709" w14:textId="77777777" w:rsidR="008A3BAC" w:rsidRDefault="005C75B9">
      <w:pPr>
        <w:spacing w:before="240" w:after="120"/>
      </w:pPr>
      <w:r>
        <w:rPr>
          <w:rFonts w:ascii="sans-serif" w:eastAsia="sans-serif" w:hAnsi="sans-serif" w:cs="sans-serif"/>
          <w:b/>
          <w:bCs/>
          <w:color w:val="000000"/>
          <w:sz w:val="28"/>
          <w:szCs w:val="28"/>
        </w:rPr>
        <w:t>TRANSACTIO</w:t>
      </w:r>
      <w:r>
        <w:rPr>
          <w:rFonts w:ascii="sans-serif" w:eastAsia="sans-serif" w:hAnsi="sans-serif" w:cs="sans-serif"/>
          <w:b/>
          <w:bCs/>
          <w:color w:val="000000"/>
          <w:sz w:val="28"/>
          <w:szCs w:val="28"/>
        </w:rPr>
        <w:t>NAL EXPOSURES</w:t>
      </w:r>
    </w:p>
    <w:p w14:paraId="26E9E70A" w14:textId="77777777" w:rsidR="008A3BAC" w:rsidRDefault="005C75B9">
      <w:pPr>
        <w:spacing w:before="120" w:after="120"/>
      </w:pPr>
      <w:r>
        <w:rPr>
          <w:rFonts w:ascii="Arial" w:eastAsia="宋体" w:hAnsi="Arial" w:cs="Arial"/>
          <w:color w:val="000000"/>
          <w:sz w:val="17"/>
          <w:szCs w:val="17"/>
        </w:rPr>
        <w:t>We conduct business in various currencies and have transactions which subject us to foreign currency risk. Our most significant transactional foreign currency exposures are:</w:t>
      </w:r>
    </w:p>
    <w:p w14:paraId="26E9E70B"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 xml:space="preserve">Product Costs — Product purchases denominated in </w:t>
      </w:r>
      <w:r>
        <w:rPr>
          <w:rFonts w:ascii="Arial" w:eastAsia="宋体" w:hAnsi="Arial" w:cs="Arial"/>
          <w:color w:val="000000"/>
          <w:sz w:val="17"/>
          <w:szCs w:val="17"/>
        </w:rPr>
        <w:t>currencies other than the functional currency of the transacting entity and factory input costs from the foreign currency adjustments program with certain factories.</w:t>
      </w:r>
    </w:p>
    <w:p w14:paraId="26E9E70C"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w:t>
      </w:r>
      <w:r>
        <w:rPr>
          <w:rFonts w:ascii="Arial" w:eastAsia="宋体" w:hAnsi="Arial" w:cs="Arial"/>
          <w:color w:val="000000"/>
          <w:sz w:val="17"/>
          <w:szCs w:val="17"/>
        </w:rPr>
        <w:t>erse revenues associated with European operations are earned in currencies other than the Euro (e.g., the British Pound) but are recognized at a subsidiary that uses the Euro as its functional currency. These sales generate a foreign currency exposure.</w:t>
      </w:r>
    </w:p>
    <w:p w14:paraId="26E9E70D"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Ot</w:t>
      </w:r>
      <w:r>
        <w:rPr>
          <w:rFonts w:ascii="Arial" w:eastAsia="宋体" w:hAnsi="Arial" w:cs="Arial"/>
          <w:color w:val="000000"/>
          <w:sz w:val="17"/>
          <w:szCs w:val="17"/>
        </w:rPr>
        <w:t xml:space="preserve">her Costs — Non-functional currency denominated costs, such as endorsement contracts, also generate foreign currency risk, though to a lesser extent. </w:t>
      </w:r>
    </w:p>
    <w:p w14:paraId="26E9E70E" w14:textId="77777777" w:rsidR="008A3BAC" w:rsidRDefault="005C75B9">
      <w:pP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vario</w:t>
      </w:r>
      <w:r>
        <w:rPr>
          <w:rFonts w:ascii="Arial" w:eastAsia="宋体" w:hAnsi="Arial" w:cs="Arial"/>
          <w:color w:val="000000"/>
          <w:sz w:val="17"/>
          <w:szCs w:val="17"/>
        </w:rPr>
        <w:t>us monetary assets and liabilities, primarily receivables and payables, including intercompany receivables and payables, denominated in currencies other than their functional currencies. These balance sheet items are subject to remeasurement which may crea</w:t>
      </w:r>
      <w:r>
        <w:rPr>
          <w:rFonts w:ascii="Arial" w:eastAsia="宋体" w:hAnsi="Arial" w:cs="Arial"/>
          <w:color w:val="000000"/>
          <w:sz w:val="17"/>
          <w:szCs w:val="17"/>
        </w:rPr>
        <w:t>te fluctuations in Other (income) expense, net within our consolidated results of operations.</w:t>
      </w:r>
    </w:p>
    <w:p w14:paraId="26E9E70F" w14:textId="77777777" w:rsidR="008A3BAC" w:rsidRDefault="005C75B9">
      <w:pPr>
        <w:spacing w:before="120"/>
      </w:pPr>
      <w:r>
        <w:rPr>
          <w:rFonts w:ascii="sans-serif" w:eastAsia="sans-serif" w:hAnsi="sans-serif" w:cs="sans-serif"/>
          <w:b/>
          <w:bCs/>
          <w:color w:val="808080"/>
          <w:sz w:val="22"/>
          <w:szCs w:val="22"/>
        </w:rPr>
        <w:t>MANAGING TRANSACTIONAL EXPOSURES</w:t>
      </w:r>
    </w:p>
    <w:p w14:paraId="26E9E710" w14:textId="77777777" w:rsidR="008A3BAC" w:rsidRDefault="005C75B9">
      <w:pPr>
        <w:spacing w:after="120"/>
      </w:pPr>
      <w:r>
        <w:rPr>
          <w:rFonts w:ascii="Arial" w:eastAsia="宋体" w:hAnsi="Arial" w:cs="Arial"/>
          <w:color w:val="000000"/>
          <w:sz w:val="17"/>
          <w:szCs w:val="17"/>
        </w:rPr>
        <w:t>Transactional exposures are managed on a portfolio basis within our foreign currency risk management program. We manage these exp</w:t>
      </w:r>
      <w:r>
        <w:rPr>
          <w:rFonts w:ascii="Arial" w:eastAsia="宋体" w:hAnsi="Arial" w:cs="Arial"/>
          <w:color w:val="000000"/>
          <w:sz w:val="17"/>
          <w:szCs w:val="17"/>
        </w:rPr>
        <w:t>osures by taking advantage of natural offsets and currency correlations that exist within the portfolio and may also elect to use currency forward and option contracts to hedge the remaining effect of exchange rate fluctuations on probable forecasted futur</w:t>
      </w:r>
      <w:r>
        <w:rPr>
          <w:rFonts w:ascii="Arial" w:eastAsia="宋体" w:hAnsi="Arial" w:cs="Arial"/>
          <w:color w:val="000000"/>
          <w:sz w:val="17"/>
          <w:szCs w:val="17"/>
        </w:rPr>
        <w:t>e cash flows, including certain product cost exposures, non-functional currency denominated external sales and other costs described above. Generally, these are accounted for as cash flow hedges, except for hedges of the embedded derivative components of t</w:t>
      </w:r>
      <w:r>
        <w:rPr>
          <w:rFonts w:ascii="Arial" w:eastAsia="宋体" w:hAnsi="Arial" w:cs="Arial"/>
          <w:color w:val="000000"/>
          <w:sz w:val="17"/>
          <w:szCs w:val="17"/>
        </w:rPr>
        <w:t>he product cost exposures and other contractual agreements.</w:t>
      </w:r>
    </w:p>
    <w:p w14:paraId="26E9E711" w14:textId="77777777" w:rsidR="008A3BAC" w:rsidRDefault="005C75B9">
      <w:pPr>
        <w:spacing w:before="120" w:after="120"/>
      </w:pPr>
      <w:r>
        <w:rPr>
          <w:rFonts w:ascii="Arial" w:eastAsia="宋体" w:hAnsi="Arial" w:cs="Arial"/>
          <w:color w:val="000000"/>
          <w:sz w:val="17"/>
          <w:szCs w:val="17"/>
        </w:rPr>
        <w:t>Certain currency forward contracts used to manage the foreign exchange exposure of non-functional currency denominated monetary assets and liabilities subject to remeasurement and embedded derivat</w:t>
      </w:r>
      <w:r>
        <w:rPr>
          <w:rFonts w:ascii="Arial" w:eastAsia="宋体" w:hAnsi="Arial" w:cs="Arial"/>
          <w:color w:val="000000"/>
          <w:sz w:val="17"/>
          <w:szCs w:val="17"/>
        </w:rPr>
        <w:t xml:space="preserve">ive contracts are not formally designated as hedging instruments and are recognized in Other (income) expense, net. </w:t>
      </w:r>
    </w:p>
    <w:p w14:paraId="26E9E712" w14:textId="77777777" w:rsidR="008A3BAC" w:rsidRDefault="005C75B9">
      <w:pPr>
        <w:spacing w:before="240" w:after="120"/>
      </w:pPr>
      <w:r>
        <w:rPr>
          <w:rFonts w:ascii="sans-serif" w:eastAsia="sans-serif" w:hAnsi="sans-serif" w:cs="sans-serif"/>
          <w:b/>
          <w:bCs/>
          <w:color w:val="000000"/>
          <w:sz w:val="28"/>
          <w:szCs w:val="28"/>
        </w:rPr>
        <w:t>TRANSLATIONAL EXPOSURES</w:t>
      </w:r>
    </w:p>
    <w:p w14:paraId="26E9E713" w14:textId="77777777" w:rsidR="008A3BAC" w:rsidRDefault="005C75B9">
      <w:pPr>
        <w:spacing w:before="120" w:after="120"/>
      </w:pPr>
      <w:r>
        <w:rPr>
          <w:rFonts w:ascii="Arial" w:eastAsia="宋体" w:hAnsi="Arial" w:cs="Arial"/>
          <w:color w:val="000000"/>
          <w:sz w:val="17"/>
          <w:szCs w:val="17"/>
        </w:rPr>
        <w:t>Many of our foreign subsidiaries operate in functional currencies other than the U.S. Dollar. Fluctuations in curre</w:t>
      </w:r>
      <w:r>
        <w:rPr>
          <w:rFonts w:ascii="Arial" w:eastAsia="宋体" w:hAnsi="Arial" w:cs="Arial"/>
          <w:color w:val="000000"/>
          <w:sz w:val="17"/>
          <w:szCs w:val="17"/>
        </w:rPr>
        <w:t>ncy exchange rates create volatility in our reported results as we are required to translate the balance sheets, operational results and cash flows of these subsidiaries into U.S. Dollars for consolidated reporting. The translation of foreign subsidiaries'</w:t>
      </w:r>
      <w:r>
        <w:rPr>
          <w:rFonts w:ascii="Arial" w:eastAsia="宋体" w:hAnsi="Arial" w:cs="Arial"/>
          <w:color w:val="000000"/>
          <w:sz w:val="17"/>
          <w:szCs w:val="17"/>
        </w:rPr>
        <w:t xml:space="preserve"> non-U.S. Dollar denominated balance sheets into U.S. Dollars for consolidated reporting results in a cumulative translation adjustment to Accumulated other comprehensive income (loss) within Shareholders' equity. The impact of foreign exchange rate fluctu</w:t>
      </w:r>
      <w:r>
        <w:rPr>
          <w:rFonts w:ascii="Arial" w:eastAsia="宋体" w:hAnsi="Arial" w:cs="Arial"/>
          <w:color w:val="000000"/>
          <w:sz w:val="17"/>
          <w:szCs w:val="17"/>
        </w:rPr>
        <w:t>ations on the translation of our consolidated Revenues was a detriment of approximately $280 million and a benefit $165 million for the three and nine months ended February 28, 2022, respectively, and a benefit of approximately $357 million and $430 millio</w:t>
      </w:r>
      <w:r>
        <w:rPr>
          <w:rFonts w:ascii="Arial" w:eastAsia="宋体" w:hAnsi="Arial" w:cs="Arial"/>
          <w:color w:val="000000"/>
          <w:sz w:val="17"/>
          <w:szCs w:val="17"/>
        </w:rPr>
        <w:t>n for the three and nine months ended February 28, 2021, 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detriment of approximately $84 million and a benefit of $45 million for the t</w:t>
      </w:r>
      <w:r>
        <w:rPr>
          <w:rFonts w:ascii="Arial" w:eastAsia="宋体" w:hAnsi="Arial" w:cs="Arial"/>
          <w:color w:val="000000"/>
          <w:sz w:val="17"/>
          <w:szCs w:val="17"/>
        </w:rPr>
        <w:t>hree and nine months ended February 28, 2022, respectively, and a benefit of approximately $109 million and $143 million for the three and nine months ended February 28, 2021, respectively.</w:t>
      </w:r>
    </w:p>
    <w:p w14:paraId="26E9E714" w14:textId="77777777" w:rsidR="008A3BAC" w:rsidRDefault="005C75B9">
      <w:pPr>
        <w:spacing w:before="120" w:after="120"/>
      </w:pPr>
      <w:r>
        <w:rPr>
          <w:rFonts w:ascii="Arial" w:eastAsia="宋体" w:hAnsi="Arial" w:cs="Arial"/>
          <w:color w:val="000000"/>
          <w:sz w:val="17"/>
          <w:szCs w:val="17"/>
        </w:rPr>
        <w:t>Management generally identifies hyper-inflationary markets as thos</w:t>
      </w:r>
      <w:r>
        <w:rPr>
          <w:rFonts w:ascii="Arial" w:eastAsia="宋体" w:hAnsi="Arial" w:cs="Arial"/>
          <w:color w:val="000000"/>
          <w:sz w:val="17"/>
          <w:szCs w:val="17"/>
        </w:rPr>
        <w:t>e markets whose cumulative inflation rate over a three-year period exceeds 100%. Management has concluded our Argentina subsidiary within our APLA operating segment is operating in a hyper-inflationary market. As a result, beginning in the second quarter o</w:t>
      </w:r>
      <w:r>
        <w:rPr>
          <w:rFonts w:ascii="Arial" w:eastAsia="宋体" w:hAnsi="Arial" w:cs="Arial"/>
          <w:color w:val="000000"/>
          <w:sz w:val="17"/>
          <w:szCs w:val="17"/>
        </w:rPr>
        <w:t xml:space="preserve">f fiscal 2019, the functional currency of our Argentina subsidiary changed from the local currency to the U.S. Dollar. As of and for the three and nine months ended February 28, 2022, </w:t>
      </w:r>
    </w:p>
    <w:p w14:paraId="26E9E715" w14:textId="77777777" w:rsidR="008A3BAC" w:rsidRDefault="005C75B9">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26E9E716" w14:textId="77777777" w:rsidR="008A3BAC" w:rsidRDefault="005C75B9">
      <w:r>
        <w:pict w14:anchorId="26E9E871">
          <v:rect id="_x0000_i1068" style="width:415.3pt;height:1.5pt" o:hralign="center" o:hrstd="t" o:hr="t" fillcolor="#a0a0a0" stroked="f"/>
        </w:pict>
      </w:r>
    </w:p>
    <w:p w14:paraId="26E9E717" w14:textId="77777777" w:rsidR="008A3BAC" w:rsidRDefault="008A3BAC"/>
    <w:p w14:paraId="26E9E718" w14:textId="77777777" w:rsidR="008A3BAC" w:rsidRDefault="005C75B9">
      <w:hyperlink r:id="rId112" w:anchor="i46aba51c6a804f42b3595948c57d2023_7" w:history="1">
        <w:r>
          <w:rPr>
            <w:rStyle w:val="a5"/>
            <w:rFonts w:ascii="sans-serif" w:eastAsia="sans-serif" w:hAnsi="sans-serif" w:cs="sans-serif"/>
            <w:sz w:val="17"/>
            <w:szCs w:val="17"/>
          </w:rPr>
          <w:t>Table of Contents</w:t>
        </w:r>
      </w:hyperlink>
    </w:p>
    <w:p w14:paraId="26E9E719" w14:textId="77777777" w:rsidR="008A3BAC" w:rsidRDefault="008A3BAC"/>
    <w:p w14:paraId="26E9E71A" w14:textId="77777777" w:rsidR="008A3BAC" w:rsidRDefault="005C75B9">
      <w:pPr>
        <w:spacing w:before="120" w:after="120"/>
      </w:pPr>
      <w:r>
        <w:rPr>
          <w:rFonts w:ascii="Arial" w:eastAsia="宋体" w:hAnsi="Arial" w:cs="Arial"/>
          <w:color w:val="000000"/>
          <w:sz w:val="17"/>
          <w:szCs w:val="17"/>
        </w:rPr>
        <w:t xml:space="preserve">this change did not have a material impact on our results of operations or financial condition, and we do not anticipate it will have a </w:t>
      </w:r>
      <w:r>
        <w:rPr>
          <w:rFonts w:ascii="Arial" w:eastAsia="宋体" w:hAnsi="Arial" w:cs="Arial"/>
          <w:color w:val="000000"/>
          <w:sz w:val="17"/>
          <w:szCs w:val="17"/>
        </w:rPr>
        <w:t>material impact in future periods based on current rates.</w:t>
      </w:r>
    </w:p>
    <w:p w14:paraId="26E9E71B" w14:textId="77777777" w:rsidR="008A3BAC" w:rsidRDefault="005C75B9">
      <w:pPr>
        <w:spacing w:before="120"/>
      </w:pPr>
      <w:r>
        <w:rPr>
          <w:rFonts w:ascii="sans-serif" w:eastAsia="sans-serif" w:hAnsi="sans-serif" w:cs="sans-serif"/>
          <w:b/>
          <w:bCs/>
          <w:color w:val="808080"/>
          <w:sz w:val="22"/>
          <w:szCs w:val="22"/>
        </w:rPr>
        <w:t>MANAGING TRANSLATIONAL EXPOSURES</w:t>
      </w:r>
    </w:p>
    <w:p w14:paraId="26E9E71C" w14:textId="77777777" w:rsidR="008A3BAC" w:rsidRDefault="005C75B9">
      <w:pPr>
        <w:spacing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w:t>
      </w:r>
      <w:r>
        <w:rPr>
          <w:rFonts w:ascii="Arial" w:eastAsia="宋体" w:hAnsi="Arial" w:cs="Arial"/>
          <w:color w:val="000000"/>
          <w:sz w:val="17"/>
          <w:szCs w:val="17"/>
        </w:rPr>
        <w:t>se excess cash to purchase U.S. Dollar denominated available-for-sale investments. The variable future cash flows associated with the purchase and subsequent sale of these U.S. Dollar denominated investments at non-U.S. Dollar functional currency subsidiar</w:t>
      </w:r>
      <w:r>
        <w:rPr>
          <w:rFonts w:ascii="Arial" w:eastAsia="宋体" w:hAnsi="Arial" w:cs="Arial"/>
          <w:color w:val="000000"/>
          <w:sz w:val="17"/>
          <w:szCs w:val="17"/>
        </w:rPr>
        <w:t>ies creates a foreign currency exposure that qualifies for hedge accounting under U.S. GAAP. We utilize forward contracts and/or options to mitigate the variability of the forecasted future purchases and sales of these U.S. Dollar investments. The combinat</w:t>
      </w:r>
      <w:r>
        <w:rPr>
          <w:rFonts w:ascii="Arial" w:eastAsia="宋体" w:hAnsi="Arial" w:cs="Arial"/>
          <w:color w:val="000000"/>
          <w:sz w:val="17"/>
          <w:szCs w:val="17"/>
        </w:rPr>
        <w:t>ion of the purchase and sale of the U.S. Dollar investment and the hedging instrument has the effect of partially offsetting the year-over-year foreign currency translation impact on net earnings in the period the investments are sold. Hedges of the purcha</w:t>
      </w:r>
      <w:r>
        <w:rPr>
          <w:rFonts w:ascii="Arial" w:eastAsia="宋体" w:hAnsi="Arial" w:cs="Arial"/>
          <w:color w:val="000000"/>
          <w:sz w:val="17"/>
          <w:szCs w:val="17"/>
        </w:rPr>
        <w:t xml:space="preserve">se of U.S. Dollar denominated available-for-sale investments are accounted for as cash flow hedges. </w:t>
      </w:r>
    </w:p>
    <w:p w14:paraId="26E9E71D" w14:textId="77777777" w:rsidR="008A3BAC" w:rsidRDefault="005C75B9">
      <w:pPr>
        <w:spacing w:before="120"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w:t>
      </w:r>
      <w:r>
        <w:rPr>
          <w:rFonts w:ascii="Arial" w:eastAsia="宋体" w:hAnsi="Arial" w:cs="Arial"/>
          <w:color w:val="000000"/>
          <w:sz w:val="17"/>
          <w:szCs w:val="17"/>
        </w:rPr>
        <w:t>gn currency related gains and losses included in Other (income) expense, net had a favorable impact of approximately $3 million and $170 million on our Income before income taxes for the three and nine months ended February 28, 2022, respectively.</w:t>
      </w:r>
    </w:p>
    <w:p w14:paraId="26E9E71E" w14:textId="77777777" w:rsidR="008A3BAC" w:rsidRDefault="005C75B9">
      <w:pPr>
        <w:spacing w:before="300" w:after="120"/>
      </w:pPr>
      <w:r>
        <w:rPr>
          <w:rFonts w:ascii="sans-serif" w:eastAsia="sans-serif" w:hAnsi="sans-serif" w:cs="sans-serif"/>
          <w:b/>
          <w:bCs/>
          <w:color w:val="E87722"/>
          <w:sz w:val="36"/>
          <w:szCs w:val="36"/>
        </w:rPr>
        <w:t>LIQUIDIT</w:t>
      </w:r>
      <w:r>
        <w:rPr>
          <w:rFonts w:ascii="sans-serif" w:eastAsia="sans-serif" w:hAnsi="sans-serif" w:cs="sans-serif"/>
          <w:b/>
          <w:bCs/>
          <w:color w:val="E87722"/>
          <w:sz w:val="36"/>
          <w:szCs w:val="36"/>
        </w:rPr>
        <w:t>Y AND CAPITAL RESOURCES</w:t>
      </w:r>
    </w:p>
    <w:p w14:paraId="26E9E71F" w14:textId="77777777" w:rsidR="008A3BAC" w:rsidRDefault="005C75B9">
      <w:pPr>
        <w:spacing w:before="240" w:after="120"/>
      </w:pPr>
      <w:r>
        <w:rPr>
          <w:rFonts w:ascii="sans-serif" w:eastAsia="sans-serif" w:hAnsi="sans-serif" w:cs="sans-serif"/>
          <w:b/>
          <w:bCs/>
          <w:color w:val="000000"/>
          <w:sz w:val="28"/>
          <w:szCs w:val="28"/>
        </w:rPr>
        <w:t>CASH FLOW ACTIVITY</w:t>
      </w:r>
    </w:p>
    <w:p w14:paraId="26E9E720" w14:textId="77777777" w:rsidR="008A3BAC" w:rsidRDefault="005C75B9">
      <w:pPr>
        <w:spacing w:before="120" w:after="120"/>
      </w:pPr>
      <w:r>
        <w:rPr>
          <w:rFonts w:ascii="Arial" w:eastAsia="宋体" w:hAnsi="Arial" w:cs="Arial"/>
          <w:color w:val="000000"/>
          <w:sz w:val="17"/>
          <w:szCs w:val="17"/>
        </w:rPr>
        <w:t>Cash provided (used) by operations was an inflow of $4,037 million for the first nine months of fiscal 2022, compared to $4,645 million for the first nine months of fiscal 2021. Net income, adjusted for non-cash i</w:t>
      </w:r>
      <w:r>
        <w:rPr>
          <w:rFonts w:ascii="Arial" w:eastAsia="宋体" w:hAnsi="Arial" w:cs="Arial"/>
          <w:color w:val="000000"/>
          <w:sz w:val="17"/>
          <w:szCs w:val="17"/>
        </w:rPr>
        <w:t>tems, generated $5,387 million of operating cash inflow for the first nine months of fiscal 2022, compared to $4,840 million for the first nine months of fiscal 2021. The net change in working capital and other assets and liabilities resulted in a decrease</w:t>
      </w:r>
      <w:r>
        <w:rPr>
          <w:rFonts w:ascii="Arial" w:eastAsia="宋体" w:hAnsi="Arial" w:cs="Arial"/>
          <w:color w:val="000000"/>
          <w:sz w:val="17"/>
          <w:szCs w:val="17"/>
        </w:rPr>
        <w:t xml:space="preserv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$1,350 million for the first nine months of fiscal 2022 compared to $195 million for the first nine months of fiscal 2021. For the first nine months of fiscal 2022, the net change in working capital compared to the</w:t>
      </w:r>
      <w:r>
        <w:rPr>
          <w:rFonts w:ascii="Arial" w:eastAsia="宋体" w:hAnsi="Arial" w:cs="Arial"/>
          <w:color w:val="000000"/>
          <w:sz w:val="17"/>
          <w:szCs w:val="17"/>
        </w:rPr>
        <w:t xml:space="preserve"> prior year was primarily driven by unfavorable impacts to Cash provided (used) by operations from Inventories of $1,546 million, partially offset by favorable impacts from Accounts receivable of $1,303 million. These changes are, in part, due to supply ch</w:t>
      </w:r>
      <w:r>
        <w:rPr>
          <w:rFonts w:ascii="Arial" w:eastAsia="宋体" w:hAnsi="Arial" w:cs="Arial"/>
          <w:color w:val="000000"/>
          <w:sz w:val="17"/>
          <w:szCs w:val="17"/>
        </w:rPr>
        <w:t xml:space="preserve">ain constraints, which caused higher levels of in-transit inventory and therefore a lower supply of available inventory to meet consumer demand. </w:t>
      </w:r>
    </w:p>
    <w:p w14:paraId="26E9E721" w14:textId="77777777" w:rsidR="008A3BAC" w:rsidRDefault="005C75B9">
      <w:pPr>
        <w:spacing w:before="120" w:after="120"/>
      </w:pPr>
      <w:r>
        <w:rPr>
          <w:rFonts w:ascii="Arial" w:eastAsia="宋体" w:hAnsi="Arial" w:cs="Arial"/>
          <w:color w:val="000000"/>
          <w:sz w:val="17"/>
          <w:szCs w:val="17"/>
        </w:rPr>
        <w:t>Cash provided (used) by investing activities was an outflow of $1,711 million for the first nine months of fis</w:t>
      </w:r>
      <w:r>
        <w:rPr>
          <w:rFonts w:ascii="Arial" w:eastAsia="宋体" w:hAnsi="Arial" w:cs="Arial"/>
          <w:color w:val="000000"/>
          <w:sz w:val="17"/>
          <w:szCs w:val="17"/>
        </w:rPr>
        <w:t>cal 2022, compared to $3,987 million for the first nine months of fiscal 2021, primarily driven by the net change in short-term investments. For the first nine months of fiscal 2022, the net change in short-term investments (including sales, maturities and</w:t>
      </w:r>
      <w:r>
        <w:rPr>
          <w:rFonts w:ascii="Arial" w:eastAsia="宋体" w:hAnsi="Arial" w:cs="Arial"/>
          <w:color w:val="000000"/>
          <w:sz w:val="17"/>
          <w:szCs w:val="17"/>
        </w:rPr>
        <w:t xml:space="preserve"> purchases) resulted in a cash outflow of $1,156 million compared to a cash outflow of $3,650 million for the first nine months of fiscal 2021.</w:t>
      </w:r>
    </w:p>
    <w:p w14:paraId="26E9E722" w14:textId="77777777" w:rsidR="008A3BAC" w:rsidRDefault="005C75B9">
      <w:pPr>
        <w:spacing w:before="120" w:after="120"/>
      </w:pPr>
      <w:r>
        <w:rPr>
          <w:rFonts w:ascii="Arial" w:eastAsia="宋体" w:hAnsi="Arial" w:cs="Arial"/>
          <w:color w:val="000000"/>
          <w:sz w:val="17"/>
          <w:szCs w:val="17"/>
        </w:rPr>
        <w:t>Cash provided (used) by financing activities was an outflow of $3,456 million for the first nine months of fisca</w:t>
      </w:r>
      <w:r>
        <w:rPr>
          <w:rFonts w:ascii="Arial" w:eastAsia="宋体" w:hAnsi="Arial" w:cs="Arial"/>
          <w:color w:val="000000"/>
          <w:sz w:val="17"/>
          <w:szCs w:val="17"/>
        </w:rPr>
        <w:t>l 2022 compared to $612 million for the first nine months of fiscal 2021. The increased outflow in the first nine months of fiscal 2022 was driven by our resumption of the share repurchase program in the fourth quarter of fiscal 2021, resulting in $2,923 m</w:t>
      </w:r>
      <w:r>
        <w:rPr>
          <w:rFonts w:ascii="Arial" w:eastAsia="宋体" w:hAnsi="Arial" w:cs="Arial"/>
          <w:color w:val="000000"/>
          <w:sz w:val="17"/>
          <w:szCs w:val="17"/>
        </w:rPr>
        <w:t>illion of share repurchases for the first nine months of fiscal 2022 compared to no share repurchases in the first nine months of fiscal 2021.</w:t>
      </w:r>
    </w:p>
    <w:p w14:paraId="26E9E723" w14:textId="77777777" w:rsidR="008A3BAC" w:rsidRDefault="005C75B9">
      <w:pPr>
        <w:spacing w:before="120" w:after="120"/>
      </w:pPr>
      <w:r>
        <w:rPr>
          <w:rFonts w:ascii="Arial" w:eastAsia="宋体" w:hAnsi="Arial" w:cs="Arial"/>
          <w:color w:val="000000"/>
          <w:sz w:val="17"/>
          <w:szCs w:val="17"/>
        </w:rPr>
        <w:t>During the first nine months of fiscal 2022, we repurchased 18.9 million shares of NIKE's Class B Common Stock fo</w:t>
      </w:r>
      <w:r>
        <w:rPr>
          <w:rFonts w:ascii="Arial" w:eastAsia="宋体" w:hAnsi="Arial" w:cs="Arial"/>
          <w:color w:val="000000"/>
          <w:sz w:val="17"/>
          <w:szCs w:val="17"/>
        </w:rPr>
        <w:t>r $2.9 billion (an average price of $155.28 per share) under the four-year, $15 billion share repurchase program approved by the Board of Directors in June 2018. As of February 28, 2022, we had repurchased 68.9 million shares at a cost of approximately $7.</w:t>
      </w:r>
      <w:r>
        <w:rPr>
          <w:rFonts w:ascii="Arial" w:eastAsia="宋体" w:hAnsi="Arial" w:cs="Arial"/>
          <w:color w:val="000000"/>
          <w:sz w:val="17"/>
          <w:szCs w:val="17"/>
        </w:rPr>
        <w:t>6 billion (an average price of $110.31 per share) under this program. We continue to expect funding of share repurchases will come from operating cash flows and excess cash. The timing and the amount of share repurchases will be dictated by our capital nee</w:t>
      </w:r>
      <w:r>
        <w:rPr>
          <w:rFonts w:ascii="Arial" w:eastAsia="宋体" w:hAnsi="Arial" w:cs="Arial"/>
          <w:color w:val="000000"/>
          <w:sz w:val="17"/>
          <w:szCs w:val="17"/>
        </w:rPr>
        <w:t xml:space="preserve">ds and stock market conditions. </w:t>
      </w:r>
    </w:p>
    <w:p w14:paraId="26E9E724" w14:textId="77777777" w:rsidR="008A3BAC" w:rsidRDefault="005C75B9">
      <w:pPr>
        <w:spacing w:before="240" w:after="120"/>
      </w:pPr>
      <w:r>
        <w:rPr>
          <w:rFonts w:ascii="sans-serif" w:eastAsia="sans-serif" w:hAnsi="sans-serif" w:cs="sans-serif"/>
          <w:b/>
          <w:bCs/>
          <w:color w:val="000000"/>
          <w:sz w:val="28"/>
          <w:szCs w:val="28"/>
        </w:rPr>
        <w:t>CAPITAL RESOURCES</w:t>
      </w:r>
    </w:p>
    <w:p w14:paraId="26E9E725" w14:textId="77777777" w:rsidR="008A3BAC" w:rsidRDefault="005C75B9">
      <w:pPr>
        <w:spacing w:before="120" w:after="120"/>
      </w:pPr>
      <w:r>
        <w:rPr>
          <w:rFonts w:ascii="Arial" w:eastAsia="宋体" w:hAnsi="Arial" w:cs="Arial"/>
          <w:color w:val="000000"/>
          <w:sz w:val="17"/>
          <w:szCs w:val="17"/>
        </w:rPr>
        <w:t xml:space="preserve">On July 23, 2019, we filed a shelf registration statement (the “Shelf”) with the U.S. Securities and Exchange Commission (SEC) which permits us to issue an unlimited amount of debt securities from time </w:t>
      </w:r>
      <w:r>
        <w:rPr>
          <w:rFonts w:ascii="Arial" w:eastAsia="宋体" w:hAnsi="Arial" w:cs="Arial"/>
          <w:color w:val="000000"/>
          <w:sz w:val="17"/>
          <w:szCs w:val="17"/>
        </w:rPr>
        <w:t>to time. The Shelf expires on July 23, 2022.</w:t>
      </w:r>
    </w:p>
    <w:p w14:paraId="26E9E726" w14:textId="77777777" w:rsidR="008A3BAC" w:rsidRDefault="005C75B9">
      <w:pPr>
        <w:spacing w:before="120" w:after="120"/>
      </w:pPr>
      <w:r>
        <w:rPr>
          <w:rFonts w:ascii="Arial" w:eastAsia="宋体" w:hAnsi="Arial" w:cs="Arial"/>
          <w:color w:val="000000"/>
          <w:sz w:val="17"/>
          <w:szCs w:val="17"/>
        </w:rPr>
        <w:t>As of February 28, 2022, our committed credit facilities were unchanged from the information previously reported on Form 10-K for the fiscal year ended May 31, 2021. We currently have long-term debt ratings of A</w:t>
      </w:r>
      <w:r>
        <w:rPr>
          <w:rFonts w:ascii="Arial" w:eastAsia="宋体" w:hAnsi="Arial" w:cs="Arial"/>
          <w:color w:val="000000"/>
          <w:sz w:val="17"/>
          <w:szCs w:val="17"/>
        </w:rPr>
        <w:t>A- and A1 from Standard and Poor's Corporation and Moody's Investor Services, respectively. Any changes to these ratings could result in interest rate and facility fee changes. As of February 28, 2022, we were in full compliance with the covenants under ou</w:t>
      </w:r>
      <w:r>
        <w:rPr>
          <w:rFonts w:ascii="Arial" w:eastAsia="宋体" w:hAnsi="Arial" w:cs="Arial"/>
          <w:color w:val="000000"/>
          <w:sz w:val="17"/>
          <w:szCs w:val="17"/>
        </w:rPr>
        <w:t>r facilities and believe it is unlikely we will fail to meet any of the covenants in the foreseeable future. As of February 28, 2022 and May 31, 2021, no amounts were outstanding under our committed credit facilities.</w:t>
      </w:r>
    </w:p>
    <w:p w14:paraId="26E9E727" w14:textId="77777777" w:rsidR="008A3BAC" w:rsidRDefault="005C75B9">
      <w:pPr>
        <w:spacing w:before="120" w:after="120"/>
        <w:jc w:val="right"/>
      </w:pPr>
      <w:r>
        <w:rPr>
          <w:rFonts w:ascii="Arial" w:eastAsia="宋体" w:hAnsi="Arial" w:cs="Arial"/>
          <w:color w:val="E87722"/>
          <w:sz w:val="17"/>
          <w:szCs w:val="17"/>
        </w:rPr>
        <w:t>43</w:t>
      </w:r>
    </w:p>
    <w:p w14:paraId="26E9E728" w14:textId="77777777" w:rsidR="008A3BAC" w:rsidRDefault="005C75B9">
      <w:r>
        <w:pict w14:anchorId="26E9E872">
          <v:rect id="_x0000_i1069" style="width:415.3pt;height:1.5pt" o:hralign="center" o:hrstd="t" o:hr="t" fillcolor="#a0a0a0" stroked="f"/>
        </w:pict>
      </w:r>
    </w:p>
    <w:p w14:paraId="26E9E729" w14:textId="77777777" w:rsidR="008A3BAC" w:rsidRDefault="008A3BAC"/>
    <w:p w14:paraId="26E9E72A" w14:textId="77777777" w:rsidR="008A3BAC" w:rsidRDefault="005C75B9">
      <w:hyperlink r:id="rId113" w:anchor="i46aba51c6a804f42b3595948c57d2023_7" w:history="1">
        <w:r>
          <w:rPr>
            <w:rStyle w:val="a5"/>
            <w:rFonts w:ascii="sans-serif" w:eastAsia="sans-serif" w:hAnsi="sans-serif" w:cs="sans-serif"/>
            <w:sz w:val="17"/>
            <w:szCs w:val="17"/>
          </w:rPr>
          <w:t>Table of Contents</w:t>
        </w:r>
      </w:hyperlink>
    </w:p>
    <w:p w14:paraId="26E9E72B" w14:textId="77777777" w:rsidR="008A3BAC" w:rsidRDefault="008A3BAC"/>
    <w:p w14:paraId="26E9E72C" w14:textId="77777777" w:rsidR="008A3BAC" w:rsidRDefault="005C75B9">
      <w:pPr>
        <w:spacing w:before="120" w:after="120"/>
      </w:pPr>
      <w:r>
        <w:rPr>
          <w:rFonts w:ascii="Arial" w:eastAsia="宋体" w:hAnsi="Arial" w:cs="Arial"/>
          <w:color w:val="000000"/>
          <w:sz w:val="17"/>
          <w:szCs w:val="17"/>
        </w:rPr>
        <w:t>On March 11, 2022, subsequent to the end of the third quarter of fiscal 2022, we ente</w:t>
      </w:r>
      <w:r>
        <w:rPr>
          <w:rFonts w:ascii="Arial" w:eastAsia="宋体" w:hAnsi="Arial" w:cs="Arial"/>
          <w:color w:val="000000"/>
          <w:sz w:val="17"/>
          <w:szCs w:val="17"/>
        </w:rPr>
        <w:t>red into a 364-day committed credit facility agreement with a syndicate of banks which provides for up to $1 billion of borrowings, with the option to increase borrowings up to $1.5 billion in total with lender approval. The facility matures on March 10, 2</w:t>
      </w:r>
      <w:r>
        <w:rPr>
          <w:rFonts w:ascii="Arial" w:eastAsia="宋体" w:hAnsi="Arial" w:cs="Arial"/>
          <w:color w:val="000000"/>
          <w:sz w:val="17"/>
          <w:szCs w:val="17"/>
        </w:rPr>
        <w:t>023, with an option to extend the maturity date an additional 364 days. This facility replaces the prior $1 billion 364-day credit facility agreement entered into on March 15, 2021, which would have matured on March 14, 2022. Refer to Note 5 — Short-Term B</w:t>
      </w:r>
      <w:r>
        <w:rPr>
          <w:rFonts w:ascii="Arial" w:eastAsia="宋体" w:hAnsi="Arial" w:cs="Arial"/>
          <w:color w:val="000000"/>
          <w:sz w:val="17"/>
          <w:szCs w:val="17"/>
        </w:rPr>
        <w:t>orrowings and Credit Lines for more information.</w:t>
      </w:r>
    </w:p>
    <w:p w14:paraId="26E9E72D" w14:textId="77777777" w:rsidR="008A3BAC" w:rsidRDefault="005C75B9">
      <w:pPr>
        <w:spacing w:before="120" w:after="120"/>
      </w:pPr>
      <w:r>
        <w:rPr>
          <w:rFonts w:ascii="Arial" w:eastAsia="宋体" w:hAnsi="Arial" w:cs="Arial"/>
          <w:color w:val="000000"/>
          <w:sz w:val="17"/>
          <w:szCs w:val="17"/>
        </w:rPr>
        <w:t xml:space="preserve">On March 11, 2022, we also entered into a five-year committed credit facility agreement with a syndicate of banks which provides for up to $2 billion of borrowings, with the option to increase borrowings up </w:t>
      </w:r>
      <w:r>
        <w:rPr>
          <w:rFonts w:ascii="Arial" w:eastAsia="宋体" w:hAnsi="Arial" w:cs="Arial"/>
          <w:color w:val="000000"/>
          <w:sz w:val="17"/>
          <w:szCs w:val="17"/>
        </w:rPr>
        <w:t>to $3 billion in total with lender approval. The facility matures on March 11, 2027, with options to extend the maturity date up to an additional two years. This facility replaces the prior $2 billion five-year credit facility agreement entered into on Aug</w:t>
      </w:r>
      <w:r>
        <w:rPr>
          <w:rFonts w:ascii="Arial" w:eastAsia="宋体" w:hAnsi="Arial" w:cs="Arial"/>
          <w:color w:val="000000"/>
          <w:sz w:val="17"/>
          <w:szCs w:val="17"/>
        </w:rPr>
        <w:t>ust 16, 2019, which would have matured on August 16, 2024. Refer to Note 5 — Short-Term Borrowings and Credit Lines for more information.</w:t>
      </w:r>
    </w:p>
    <w:p w14:paraId="26E9E72E" w14:textId="77777777" w:rsidR="008A3BAC" w:rsidRDefault="005C75B9">
      <w:pPr>
        <w:spacing w:before="120" w:after="120"/>
      </w:pPr>
      <w:r>
        <w:rPr>
          <w:rFonts w:ascii="Arial" w:eastAsia="宋体" w:hAnsi="Arial" w:cs="Arial"/>
          <w:color w:val="000000"/>
          <w:sz w:val="17"/>
          <w:szCs w:val="17"/>
        </w:rPr>
        <w:t>Liquidity was also provided by our $3 billion commercial paper program. As of and for the three months ended February </w:t>
      </w:r>
      <w:r>
        <w:rPr>
          <w:rFonts w:ascii="Arial" w:eastAsia="宋体" w:hAnsi="Arial" w:cs="Arial"/>
          <w:color w:val="000000"/>
          <w:sz w:val="17"/>
          <w:szCs w:val="17"/>
        </w:rPr>
        <w:t>28, 2022, we did not have any borrowings outstanding under our $3 billion program. We may issue commercial paper or other debt securities depending on general corporate needs. We currently have short-term debt ratings of A1+ and P1 from Standard and Poor's</w:t>
      </w:r>
      <w:r>
        <w:rPr>
          <w:rFonts w:ascii="Arial" w:eastAsia="宋体" w:hAnsi="Arial" w:cs="Arial"/>
          <w:color w:val="000000"/>
          <w:sz w:val="17"/>
          <w:szCs w:val="17"/>
        </w:rPr>
        <w:t xml:space="preserve"> Corporation and Moody's Investor Services, respectively. </w:t>
      </w:r>
    </w:p>
    <w:p w14:paraId="26E9E72F" w14:textId="77777777" w:rsidR="008A3BAC" w:rsidRDefault="005C75B9">
      <w:pPr>
        <w:spacing w:before="120" w:after="120"/>
      </w:pPr>
      <w:r>
        <w:rPr>
          <w:rFonts w:ascii="Arial" w:eastAsia="宋体" w:hAnsi="Arial" w:cs="Arial"/>
          <w:color w:val="000000"/>
          <w:sz w:val="17"/>
          <w:szCs w:val="17"/>
        </w:rPr>
        <w:t>To date, in fiscal 2022, we have not experienced difficulty accessing the credit markets; however, future volatility in the capital markets may increase costs associated with issuing commercial pap</w:t>
      </w:r>
      <w:r>
        <w:rPr>
          <w:rFonts w:ascii="Arial" w:eastAsia="宋体" w:hAnsi="Arial" w:cs="Arial"/>
          <w:color w:val="000000"/>
          <w:sz w:val="17"/>
          <w:szCs w:val="17"/>
        </w:rPr>
        <w:t>er or other debt instruments or affect our ability to access those markets.</w:t>
      </w:r>
    </w:p>
    <w:p w14:paraId="26E9E730" w14:textId="77777777" w:rsidR="008A3BAC" w:rsidRDefault="005C75B9">
      <w:pPr>
        <w:spacing w:before="120" w:after="120"/>
      </w:pPr>
      <w:r>
        <w:rPr>
          <w:rFonts w:ascii="Arial" w:eastAsia="宋体" w:hAnsi="Arial" w:cs="Arial"/>
          <w:color w:val="000000"/>
          <w:sz w:val="17"/>
          <w:szCs w:val="17"/>
        </w:rPr>
        <w:t>As of February 28, 2022, we had cash, cash equivalents and short-term investments totaling $13.5 billion, primarily consisting of commercial paper, corporate notes, deposits held a</w:t>
      </w:r>
      <w:r>
        <w:rPr>
          <w:rFonts w:ascii="Arial" w:eastAsia="宋体" w:hAnsi="Arial" w:cs="Arial"/>
          <w:color w:val="000000"/>
          <w:sz w:val="17"/>
          <w:szCs w:val="17"/>
        </w:rPr>
        <w:t>t major banks, money market funds, U.S. Treasury obligations and other investment grade fixed-income securities. Our fixed-income investments are exposed to both credit and interest rate risk. All of our investments are investment grade to minimize our cre</w:t>
      </w:r>
      <w:r>
        <w:rPr>
          <w:rFonts w:ascii="Arial" w:eastAsia="宋体" w:hAnsi="Arial" w:cs="Arial"/>
          <w:color w:val="000000"/>
          <w:sz w:val="17"/>
          <w:szCs w:val="17"/>
        </w:rPr>
        <w:t>dit risk. While individual securities have varying durations, as of February 28, 2022, the weighted average days to maturity of our cash equivalents and short-term investments portfolio was 59 days.</w:t>
      </w:r>
    </w:p>
    <w:p w14:paraId="26E9E731" w14:textId="77777777" w:rsidR="008A3BAC" w:rsidRDefault="005C75B9">
      <w:pPr>
        <w:spacing w:before="120" w:after="120"/>
      </w:pPr>
      <w:r>
        <w:rPr>
          <w:rFonts w:ascii="Arial" w:eastAsia="宋体" w:hAnsi="Arial" w:cs="Arial"/>
          <w:color w:val="000000"/>
          <w:sz w:val="17"/>
          <w:szCs w:val="17"/>
        </w:rPr>
        <w:t>We believe that existing cash, cash equivalents, short-te</w:t>
      </w:r>
      <w:r>
        <w:rPr>
          <w:rFonts w:ascii="Arial" w:eastAsia="宋体" w:hAnsi="Arial" w:cs="Arial"/>
          <w:color w:val="000000"/>
          <w:sz w:val="17"/>
          <w:szCs w:val="17"/>
        </w:rPr>
        <w:t>rm investments and cash generated by operations, together with access to external sources of funds as described above, will be sufficient to meet our domestic and foreign capital needs in the foreseeable future.</w:t>
      </w:r>
    </w:p>
    <w:p w14:paraId="26E9E732" w14:textId="77777777" w:rsidR="008A3BAC" w:rsidRDefault="005C75B9">
      <w:pPr>
        <w:spacing w:before="120" w:after="120"/>
      </w:pPr>
      <w:r>
        <w:rPr>
          <w:rFonts w:ascii="Arial" w:eastAsia="宋体" w:hAnsi="Arial" w:cs="Arial"/>
          <w:color w:val="000000"/>
          <w:sz w:val="17"/>
          <w:szCs w:val="17"/>
        </w:rPr>
        <w:t>We utilize a variety of tax planning and fin</w:t>
      </w:r>
      <w:r>
        <w:rPr>
          <w:rFonts w:ascii="Arial" w:eastAsia="宋体" w:hAnsi="Arial" w:cs="Arial"/>
          <w:color w:val="000000"/>
          <w:sz w:val="17"/>
          <w:szCs w:val="17"/>
        </w:rPr>
        <w:t>ancing strategies to manage our worldwide cash and deploy funds to locations where they are needed. We indefinitely reinvest a significant portion of our foreign earnings, and our current plans do not demonstrate a need to repatriate these earnings. Should</w:t>
      </w:r>
      <w:r>
        <w:rPr>
          <w:rFonts w:ascii="Arial" w:eastAsia="宋体" w:hAnsi="Arial" w:cs="Arial"/>
          <w:color w:val="000000"/>
          <w:sz w:val="17"/>
          <w:szCs w:val="17"/>
        </w:rPr>
        <w:t xml:space="preserve"> we require additional capital in the United States, we may determine to repatriate indefinitely reinvested foreign funds or raise capital in the United States through debt. Given our existing structure, if we were to repatriate indefinitely reinvested for</w:t>
      </w:r>
      <w:r>
        <w:rPr>
          <w:rFonts w:ascii="Arial" w:eastAsia="宋体" w:hAnsi="Arial" w:cs="Arial"/>
          <w:color w:val="000000"/>
          <w:sz w:val="17"/>
          <w:szCs w:val="17"/>
        </w:rPr>
        <w:t>eign earnings, we would be required to accrue and pay withholding taxes in certain foreign jurisdictions.</w:t>
      </w:r>
    </w:p>
    <w:p w14:paraId="26E9E733" w14:textId="77777777" w:rsidR="008A3BAC" w:rsidRDefault="005C75B9">
      <w:pPr>
        <w:spacing w:before="240" w:after="120"/>
      </w:pPr>
      <w:r>
        <w:rPr>
          <w:rFonts w:ascii="sans-serif" w:eastAsia="sans-serif" w:hAnsi="sans-serif" w:cs="sans-serif"/>
          <w:b/>
          <w:bCs/>
          <w:color w:val="000000"/>
          <w:sz w:val="28"/>
          <w:szCs w:val="28"/>
        </w:rPr>
        <w:t>OFF-BALANCE SHEET ARRANGEMENTS</w:t>
      </w:r>
    </w:p>
    <w:p w14:paraId="26E9E734" w14:textId="77777777" w:rsidR="008A3BAC" w:rsidRDefault="005C75B9">
      <w:pPr>
        <w:spacing w:before="120" w:after="120"/>
      </w:pPr>
      <w:r>
        <w:rPr>
          <w:rFonts w:ascii="Arial" w:eastAsia="宋体" w:hAnsi="Arial" w:cs="Arial"/>
          <w:color w:val="000000"/>
          <w:sz w:val="17"/>
          <w:szCs w:val="17"/>
        </w:rPr>
        <w:t>As of February 28, 2022, we did not have any off-balance sheet arrangements that have, or are reasonably likely to have</w:t>
      </w:r>
      <w:r>
        <w:rPr>
          <w:rFonts w:ascii="Arial" w:eastAsia="宋体" w:hAnsi="Arial" w:cs="Arial"/>
          <w:color w:val="000000"/>
          <w:sz w:val="17"/>
          <w:szCs w:val="17"/>
        </w:rPr>
        <w:t>, a material effect on our current or future financial condition, results of operations, liquidity, capital expenditures or capital resources.</w:t>
      </w:r>
    </w:p>
    <w:p w14:paraId="26E9E735" w14:textId="77777777" w:rsidR="008A3BAC" w:rsidRDefault="005C75B9">
      <w:pPr>
        <w:spacing w:before="240" w:after="120"/>
      </w:pPr>
      <w:r>
        <w:rPr>
          <w:rFonts w:ascii="sans-serif" w:eastAsia="sans-serif" w:hAnsi="sans-serif" w:cs="sans-serif"/>
          <w:b/>
          <w:bCs/>
          <w:color w:val="000000"/>
          <w:sz w:val="28"/>
          <w:szCs w:val="28"/>
        </w:rPr>
        <w:t>CONTRACTUAL OBLIGATIONS</w:t>
      </w:r>
    </w:p>
    <w:p w14:paraId="26E9E736" w14:textId="77777777" w:rsidR="008A3BAC" w:rsidRDefault="005C75B9">
      <w:pPr>
        <w:spacing w:before="120" w:after="120"/>
      </w:pPr>
      <w:r>
        <w:rPr>
          <w:rFonts w:ascii="Arial" w:eastAsia="宋体" w:hAnsi="Arial" w:cs="Arial"/>
          <w:color w:val="000000"/>
          <w:sz w:val="17"/>
          <w:szCs w:val="17"/>
        </w:rPr>
        <w:t>There have been no significant changes to the contractual obligations reported in our Ann</w:t>
      </w:r>
      <w:r>
        <w:rPr>
          <w:rFonts w:ascii="Arial" w:eastAsia="宋体" w:hAnsi="Arial" w:cs="Arial"/>
          <w:color w:val="000000"/>
          <w:sz w:val="17"/>
          <w:szCs w:val="17"/>
        </w:rPr>
        <w:t>ual Report on Form 10-K for the fiscal year ended May 31, 2021.</w:t>
      </w:r>
    </w:p>
    <w:p w14:paraId="26E9E737" w14:textId="77777777" w:rsidR="008A3BAC" w:rsidRDefault="005C75B9">
      <w:pPr>
        <w:spacing w:before="300" w:after="120"/>
      </w:pPr>
      <w:r>
        <w:rPr>
          <w:rFonts w:ascii="sans-serif" w:eastAsia="sans-serif" w:hAnsi="sans-serif" w:cs="sans-serif"/>
          <w:b/>
          <w:bCs/>
          <w:color w:val="E87722"/>
          <w:sz w:val="36"/>
          <w:szCs w:val="36"/>
        </w:rPr>
        <w:t>NEW ACCOUNTING PRONOUNCEMENTS</w:t>
      </w:r>
    </w:p>
    <w:p w14:paraId="26E9E738" w14:textId="77777777" w:rsidR="008A3BAC" w:rsidRDefault="005C75B9">
      <w:pPr>
        <w:spacing w:before="120" w:after="120"/>
      </w:pPr>
      <w:r>
        <w:rPr>
          <w:rFonts w:ascii="Arial" w:eastAsia="宋体" w:hAnsi="Arial" w:cs="Arial"/>
          <w:color w:val="000000"/>
          <w:sz w:val="17"/>
          <w:szCs w:val="17"/>
        </w:rPr>
        <w:t xml:space="preserve">There have been no material changes in recently issued or adopted accounting standards from those disclosed in our Annual Report on Form 10-K for the fiscal year </w:t>
      </w:r>
      <w:r>
        <w:rPr>
          <w:rFonts w:ascii="Arial" w:eastAsia="宋体" w:hAnsi="Arial" w:cs="Arial"/>
          <w:color w:val="000000"/>
          <w:sz w:val="17"/>
          <w:szCs w:val="17"/>
        </w:rPr>
        <w:t>ended May 31, 2021.</w:t>
      </w:r>
    </w:p>
    <w:p w14:paraId="26E9E739" w14:textId="77777777" w:rsidR="008A3BAC" w:rsidRDefault="005C75B9">
      <w:pPr>
        <w:spacing w:before="300" w:after="120"/>
      </w:pPr>
      <w:r>
        <w:rPr>
          <w:rFonts w:ascii="sans-serif" w:eastAsia="sans-serif" w:hAnsi="sans-serif" w:cs="sans-serif"/>
          <w:b/>
          <w:bCs/>
          <w:color w:val="E87722"/>
          <w:sz w:val="36"/>
          <w:szCs w:val="36"/>
        </w:rPr>
        <w:t>CRITICAL ACCOUNTING POLICIES</w:t>
      </w:r>
    </w:p>
    <w:p w14:paraId="26E9E73A" w14:textId="77777777" w:rsidR="008A3BAC" w:rsidRDefault="005C75B9">
      <w:pPr>
        <w:spacing w:before="120" w:after="120"/>
      </w:pPr>
      <w:r>
        <w:rPr>
          <w:rFonts w:ascii="Arial" w:eastAsia="宋体" w:hAnsi="Arial" w:cs="Arial"/>
          <w:color w:val="000000"/>
          <w:sz w:val="17"/>
          <w:szCs w:val="17"/>
        </w:rPr>
        <w:t>Our discussion and analysis of our financial condition and results of operations are based upon our Unaudited Condensed Consolidated Financial Statements, which have been prepared in accordance with accounting principles generally accepted in the United St</w:t>
      </w:r>
      <w:r>
        <w:rPr>
          <w:rFonts w:ascii="Arial" w:eastAsia="宋体" w:hAnsi="Arial" w:cs="Arial"/>
          <w:color w:val="000000"/>
          <w:sz w:val="17"/>
          <w:szCs w:val="17"/>
        </w:rPr>
        <w:t xml:space="preserve">ates of America. The preparation of these financial statements requires us to make estimates and judgments that affect the reported amounts of assets, liabilities, revenues and expenses and related disclosure of contingent assets and liabilities. </w:t>
      </w:r>
    </w:p>
    <w:p w14:paraId="26E9E73B" w14:textId="77777777" w:rsidR="008A3BAC" w:rsidRDefault="005C75B9">
      <w:pPr>
        <w:spacing w:before="120" w:after="120"/>
      </w:pPr>
      <w:r>
        <w:rPr>
          <w:rFonts w:ascii="Arial" w:eastAsia="宋体" w:hAnsi="Arial" w:cs="Arial"/>
          <w:color w:val="E87722"/>
          <w:sz w:val="17"/>
          <w:szCs w:val="17"/>
        </w:rPr>
        <w:t>44</w:t>
      </w:r>
      <w:r>
        <w:rPr>
          <w:rFonts w:ascii="sans-serif" w:eastAsia="sans-serif" w:hAnsi="sans-serif" w:cs="sans-serif"/>
          <w:color w:val="000000"/>
          <w:sz w:val="17"/>
          <w:szCs w:val="17"/>
        </w:rPr>
        <w:t xml:space="preserve"> </w:t>
      </w:r>
    </w:p>
    <w:p w14:paraId="26E9E73C" w14:textId="77777777" w:rsidR="008A3BAC" w:rsidRDefault="005C75B9">
      <w:r>
        <w:pict w14:anchorId="26E9E873">
          <v:rect id="_x0000_i1070" style="width:415.3pt;height:1.5pt" o:hralign="center" o:hrstd="t" o:hr="t" fillcolor="#a0a0a0" stroked="f"/>
        </w:pict>
      </w:r>
    </w:p>
    <w:p w14:paraId="26E9E73D" w14:textId="77777777" w:rsidR="008A3BAC" w:rsidRDefault="008A3BAC"/>
    <w:p w14:paraId="26E9E73E" w14:textId="77777777" w:rsidR="008A3BAC" w:rsidRDefault="005C75B9">
      <w:hyperlink r:id="rId114" w:anchor="i46aba51c6a804f42b3595948c57d2023_7" w:history="1">
        <w:r>
          <w:rPr>
            <w:rStyle w:val="a5"/>
            <w:rFonts w:ascii="sans-serif" w:eastAsia="sans-serif" w:hAnsi="sans-serif" w:cs="sans-serif"/>
            <w:sz w:val="17"/>
            <w:szCs w:val="17"/>
          </w:rPr>
          <w:t>Table of Contents</w:t>
        </w:r>
      </w:hyperlink>
    </w:p>
    <w:p w14:paraId="26E9E73F" w14:textId="77777777" w:rsidR="008A3BAC" w:rsidRDefault="008A3BAC"/>
    <w:p w14:paraId="26E9E740" w14:textId="77777777" w:rsidR="008A3BAC" w:rsidRDefault="005C75B9">
      <w:pPr>
        <w:spacing w:before="120" w:after="120"/>
      </w:pPr>
      <w:r>
        <w:rPr>
          <w:rFonts w:ascii="Arial" w:eastAsia="宋体" w:hAnsi="Arial" w:cs="Arial"/>
          <w:color w:val="000000"/>
          <w:sz w:val="17"/>
          <w:szCs w:val="17"/>
        </w:rPr>
        <w:t>We believe that the estimates, assumptions and judgments involved in the accounting p</w:t>
      </w:r>
      <w:r>
        <w:rPr>
          <w:rFonts w:ascii="Arial" w:eastAsia="宋体" w:hAnsi="Arial" w:cs="Arial"/>
          <w:color w:val="000000"/>
          <w:sz w:val="17"/>
          <w:szCs w:val="17"/>
        </w:rPr>
        <w:t>olicies described in the “Management's Discussion and Analysis of Financial Condition and Results of Operations” section of our most recent Annual Report on Form 10-K have the greatest potential impact on our financial statements, so we consider these to b</w:t>
      </w:r>
      <w:r>
        <w:rPr>
          <w:rFonts w:ascii="Arial" w:eastAsia="宋体" w:hAnsi="Arial" w:cs="Arial"/>
          <w:color w:val="000000"/>
          <w:sz w:val="17"/>
          <w:szCs w:val="17"/>
        </w:rPr>
        <w:t>e our critical accounting policies. Actual results could differ from the estimates we use in applying our critical accounting policies. We are not currently aware of any reasonably likely events or circumstances that would result in materially different am</w:t>
      </w:r>
      <w:r>
        <w:rPr>
          <w:rFonts w:ascii="Arial" w:eastAsia="宋体" w:hAnsi="Arial" w:cs="Arial"/>
          <w:color w:val="000000"/>
          <w:sz w:val="17"/>
          <w:szCs w:val="17"/>
        </w:rPr>
        <w:t>ounts being reported.</w:t>
      </w:r>
    </w:p>
    <w:p w14:paraId="26E9E741" w14:textId="77777777" w:rsidR="008A3BAC" w:rsidRDefault="005C75B9">
      <w:pPr>
        <w:spacing w:before="120" w:after="120"/>
        <w:jc w:val="right"/>
      </w:pPr>
      <w:r>
        <w:rPr>
          <w:rFonts w:ascii="Arial" w:eastAsia="宋体" w:hAnsi="Arial" w:cs="Arial"/>
          <w:color w:val="E87722"/>
          <w:sz w:val="17"/>
          <w:szCs w:val="17"/>
        </w:rPr>
        <w:t>45</w:t>
      </w:r>
    </w:p>
    <w:p w14:paraId="26E9E742" w14:textId="77777777" w:rsidR="008A3BAC" w:rsidRDefault="005C75B9">
      <w:r>
        <w:pict w14:anchorId="26E9E874">
          <v:rect id="_x0000_i1071" style="width:415.3pt;height:1.5pt" o:hralign="center" o:hrstd="t" o:hr="t" fillcolor="#a0a0a0" stroked="f"/>
        </w:pict>
      </w:r>
    </w:p>
    <w:p w14:paraId="26E9E743" w14:textId="77777777" w:rsidR="008A3BAC" w:rsidRDefault="008A3BAC"/>
    <w:p w14:paraId="26E9E744" w14:textId="77777777" w:rsidR="008A3BAC" w:rsidRDefault="005C75B9">
      <w:hyperlink r:id="rId115" w:anchor="i46aba51c6a804f42b3595948c57d2023_7" w:history="1">
        <w:r>
          <w:rPr>
            <w:rStyle w:val="a5"/>
            <w:rFonts w:ascii="sans-serif" w:eastAsia="sans-serif" w:hAnsi="sans-serif" w:cs="sans-serif"/>
            <w:sz w:val="17"/>
            <w:szCs w:val="17"/>
          </w:rPr>
          <w:t>Table of Contents</w:t>
        </w:r>
      </w:hyperlink>
    </w:p>
    <w:p w14:paraId="26E9E745" w14:textId="77777777" w:rsidR="008A3BAC" w:rsidRDefault="008A3BAC"/>
    <w:p w14:paraId="26E9E746" w14:textId="77777777" w:rsidR="008A3BAC" w:rsidRDefault="005C75B9">
      <w:pPr>
        <w:spacing w:before="360" w:after="180"/>
      </w:pPr>
      <w:r>
        <w:rPr>
          <w:rFonts w:ascii="sans-serif" w:eastAsia="sans-serif" w:hAnsi="sans-serif" w:cs="sans-serif"/>
          <w:color w:val="000000"/>
          <w:sz w:val="44"/>
          <w:szCs w:val="44"/>
        </w:rPr>
        <w:t>ITEM 3. QUANTITATIVE AND QUALITATIVE DISCLOSURES ABOUT MA</w:t>
      </w:r>
      <w:r>
        <w:rPr>
          <w:rFonts w:ascii="sans-serif" w:eastAsia="sans-serif" w:hAnsi="sans-serif" w:cs="sans-serif"/>
          <w:color w:val="000000"/>
          <w:sz w:val="44"/>
          <w:szCs w:val="44"/>
        </w:rPr>
        <w:t>RKET RISK</w:t>
      </w:r>
    </w:p>
    <w:p w14:paraId="26E9E747" w14:textId="77777777" w:rsidR="008A3BAC" w:rsidRDefault="005C75B9">
      <w:pPr>
        <w:spacing w:before="120" w:after="120"/>
      </w:pPr>
      <w:r>
        <w:rPr>
          <w:rFonts w:ascii="Arial" w:eastAsia="宋体" w:hAnsi="Arial" w:cs="Arial"/>
          <w:color w:val="000000"/>
          <w:sz w:val="17"/>
          <w:szCs w:val="17"/>
        </w:rPr>
        <w:t>There have been no material changes from the information previously reported under Part II, Item 7A of our Annual Report on Form 10-K for the fiscal year ended May 31, 2021.</w:t>
      </w:r>
    </w:p>
    <w:p w14:paraId="26E9E748" w14:textId="77777777" w:rsidR="008A3BAC" w:rsidRDefault="005C75B9">
      <w:pPr>
        <w:spacing w:before="360" w:after="180"/>
      </w:pPr>
      <w:r>
        <w:rPr>
          <w:rFonts w:ascii="sans-serif" w:eastAsia="sans-serif" w:hAnsi="sans-serif" w:cs="sans-serif"/>
          <w:color w:val="000000"/>
          <w:sz w:val="44"/>
          <w:szCs w:val="44"/>
        </w:rPr>
        <w:t>ITEM 4. CONTROLS AND PROCEDURES</w:t>
      </w:r>
    </w:p>
    <w:p w14:paraId="26E9E749" w14:textId="77777777" w:rsidR="008A3BAC" w:rsidRDefault="005C75B9">
      <w:pPr>
        <w:spacing w:before="120" w:after="120"/>
      </w:pPr>
      <w:r>
        <w:rPr>
          <w:rFonts w:ascii="Arial" w:eastAsia="宋体" w:hAnsi="Arial" w:cs="Arial"/>
          <w:color w:val="000000"/>
          <w:sz w:val="17"/>
          <w:szCs w:val="17"/>
        </w:rPr>
        <w:t>We maintain disclosure controls and proc</w:t>
      </w:r>
      <w:r>
        <w:rPr>
          <w:rFonts w:ascii="Arial" w:eastAsia="宋体" w:hAnsi="Arial" w:cs="Arial"/>
          <w:color w:val="000000"/>
          <w:sz w:val="17"/>
          <w:szCs w:val="17"/>
        </w:rPr>
        <w:t>edures that are designed to provide reasonable assurance that information required to be disclosed in our Securities Exchange Act of 1934, as amended ("the Exchange Act") reports is recorded, processed, summarized and reported within the time periods speci</w:t>
      </w:r>
      <w:r>
        <w:rPr>
          <w:rFonts w:ascii="Arial" w:eastAsia="宋体" w:hAnsi="Arial" w:cs="Arial"/>
          <w:color w:val="000000"/>
          <w:sz w:val="17"/>
          <w:szCs w:val="17"/>
        </w:rPr>
        <w:t>fied in the Securities and Exchange Commission's rules and forms and that such information is accumulated and communicated to our management, including our Chief Executive Officer and Chief Financial Officer, as appropriate, to allow for timely decisions r</w:t>
      </w:r>
      <w:r>
        <w:rPr>
          <w:rFonts w:ascii="Arial" w:eastAsia="宋体" w:hAnsi="Arial" w:cs="Arial"/>
          <w:color w:val="000000"/>
          <w:sz w:val="17"/>
          <w:szCs w:val="17"/>
        </w:rPr>
        <w:t>egarding required disclosure. In designing and evaluating the disclosure controls and procedures, management recognizes that any controls and procedures, no matter how well designed and operated, can provide only reasonable assurance of achieving the desir</w:t>
      </w:r>
      <w:r>
        <w:rPr>
          <w:rFonts w:ascii="Arial" w:eastAsia="宋体" w:hAnsi="Arial" w:cs="Arial"/>
          <w:color w:val="000000"/>
          <w:sz w:val="17"/>
          <w:szCs w:val="17"/>
        </w:rPr>
        <w:t>ed control objectives, and management is required to apply its judgment in evaluating the cost-benefit relationship of possible controls and procedures.</w:t>
      </w:r>
    </w:p>
    <w:p w14:paraId="26E9E74A" w14:textId="77777777" w:rsidR="008A3BAC" w:rsidRDefault="005C75B9">
      <w:pPr>
        <w:spacing w:before="120" w:after="120"/>
      </w:pPr>
      <w:r>
        <w:rPr>
          <w:rFonts w:ascii="Arial" w:eastAsia="宋体" w:hAnsi="Arial" w:cs="Arial"/>
          <w:color w:val="000000"/>
          <w:sz w:val="17"/>
          <w:szCs w:val="17"/>
        </w:rPr>
        <w:t xml:space="preserve">We carry out a variety of ongoing procedures, under the supervision and with the </w:t>
      </w:r>
      <w:r>
        <w:rPr>
          <w:rFonts w:ascii="Arial" w:eastAsia="宋体" w:hAnsi="Arial" w:cs="Arial"/>
          <w:color w:val="000000"/>
          <w:sz w:val="17"/>
          <w:szCs w:val="17"/>
        </w:rPr>
        <w:t>participation of our management, including our Chief Executive Officer and Chief Financial Officer, to evaluate the effectiveness of the design and operation of our disclosure controls and procedures. Based on the foregoing, our Chief Executive Officer and</w:t>
      </w:r>
      <w:r>
        <w:rPr>
          <w:rFonts w:ascii="Arial" w:eastAsia="宋体" w:hAnsi="Arial" w:cs="Arial"/>
          <w:color w:val="000000"/>
          <w:sz w:val="17"/>
          <w:szCs w:val="17"/>
        </w:rPr>
        <w:t xml:space="preserve"> Chief Financial Officer concluded that our disclosure controls and procedures were effective at the reasonable assurance level as of February 28, 2022.</w:t>
      </w:r>
    </w:p>
    <w:p w14:paraId="26E9E74B" w14:textId="77777777" w:rsidR="008A3BAC" w:rsidRDefault="005C75B9">
      <w:pPr>
        <w:spacing w:before="120" w:after="120"/>
      </w:pPr>
      <w:r>
        <w:rPr>
          <w:rFonts w:ascii="Arial" w:eastAsia="宋体" w:hAnsi="Arial" w:cs="Arial"/>
          <w:color w:val="000000"/>
          <w:sz w:val="17"/>
          <w:szCs w:val="17"/>
        </w:rPr>
        <w:t xml:space="preserve">We are continuing several transformation initiatives to centralize and simplify our business processes </w:t>
      </w:r>
      <w:r>
        <w:rPr>
          <w:rFonts w:ascii="Arial" w:eastAsia="宋体" w:hAnsi="Arial" w:cs="Arial"/>
          <w:color w:val="000000"/>
          <w:sz w:val="17"/>
          <w:szCs w:val="17"/>
        </w:rPr>
        <w:t>and systems. These are long-term initiatives, which we believe will enhance our internal control over financial reporting due to increased automation and further integration of related processes. We will continue to monitor our internal control over financ</w:t>
      </w:r>
      <w:r>
        <w:rPr>
          <w:rFonts w:ascii="Arial" w:eastAsia="宋体" w:hAnsi="Arial" w:cs="Arial"/>
          <w:color w:val="000000"/>
          <w:sz w:val="17"/>
          <w:szCs w:val="17"/>
        </w:rPr>
        <w:t>ial reporting for effectiveness throughout these transformation initiatives.</w:t>
      </w:r>
    </w:p>
    <w:p w14:paraId="26E9E74C" w14:textId="77777777" w:rsidR="008A3BAC" w:rsidRDefault="005C75B9">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w:t>
      </w:r>
      <w:r>
        <w:rPr>
          <w:rFonts w:ascii="Arial" w:eastAsia="宋体" w:hAnsi="Arial" w:cs="Arial"/>
          <w:color w:val="000000"/>
          <w:sz w:val="17"/>
          <w:szCs w:val="17"/>
        </w:rPr>
        <w:t>aterially affect, our internal control over financial reporting.</w:t>
      </w:r>
    </w:p>
    <w:p w14:paraId="26E9E74D" w14:textId="77777777" w:rsidR="008A3BAC" w:rsidRDefault="005C75B9">
      <w:pPr>
        <w:spacing w:before="120" w:after="120"/>
      </w:pPr>
      <w:r>
        <w:rPr>
          <w:rFonts w:ascii="Arial" w:eastAsia="宋体" w:hAnsi="Arial" w:cs="Arial"/>
          <w:color w:val="E87722"/>
          <w:sz w:val="17"/>
          <w:szCs w:val="17"/>
        </w:rPr>
        <w:t>46</w:t>
      </w:r>
      <w:r>
        <w:rPr>
          <w:rFonts w:ascii="sans-serif" w:eastAsia="sans-serif" w:hAnsi="sans-serif" w:cs="sans-serif"/>
          <w:color w:val="000000"/>
          <w:sz w:val="17"/>
          <w:szCs w:val="17"/>
        </w:rPr>
        <w:t xml:space="preserve"> </w:t>
      </w:r>
    </w:p>
    <w:p w14:paraId="26E9E74E" w14:textId="77777777" w:rsidR="008A3BAC" w:rsidRDefault="005C75B9">
      <w:r>
        <w:pict w14:anchorId="26E9E875">
          <v:rect id="_x0000_i1072" style="width:415.3pt;height:1.5pt" o:hralign="center" o:hrstd="t" o:hr="t" fillcolor="#a0a0a0" stroked="f"/>
        </w:pict>
      </w:r>
    </w:p>
    <w:p w14:paraId="26E9E74F" w14:textId="77777777" w:rsidR="008A3BAC" w:rsidRDefault="008A3BAC"/>
    <w:p w14:paraId="26E9E750" w14:textId="77777777" w:rsidR="008A3BAC" w:rsidRDefault="005C75B9">
      <w:hyperlink r:id="rId116" w:anchor="i46aba51c6a804f42b3595948c57d2023_7" w:history="1">
        <w:r>
          <w:rPr>
            <w:rStyle w:val="a5"/>
            <w:rFonts w:ascii="sans-serif" w:eastAsia="sans-serif" w:hAnsi="sans-serif" w:cs="sans-serif"/>
            <w:sz w:val="17"/>
            <w:szCs w:val="17"/>
          </w:rPr>
          <w:t>Table of Contents</w:t>
        </w:r>
      </w:hyperlink>
    </w:p>
    <w:p w14:paraId="26E9E751" w14:textId="77777777" w:rsidR="008A3BAC" w:rsidRDefault="008A3BAC"/>
    <w:p w14:paraId="26E9E752" w14:textId="77777777" w:rsidR="008A3BAC" w:rsidRDefault="005C75B9">
      <w:pPr>
        <w:spacing w:before="360" w:after="180"/>
      </w:pPr>
      <w:r>
        <w:rPr>
          <w:rFonts w:ascii="sans-serif" w:eastAsia="sans-serif" w:hAnsi="sans-serif" w:cs="sans-serif"/>
          <w:color w:val="000000"/>
          <w:sz w:val="44"/>
          <w:szCs w:val="44"/>
        </w:rPr>
        <w:t xml:space="preserve">SPECIAL NOTE </w:t>
      </w:r>
      <w:r>
        <w:rPr>
          <w:rFonts w:ascii="sans-serif" w:eastAsia="sans-serif" w:hAnsi="sans-serif" w:cs="sans-serif"/>
          <w:color w:val="000000"/>
          <w:sz w:val="44"/>
          <w:szCs w:val="44"/>
        </w:rPr>
        <w:t>REGARDING FORWARD-LOOKING STATEMENTS AND ANALYST REPORTS</w:t>
      </w:r>
    </w:p>
    <w:p w14:paraId="26E9E753" w14:textId="77777777" w:rsidR="008A3BAC" w:rsidRDefault="005C75B9">
      <w:pPr>
        <w:spacing w:before="120" w:after="120"/>
      </w:pPr>
      <w:r>
        <w:rPr>
          <w:rFonts w:ascii="Arial" w:eastAsia="宋体" w:hAnsi="Arial" w:cs="Arial"/>
          <w:color w:val="000000"/>
          <w:sz w:val="17"/>
          <w:szCs w:val="17"/>
        </w:rPr>
        <w:t xml:space="preserve">Certain written and oral statements, other than purely historic information, including estimates, projections, statements relating to NIKE’s business plans, objectives and expected operating results </w:t>
      </w:r>
      <w:r>
        <w:rPr>
          <w:rFonts w:ascii="Arial" w:eastAsia="宋体" w:hAnsi="Arial" w:cs="Arial"/>
          <w:color w:val="000000"/>
          <w:sz w:val="17"/>
          <w:szCs w:val="17"/>
        </w:rPr>
        <w:t>and the assumptions upon which those statements are based, made or incorporated by reference from time to time by NIKE or its representatives in this report, other reports, filings with the SEC, press releases, conferences or otherwise, are “forward-lookin</w:t>
      </w:r>
      <w:r>
        <w:rPr>
          <w:rFonts w:ascii="Arial" w:eastAsia="宋体" w:hAnsi="Arial" w:cs="Arial"/>
          <w:color w:val="000000"/>
          <w:sz w:val="17"/>
          <w:szCs w:val="17"/>
        </w:rPr>
        <w:t>g statements” within the meaning of the Private Securities Litigation Reform Act of 1995 and Section 21E of the Securities Exchange Act of 1934, as amended. Forward-looking statements include, without limitation, any statement that may predict, forecast, i</w:t>
      </w:r>
      <w:r>
        <w:rPr>
          <w:rFonts w:ascii="Arial" w:eastAsia="宋体" w:hAnsi="Arial" w:cs="Arial"/>
          <w:color w:val="000000"/>
          <w:sz w:val="17"/>
          <w:szCs w:val="17"/>
        </w:rPr>
        <w:t>ndicate or imply future results, performance or achievements, and may contain the words “believe,” “anticipate,” “expect,” “estimate,” “project,” “will be,” “will continue,” “will likely result” or words or phrases of similar meaning. Forward-looking state</w:t>
      </w:r>
      <w:r>
        <w:rPr>
          <w:rFonts w:ascii="Arial" w:eastAsia="宋体" w:hAnsi="Arial" w:cs="Arial"/>
          <w:color w:val="000000"/>
          <w:sz w:val="17"/>
          <w:szCs w:val="17"/>
        </w:rPr>
        <w:t>ments involve risks and uncertainties which may cause actual results to differ materially from the forward-looking statements. The risks and uncertainties are detailed from time to time in reports filed by NIKE with the SEC, including reports filed on Form</w:t>
      </w:r>
      <w:r>
        <w:rPr>
          <w:rFonts w:ascii="Arial" w:eastAsia="宋体" w:hAnsi="Arial" w:cs="Arial"/>
          <w:color w:val="000000"/>
          <w:sz w:val="17"/>
          <w:szCs w:val="17"/>
        </w:rPr>
        <w:t>s 8-K, 10-Q and 10-K, and include, among others, the following: health epidemics, pandemics and similar outbreaks, including the COVID-19 pandemic; international, national and local political, civil, economic and market conditions; the size and growth of t</w:t>
      </w:r>
      <w:r>
        <w:rPr>
          <w:rFonts w:ascii="Arial" w:eastAsia="宋体" w:hAnsi="Arial" w:cs="Arial"/>
          <w:color w:val="000000"/>
          <w:sz w:val="17"/>
          <w:szCs w:val="17"/>
        </w:rPr>
        <w:t>he overall athletic footwear, apparel and equipment markets; intense competition among designers, marketers, distributors and sellers of athletic footwear, apparel and equipment for consumers and endorsers; demographic changes; changes in consumer preferen</w:t>
      </w:r>
      <w:r>
        <w:rPr>
          <w:rFonts w:ascii="Arial" w:eastAsia="宋体" w:hAnsi="Arial" w:cs="Arial"/>
          <w:color w:val="000000"/>
          <w:sz w:val="17"/>
          <w:szCs w:val="17"/>
        </w:rPr>
        <w:t>ces; popularity of particular designs, categories of products and sports; seasonal and geographic demand for NIKE products; difficulties in anticipating or forecasting changes in consumer preferences, consumer demand for NIKE products and the various marke</w:t>
      </w:r>
      <w:r>
        <w:rPr>
          <w:rFonts w:ascii="Arial" w:eastAsia="宋体" w:hAnsi="Arial" w:cs="Arial"/>
          <w:color w:val="000000"/>
          <w:sz w:val="17"/>
          <w:szCs w:val="17"/>
        </w:rPr>
        <w:t>t factors described above; difficulties in implementing, operating and maintaining NIKE’s increasingly complex information technology systems and controls, including, without limitation, the systems related to demand and supply planning and inventory contr</w:t>
      </w:r>
      <w:r>
        <w:rPr>
          <w:rFonts w:ascii="Arial" w:eastAsia="宋体" w:hAnsi="Arial" w:cs="Arial"/>
          <w:color w:val="000000"/>
          <w:sz w:val="17"/>
          <w:szCs w:val="17"/>
        </w:rPr>
        <w:t xml:space="preserve">ol; interruptions in data and information technology systems; consumer data security; fluctuations and difficulty in forecasting operating results, including, without limitation, the fact that advance orders may not be indicative of future revenues due to </w:t>
      </w:r>
      <w:r>
        <w:rPr>
          <w:rFonts w:ascii="Arial" w:eastAsia="宋体" w:hAnsi="Arial" w:cs="Arial"/>
          <w:color w:val="000000"/>
          <w:sz w:val="17"/>
          <w:szCs w:val="17"/>
        </w:rPr>
        <w:t>changes in shipment timing, the changing mix of orders with shorter lead times, and discounts, order cancellations and returns; the ability of NIKE to sustain, manage or forecast its growth and inventories; the size, timing and mix of purchases of NIKE’s p</w:t>
      </w:r>
      <w:r>
        <w:rPr>
          <w:rFonts w:ascii="Arial" w:eastAsia="宋体" w:hAnsi="Arial" w:cs="Arial"/>
          <w:color w:val="000000"/>
          <w:sz w:val="17"/>
          <w:szCs w:val="17"/>
        </w:rPr>
        <w:t>roducts; increases in the cost of materials, labor and energy used to manufacture products; new product development and introduction; the ability to secure and protect trademarks, patents and other intellectual property; product performance and quality; cu</w:t>
      </w:r>
      <w:r>
        <w:rPr>
          <w:rFonts w:ascii="Arial" w:eastAsia="宋体" w:hAnsi="Arial" w:cs="Arial"/>
          <w:color w:val="000000"/>
          <w:sz w:val="17"/>
          <w:szCs w:val="17"/>
        </w:rPr>
        <w:t>stomer service; adverse publicity, including without limitation, through social media or in connection with brand damaging events; the loss of significant customers or suppliers; dependence on distributors and licensees; business disruptions; increased cos</w:t>
      </w:r>
      <w:r>
        <w:rPr>
          <w:rFonts w:ascii="Arial" w:eastAsia="宋体" w:hAnsi="Arial" w:cs="Arial"/>
          <w:color w:val="000000"/>
          <w:sz w:val="17"/>
          <w:szCs w:val="17"/>
        </w:rPr>
        <w:t>ts of freight and transportation to meet delivery deadlines; increases in borrowing costs due to any decline in NIKE’s debt ratings; changes in business strategy or development plans; general risks associated with doing business outside of the United State</w:t>
      </w:r>
      <w:r>
        <w:rPr>
          <w:rFonts w:ascii="Arial" w:eastAsia="宋体" w:hAnsi="Arial" w:cs="Arial"/>
          <w:color w:val="000000"/>
          <w:sz w:val="17"/>
          <w:szCs w:val="17"/>
        </w:rPr>
        <w:t>s, including, without limitation, exchange rate fluctuations, inflation, import duties, tariffs, quotas, political and economic instability and terrorism; the potential impact of new laws, regulations or policy, including, without limitation, tariffs, impo</w:t>
      </w:r>
      <w:r>
        <w:rPr>
          <w:rFonts w:ascii="Arial" w:eastAsia="宋体" w:hAnsi="Arial" w:cs="Arial"/>
          <w:color w:val="000000"/>
          <w:sz w:val="17"/>
          <w:szCs w:val="17"/>
        </w:rPr>
        <w:t>rt/export, trade and immigration regulations or policies; changes in government regulations; the impact of, including business and legal developments relating to, climate change and natural disasters; our ability to execute on our sustainability strategy a</w:t>
      </w:r>
      <w:r>
        <w:rPr>
          <w:rFonts w:ascii="Arial" w:eastAsia="宋体" w:hAnsi="Arial" w:cs="Arial"/>
          <w:color w:val="000000"/>
          <w:sz w:val="17"/>
          <w:szCs w:val="17"/>
        </w:rPr>
        <w:t>nd achieve our sustainability-related goals and targets, including sustainable product offerings; litigation, regulatory proceedings, sanctions or any other claims asserted against NIKE; the ability to attract and retain qualified employees, and any negati</w:t>
      </w:r>
      <w:r>
        <w:rPr>
          <w:rFonts w:ascii="Arial" w:eastAsia="宋体" w:hAnsi="Arial" w:cs="Arial"/>
          <w:color w:val="000000"/>
          <w:sz w:val="17"/>
          <w:szCs w:val="17"/>
        </w:rPr>
        <w:t>ve public perception with respect to key personnel or our corporate culture, values or purpose; the effects of NIKE’s decision to invest in or divest of businesses and other factors referenced or incorporated by reference in this report and other reports.</w:t>
      </w:r>
    </w:p>
    <w:p w14:paraId="26E9E754" w14:textId="77777777" w:rsidR="008A3BAC" w:rsidRDefault="005C75B9">
      <w:pPr>
        <w:spacing w:before="120" w:after="120"/>
        <w:jc w:val="right"/>
      </w:pPr>
      <w:r>
        <w:rPr>
          <w:rFonts w:ascii="Arial" w:eastAsia="宋体" w:hAnsi="Arial" w:cs="Arial"/>
          <w:color w:val="E87722"/>
          <w:sz w:val="17"/>
          <w:szCs w:val="17"/>
        </w:rPr>
        <w:t>47</w:t>
      </w:r>
    </w:p>
    <w:p w14:paraId="26E9E755" w14:textId="77777777" w:rsidR="008A3BAC" w:rsidRDefault="005C75B9">
      <w:r>
        <w:pict w14:anchorId="26E9E876">
          <v:rect id="_x0000_i1073" style="width:415.3pt;height:1.5pt" o:hralign="center" o:hrstd="t" o:hr="t" fillcolor="#a0a0a0" stroked="f"/>
        </w:pict>
      </w:r>
    </w:p>
    <w:p w14:paraId="26E9E756" w14:textId="77777777" w:rsidR="008A3BAC" w:rsidRDefault="008A3BAC"/>
    <w:p w14:paraId="26E9E757" w14:textId="77777777" w:rsidR="008A3BAC" w:rsidRDefault="005C75B9">
      <w:hyperlink r:id="rId117" w:anchor="i46aba51c6a804f42b3595948c57d2023_7" w:history="1">
        <w:r>
          <w:rPr>
            <w:rStyle w:val="a5"/>
            <w:rFonts w:ascii="sans-serif" w:eastAsia="sans-serif" w:hAnsi="sans-serif" w:cs="sans-serif"/>
            <w:sz w:val="17"/>
            <w:szCs w:val="17"/>
          </w:rPr>
          <w:t>Table of Contents</w:t>
        </w:r>
      </w:hyperlink>
    </w:p>
    <w:p w14:paraId="26E9E758" w14:textId="77777777" w:rsidR="008A3BAC" w:rsidRDefault="008A3BAC"/>
    <w:p w14:paraId="26E9E759" w14:textId="77777777" w:rsidR="008A3BAC" w:rsidRDefault="005C75B9">
      <w:pPr>
        <w:spacing w:after="420"/>
      </w:pPr>
      <w:r>
        <w:rPr>
          <w:rFonts w:ascii="sans-serif" w:eastAsia="sans-serif" w:hAnsi="sans-serif" w:cs="sans-serif"/>
          <w:color w:val="E87722"/>
          <w:sz w:val="68"/>
          <w:szCs w:val="68"/>
        </w:rPr>
        <w:t>PART II - OTHER INFORMATION</w:t>
      </w:r>
    </w:p>
    <w:p w14:paraId="26E9E75A" w14:textId="77777777" w:rsidR="008A3BAC" w:rsidRDefault="005C75B9">
      <w:pPr>
        <w:spacing w:before="360" w:after="180"/>
      </w:pPr>
      <w:r>
        <w:rPr>
          <w:rFonts w:ascii="sans-serif" w:eastAsia="sans-serif" w:hAnsi="sans-serif" w:cs="sans-serif"/>
          <w:color w:val="000000"/>
          <w:sz w:val="44"/>
          <w:szCs w:val="44"/>
        </w:rPr>
        <w:t>ITEM 1. LEGAL PROCEEDINGS</w:t>
      </w:r>
    </w:p>
    <w:p w14:paraId="26E9E75B" w14:textId="77777777" w:rsidR="008A3BAC" w:rsidRDefault="005C75B9">
      <w:pPr>
        <w:spacing w:before="120" w:after="120"/>
      </w:pPr>
      <w:r>
        <w:rPr>
          <w:rFonts w:ascii="Arial" w:eastAsia="宋体" w:hAnsi="Arial" w:cs="Arial"/>
          <w:color w:val="000000"/>
          <w:sz w:val="17"/>
          <w:szCs w:val="17"/>
        </w:rPr>
        <w:t xml:space="preserve">There have been no </w:t>
      </w:r>
      <w:r>
        <w:rPr>
          <w:rFonts w:ascii="Arial" w:eastAsia="宋体" w:hAnsi="Arial" w:cs="Arial"/>
          <w:color w:val="000000"/>
          <w:sz w:val="17"/>
          <w:szCs w:val="17"/>
        </w:rPr>
        <w:t>material developments with respect to the information previously reported under Part I, Item 3 of our Annual Report on Form 10-K for the fiscal year ended May 31, 2021.</w:t>
      </w:r>
    </w:p>
    <w:p w14:paraId="26E9E75C" w14:textId="77777777" w:rsidR="008A3BAC" w:rsidRDefault="005C75B9">
      <w:pPr>
        <w:spacing w:before="360" w:after="180"/>
      </w:pPr>
      <w:r>
        <w:rPr>
          <w:rFonts w:ascii="sans-serif" w:eastAsia="sans-serif" w:hAnsi="sans-serif" w:cs="sans-serif"/>
          <w:color w:val="000000"/>
          <w:sz w:val="44"/>
          <w:szCs w:val="44"/>
        </w:rPr>
        <w:t>ITEM 1A. RISK FACTORS</w:t>
      </w:r>
    </w:p>
    <w:p w14:paraId="26E9E75D" w14:textId="77777777" w:rsidR="008A3BAC" w:rsidRDefault="005C75B9">
      <w:pPr>
        <w:spacing w:before="120" w:after="120"/>
      </w:pPr>
      <w:r>
        <w:rPr>
          <w:rFonts w:ascii="Arial" w:eastAsia="宋体" w:hAnsi="Arial" w:cs="Arial"/>
          <w:color w:val="000000"/>
          <w:sz w:val="17"/>
          <w:szCs w:val="17"/>
        </w:rPr>
        <w:t>There have been no material changes in our risk factors from thos</w:t>
      </w:r>
      <w:r>
        <w:rPr>
          <w:rFonts w:ascii="Arial" w:eastAsia="宋体" w:hAnsi="Arial" w:cs="Arial"/>
          <w:color w:val="000000"/>
          <w:sz w:val="17"/>
          <w:szCs w:val="17"/>
        </w:rPr>
        <w:t>e disclosed in Part I, Item 1A of our Annual Report on Form 10-K for the fiscal year ended May 31, 2021.</w:t>
      </w:r>
    </w:p>
    <w:p w14:paraId="26E9E75E" w14:textId="77777777" w:rsidR="008A3BAC" w:rsidRDefault="005C75B9">
      <w:pPr>
        <w:spacing w:before="120" w:after="120"/>
      </w:pPr>
      <w:r>
        <w:rPr>
          <w:rFonts w:ascii="Arial" w:eastAsia="宋体" w:hAnsi="Arial" w:cs="Arial"/>
          <w:color w:val="E87722"/>
          <w:sz w:val="17"/>
          <w:szCs w:val="17"/>
        </w:rPr>
        <w:t>48</w:t>
      </w:r>
      <w:r>
        <w:rPr>
          <w:rFonts w:ascii="sans-serif" w:eastAsia="sans-serif" w:hAnsi="sans-serif" w:cs="sans-serif"/>
          <w:color w:val="000000"/>
          <w:sz w:val="17"/>
          <w:szCs w:val="17"/>
        </w:rPr>
        <w:t xml:space="preserve"> </w:t>
      </w:r>
    </w:p>
    <w:p w14:paraId="26E9E75F" w14:textId="77777777" w:rsidR="008A3BAC" w:rsidRDefault="005C75B9">
      <w:r>
        <w:pict w14:anchorId="26E9E877">
          <v:rect id="_x0000_i1074" style="width:415.3pt;height:1.5pt" o:hralign="center" o:hrstd="t" o:hr="t" fillcolor="#a0a0a0" stroked="f"/>
        </w:pict>
      </w:r>
    </w:p>
    <w:p w14:paraId="26E9E760" w14:textId="77777777" w:rsidR="008A3BAC" w:rsidRDefault="008A3BAC"/>
    <w:p w14:paraId="26E9E761" w14:textId="77777777" w:rsidR="008A3BAC" w:rsidRDefault="005C75B9">
      <w:hyperlink r:id="rId118" w:anchor="i46aba51c6a804f42b3595948c57d2023_7" w:history="1">
        <w:r>
          <w:rPr>
            <w:rStyle w:val="a5"/>
            <w:rFonts w:ascii="sans-serif" w:eastAsia="sans-serif" w:hAnsi="sans-serif" w:cs="sans-serif"/>
            <w:sz w:val="17"/>
            <w:szCs w:val="17"/>
          </w:rPr>
          <w:t>Table of Contents</w:t>
        </w:r>
      </w:hyperlink>
    </w:p>
    <w:p w14:paraId="26E9E762" w14:textId="77777777" w:rsidR="008A3BAC" w:rsidRDefault="008A3BAC"/>
    <w:p w14:paraId="26E9E763" w14:textId="77777777" w:rsidR="008A3BAC" w:rsidRDefault="005C75B9">
      <w:pPr>
        <w:spacing w:before="360" w:after="180"/>
      </w:pPr>
      <w:r>
        <w:rPr>
          <w:rFonts w:ascii="sans-serif" w:eastAsia="sans-serif" w:hAnsi="sans-serif" w:cs="sans-serif"/>
          <w:color w:val="000000"/>
          <w:sz w:val="44"/>
          <w:szCs w:val="44"/>
        </w:rPr>
        <w:t>ITEM 2. UNREGISTERED SALES OF EQUITY SECURITIES AND USE OF PROCEEDS</w:t>
      </w:r>
    </w:p>
    <w:p w14:paraId="26E9E764" w14:textId="77777777" w:rsidR="008A3BAC" w:rsidRDefault="005C75B9">
      <w:pPr>
        <w:spacing w:before="120" w:after="120"/>
      </w:pPr>
      <w:r>
        <w:rPr>
          <w:rFonts w:ascii="Arial" w:eastAsia="宋体" w:hAnsi="Arial" w:cs="Arial"/>
          <w:color w:val="000000"/>
          <w:sz w:val="17"/>
          <w:szCs w:val="17"/>
        </w:rPr>
        <w:t>In June 2018, the Board of Directors approved a four-year, $15 billion share repurchase program. As of February 28, 2022, the Company had repurchased 68.9 millio</w:t>
      </w:r>
      <w:r>
        <w:rPr>
          <w:rFonts w:ascii="Arial" w:eastAsia="宋体" w:hAnsi="Arial" w:cs="Arial"/>
          <w:color w:val="000000"/>
          <w:sz w:val="17"/>
          <w:szCs w:val="17"/>
        </w:rPr>
        <w:t xml:space="preserve">n shares at an average price of $110.31 per share for a total approximate cost of $7.6 billion under this program. </w:t>
      </w:r>
    </w:p>
    <w:p w14:paraId="26E9E765" w14:textId="77777777" w:rsidR="008A3BAC" w:rsidRDefault="005C75B9">
      <w:pPr>
        <w:spacing w:before="120" w:after="120"/>
      </w:pPr>
      <w:r>
        <w:rPr>
          <w:rFonts w:ascii="Arial" w:eastAsia="宋体" w:hAnsi="Arial" w:cs="Arial"/>
          <w:color w:val="000000"/>
          <w:sz w:val="17"/>
          <w:szCs w:val="17"/>
        </w:rPr>
        <w:t>All share repurchases were made under NIKE's publicly announced program, and there are no other programs under which the Company repurchases</w:t>
      </w:r>
      <w:r>
        <w:rPr>
          <w:rFonts w:ascii="Arial" w:eastAsia="宋体" w:hAnsi="Arial" w:cs="Arial"/>
          <w:color w:val="000000"/>
          <w:sz w:val="17"/>
          <w:szCs w:val="17"/>
        </w:rPr>
        <w:t xml:space="preserve"> shares. The following table presents a summary of share repurchases made during the quarter ended February 28, 2022: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8A3BAC" w14:paraId="26E9E772" w14:textId="77777777">
        <w:tc>
          <w:tcPr>
            <w:tcW w:w="50" w:type="pct"/>
            <w:shd w:val="clear" w:color="auto" w:fill="auto"/>
            <w:vAlign w:val="bottom"/>
          </w:tcPr>
          <w:p w14:paraId="26E9E766" w14:textId="77777777" w:rsidR="008A3BAC" w:rsidRDefault="008A3BAC">
            <w:pPr>
              <w:rPr>
                <w:rFonts w:ascii="宋体"/>
              </w:rPr>
            </w:pPr>
          </w:p>
        </w:tc>
        <w:tc>
          <w:tcPr>
            <w:tcW w:w="2208" w:type="pct"/>
            <w:shd w:val="clear" w:color="auto" w:fill="auto"/>
            <w:vAlign w:val="bottom"/>
          </w:tcPr>
          <w:p w14:paraId="26E9E767" w14:textId="77777777" w:rsidR="008A3BAC" w:rsidRDefault="008A3BAC">
            <w:pPr>
              <w:rPr>
                <w:rFonts w:ascii="宋体"/>
              </w:rPr>
            </w:pPr>
          </w:p>
        </w:tc>
        <w:tc>
          <w:tcPr>
            <w:tcW w:w="5" w:type="pct"/>
            <w:shd w:val="clear" w:color="auto" w:fill="auto"/>
            <w:vAlign w:val="bottom"/>
          </w:tcPr>
          <w:p w14:paraId="26E9E768" w14:textId="77777777" w:rsidR="008A3BAC" w:rsidRDefault="008A3BAC">
            <w:pPr>
              <w:rPr>
                <w:rFonts w:ascii="宋体"/>
              </w:rPr>
            </w:pPr>
          </w:p>
        </w:tc>
        <w:tc>
          <w:tcPr>
            <w:tcW w:w="50" w:type="pct"/>
            <w:shd w:val="clear" w:color="auto" w:fill="auto"/>
            <w:vAlign w:val="bottom"/>
          </w:tcPr>
          <w:p w14:paraId="26E9E769" w14:textId="77777777" w:rsidR="008A3BAC" w:rsidRDefault="008A3BAC">
            <w:pPr>
              <w:rPr>
                <w:rFonts w:ascii="宋体"/>
              </w:rPr>
            </w:pPr>
          </w:p>
        </w:tc>
        <w:tc>
          <w:tcPr>
            <w:tcW w:w="782" w:type="pct"/>
            <w:shd w:val="clear" w:color="auto" w:fill="auto"/>
            <w:vAlign w:val="bottom"/>
          </w:tcPr>
          <w:p w14:paraId="26E9E76A" w14:textId="77777777" w:rsidR="008A3BAC" w:rsidRDefault="008A3BAC">
            <w:pPr>
              <w:rPr>
                <w:rFonts w:ascii="宋体"/>
              </w:rPr>
            </w:pPr>
          </w:p>
        </w:tc>
        <w:tc>
          <w:tcPr>
            <w:tcW w:w="5" w:type="pct"/>
            <w:shd w:val="clear" w:color="auto" w:fill="auto"/>
            <w:vAlign w:val="bottom"/>
          </w:tcPr>
          <w:p w14:paraId="26E9E76B" w14:textId="77777777" w:rsidR="008A3BAC" w:rsidRDefault="008A3BAC">
            <w:pPr>
              <w:rPr>
                <w:rFonts w:ascii="宋体"/>
              </w:rPr>
            </w:pPr>
          </w:p>
        </w:tc>
        <w:tc>
          <w:tcPr>
            <w:tcW w:w="50" w:type="pct"/>
            <w:shd w:val="clear" w:color="auto" w:fill="auto"/>
            <w:vAlign w:val="bottom"/>
          </w:tcPr>
          <w:p w14:paraId="26E9E76C" w14:textId="77777777" w:rsidR="008A3BAC" w:rsidRDefault="008A3BAC">
            <w:pPr>
              <w:rPr>
                <w:rFonts w:ascii="宋体"/>
              </w:rPr>
            </w:pPr>
          </w:p>
        </w:tc>
        <w:tc>
          <w:tcPr>
            <w:tcW w:w="782" w:type="pct"/>
            <w:shd w:val="clear" w:color="auto" w:fill="auto"/>
            <w:vAlign w:val="bottom"/>
          </w:tcPr>
          <w:p w14:paraId="26E9E76D" w14:textId="77777777" w:rsidR="008A3BAC" w:rsidRDefault="008A3BAC">
            <w:pPr>
              <w:rPr>
                <w:rFonts w:ascii="宋体"/>
              </w:rPr>
            </w:pPr>
          </w:p>
        </w:tc>
        <w:tc>
          <w:tcPr>
            <w:tcW w:w="5" w:type="pct"/>
            <w:shd w:val="clear" w:color="auto" w:fill="auto"/>
            <w:vAlign w:val="bottom"/>
          </w:tcPr>
          <w:p w14:paraId="26E9E76E" w14:textId="77777777" w:rsidR="008A3BAC" w:rsidRDefault="008A3BAC">
            <w:pPr>
              <w:rPr>
                <w:rFonts w:ascii="宋体"/>
              </w:rPr>
            </w:pPr>
          </w:p>
        </w:tc>
        <w:tc>
          <w:tcPr>
            <w:tcW w:w="50" w:type="pct"/>
            <w:shd w:val="clear" w:color="auto" w:fill="auto"/>
            <w:vAlign w:val="bottom"/>
          </w:tcPr>
          <w:p w14:paraId="26E9E76F" w14:textId="77777777" w:rsidR="008A3BAC" w:rsidRDefault="008A3BAC">
            <w:pPr>
              <w:rPr>
                <w:rFonts w:ascii="宋体"/>
              </w:rPr>
            </w:pPr>
          </w:p>
        </w:tc>
        <w:tc>
          <w:tcPr>
            <w:tcW w:w="1007" w:type="pct"/>
            <w:shd w:val="clear" w:color="auto" w:fill="auto"/>
            <w:vAlign w:val="bottom"/>
          </w:tcPr>
          <w:p w14:paraId="26E9E770" w14:textId="77777777" w:rsidR="008A3BAC" w:rsidRDefault="008A3BAC">
            <w:pPr>
              <w:rPr>
                <w:rFonts w:ascii="宋体"/>
              </w:rPr>
            </w:pPr>
          </w:p>
        </w:tc>
        <w:tc>
          <w:tcPr>
            <w:tcW w:w="5" w:type="pct"/>
            <w:shd w:val="clear" w:color="auto" w:fill="auto"/>
            <w:vAlign w:val="bottom"/>
          </w:tcPr>
          <w:p w14:paraId="26E9E771" w14:textId="77777777" w:rsidR="008A3BAC" w:rsidRDefault="008A3BAC">
            <w:pPr>
              <w:rPr>
                <w:rFonts w:ascii="宋体"/>
              </w:rPr>
            </w:pPr>
          </w:p>
        </w:tc>
      </w:tr>
      <w:tr w:rsidR="008A3BAC" w14:paraId="26E9E777" w14:textId="77777777">
        <w:tc>
          <w:tcPr>
            <w:tcW w:w="0" w:type="auto"/>
            <w:gridSpan w:val="3"/>
            <w:shd w:val="clear" w:color="auto" w:fill="auto"/>
            <w:tcMar>
              <w:top w:w="40" w:type="dxa"/>
              <w:left w:w="20" w:type="dxa"/>
              <w:bottom w:w="40" w:type="dxa"/>
              <w:right w:w="20" w:type="dxa"/>
            </w:tcMar>
            <w:vAlign w:val="bottom"/>
          </w:tcPr>
          <w:p w14:paraId="26E9E773" w14:textId="77777777" w:rsidR="008A3BAC" w:rsidRDefault="005C75B9">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26E9E774" w14:textId="77777777" w:rsidR="008A3BAC" w:rsidRDefault="005C75B9">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26E9E775" w14:textId="77777777" w:rsidR="008A3BAC" w:rsidRDefault="005C75B9">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26E9E776" w14:textId="77777777" w:rsidR="008A3BAC" w:rsidRDefault="005C75B9">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8A3BAC" w14:paraId="26E9E7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778" w14:textId="77777777" w:rsidR="008A3BAC" w:rsidRDefault="005C75B9">
            <w:pPr>
              <w:textAlignment w:val="bottom"/>
            </w:pPr>
            <w:r>
              <w:rPr>
                <w:rFonts w:ascii="Arial" w:eastAsia="宋体" w:hAnsi="Arial" w:cs="Arial"/>
                <w:color w:val="000000"/>
                <w:sz w:val="17"/>
                <w:szCs w:val="17"/>
              </w:rPr>
              <w:t>December 1 — December 31, 2021</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6E9E779" w14:textId="77777777" w:rsidR="008A3BAC" w:rsidRDefault="005C75B9">
            <w:pPr>
              <w:jc w:val="right"/>
              <w:textAlignment w:val="bottom"/>
            </w:pPr>
            <w:r>
              <w:rPr>
                <w:rFonts w:ascii="Arial" w:eastAsia="宋体" w:hAnsi="Arial" w:cs="Arial"/>
                <w:color w:val="000000"/>
                <w:sz w:val="17"/>
                <w:szCs w:val="17"/>
              </w:rPr>
              <w:t>2,016,185</w:t>
            </w:r>
          </w:p>
        </w:tc>
        <w:tc>
          <w:tcPr>
            <w:tcW w:w="0" w:type="auto"/>
            <w:tcBorders>
              <w:top w:val="single" w:sz="8" w:space="0" w:color="E87722"/>
            </w:tcBorders>
            <w:shd w:val="clear" w:color="auto" w:fill="FFF1E7"/>
            <w:tcMar>
              <w:top w:w="40" w:type="dxa"/>
              <w:left w:w="20" w:type="dxa"/>
              <w:bottom w:w="40" w:type="dxa"/>
              <w:right w:w="0" w:type="dxa"/>
            </w:tcMar>
            <w:vAlign w:val="bottom"/>
          </w:tcPr>
          <w:p w14:paraId="26E9E77A"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77B" w14:textId="77777777" w:rsidR="008A3BAC" w:rsidRDefault="005C75B9">
            <w:pPr>
              <w:jc w:val="right"/>
              <w:textAlignment w:val="bottom"/>
            </w:pPr>
            <w:r>
              <w:rPr>
                <w:rFonts w:ascii="Arial" w:eastAsia="宋体" w:hAnsi="Arial" w:cs="Arial"/>
                <w:color w:val="000000"/>
                <w:sz w:val="17"/>
                <w:szCs w:val="17"/>
              </w:rPr>
              <w:t>167.00 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77C" w14:textId="77777777" w:rsidR="008A3BAC" w:rsidRDefault="008A3BAC">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6E9E77D" w14:textId="77777777" w:rsidR="008A3BAC" w:rsidRDefault="005C75B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6E9E77E" w14:textId="77777777" w:rsidR="008A3BAC" w:rsidRDefault="005C75B9">
            <w:pPr>
              <w:jc w:val="right"/>
              <w:textAlignment w:val="bottom"/>
            </w:pPr>
            <w:r>
              <w:rPr>
                <w:rFonts w:ascii="Arial" w:eastAsia="宋体" w:hAnsi="Arial" w:cs="Arial"/>
                <w:color w:val="000000"/>
                <w:sz w:val="17"/>
                <w:szCs w:val="17"/>
              </w:rPr>
              <w:t>8,284 </w:t>
            </w:r>
          </w:p>
        </w:tc>
        <w:tc>
          <w:tcPr>
            <w:tcW w:w="0" w:type="auto"/>
            <w:tcBorders>
              <w:top w:val="single" w:sz="8" w:space="0" w:color="E87722"/>
            </w:tcBorders>
            <w:shd w:val="clear" w:color="auto" w:fill="FFF1E7"/>
            <w:tcMar>
              <w:top w:w="40" w:type="dxa"/>
              <w:left w:w="0" w:type="dxa"/>
              <w:bottom w:w="40" w:type="dxa"/>
              <w:right w:w="20" w:type="dxa"/>
            </w:tcMar>
            <w:vAlign w:val="bottom"/>
          </w:tcPr>
          <w:p w14:paraId="26E9E77F" w14:textId="77777777" w:rsidR="008A3BAC" w:rsidRDefault="008A3BAC">
            <w:pPr>
              <w:jc w:val="right"/>
              <w:rPr>
                <w:rFonts w:ascii="宋体"/>
              </w:rPr>
            </w:pPr>
          </w:p>
        </w:tc>
      </w:tr>
      <w:tr w:rsidR="008A3BAC" w14:paraId="26E9E78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81" w14:textId="77777777" w:rsidR="008A3BAC" w:rsidRDefault="005C75B9">
            <w:pPr>
              <w:textAlignment w:val="bottom"/>
            </w:pPr>
            <w:r>
              <w:rPr>
                <w:rFonts w:ascii="Arial" w:eastAsia="宋体" w:hAnsi="Arial" w:cs="Arial"/>
                <w:color w:val="000000"/>
                <w:sz w:val="17"/>
                <w:szCs w:val="17"/>
              </w:rPr>
              <w:t>January 1 — January 31,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6E9E782" w14:textId="77777777" w:rsidR="008A3BAC" w:rsidRDefault="005C75B9">
            <w:pPr>
              <w:jc w:val="right"/>
              <w:textAlignment w:val="bottom"/>
            </w:pPr>
            <w:r>
              <w:rPr>
                <w:rFonts w:ascii="Arial" w:eastAsia="宋体" w:hAnsi="Arial" w:cs="Arial"/>
                <w:color w:val="000000"/>
                <w:sz w:val="17"/>
                <w:szCs w:val="17"/>
              </w:rPr>
              <w:t>2,619,600</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783"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784" w14:textId="77777777" w:rsidR="008A3BAC" w:rsidRDefault="005C75B9">
            <w:pPr>
              <w:jc w:val="right"/>
              <w:textAlignment w:val="bottom"/>
            </w:pPr>
            <w:r>
              <w:rPr>
                <w:rFonts w:ascii="Arial" w:eastAsia="宋体" w:hAnsi="Arial" w:cs="Arial"/>
                <w:color w:val="000000"/>
                <w:sz w:val="17"/>
                <w:szCs w:val="17"/>
              </w:rPr>
              <w:t>149.40 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785"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786"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787" w14:textId="77777777" w:rsidR="008A3BAC" w:rsidRDefault="005C75B9">
            <w:pPr>
              <w:jc w:val="right"/>
              <w:textAlignment w:val="bottom"/>
            </w:pPr>
            <w:r>
              <w:rPr>
                <w:rFonts w:ascii="Arial" w:eastAsia="宋体" w:hAnsi="Arial" w:cs="Arial"/>
                <w:color w:val="000000"/>
                <w:sz w:val="17"/>
                <w:szCs w:val="17"/>
              </w:rPr>
              <w:t>7,893 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788" w14:textId="77777777" w:rsidR="008A3BAC" w:rsidRDefault="008A3BAC">
            <w:pPr>
              <w:jc w:val="right"/>
              <w:rPr>
                <w:rFonts w:ascii="宋体"/>
              </w:rPr>
            </w:pPr>
          </w:p>
        </w:tc>
      </w:tr>
      <w:tr w:rsidR="008A3BAC" w14:paraId="26E9E79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8A" w14:textId="77777777" w:rsidR="008A3BAC" w:rsidRDefault="005C75B9">
            <w:pPr>
              <w:textAlignment w:val="bottom"/>
            </w:pPr>
            <w:r>
              <w:rPr>
                <w:rFonts w:ascii="Arial" w:eastAsia="宋体" w:hAnsi="Arial" w:cs="Arial"/>
                <w:color w:val="000000"/>
                <w:sz w:val="17"/>
                <w:szCs w:val="17"/>
              </w:rPr>
              <w:t>February 1 — February 28, 2022</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6E9E78B" w14:textId="77777777" w:rsidR="008A3BAC" w:rsidRDefault="005C75B9">
            <w:pPr>
              <w:jc w:val="right"/>
              <w:textAlignment w:val="bottom"/>
            </w:pPr>
            <w:r>
              <w:rPr>
                <w:rFonts w:ascii="Arial" w:eastAsia="宋体" w:hAnsi="Arial" w:cs="Arial"/>
                <w:color w:val="000000"/>
                <w:sz w:val="17"/>
                <w:szCs w:val="17"/>
              </w:rPr>
              <w:t>3,455,583</w:t>
            </w:r>
          </w:p>
        </w:tc>
        <w:tc>
          <w:tcPr>
            <w:tcW w:w="0" w:type="auto"/>
            <w:tcBorders>
              <w:top w:val="single" w:sz="4" w:space="0" w:color="808080"/>
            </w:tcBorders>
            <w:shd w:val="clear" w:color="auto" w:fill="FFF1E7"/>
            <w:tcMar>
              <w:top w:w="40" w:type="dxa"/>
              <w:left w:w="20" w:type="dxa"/>
              <w:bottom w:w="40" w:type="dxa"/>
              <w:right w:w="0" w:type="dxa"/>
            </w:tcMar>
            <w:vAlign w:val="bottom"/>
          </w:tcPr>
          <w:p w14:paraId="26E9E78C"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78D" w14:textId="77777777" w:rsidR="008A3BAC" w:rsidRDefault="005C75B9">
            <w:pPr>
              <w:jc w:val="right"/>
              <w:textAlignment w:val="bottom"/>
            </w:pPr>
            <w:r>
              <w:rPr>
                <w:rFonts w:ascii="Arial" w:eastAsia="宋体" w:hAnsi="Arial" w:cs="Arial"/>
                <w:color w:val="000000"/>
                <w:sz w:val="17"/>
                <w:szCs w:val="17"/>
              </w:rPr>
              <w:t>143.00 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78E" w14:textId="77777777" w:rsidR="008A3BAC" w:rsidRDefault="008A3BAC">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6E9E78F" w14:textId="77777777" w:rsidR="008A3BAC" w:rsidRDefault="005C75B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6E9E790" w14:textId="77777777" w:rsidR="008A3BAC" w:rsidRDefault="005C75B9">
            <w:pPr>
              <w:jc w:val="right"/>
              <w:textAlignment w:val="bottom"/>
            </w:pPr>
            <w:r>
              <w:rPr>
                <w:rFonts w:ascii="Arial" w:eastAsia="宋体" w:hAnsi="Arial" w:cs="Arial"/>
                <w:color w:val="000000"/>
                <w:sz w:val="17"/>
                <w:szCs w:val="17"/>
              </w:rPr>
              <w:t>7,399 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6E9E791" w14:textId="77777777" w:rsidR="008A3BAC" w:rsidRDefault="008A3BAC">
            <w:pPr>
              <w:jc w:val="right"/>
              <w:rPr>
                <w:rFonts w:ascii="宋体"/>
              </w:rPr>
            </w:pPr>
          </w:p>
        </w:tc>
      </w:tr>
      <w:tr w:rsidR="008A3BAC" w14:paraId="26E9E799"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6E9E793" w14:textId="77777777" w:rsidR="008A3BAC" w:rsidRDefault="008A3BAC">
            <w:pPr>
              <w:rPr>
                <w:rFonts w:ascii="宋体"/>
              </w:rPr>
            </w:pPr>
          </w:p>
        </w:tc>
        <w:tc>
          <w:tcPr>
            <w:tcW w:w="0" w:type="auto"/>
            <w:gridSpan w:val="3"/>
            <w:tcBorders>
              <w:top w:val="single" w:sz="8" w:space="0" w:color="E87722"/>
              <w:bottom w:val="single" w:sz="8" w:space="0" w:color="E87722"/>
            </w:tcBorders>
            <w:shd w:val="clear" w:color="auto" w:fill="FFF1E7"/>
            <w:tcMar>
              <w:top w:w="40" w:type="dxa"/>
              <w:left w:w="20" w:type="dxa"/>
              <w:bottom w:w="40" w:type="dxa"/>
              <w:right w:w="20" w:type="dxa"/>
            </w:tcMar>
            <w:vAlign w:val="bottom"/>
          </w:tcPr>
          <w:p w14:paraId="26E9E794" w14:textId="77777777" w:rsidR="008A3BAC" w:rsidRDefault="005C75B9">
            <w:pPr>
              <w:jc w:val="right"/>
              <w:textAlignment w:val="bottom"/>
            </w:pPr>
            <w:r>
              <w:rPr>
                <w:rFonts w:ascii="Arial" w:eastAsia="宋体" w:hAnsi="Arial" w:cs="Arial"/>
                <w:b/>
                <w:bCs/>
                <w:color w:val="000000"/>
                <w:sz w:val="17"/>
                <w:szCs w:val="17"/>
              </w:rPr>
              <w:t>8,091,368</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6E9E795" w14:textId="77777777" w:rsidR="008A3BAC" w:rsidRDefault="005C75B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6E9E796" w14:textId="77777777" w:rsidR="008A3BAC" w:rsidRDefault="005C75B9">
            <w:pPr>
              <w:jc w:val="right"/>
              <w:textAlignment w:val="bottom"/>
            </w:pPr>
            <w:r>
              <w:rPr>
                <w:rFonts w:ascii="Arial" w:eastAsia="宋体" w:hAnsi="Arial" w:cs="Arial"/>
                <w:b/>
                <w:bCs/>
                <w:color w:val="000000"/>
                <w:sz w:val="17"/>
                <w:szCs w:val="17"/>
              </w:rPr>
              <w:t>151.05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6E9E797" w14:textId="77777777" w:rsidR="008A3BAC" w:rsidRDefault="008A3BAC">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6E9E798" w14:textId="77777777" w:rsidR="008A3BAC" w:rsidRDefault="008A3BAC">
            <w:pPr>
              <w:rPr>
                <w:rFonts w:ascii="宋体"/>
              </w:rPr>
            </w:pPr>
          </w:p>
        </w:tc>
      </w:tr>
    </w:tbl>
    <w:p w14:paraId="26E9E79A" w14:textId="77777777" w:rsidR="008A3BAC" w:rsidRDefault="005C75B9">
      <w:pPr>
        <w:spacing w:before="120" w:after="120"/>
        <w:jc w:val="right"/>
      </w:pPr>
      <w:r>
        <w:rPr>
          <w:rFonts w:ascii="Arial" w:eastAsia="宋体" w:hAnsi="Arial" w:cs="Arial"/>
          <w:color w:val="E87722"/>
          <w:sz w:val="17"/>
          <w:szCs w:val="17"/>
        </w:rPr>
        <w:t>49</w:t>
      </w:r>
    </w:p>
    <w:p w14:paraId="26E9E79B" w14:textId="77777777" w:rsidR="008A3BAC" w:rsidRDefault="005C75B9">
      <w:r>
        <w:pict w14:anchorId="26E9E878">
          <v:rect id="_x0000_i1075" style="width:415.3pt;height:1.5pt" o:hralign="center" o:hrstd="t" o:hr="t" fillcolor="#a0a0a0" stroked="f"/>
        </w:pict>
      </w:r>
    </w:p>
    <w:p w14:paraId="26E9E79C" w14:textId="77777777" w:rsidR="008A3BAC" w:rsidRDefault="008A3BAC"/>
    <w:p w14:paraId="26E9E79D" w14:textId="77777777" w:rsidR="008A3BAC" w:rsidRDefault="005C75B9">
      <w:hyperlink r:id="rId119" w:anchor="i46aba51c6a804f42b3595948c57d2023_7" w:history="1">
        <w:r>
          <w:rPr>
            <w:rStyle w:val="a5"/>
            <w:rFonts w:ascii="sans-serif" w:eastAsia="sans-serif" w:hAnsi="sans-serif" w:cs="sans-serif"/>
            <w:sz w:val="17"/>
            <w:szCs w:val="17"/>
          </w:rPr>
          <w:t>Table of Contents</w:t>
        </w:r>
      </w:hyperlink>
    </w:p>
    <w:p w14:paraId="26E9E79E" w14:textId="77777777" w:rsidR="008A3BAC" w:rsidRDefault="008A3BAC"/>
    <w:p w14:paraId="26E9E79F" w14:textId="77777777" w:rsidR="008A3BAC" w:rsidRDefault="005C75B9">
      <w:pPr>
        <w:spacing w:before="360" w:after="180"/>
      </w:pPr>
      <w:r>
        <w:rPr>
          <w:rFonts w:ascii="sans-serif" w:eastAsia="sans-serif" w:hAnsi="sans-serif" w:cs="sans-serif"/>
          <w:color w:val="000000"/>
          <w:sz w:val="44"/>
          <w:szCs w:val="44"/>
        </w:rPr>
        <w:t>ITEM 6. EXHIBITS</w:t>
      </w:r>
    </w:p>
    <w:p w14:paraId="26E9E7A0" w14:textId="77777777" w:rsidR="008A3BAC" w:rsidRDefault="005C75B9">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8A3BAC" w14:paraId="26E9E7A7" w14:textId="77777777">
        <w:tc>
          <w:tcPr>
            <w:tcW w:w="50" w:type="pct"/>
            <w:shd w:val="clear" w:color="auto" w:fill="auto"/>
            <w:vAlign w:val="bottom"/>
          </w:tcPr>
          <w:p w14:paraId="26E9E7A1" w14:textId="77777777" w:rsidR="008A3BAC" w:rsidRDefault="008A3BAC">
            <w:pPr>
              <w:rPr>
                <w:rFonts w:ascii="宋体"/>
              </w:rPr>
            </w:pPr>
          </w:p>
        </w:tc>
        <w:tc>
          <w:tcPr>
            <w:tcW w:w="461" w:type="pct"/>
            <w:shd w:val="clear" w:color="auto" w:fill="auto"/>
            <w:vAlign w:val="bottom"/>
          </w:tcPr>
          <w:p w14:paraId="26E9E7A2" w14:textId="77777777" w:rsidR="008A3BAC" w:rsidRDefault="008A3BAC">
            <w:pPr>
              <w:rPr>
                <w:rFonts w:ascii="宋体"/>
              </w:rPr>
            </w:pPr>
          </w:p>
        </w:tc>
        <w:tc>
          <w:tcPr>
            <w:tcW w:w="5" w:type="pct"/>
            <w:shd w:val="clear" w:color="auto" w:fill="auto"/>
            <w:vAlign w:val="bottom"/>
          </w:tcPr>
          <w:p w14:paraId="26E9E7A3" w14:textId="77777777" w:rsidR="008A3BAC" w:rsidRDefault="008A3BAC">
            <w:pPr>
              <w:rPr>
                <w:rFonts w:ascii="宋体"/>
              </w:rPr>
            </w:pPr>
          </w:p>
        </w:tc>
        <w:tc>
          <w:tcPr>
            <w:tcW w:w="50" w:type="pct"/>
            <w:shd w:val="clear" w:color="auto" w:fill="auto"/>
            <w:vAlign w:val="bottom"/>
          </w:tcPr>
          <w:p w14:paraId="26E9E7A4" w14:textId="77777777" w:rsidR="008A3BAC" w:rsidRDefault="008A3BAC">
            <w:pPr>
              <w:rPr>
                <w:rFonts w:ascii="宋体"/>
              </w:rPr>
            </w:pPr>
          </w:p>
        </w:tc>
        <w:tc>
          <w:tcPr>
            <w:tcW w:w="4428" w:type="pct"/>
            <w:shd w:val="clear" w:color="auto" w:fill="auto"/>
            <w:vAlign w:val="bottom"/>
          </w:tcPr>
          <w:p w14:paraId="26E9E7A5" w14:textId="77777777" w:rsidR="008A3BAC" w:rsidRDefault="008A3BAC">
            <w:pPr>
              <w:rPr>
                <w:rFonts w:ascii="宋体"/>
              </w:rPr>
            </w:pPr>
          </w:p>
        </w:tc>
        <w:tc>
          <w:tcPr>
            <w:tcW w:w="5" w:type="pct"/>
            <w:shd w:val="clear" w:color="auto" w:fill="auto"/>
            <w:vAlign w:val="bottom"/>
          </w:tcPr>
          <w:p w14:paraId="26E9E7A6" w14:textId="77777777" w:rsidR="008A3BAC" w:rsidRDefault="008A3BAC">
            <w:pPr>
              <w:rPr>
                <w:rFonts w:ascii="宋体"/>
              </w:rPr>
            </w:pPr>
          </w:p>
        </w:tc>
      </w:tr>
      <w:tr w:rsidR="008A3BAC" w14:paraId="26E9E7AA" w14:textId="77777777">
        <w:trPr>
          <w:trHeight w:val="240"/>
        </w:trPr>
        <w:tc>
          <w:tcPr>
            <w:tcW w:w="0" w:type="auto"/>
            <w:gridSpan w:val="3"/>
            <w:shd w:val="clear" w:color="auto" w:fill="auto"/>
            <w:tcMar>
              <w:top w:w="0" w:type="dxa"/>
              <w:left w:w="20" w:type="dxa"/>
              <w:bottom w:w="0" w:type="dxa"/>
              <w:right w:w="20" w:type="dxa"/>
            </w:tcMar>
            <w:vAlign w:val="bottom"/>
          </w:tcPr>
          <w:p w14:paraId="26E9E7A8" w14:textId="77777777" w:rsidR="008A3BAC" w:rsidRDefault="008A3BAC">
            <w:pPr>
              <w:rPr>
                <w:rFonts w:ascii="宋体"/>
              </w:rPr>
            </w:pPr>
          </w:p>
        </w:tc>
        <w:tc>
          <w:tcPr>
            <w:tcW w:w="0" w:type="auto"/>
            <w:gridSpan w:val="3"/>
            <w:shd w:val="clear" w:color="auto" w:fill="auto"/>
            <w:tcMar>
              <w:top w:w="0" w:type="dxa"/>
              <w:left w:w="20" w:type="dxa"/>
              <w:bottom w:w="0" w:type="dxa"/>
              <w:right w:w="20" w:type="dxa"/>
            </w:tcMar>
            <w:vAlign w:val="bottom"/>
          </w:tcPr>
          <w:p w14:paraId="26E9E7A9" w14:textId="77777777" w:rsidR="008A3BAC" w:rsidRDefault="008A3BAC">
            <w:pPr>
              <w:rPr>
                <w:rFonts w:ascii="宋体"/>
              </w:rPr>
            </w:pPr>
          </w:p>
        </w:tc>
      </w:tr>
      <w:tr w:rsidR="008A3BAC" w14:paraId="26E9E7AD" w14:textId="77777777">
        <w:tc>
          <w:tcPr>
            <w:tcW w:w="0" w:type="auto"/>
            <w:gridSpan w:val="3"/>
            <w:tcBorders>
              <w:top w:val="single" w:sz="8" w:space="0" w:color="E87722"/>
            </w:tcBorders>
            <w:shd w:val="clear" w:color="auto" w:fill="auto"/>
            <w:tcMar>
              <w:top w:w="40" w:type="dxa"/>
              <w:left w:w="20" w:type="dxa"/>
              <w:bottom w:w="40" w:type="dxa"/>
              <w:right w:w="20" w:type="dxa"/>
            </w:tcMar>
          </w:tcPr>
          <w:p w14:paraId="26E9E7AB" w14:textId="77777777" w:rsidR="008A3BAC" w:rsidRDefault="005C75B9">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7AC" w14:textId="77777777" w:rsidR="008A3BAC" w:rsidRDefault="005C75B9">
            <w:pPr>
              <w:textAlignment w:val="bottom"/>
            </w:pPr>
            <w:r>
              <w:rPr>
                <w:rFonts w:ascii="Arial" w:eastAsia="宋体" w:hAnsi="Arial" w:cs="Arial"/>
                <w:b/>
                <w:bCs/>
                <w:color w:val="000000"/>
                <w:sz w:val="17"/>
                <w:szCs w:val="17"/>
              </w:rPr>
              <w:t>Exhibits:</w:t>
            </w:r>
          </w:p>
        </w:tc>
      </w:tr>
      <w:tr w:rsidR="008A3BAC" w14:paraId="26E9E7B0" w14:textId="77777777">
        <w:tc>
          <w:tcPr>
            <w:tcW w:w="0" w:type="auto"/>
            <w:gridSpan w:val="3"/>
            <w:tcBorders>
              <w:top w:val="single" w:sz="8" w:space="0" w:color="E87722"/>
            </w:tcBorders>
            <w:shd w:val="clear" w:color="auto" w:fill="auto"/>
            <w:tcMar>
              <w:top w:w="40" w:type="dxa"/>
              <w:left w:w="20" w:type="dxa"/>
              <w:bottom w:w="40" w:type="dxa"/>
              <w:right w:w="20" w:type="dxa"/>
            </w:tcMar>
          </w:tcPr>
          <w:p w14:paraId="26E9E7AE" w14:textId="77777777" w:rsidR="008A3BAC" w:rsidRDefault="005C75B9">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6E9E7AF" w14:textId="77777777" w:rsidR="008A3BAC" w:rsidRDefault="005C75B9">
            <w:pPr>
              <w:textAlignment w:val="bottom"/>
            </w:pPr>
            <w:hyperlink r:id="rId120"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8A3BAC" w14:paraId="26E9E7B3"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B1" w14:textId="77777777" w:rsidR="008A3BAC" w:rsidRDefault="005C75B9">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B2" w14:textId="77777777" w:rsidR="008A3BAC" w:rsidRDefault="005C75B9">
            <w:pPr>
              <w:textAlignment w:val="bottom"/>
            </w:pPr>
            <w:hyperlink r:id="rId121"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8A3BAC" w14:paraId="26E9E7B6"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B4" w14:textId="77777777" w:rsidR="008A3BAC" w:rsidRDefault="005C75B9">
            <w:pPr>
              <w:textAlignment w:val="top"/>
            </w:pPr>
            <w:r>
              <w:rPr>
                <w:rFonts w:ascii="Arial" w:eastAsia="宋体" w:hAnsi="Arial" w:cs="Arial"/>
                <w:color w:val="000000"/>
                <w:sz w:val="17"/>
                <w:szCs w:val="17"/>
              </w:rPr>
              <w:t>4.1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B5" w14:textId="77777777" w:rsidR="008A3BAC" w:rsidRDefault="005C75B9">
            <w:pPr>
              <w:textAlignment w:val="bottom"/>
            </w:pPr>
            <w:hyperlink r:id="rId122" w:history="1">
              <w:r>
                <w:rPr>
                  <w:rStyle w:val="a5"/>
                  <w:rFonts w:ascii="Arial" w:eastAsia="宋体" w:hAnsi="Arial" w:cs="Arial"/>
                  <w:color w:val="000000"/>
                  <w:sz w:val="17"/>
                  <w:szCs w:val="17"/>
                  <w:u w:val="none"/>
                </w:rPr>
                <w:t>Restated Articles of Incorporation, as amended (see Exhibit 3.1).</w:t>
              </w:r>
            </w:hyperlink>
          </w:p>
        </w:tc>
      </w:tr>
      <w:tr w:rsidR="008A3BAC" w14:paraId="26E9E7B9"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B7" w14:textId="77777777" w:rsidR="008A3BAC" w:rsidRDefault="005C75B9">
            <w:pPr>
              <w:textAlignment w:val="top"/>
            </w:pPr>
            <w:r>
              <w:rPr>
                <w:rFonts w:ascii="Arial" w:eastAsia="宋体" w:hAnsi="Arial" w:cs="Arial"/>
                <w:color w:val="000000"/>
                <w:sz w:val="17"/>
                <w:szCs w:val="17"/>
              </w:rPr>
              <w:t>4.2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B8" w14:textId="77777777" w:rsidR="008A3BAC" w:rsidRDefault="005C75B9">
            <w:pPr>
              <w:textAlignment w:val="bottom"/>
            </w:pPr>
            <w:hyperlink r:id="rId123" w:history="1">
              <w:r>
                <w:rPr>
                  <w:rStyle w:val="a5"/>
                  <w:rFonts w:ascii="Arial" w:eastAsia="宋体" w:hAnsi="Arial" w:cs="Arial"/>
                  <w:color w:val="000000"/>
                  <w:sz w:val="17"/>
                  <w:szCs w:val="17"/>
                  <w:u w:val="none"/>
                </w:rPr>
                <w:t>Fifth Restated Bylaws, as amended (see Exhibit 3.2).</w:t>
              </w:r>
            </w:hyperlink>
          </w:p>
        </w:tc>
      </w:tr>
      <w:tr w:rsidR="008A3BAC" w14:paraId="26E9E7BC"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BA" w14:textId="77777777" w:rsidR="008A3BAC" w:rsidRDefault="005C75B9">
            <w:pPr>
              <w:textAlignment w:val="top"/>
            </w:pPr>
            <w:r>
              <w:rPr>
                <w:rFonts w:ascii="Arial" w:eastAsia="宋体" w:hAnsi="Arial" w:cs="Arial"/>
                <w:color w:val="000000"/>
                <w:sz w:val="17"/>
                <w:szCs w:val="17"/>
              </w:rPr>
              <w:t>10.1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BB" w14:textId="77777777" w:rsidR="008A3BAC" w:rsidRDefault="005C75B9">
            <w:pPr>
              <w:textAlignment w:val="bottom"/>
            </w:pPr>
            <w:hyperlink r:id="rId124" w:history="1">
              <w:r>
                <w:rPr>
                  <w:rStyle w:val="a5"/>
                  <w:rFonts w:ascii="Arial" w:eastAsia="宋体" w:hAnsi="Arial" w:cs="Arial"/>
                  <w:color w:val="000000"/>
                  <w:sz w:val="17"/>
                  <w:szCs w:val="17"/>
                  <w:u w:val="none"/>
                  <w:shd w:val="clear" w:color="auto" w:fill="FFFFFF"/>
                </w:rPr>
                <w:t>Credit Agreement, dated as of March 11, 2022, among NIKE, Inc., Bank of America, N.A., as Administrative Agent, and the other Banks named therein (incorporated by reference to Exhibit 10.1 to the Company's Current Report on Form 8-K filed March</w:t>
              </w:r>
              <w:r>
                <w:rPr>
                  <w:rStyle w:val="a5"/>
                  <w:rFonts w:ascii="Arial" w:eastAsia="宋体" w:hAnsi="Arial" w:cs="Arial"/>
                  <w:color w:val="000000"/>
                  <w:sz w:val="17"/>
                  <w:szCs w:val="17"/>
                  <w:u w:val="none"/>
                  <w:shd w:val="clear" w:color="auto" w:fill="FFFFFF"/>
                </w:rPr>
                <w:t xml:space="preserve"> 14, 202</w:t>
              </w:r>
            </w:hyperlink>
            <w:hyperlink r:id="rId125" w:history="1">
              <w:r>
                <w:rPr>
                  <w:rStyle w:val="a5"/>
                  <w:rFonts w:ascii="Arial" w:eastAsia="宋体" w:hAnsi="Arial" w:cs="Arial"/>
                  <w:color w:val="000000"/>
                  <w:sz w:val="17"/>
                  <w:szCs w:val="17"/>
                  <w:u w:val="none"/>
                </w:rPr>
                <w:t>2</w:t>
              </w:r>
            </w:hyperlink>
            <w:hyperlink r:id="rId126" w:history="1">
              <w:r>
                <w:rPr>
                  <w:rStyle w:val="a5"/>
                  <w:rFonts w:ascii="Arial" w:eastAsia="宋体" w:hAnsi="Arial" w:cs="Arial"/>
                  <w:color w:val="000000"/>
                  <w:sz w:val="17"/>
                  <w:szCs w:val="17"/>
                  <w:u w:val="none"/>
                  <w:shd w:val="clear" w:color="auto" w:fill="FFFFFF"/>
                </w:rPr>
                <w:t>).</w:t>
              </w:r>
            </w:hyperlink>
          </w:p>
        </w:tc>
      </w:tr>
      <w:tr w:rsidR="008A3BAC" w14:paraId="26E9E7BF"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BD" w14:textId="77777777" w:rsidR="008A3BAC" w:rsidRDefault="005C75B9">
            <w:pPr>
              <w:textAlignment w:val="top"/>
            </w:pPr>
            <w:r>
              <w:rPr>
                <w:rFonts w:ascii="Arial" w:eastAsia="宋体" w:hAnsi="Arial" w:cs="Arial"/>
                <w:color w:val="000000"/>
                <w:sz w:val="17"/>
                <w:szCs w:val="17"/>
              </w:rPr>
              <w:t>10.2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BE" w14:textId="77777777" w:rsidR="008A3BAC" w:rsidRDefault="005C75B9">
            <w:pPr>
              <w:textAlignment w:val="bottom"/>
            </w:pPr>
            <w:hyperlink r:id="rId127" w:history="1">
              <w:r>
                <w:rPr>
                  <w:rStyle w:val="a5"/>
                  <w:rFonts w:ascii="Arial" w:eastAsia="宋体" w:hAnsi="Arial" w:cs="Arial"/>
                  <w:color w:val="000000"/>
                  <w:sz w:val="17"/>
                  <w:szCs w:val="17"/>
                  <w:u w:val="none"/>
                  <w:shd w:val="clear" w:color="auto" w:fill="FFFFFF"/>
                </w:rPr>
                <w:t xml:space="preserve">Credit Agreement, dated as of March 11, 2022, among NIKE, Inc., Bank of America, N.A., as Administrative Agent, and the other Banks named therein </w:t>
              </w:r>
              <w:r>
                <w:rPr>
                  <w:rStyle w:val="a5"/>
                  <w:rFonts w:ascii="Arial" w:eastAsia="宋体" w:hAnsi="Arial" w:cs="Arial"/>
                  <w:color w:val="000000"/>
                  <w:sz w:val="17"/>
                  <w:szCs w:val="17"/>
                  <w:u w:val="none"/>
                  <w:shd w:val="clear" w:color="auto" w:fill="FFFFFF"/>
                </w:rPr>
                <w:t>(incorporated by reference to Exhibit 10.</w:t>
              </w:r>
            </w:hyperlink>
            <w:hyperlink r:id="rId128" w:history="1">
              <w:r>
                <w:rPr>
                  <w:rStyle w:val="a5"/>
                  <w:rFonts w:ascii="Arial" w:eastAsia="宋体" w:hAnsi="Arial" w:cs="Arial"/>
                  <w:color w:val="000000"/>
                  <w:sz w:val="17"/>
                  <w:szCs w:val="17"/>
                  <w:u w:val="none"/>
                </w:rPr>
                <w:t>2</w:t>
              </w:r>
            </w:hyperlink>
            <w:hyperlink r:id="rId129" w:history="1">
              <w:r>
                <w:rPr>
                  <w:rStyle w:val="a5"/>
                  <w:rFonts w:ascii="Arial" w:eastAsia="宋体" w:hAnsi="Arial" w:cs="Arial"/>
                  <w:color w:val="000000"/>
                  <w:sz w:val="17"/>
                  <w:szCs w:val="17"/>
                  <w:u w:val="none"/>
                  <w:shd w:val="clear" w:color="auto" w:fill="FFFFFF"/>
                </w:rPr>
                <w:t xml:space="preserve"> to the Company's Current Report on Form 8-K filed March 14, 202</w:t>
              </w:r>
            </w:hyperlink>
            <w:hyperlink r:id="rId130" w:history="1">
              <w:r>
                <w:rPr>
                  <w:rStyle w:val="a5"/>
                  <w:rFonts w:ascii="Arial" w:eastAsia="宋体" w:hAnsi="Arial" w:cs="Arial"/>
                  <w:color w:val="000000"/>
                  <w:sz w:val="17"/>
                  <w:szCs w:val="17"/>
                  <w:u w:val="none"/>
                </w:rPr>
                <w:t>2</w:t>
              </w:r>
            </w:hyperlink>
            <w:hyperlink r:id="rId131" w:history="1">
              <w:r>
                <w:rPr>
                  <w:rStyle w:val="a5"/>
                  <w:rFonts w:ascii="Arial" w:eastAsia="宋体" w:hAnsi="Arial" w:cs="Arial"/>
                  <w:color w:val="000000"/>
                  <w:sz w:val="17"/>
                  <w:szCs w:val="17"/>
                  <w:u w:val="none"/>
                  <w:shd w:val="clear" w:color="auto" w:fill="FFFFFF"/>
                </w:rPr>
                <w:t>).</w:t>
              </w:r>
            </w:hyperlink>
          </w:p>
        </w:tc>
      </w:tr>
      <w:tr w:rsidR="008A3BAC" w14:paraId="26E9E7C2"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C0" w14:textId="77777777" w:rsidR="008A3BAC" w:rsidRDefault="005C75B9">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C1" w14:textId="77777777" w:rsidR="008A3BAC" w:rsidRDefault="005C75B9">
            <w:pPr>
              <w:textAlignment w:val="bottom"/>
            </w:pPr>
            <w:hyperlink r:id="rId132" w:history="1">
              <w:r>
                <w:rPr>
                  <w:rStyle w:val="a5"/>
                  <w:rFonts w:ascii="Arial" w:eastAsia="宋体" w:hAnsi="Arial" w:cs="Arial"/>
                  <w:color w:val="000000"/>
                  <w:sz w:val="17"/>
                  <w:szCs w:val="17"/>
                  <w:u w:val="none"/>
                </w:rPr>
                <w:t>Rule 13a-14(a)/15d-14(a) Certification of Chief Executive Officer.</w:t>
              </w:r>
            </w:hyperlink>
          </w:p>
        </w:tc>
      </w:tr>
      <w:tr w:rsidR="008A3BAC" w14:paraId="26E9E7C5"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C3" w14:textId="77777777" w:rsidR="008A3BAC" w:rsidRDefault="005C75B9">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C4" w14:textId="77777777" w:rsidR="008A3BAC" w:rsidRDefault="005C75B9">
            <w:pPr>
              <w:textAlignment w:val="bottom"/>
            </w:pPr>
            <w:hyperlink r:id="rId133" w:history="1">
              <w:r>
                <w:rPr>
                  <w:rStyle w:val="a5"/>
                  <w:rFonts w:ascii="Arial" w:eastAsia="宋体" w:hAnsi="Arial" w:cs="Arial"/>
                  <w:color w:val="000000"/>
                  <w:sz w:val="17"/>
                  <w:szCs w:val="17"/>
                  <w:u w:val="none"/>
                </w:rPr>
                <w:t>Rule 13a-14(a)/15d-14(a) Certification of Chief Financial Officer.</w:t>
              </w:r>
            </w:hyperlink>
          </w:p>
        </w:tc>
      </w:tr>
      <w:tr w:rsidR="008A3BAC" w14:paraId="26E9E7C8"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C6" w14:textId="77777777" w:rsidR="008A3BAC" w:rsidRDefault="005C75B9">
            <w:pPr>
              <w:textAlignment w:val="top"/>
            </w:pPr>
            <w:r>
              <w:rPr>
                <w:rFonts w:ascii="Arial" w:eastAsia="宋体" w:hAnsi="Arial" w:cs="Arial"/>
                <w:color w:val="000000"/>
                <w:sz w:val="17"/>
                <w:szCs w:val="17"/>
              </w:rPr>
              <w:t>32.1†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C7" w14:textId="77777777" w:rsidR="008A3BAC" w:rsidRDefault="005C75B9">
            <w:pPr>
              <w:textAlignment w:val="bottom"/>
            </w:pPr>
            <w:hyperlink r:id="rId134" w:history="1">
              <w:r>
                <w:rPr>
                  <w:rStyle w:val="a5"/>
                  <w:rFonts w:ascii="Arial" w:eastAsia="宋体" w:hAnsi="Arial" w:cs="Arial"/>
                  <w:color w:val="000000"/>
                  <w:sz w:val="17"/>
                  <w:szCs w:val="17"/>
                  <w:u w:val="none"/>
                </w:rPr>
                <w:t>Section 1350 Certificate of Chief Executive Officer.</w:t>
              </w:r>
            </w:hyperlink>
          </w:p>
        </w:tc>
      </w:tr>
      <w:tr w:rsidR="008A3BAC" w14:paraId="26E9E7CB"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C9" w14:textId="77777777" w:rsidR="008A3BAC" w:rsidRDefault="005C75B9">
            <w:pPr>
              <w:textAlignment w:val="top"/>
            </w:pPr>
            <w:r>
              <w:rPr>
                <w:rFonts w:ascii="Arial" w:eastAsia="宋体" w:hAnsi="Arial" w:cs="Arial"/>
                <w:color w:val="000000"/>
                <w:sz w:val="17"/>
                <w:szCs w:val="17"/>
              </w:rPr>
              <w:t>32.2†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CA" w14:textId="77777777" w:rsidR="008A3BAC" w:rsidRDefault="005C75B9">
            <w:pPr>
              <w:textAlignment w:val="bottom"/>
            </w:pPr>
            <w:hyperlink r:id="rId135" w:history="1">
              <w:r>
                <w:rPr>
                  <w:rStyle w:val="a5"/>
                  <w:rFonts w:ascii="Arial" w:eastAsia="宋体" w:hAnsi="Arial" w:cs="Arial"/>
                  <w:color w:val="000000"/>
                  <w:sz w:val="17"/>
                  <w:szCs w:val="17"/>
                  <w:u w:val="none"/>
                </w:rPr>
                <w:t>Section 1350 Certificate of Chief Financial Officer.</w:t>
              </w:r>
            </w:hyperlink>
          </w:p>
        </w:tc>
      </w:tr>
      <w:tr w:rsidR="008A3BAC" w14:paraId="26E9E7CE" w14:textId="77777777">
        <w:tc>
          <w:tcPr>
            <w:tcW w:w="0" w:type="auto"/>
            <w:gridSpan w:val="3"/>
            <w:tcBorders>
              <w:top w:val="single" w:sz="4" w:space="0" w:color="929292"/>
            </w:tcBorders>
            <w:shd w:val="clear" w:color="auto" w:fill="auto"/>
            <w:tcMar>
              <w:top w:w="40" w:type="dxa"/>
              <w:left w:w="20" w:type="dxa"/>
              <w:bottom w:w="40" w:type="dxa"/>
              <w:right w:w="20" w:type="dxa"/>
            </w:tcMar>
          </w:tcPr>
          <w:p w14:paraId="26E9E7CC" w14:textId="77777777" w:rsidR="008A3BAC" w:rsidRDefault="005C75B9">
            <w:pPr>
              <w:textAlignment w:val="top"/>
            </w:pPr>
            <w:r>
              <w:rPr>
                <w:rFonts w:ascii="Arial" w:eastAsia="宋体" w:hAnsi="Arial" w:cs="Arial"/>
                <w:color w:val="000000"/>
                <w:sz w:val="17"/>
                <w:szCs w:val="17"/>
              </w:rPr>
              <w:t>101.INS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CD" w14:textId="77777777" w:rsidR="008A3BAC" w:rsidRDefault="005C75B9">
            <w:pPr>
              <w:textAlignment w:val="bottom"/>
            </w:pPr>
            <w:r>
              <w:rPr>
                <w:rFonts w:ascii="Arial" w:eastAsia="宋体" w:hAnsi="Arial" w:cs="Arial"/>
                <w:color w:val="000000"/>
                <w:sz w:val="17"/>
                <w:szCs w:val="17"/>
              </w:rPr>
              <w:t>Inline XBRL Instance Document - the instance document does not appear in the Inte</w:t>
            </w:r>
            <w:r>
              <w:rPr>
                <w:rFonts w:ascii="Arial" w:eastAsia="宋体" w:hAnsi="Arial" w:cs="Arial"/>
                <w:color w:val="000000"/>
                <w:sz w:val="17"/>
                <w:szCs w:val="17"/>
              </w:rPr>
              <w:t>ractive Data File because its XBRL tags are embedded within the Inline XBRL document.</w:t>
            </w:r>
          </w:p>
        </w:tc>
      </w:tr>
      <w:tr w:rsidR="008A3BAC" w14:paraId="26E9E7D1"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CF" w14:textId="77777777" w:rsidR="008A3BAC" w:rsidRDefault="005C75B9">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D0" w14:textId="77777777" w:rsidR="008A3BAC" w:rsidRDefault="005C75B9">
            <w:pPr>
              <w:textAlignment w:val="bottom"/>
            </w:pPr>
            <w:r>
              <w:rPr>
                <w:rFonts w:ascii="Arial" w:eastAsia="宋体" w:hAnsi="Arial" w:cs="Arial"/>
                <w:color w:val="000000"/>
                <w:sz w:val="17"/>
                <w:szCs w:val="17"/>
              </w:rPr>
              <w:t>Inline XBRL Taxonomy Extension Schema</w:t>
            </w:r>
          </w:p>
        </w:tc>
      </w:tr>
      <w:tr w:rsidR="008A3BAC" w14:paraId="26E9E7D4"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D2" w14:textId="77777777" w:rsidR="008A3BAC" w:rsidRDefault="005C75B9">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D3" w14:textId="77777777" w:rsidR="008A3BAC" w:rsidRDefault="005C75B9">
            <w:pPr>
              <w:textAlignment w:val="bottom"/>
            </w:pPr>
            <w:r>
              <w:rPr>
                <w:rFonts w:ascii="Arial" w:eastAsia="宋体" w:hAnsi="Arial" w:cs="Arial"/>
                <w:color w:val="000000"/>
                <w:sz w:val="17"/>
                <w:szCs w:val="17"/>
              </w:rPr>
              <w:t>Inline XBRL Taxonomy Extension Calculation Linkbase</w:t>
            </w:r>
          </w:p>
        </w:tc>
      </w:tr>
      <w:tr w:rsidR="008A3BAC" w14:paraId="26E9E7D7"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D5" w14:textId="77777777" w:rsidR="008A3BAC" w:rsidRDefault="005C75B9">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D6" w14:textId="77777777" w:rsidR="008A3BAC" w:rsidRDefault="005C75B9">
            <w:pPr>
              <w:textAlignment w:val="bottom"/>
            </w:pPr>
            <w:r>
              <w:rPr>
                <w:rFonts w:ascii="Arial" w:eastAsia="宋体" w:hAnsi="Arial" w:cs="Arial"/>
                <w:color w:val="000000"/>
                <w:sz w:val="17"/>
                <w:szCs w:val="17"/>
              </w:rPr>
              <w:t xml:space="preserve">Inline XBRL Taxonomy Extension Definition </w:t>
            </w:r>
            <w:r>
              <w:rPr>
                <w:rFonts w:ascii="Arial" w:eastAsia="宋体" w:hAnsi="Arial" w:cs="Arial"/>
                <w:color w:val="000000"/>
                <w:sz w:val="17"/>
                <w:szCs w:val="17"/>
              </w:rPr>
              <w:t>Document</w:t>
            </w:r>
          </w:p>
        </w:tc>
      </w:tr>
      <w:tr w:rsidR="008A3BAC" w14:paraId="26E9E7DA"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D8" w14:textId="77777777" w:rsidR="008A3BAC" w:rsidRDefault="005C75B9">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D9" w14:textId="77777777" w:rsidR="008A3BAC" w:rsidRDefault="005C75B9">
            <w:pPr>
              <w:textAlignment w:val="bottom"/>
            </w:pPr>
            <w:r>
              <w:rPr>
                <w:rFonts w:ascii="Arial" w:eastAsia="宋体" w:hAnsi="Arial" w:cs="Arial"/>
                <w:color w:val="000000"/>
                <w:sz w:val="17"/>
                <w:szCs w:val="17"/>
              </w:rPr>
              <w:t>Inline XBRL Taxonomy Extension Label Linkbase</w:t>
            </w:r>
          </w:p>
        </w:tc>
      </w:tr>
      <w:tr w:rsidR="008A3BAC" w14:paraId="26E9E7D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DB" w14:textId="77777777" w:rsidR="008A3BAC" w:rsidRDefault="005C75B9">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DC" w14:textId="77777777" w:rsidR="008A3BAC" w:rsidRDefault="005C75B9">
            <w:pPr>
              <w:textAlignment w:val="bottom"/>
            </w:pPr>
            <w:r>
              <w:rPr>
                <w:rFonts w:ascii="Arial" w:eastAsia="宋体" w:hAnsi="Arial" w:cs="Arial"/>
                <w:color w:val="000000"/>
                <w:sz w:val="17"/>
                <w:szCs w:val="17"/>
              </w:rPr>
              <w:t>Inline XBRL Taxonomy Extension Presentation Linkbase</w:t>
            </w:r>
          </w:p>
        </w:tc>
      </w:tr>
      <w:tr w:rsidR="008A3BAC" w14:paraId="26E9E7E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6E9E7DE" w14:textId="77777777" w:rsidR="008A3BAC" w:rsidRDefault="005C75B9">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6E9E7DF" w14:textId="77777777" w:rsidR="008A3BAC" w:rsidRDefault="005C75B9">
            <w:pPr>
              <w:textAlignment w:val="bottom"/>
            </w:pPr>
            <w:r>
              <w:rPr>
                <w:rFonts w:ascii="Arial" w:eastAsia="宋体" w:hAnsi="Arial" w:cs="Arial"/>
                <w:color w:val="000000"/>
                <w:sz w:val="17"/>
                <w:szCs w:val="17"/>
              </w:rPr>
              <w:t>Cover Page Interactive Data File - formatted in Inline XBRL and included in Exhibit 101</w:t>
            </w:r>
          </w:p>
        </w:tc>
      </w:tr>
    </w:tbl>
    <w:p w14:paraId="26E9E7E1" w14:textId="77777777" w:rsidR="008A3BAC" w:rsidRDefault="005C75B9">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26E9E7E2" w14:textId="77777777" w:rsidR="008A3BAC" w:rsidRDefault="005C75B9">
      <w:pPr>
        <w:spacing w:before="120" w:after="120"/>
      </w:pPr>
      <w:r>
        <w:rPr>
          <w:rFonts w:ascii="Arial" w:eastAsia="宋体" w:hAnsi="Arial" w:cs="Arial"/>
          <w:color w:val="E87722"/>
          <w:sz w:val="17"/>
          <w:szCs w:val="17"/>
        </w:rPr>
        <w:t>50</w:t>
      </w:r>
      <w:r>
        <w:rPr>
          <w:rFonts w:ascii="sans-serif" w:eastAsia="sans-serif" w:hAnsi="sans-serif" w:cs="sans-serif"/>
          <w:color w:val="000000"/>
          <w:sz w:val="17"/>
          <w:szCs w:val="17"/>
        </w:rPr>
        <w:t xml:space="preserve"> </w:t>
      </w:r>
    </w:p>
    <w:p w14:paraId="26E9E7E3" w14:textId="77777777" w:rsidR="008A3BAC" w:rsidRDefault="005C75B9">
      <w:r>
        <w:pict w14:anchorId="26E9E879">
          <v:rect id="_x0000_i1076" style="width:415.3pt;height:1.5pt" o:hralign="center" o:hrstd="t" o:hr="t" fillcolor="#a0a0a0" stroked="f"/>
        </w:pict>
      </w:r>
    </w:p>
    <w:p w14:paraId="26E9E7E4" w14:textId="77777777" w:rsidR="008A3BAC" w:rsidRDefault="008A3BAC"/>
    <w:p w14:paraId="26E9E7E5" w14:textId="77777777" w:rsidR="008A3BAC" w:rsidRDefault="005C75B9">
      <w:hyperlink r:id="rId136" w:anchor="i46aba51c6a804f42b3595948c57d2023_7" w:history="1">
        <w:r>
          <w:rPr>
            <w:rStyle w:val="a5"/>
            <w:rFonts w:ascii="sans-serif" w:eastAsia="sans-serif" w:hAnsi="sans-serif" w:cs="sans-serif"/>
            <w:sz w:val="17"/>
            <w:szCs w:val="17"/>
          </w:rPr>
          <w:t>Table of Contents</w:t>
        </w:r>
      </w:hyperlink>
    </w:p>
    <w:p w14:paraId="26E9E7E6" w14:textId="77777777" w:rsidR="008A3BAC" w:rsidRDefault="008A3BAC"/>
    <w:p w14:paraId="26E9E7E7" w14:textId="77777777" w:rsidR="008A3BAC" w:rsidRDefault="005C75B9">
      <w:pPr>
        <w:spacing w:before="360" w:after="180"/>
      </w:pPr>
      <w:r>
        <w:rPr>
          <w:rFonts w:ascii="sans-serif" w:eastAsia="sans-serif" w:hAnsi="sans-serif" w:cs="sans-serif"/>
          <w:color w:val="000000"/>
          <w:sz w:val="44"/>
          <w:szCs w:val="44"/>
        </w:rPr>
        <w:t>SIGNATURES</w:t>
      </w:r>
    </w:p>
    <w:p w14:paraId="26E9E7E8" w14:textId="77777777" w:rsidR="008A3BAC" w:rsidRDefault="005C75B9">
      <w:pPr>
        <w:spacing w:before="120"/>
      </w:pPr>
      <w:r>
        <w:rPr>
          <w:rFonts w:ascii="Arial" w:eastAsia="宋体" w:hAnsi="Arial" w:cs="Arial"/>
          <w:color w:val="000000"/>
          <w:sz w:val="17"/>
          <w:szCs w:val="17"/>
        </w:rPr>
        <w:t>Pursuant to the requirements of the Securities Exchange Act of 1934, the r</w:t>
      </w:r>
      <w:r>
        <w:rPr>
          <w:rFonts w:ascii="Arial" w:eastAsia="宋体" w:hAnsi="Arial" w:cs="Arial"/>
          <w:color w:val="000000"/>
          <w:sz w:val="17"/>
          <w:szCs w:val="17"/>
        </w:rPr>
        <w:t>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8"/>
        <w:gridCol w:w="36"/>
        <w:gridCol w:w="61"/>
        <w:gridCol w:w="7594"/>
        <w:gridCol w:w="36"/>
      </w:tblGrid>
      <w:tr w:rsidR="008A3BAC" w14:paraId="26E9E7F2" w14:textId="77777777">
        <w:tc>
          <w:tcPr>
            <w:tcW w:w="50" w:type="pct"/>
            <w:shd w:val="clear" w:color="auto" w:fill="auto"/>
            <w:vAlign w:val="bottom"/>
          </w:tcPr>
          <w:p w14:paraId="26E9E7E9" w14:textId="77777777" w:rsidR="008A3BAC" w:rsidRDefault="008A3BAC">
            <w:pPr>
              <w:rPr>
                <w:rFonts w:ascii="宋体"/>
              </w:rPr>
            </w:pPr>
          </w:p>
        </w:tc>
        <w:tc>
          <w:tcPr>
            <w:tcW w:w="222" w:type="pct"/>
            <w:shd w:val="clear" w:color="auto" w:fill="auto"/>
            <w:vAlign w:val="bottom"/>
          </w:tcPr>
          <w:p w14:paraId="26E9E7EA" w14:textId="77777777" w:rsidR="008A3BAC" w:rsidRDefault="008A3BAC">
            <w:pPr>
              <w:rPr>
                <w:rFonts w:ascii="宋体"/>
              </w:rPr>
            </w:pPr>
          </w:p>
        </w:tc>
        <w:tc>
          <w:tcPr>
            <w:tcW w:w="5" w:type="pct"/>
            <w:shd w:val="clear" w:color="auto" w:fill="auto"/>
            <w:vAlign w:val="bottom"/>
          </w:tcPr>
          <w:p w14:paraId="26E9E7EB" w14:textId="77777777" w:rsidR="008A3BAC" w:rsidRDefault="008A3BAC">
            <w:pPr>
              <w:rPr>
                <w:rFonts w:ascii="宋体"/>
              </w:rPr>
            </w:pPr>
          </w:p>
        </w:tc>
        <w:tc>
          <w:tcPr>
            <w:tcW w:w="5" w:type="pct"/>
            <w:shd w:val="clear" w:color="auto" w:fill="auto"/>
            <w:vAlign w:val="bottom"/>
          </w:tcPr>
          <w:p w14:paraId="26E9E7EC" w14:textId="77777777" w:rsidR="008A3BAC" w:rsidRDefault="008A3BAC">
            <w:pPr>
              <w:rPr>
                <w:rFonts w:ascii="宋体"/>
              </w:rPr>
            </w:pPr>
          </w:p>
        </w:tc>
        <w:tc>
          <w:tcPr>
            <w:tcW w:w="90" w:type="pct"/>
            <w:shd w:val="clear" w:color="auto" w:fill="auto"/>
            <w:vAlign w:val="bottom"/>
          </w:tcPr>
          <w:p w14:paraId="26E9E7ED" w14:textId="77777777" w:rsidR="008A3BAC" w:rsidRDefault="008A3BAC">
            <w:pPr>
              <w:rPr>
                <w:rFonts w:ascii="宋体"/>
              </w:rPr>
            </w:pPr>
          </w:p>
        </w:tc>
        <w:tc>
          <w:tcPr>
            <w:tcW w:w="5" w:type="pct"/>
            <w:shd w:val="clear" w:color="auto" w:fill="auto"/>
            <w:vAlign w:val="bottom"/>
          </w:tcPr>
          <w:p w14:paraId="26E9E7EE" w14:textId="77777777" w:rsidR="008A3BAC" w:rsidRDefault="008A3BAC">
            <w:pPr>
              <w:rPr>
                <w:rFonts w:ascii="宋体"/>
              </w:rPr>
            </w:pPr>
          </w:p>
        </w:tc>
        <w:tc>
          <w:tcPr>
            <w:tcW w:w="50" w:type="pct"/>
            <w:shd w:val="clear" w:color="auto" w:fill="auto"/>
            <w:vAlign w:val="bottom"/>
          </w:tcPr>
          <w:p w14:paraId="26E9E7EF" w14:textId="77777777" w:rsidR="008A3BAC" w:rsidRDefault="008A3BAC">
            <w:pPr>
              <w:rPr>
                <w:rFonts w:ascii="宋体"/>
              </w:rPr>
            </w:pPr>
          </w:p>
        </w:tc>
        <w:tc>
          <w:tcPr>
            <w:tcW w:w="4566" w:type="pct"/>
            <w:shd w:val="clear" w:color="auto" w:fill="auto"/>
            <w:vAlign w:val="bottom"/>
          </w:tcPr>
          <w:p w14:paraId="26E9E7F0" w14:textId="77777777" w:rsidR="008A3BAC" w:rsidRDefault="008A3BAC">
            <w:pPr>
              <w:rPr>
                <w:rFonts w:ascii="宋体"/>
              </w:rPr>
            </w:pPr>
          </w:p>
        </w:tc>
        <w:tc>
          <w:tcPr>
            <w:tcW w:w="5" w:type="pct"/>
            <w:shd w:val="clear" w:color="auto" w:fill="auto"/>
            <w:vAlign w:val="bottom"/>
          </w:tcPr>
          <w:p w14:paraId="26E9E7F1" w14:textId="77777777" w:rsidR="008A3BAC" w:rsidRDefault="008A3BAC">
            <w:pPr>
              <w:rPr>
                <w:rFonts w:ascii="宋体"/>
              </w:rPr>
            </w:pPr>
          </w:p>
        </w:tc>
      </w:tr>
      <w:tr w:rsidR="008A3BAC" w14:paraId="26E9E7F5" w14:textId="77777777">
        <w:tc>
          <w:tcPr>
            <w:tcW w:w="0" w:type="auto"/>
            <w:gridSpan w:val="9"/>
            <w:shd w:val="clear" w:color="auto" w:fill="auto"/>
            <w:tcMar>
              <w:top w:w="40" w:type="dxa"/>
              <w:left w:w="20" w:type="dxa"/>
              <w:bottom w:w="40" w:type="dxa"/>
              <w:right w:w="20" w:type="dxa"/>
            </w:tcMar>
            <w:vAlign w:val="bottom"/>
          </w:tcPr>
          <w:p w14:paraId="26E9E7F3" w14:textId="77777777" w:rsidR="008A3BAC" w:rsidRDefault="005C75B9">
            <w:pPr>
              <w:textAlignment w:val="bottom"/>
            </w:pPr>
            <w:r>
              <w:rPr>
                <w:rFonts w:ascii="Arial" w:eastAsia="宋体" w:hAnsi="Arial" w:cs="Arial"/>
                <w:b/>
                <w:bCs/>
                <w:color w:val="000000"/>
                <w:sz w:val="17"/>
                <w:szCs w:val="17"/>
              </w:rPr>
              <w:t xml:space="preserve">NIKE, INC. </w:t>
            </w:r>
          </w:p>
          <w:p w14:paraId="26E9E7F4" w14:textId="77777777" w:rsidR="008A3BAC" w:rsidRDefault="005C75B9">
            <w:pPr>
              <w:textAlignment w:val="bottom"/>
            </w:pPr>
            <w:r>
              <w:rPr>
                <w:rFonts w:ascii="Arial" w:eastAsia="宋体" w:hAnsi="Arial" w:cs="Arial"/>
                <w:b/>
                <w:bCs/>
                <w:color w:val="000000"/>
                <w:sz w:val="17"/>
                <w:szCs w:val="17"/>
              </w:rPr>
              <w:t>an Oregon Corporation</w:t>
            </w:r>
          </w:p>
        </w:tc>
      </w:tr>
      <w:tr w:rsidR="008A3BAC" w14:paraId="26E9E7FB" w14:textId="77777777">
        <w:tc>
          <w:tcPr>
            <w:tcW w:w="0" w:type="auto"/>
            <w:gridSpan w:val="3"/>
            <w:tcBorders>
              <w:top w:val="single" w:sz="4" w:space="0" w:color="808080"/>
            </w:tcBorders>
            <w:shd w:val="clear" w:color="auto" w:fill="auto"/>
            <w:tcMar>
              <w:top w:w="40" w:type="dxa"/>
              <w:left w:w="20" w:type="dxa"/>
              <w:bottom w:w="40" w:type="dxa"/>
              <w:right w:w="20" w:type="dxa"/>
            </w:tcMar>
          </w:tcPr>
          <w:p w14:paraId="26E9E7F6" w14:textId="77777777" w:rsidR="008A3BAC" w:rsidRDefault="005C75B9">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6E9E7F7" w14:textId="77777777" w:rsidR="008A3BAC" w:rsidRDefault="008A3BAC">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6E9E7F8" w14:textId="77777777" w:rsidR="008A3BAC" w:rsidRDefault="005C75B9">
            <w:pPr>
              <w:textAlignment w:val="bottom"/>
            </w:pPr>
            <w:r>
              <w:rPr>
                <w:rFonts w:ascii="Arial" w:eastAsia="宋体" w:hAnsi="Arial" w:cs="Arial"/>
                <w:color w:val="000000"/>
                <w:sz w:val="17"/>
                <w:szCs w:val="17"/>
              </w:rPr>
              <w:t>/s/ MATTHEW FRIEND</w:t>
            </w:r>
          </w:p>
          <w:p w14:paraId="26E9E7F9" w14:textId="77777777" w:rsidR="008A3BAC" w:rsidRDefault="005C75B9">
            <w:pPr>
              <w:textAlignment w:val="bottom"/>
            </w:pPr>
            <w:r>
              <w:rPr>
                <w:rFonts w:ascii="Arial" w:eastAsia="宋体" w:hAnsi="Arial" w:cs="Arial"/>
                <w:b/>
                <w:bCs/>
                <w:color w:val="000000"/>
                <w:sz w:val="17"/>
                <w:szCs w:val="17"/>
              </w:rPr>
              <w:t>Matthew Friend</w:t>
            </w:r>
          </w:p>
          <w:p w14:paraId="26E9E7FA" w14:textId="77777777" w:rsidR="008A3BAC" w:rsidRDefault="005C75B9">
            <w:pPr>
              <w:textAlignment w:val="bottom"/>
            </w:pPr>
            <w:r>
              <w:rPr>
                <w:rFonts w:ascii="Arial" w:eastAsia="宋体" w:hAnsi="Arial" w:cs="Arial"/>
                <w:color w:val="000000"/>
                <w:sz w:val="17"/>
                <w:szCs w:val="17"/>
              </w:rPr>
              <w:t>Chief Financial Officer and Authorized Officer</w:t>
            </w:r>
          </w:p>
        </w:tc>
      </w:tr>
      <w:tr w:rsidR="008A3BAC" w14:paraId="26E9E7FF"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E7FC" w14:textId="77777777" w:rsidR="008A3BAC" w:rsidRDefault="005C75B9">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26E9E7FD" w14:textId="77777777" w:rsidR="008A3BAC" w:rsidRDefault="008A3BAC">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6E9E7FE" w14:textId="77777777" w:rsidR="008A3BAC" w:rsidRDefault="005C75B9">
            <w:pPr>
              <w:textAlignment w:val="bottom"/>
            </w:pPr>
            <w:r>
              <w:rPr>
                <w:rFonts w:ascii="Arial" w:eastAsia="宋体" w:hAnsi="Arial" w:cs="Arial"/>
                <w:color w:val="000000"/>
                <w:sz w:val="17"/>
                <w:szCs w:val="17"/>
              </w:rPr>
              <w:t>April 5, 2022</w:t>
            </w:r>
          </w:p>
        </w:tc>
      </w:tr>
    </w:tbl>
    <w:p w14:paraId="26E9E800" w14:textId="77777777" w:rsidR="008A3BAC" w:rsidRDefault="005C75B9">
      <w:pPr>
        <w:spacing w:before="120" w:after="120"/>
        <w:jc w:val="right"/>
      </w:pPr>
      <w:r>
        <w:rPr>
          <w:rFonts w:ascii="Arial" w:eastAsia="宋体" w:hAnsi="Arial" w:cs="Arial"/>
          <w:color w:val="E87722"/>
          <w:sz w:val="17"/>
          <w:szCs w:val="17"/>
        </w:rPr>
        <w:t>51</w:t>
      </w:r>
    </w:p>
    <w:p w14:paraId="26E9E801" w14:textId="77777777" w:rsidR="008A3BAC" w:rsidRDefault="005C75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6E9E87A" wp14:editId="26E9E87B">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03" w14:textId="77777777">
        <w:trPr>
          <w:tblCellSpacing w:w="15" w:type="dxa"/>
        </w:trPr>
        <w:tc>
          <w:tcPr>
            <w:tcW w:w="0" w:type="auto"/>
            <w:shd w:val="clear" w:color="auto" w:fill="auto"/>
            <w:vAlign w:val="center"/>
          </w:tcPr>
          <w:p w14:paraId="26E9E802" w14:textId="77777777" w:rsidR="008A3BAC" w:rsidRDefault="008A3BAC">
            <w:pPr>
              <w:rPr>
                <w:rFonts w:ascii="宋体"/>
              </w:rPr>
            </w:pPr>
          </w:p>
        </w:tc>
      </w:tr>
    </w:tbl>
    <w:p w14:paraId="26E9E804"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06" w14:textId="77777777">
        <w:trPr>
          <w:tblCellSpacing w:w="15" w:type="dxa"/>
        </w:trPr>
        <w:tc>
          <w:tcPr>
            <w:tcW w:w="0" w:type="auto"/>
            <w:shd w:val="clear" w:color="auto" w:fill="auto"/>
            <w:vAlign w:val="center"/>
          </w:tcPr>
          <w:p w14:paraId="26E9E805" w14:textId="77777777" w:rsidR="008A3BAC" w:rsidRDefault="008A3BAC">
            <w:pPr>
              <w:rPr>
                <w:rFonts w:ascii="宋体"/>
              </w:rPr>
            </w:pPr>
          </w:p>
        </w:tc>
      </w:tr>
    </w:tbl>
    <w:p w14:paraId="26E9E807"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09" w14:textId="77777777">
        <w:trPr>
          <w:tblCellSpacing w:w="15" w:type="dxa"/>
        </w:trPr>
        <w:tc>
          <w:tcPr>
            <w:tcW w:w="0" w:type="auto"/>
            <w:shd w:val="clear" w:color="auto" w:fill="auto"/>
            <w:vAlign w:val="center"/>
          </w:tcPr>
          <w:p w14:paraId="26E9E808" w14:textId="77777777" w:rsidR="008A3BAC" w:rsidRDefault="008A3BAC">
            <w:pPr>
              <w:rPr>
                <w:rFonts w:ascii="宋体"/>
              </w:rPr>
            </w:pPr>
          </w:p>
        </w:tc>
      </w:tr>
    </w:tbl>
    <w:p w14:paraId="26E9E80A"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0C" w14:textId="77777777">
        <w:trPr>
          <w:tblCellSpacing w:w="15" w:type="dxa"/>
        </w:trPr>
        <w:tc>
          <w:tcPr>
            <w:tcW w:w="0" w:type="auto"/>
            <w:shd w:val="clear" w:color="auto" w:fill="auto"/>
            <w:vAlign w:val="center"/>
          </w:tcPr>
          <w:p w14:paraId="26E9E80B" w14:textId="77777777" w:rsidR="008A3BAC" w:rsidRDefault="008A3BAC">
            <w:pPr>
              <w:rPr>
                <w:rFonts w:ascii="宋体"/>
              </w:rPr>
            </w:pPr>
          </w:p>
        </w:tc>
      </w:tr>
    </w:tbl>
    <w:p w14:paraId="26E9E80D" w14:textId="77777777" w:rsidR="008A3BAC" w:rsidRDefault="005C75B9">
      <w:r>
        <w:rPr>
          <w:rFonts w:ascii="宋体" w:eastAsia="宋体" w:hAnsi="宋体" w:cs="宋体"/>
        </w:rPr>
        <w:t xml:space="preserve">Previous Next </w:t>
      </w:r>
    </w:p>
    <w:p w14:paraId="26E9E80E" w14:textId="77777777" w:rsidR="008A3BAC" w:rsidRDefault="005C75B9">
      <w:pPr>
        <w:pStyle w:val="a3"/>
      </w:pPr>
      <w:r>
        <w:t>Settings</w:t>
      </w:r>
    </w:p>
    <w:p w14:paraId="26E9E80F" w14:textId="77777777" w:rsidR="008A3BAC" w:rsidRDefault="005C75B9">
      <w:pPr>
        <w:pStyle w:val="Style4"/>
      </w:pPr>
      <w:r>
        <w:t>窗体顶端</w:t>
      </w:r>
    </w:p>
    <w:p w14:paraId="26E9E810" w14:textId="77777777" w:rsidR="008A3BAC" w:rsidRDefault="005C75B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6E9E87C" wp14:editId="26E9E87D">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6E9E811" w14:textId="77777777" w:rsidR="008A3BAC" w:rsidRDefault="005C75B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6E9E87E" wp14:editId="26E9E87F">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6E9E812" w14:textId="77777777" w:rsidR="008A3BAC" w:rsidRDefault="005C75B9">
      <w:r>
        <w:pict w14:anchorId="26E9E880">
          <v:rect id="_x0000_i1077" style="width:415.3pt;height:1.5pt" o:hralign="center" o:hrstd="t" o:hr="t" fillcolor="#a0a0a0" stroked="f"/>
        </w:pict>
      </w:r>
    </w:p>
    <w:p w14:paraId="26E9E813" w14:textId="77777777" w:rsidR="008A3BAC" w:rsidRDefault="005C75B9">
      <w:r>
        <w:rPr>
          <w:rFonts w:ascii="宋体" w:eastAsia="宋体" w:hAnsi="宋体" w:cs="宋体"/>
        </w:rPr>
        <w:t xml:space="preserve">Tagged Data </w:t>
      </w:r>
    </w:p>
    <w:p w14:paraId="26E9E814" w14:textId="77777777" w:rsidR="008A3BAC" w:rsidRDefault="005C75B9">
      <w:r>
        <w:rPr>
          <w:rFonts w:ascii="monospace" w:eastAsia="monospace" w:hAnsi="monospace" w:cs="monospace"/>
          <w:noProof/>
        </w:rPr>
        <mc:AlternateContent>
          <mc:Choice Requires="wps">
            <w:drawing>
              <wp:inline distT="0" distB="0" distL="114300" distR="114300" wp14:anchorId="26E9E881" wp14:editId="26E9E882">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6E9E815" w14:textId="77777777" w:rsidR="008A3BAC" w:rsidRDefault="005C75B9">
      <w:r>
        <w:rPr>
          <w:rFonts w:ascii="宋体" w:eastAsia="宋体" w:hAnsi="宋体" w:cs="宋体"/>
        </w:rPr>
        <w:t>Save</w:t>
      </w:r>
    </w:p>
    <w:p w14:paraId="26E9E816" w14:textId="77777777" w:rsidR="008A3BAC" w:rsidRDefault="005C75B9">
      <w:r>
        <w:rPr>
          <w:rFonts w:ascii="宋体" w:eastAsia="宋体" w:hAnsi="宋体" w:cs="宋体"/>
        </w:rPr>
        <w:t>Reset</w:t>
      </w:r>
    </w:p>
    <w:p w14:paraId="26E9E817" w14:textId="77777777" w:rsidR="008A3BAC" w:rsidRDefault="005C75B9">
      <w:r>
        <w:pict w14:anchorId="26E9E883">
          <v:rect id="_x0000_i1078" style="width:415.3pt;height:1.5pt" o:hralign="center" o:hrstd="t" o:hr="t" fillcolor="#a0a0a0" stroked="f"/>
        </w:pict>
      </w:r>
    </w:p>
    <w:p w14:paraId="26E9E818" w14:textId="77777777" w:rsidR="008A3BAC" w:rsidRDefault="005C75B9">
      <w:r>
        <w:rPr>
          <w:rFonts w:ascii="宋体" w:eastAsia="宋体" w:hAnsi="宋体" w:cs="宋体"/>
        </w:rPr>
        <w:t xml:space="preserve">Search Results </w:t>
      </w:r>
    </w:p>
    <w:p w14:paraId="26E9E819" w14:textId="77777777" w:rsidR="008A3BAC" w:rsidRDefault="005C75B9">
      <w:r>
        <w:rPr>
          <w:rFonts w:ascii="monospace" w:eastAsia="monospace" w:hAnsi="monospace" w:cs="monospace"/>
          <w:noProof/>
        </w:rPr>
        <mc:AlternateContent>
          <mc:Choice Requires="wps">
            <w:drawing>
              <wp:inline distT="0" distB="0" distL="114300" distR="114300" wp14:anchorId="26E9E884" wp14:editId="26E9E885">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6E9E81A" w14:textId="77777777" w:rsidR="008A3BAC" w:rsidRDefault="005C75B9">
      <w:r>
        <w:rPr>
          <w:rFonts w:ascii="宋体" w:eastAsia="宋体" w:hAnsi="宋体" w:cs="宋体"/>
        </w:rPr>
        <w:t>Save</w:t>
      </w:r>
    </w:p>
    <w:p w14:paraId="26E9E81B" w14:textId="77777777" w:rsidR="008A3BAC" w:rsidRDefault="005C75B9">
      <w:r>
        <w:rPr>
          <w:rFonts w:ascii="宋体" w:eastAsia="宋体" w:hAnsi="宋体" w:cs="宋体"/>
        </w:rPr>
        <w:t>Reset</w:t>
      </w:r>
    </w:p>
    <w:p w14:paraId="26E9E81C" w14:textId="77777777" w:rsidR="008A3BAC" w:rsidRDefault="005C75B9">
      <w:r>
        <w:pict w14:anchorId="26E9E886">
          <v:rect id="_x0000_i1079" style="width:415.3pt;height:1.5pt" o:hralign="center" o:hrstd="t" o:hr="t" fillcolor="#a0a0a0" stroked="f"/>
        </w:pict>
      </w:r>
    </w:p>
    <w:p w14:paraId="26E9E81D" w14:textId="77777777" w:rsidR="008A3BAC" w:rsidRDefault="005C75B9">
      <w:r>
        <w:rPr>
          <w:rFonts w:ascii="宋体" w:eastAsia="宋体" w:hAnsi="宋体" w:cs="宋体"/>
        </w:rPr>
        <w:t xml:space="preserve">Selected Fact </w:t>
      </w:r>
    </w:p>
    <w:p w14:paraId="26E9E81E" w14:textId="77777777" w:rsidR="008A3BAC" w:rsidRDefault="005C75B9">
      <w:r>
        <w:rPr>
          <w:rFonts w:ascii="monospace" w:eastAsia="monospace" w:hAnsi="monospace" w:cs="monospace"/>
          <w:noProof/>
        </w:rPr>
        <mc:AlternateContent>
          <mc:Choice Requires="wps">
            <w:drawing>
              <wp:inline distT="0" distB="0" distL="114300" distR="114300" wp14:anchorId="26E9E887" wp14:editId="26E9E888">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6E9E81F" w14:textId="77777777" w:rsidR="008A3BAC" w:rsidRDefault="005C75B9">
      <w:r>
        <w:rPr>
          <w:rFonts w:ascii="宋体" w:eastAsia="宋体" w:hAnsi="宋体" w:cs="宋体"/>
        </w:rPr>
        <w:t>Save</w:t>
      </w:r>
    </w:p>
    <w:p w14:paraId="26E9E820" w14:textId="77777777" w:rsidR="008A3BAC" w:rsidRDefault="005C75B9">
      <w:r>
        <w:rPr>
          <w:rFonts w:ascii="宋体" w:eastAsia="宋体" w:hAnsi="宋体" w:cs="宋体"/>
        </w:rPr>
        <w:t>Reset</w:t>
      </w:r>
    </w:p>
    <w:p w14:paraId="26E9E821" w14:textId="77777777" w:rsidR="008A3BAC" w:rsidRDefault="005C75B9">
      <w:r>
        <w:pict w14:anchorId="26E9E889">
          <v:rect id="_x0000_i1080" style="width:415.3pt;height:1.5pt" o:hralign="center" o:hrstd="t" o:hr="t" fillcolor="#a0a0a0" stroked="f"/>
        </w:pict>
      </w:r>
    </w:p>
    <w:p w14:paraId="26E9E822" w14:textId="77777777" w:rsidR="008A3BAC" w:rsidRDefault="005C75B9">
      <w:r>
        <w:rPr>
          <w:rFonts w:ascii="宋体" w:eastAsia="宋体" w:hAnsi="宋体" w:cs="宋体"/>
        </w:rPr>
        <w:t xml:space="preserve">Tag Shading (hover) </w:t>
      </w:r>
    </w:p>
    <w:p w14:paraId="26E9E823" w14:textId="77777777" w:rsidR="008A3BAC" w:rsidRDefault="005C75B9">
      <w:r>
        <w:rPr>
          <w:rFonts w:ascii="monospace" w:eastAsia="monospace" w:hAnsi="monospace" w:cs="monospace"/>
          <w:noProof/>
        </w:rPr>
        <mc:AlternateContent>
          <mc:Choice Requires="wps">
            <w:drawing>
              <wp:inline distT="0" distB="0" distL="114300" distR="114300" wp14:anchorId="26E9E88A" wp14:editId="26E9E88B">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6E9E824" w14:textId="77777777" w:rsidR="008A3BAC" w:rsidRDefault="005C75B9">
      <w:r>
        <w:rPr>
          <w:rFonts w:ascii="宋体" w:eastAsia="宋体" w:hAnsi="宋体" w:cs="宋体"/>
        </w:rPr>
        <w:t>Save</w:t>
      </w:r>
    </w:p>
    <w:p w14:paraId="26E9E825" w14:textId="77777777" w:rsidR="008A3BAC" w:rsidRDefault="005C75B9">
      <w:r>
        <w:rPr>
          <w:rFonts w:ascii="宋体" w:eastAsia="宋体" w:hAnsi="宋体" w:cs="宋体"/>
        </w:rPr>
        <w:t>Reset</w:t>
      </w:r>
    </w:p>
    <w:p w14:paraId="26E9E826" w14:textId="77777777" w:rsidR="008A3BAC" w:rsidRDefault="005C75B9">
      <w:pPr>
        <w:pStyle w:val="Style5"/>
      </w:pPr>
      <w:r>
        <w:t>窗体底端</w:t>
      </w:r>
    </w:p>
    <w:p w14:paraId="26E9E827" w14:textId="77777777" w:rsidR="008A3BAC" w:rsidRDefault="005C75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6E9E88C" wp14:editId="26E9E88D">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29" w14:textId="77777777">
        <w:trPr>
          <w:tblCellSpacing w:w="15" w:type="dxa"/>
        </w:trPr>
        <w:tc>
          <w:tcPr>
            <w:tcW w:w="0" w:type="auto"/>
            <w:shd w:val="clear" w:color="auto" w:fill="auto"/>
            <w:vAlign w:val="center"/>
          </w:tcPr>
          <w:p w14:paraId="26E9E828" w14:textId="77777777" w:rsidR="008A3BAC" w:rsidRDefault="008A3BAC">
            <w:pPr>
              <w:rPr>
                <w:rFonts w:ascii="宋体"/>
              </w:rPr>
            </w:pPr>
          </w:p>
        </w:tc>
      </w:tr>
    </w:tbl>
    <w:p w14:paraId="26E9E82A"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2C" w14:textId="77777777">
        <w:trPr>
          <w:tblCellSpacing w:w="15" w:type="dxa"/>
        </w:trPr>
        <w:tc>
          <w:tcPr>
            <w:tcW w:w="0" w:type="auto"/>
            <w:shd w:val="clear" w:color="auto" w:fill="auto"/>
            <w:vAlign w:val="center"/>
          </w:tcPr>
          <w:p w14:paraId="26E9E82B" w14:textId="77777777" w:rsidR="008A3BAC" w:rsidRDefault="008A3BAC">
            <w:pPr>
              <w:rPr>
                <w:rFonts w:ascii="宋体"/>
              </w:rPr>
            </w:pPr>
          </w:p>
        </w:tc>
      </w:tr>
    </w:tbl>
    <w:p w14:paraId="26E9E82D"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2F" w14:textId="77777777">
        <w:trPr>
          <w:tblCellSpacing w:w="15" w:type="dxa"/>
        </w:trPr>
        <w:tc>
          <w:tcPr>
            <w:tcW w:w="0" w:type="auto"/>
            <w:shd w:val="clear" w:color="auto" w:fill="auto"/>
            <w:vAlign w:val="center"/>
          </w:tcPr>
          <w:p w14:paraId="26E9E82E" w14:textId="77777777" w:rsidR="008A3BAC" w:rsidRDefault="008A3BAC">
            <w:pPr>
              <w:rPr>
                <w:rFonts w:ascii="宋体"/>
              </w:rPr>
            </w:pPr>
          </w:p>
        </w:tc>
      </w:tr>
    </w:tbl>
    <w:p w14:paraId="26E9E830"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32" w14:textId="77777777">
        <w:trPr>
          <w:tblCellSpacing w:w="15" w:type="dxa"/>
        </w:trPr>
        <w:tc>
          <w:tcPr>
            <w:tcW w:w="0" w:type="auto"/>
            <w:shd w:val="clear" w:color="auto" w:fill="auto"/>
            <w:vAlign w:val="center"/>
          </w:tcPr>
          <w:p w14:paraId="26E9E831" w14:textId="77777777" w:rsidR="008A3BAC" w:rsidRDefault="008A3BAC">
            <w:pPr>
              <w:rPr>
                <w:rFonts w:ascii="宋体"/>
              </w:rPr>
            </w:pPr>
          </w:p>
        </w:tc>
      </w:tr>
    </w:tbl>
    <w:p w14:paraId="26E9E833" w14:textId="77777777" w:rsidR="008A3BAC" w:rsidRDefault="005C75B9">
      <w:r>
        <w:rPr>
          <w:rFonts w:ascii="宋体" w:eastAsia="宋体" w:hAnsi="宋体" w:cs="宋体"/>
        </w:rPr>
        <w:t xml:space="preserve">Previous Next </w:t>
      </w:r>
    </w:p>
    <w:p w14:paraId="26E9E834" w14:textId="77777777" w:rsidR="008A3BAC" w:rsidRDefault="005C75B9">
      <w:pPr>
        <w:pStyle w:val="a3"/>
      </w:pPr>
      <w:r>
        <w:t xml:space="preserve">Nested Facts / </w:t>
      </w:r>
    </w:p>
    <w:p w14:paraId="26E9E835" w14:textId="77777777" w:rsidR="008A3BAC" w:rsidRDefault="005C75B9">
      <w:r>
        <w:rPr>
          <w:rFonts w:ascii="宋体" w:eastAsia="宋体" w:hAnsi="宋体" w:cs="宋体"/>
        </w:rPr>
        <w:t xml:space="preserve">Previous Next </w:t>
      </w:r>
    </w:p>
    <w:p w14:paraId="26E9E836" w14:textId="77777777" w:rsidR="008A3BAC" w:rsidRDefault="005C75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6E9E88E" wp14:editId="26E9E88F">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38" w14:textId="77777777">
        <w:trPr>
          <w:tblCellSpacing w:w="15" w:type="dxa"/>
        </w:trPr>
        <w:tc>
          <w:tcPr>
            <w:tcW w:w="0" w:type="auto"/>
            <w:shd w:val="clear" w:color="auto" w:fill="auto"/>
            <w:vAlign w:val="center"/>
          </w:tcPr>
          <w:p w14:paraId="26E9E837" w14:textId="77777777" w:rsidR="008A3BAC" w:rsidRDefault="008A3BAC">
            <w:pPr>
              <w:rPr>
                <w:rFonts w:ascii="宋体"/>
              </w:rPr>
            </w:pPr>
          </w:p>
        </w:tc>
      </w:tr>
    </w:tbl>
    <w:p w14:paraId="26E9E839"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3B" w14:textId="77777777">
        <w:trPr>
          <w:tblCellSpacing w:w="15" w:type="dxa"/>
        </w:trPr>
        <w:tc>
          <w:tcPr>
            <w:tcW w:w="0" w:type="auto"/>
            <w:shd w:val="clear" w:color="auto" w:fill="auto"/>
            <w:vAlign w:val="center"/>
          </w:tcPr>
          <w:p w14:paraId="26E9E83A" w14:textId="77777777" w:rsidR="008A3BAC" w:rsidRDefault="008A3BAC">
            <w:pPr>
              <w:rPr>
                <w:rFonts w:ascii="宋体"/>
              </w:rPr>
            </w:pPr>
          </w:p>
        </w:tc>
      </w:tr>
    </w:tbl>
    <w:p w14:paraId="26E9E83C"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3E" w14:textId="77777777">
        <w:trPr>
          <w:tblCellSpacing w:w="15" w:type="dxa"/>
        </w:trPr>
        <w:tc>
          <w:tcPr>
            <w:tcW w:w="0" w:type="auto"/>
            <w:shd w:val="clear" w:color="auto" w:fill="auto"/>
            <w:vAlign w:val="center"/>
          </w:tcPr>
          <w:p w14:paraId="26E9E83D" w14:textId="77777777" w:rsidR="008A3BAC" w:rsidRDefault="008A3BAC">
            <w:pPr>
              <w:rPr>
                <w:rFonts w:ascii="宋体"/>
              </w:rPr>
            </w:pPr>
          </w:p>
        </w:tc>
      </w:tr>
    </w:tbl>
    <w:p w14:paraId="26E9E83F" w14:textId="77777777" w:rsidR="008A3BAC" w:rsidRDefault="008A3B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BAC" w14:paraId="26E9E841" w14:textId="77777777">
        <w:trPr>
          <w:tblCellSpacing w:w="15" w:type="dxa"/>
        </w:trPr>
        <w:tc>
          <w:tcPr>
            <w:tcW w:w="0" w:type="auto"/>
            <w:shd w:val="clear" w:color="auto" w:fill="auto"/>
            <w:vAlign w:val="center"/>
          </w:tcPr>
          <w:p w14:paraId="26E9E840" w14:textId="77777777" w:rsidR="008A3BAC" w:rsidRDefault="008A3BAC">
            <w:pPr>
              <w:rPr>
                <w:rFonts w:ascii="宋体"/>
              </w:rPr>
            </w:pPr>
          </w:p>
        </w:tc>
      </w:tr>
    </w:tbl>
    <w:p w14:paraId="26E9E842" w14:textId="77777777" w:rsidR="008A3BAC" w:rsidRDefault="005C75B9">
      <w:r>
        <w:rPr>
          <w:rFonts w:ascii="宋体" w:eastAsia="宋体" w:hAnsi="宋体" w:cs="宋体"/>
        </w:rPr>
        <w:t xml:space="preserve">Previous Next </w:t>
      </w:r>
    </w:p>
    <w:p w14:paraId="26E9E843" w14:textId="77777777" w:rsidR="008A3BAC" w:rsidRDefault="008A3BAC"/>
    <w:sectPr w:rsidR="008A3BA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8638" w14:textId="77777777" w:rsidR="005C75B9" w:rsidRDefault="005C75B9" w:rsidP="005C75B9">
      <w:r>
        <w:separator/>
      </w:r>
    </w:p>
  </w:endnote>
  <w:endnote w:type="continuationSeparator" w:id="0">
    <w:p w14:paraId="63F22731" w14:textId="77777777" w:rsidR="005C75B9" w:rsidRDefault="005C75B9" w:rsidP="005C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C76CB" w14:textId="77777777" w:rsidR="005C75B9" w:rsidRDefault="005C75B9" w:rsidP="005C75B9">
      <w:r>
        <w:separator/>
      </w:r>
    </w:p>
  </w:footnote>
  <w:footnote w:type="continuationSeparator" w:id="0">
    <w:p w14:paraId="03F80FE4" w14:textId="77777777" w:rsidR="005C75B9" w:rsidRDefault="005C75B9" w:rsidP="005C7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778748"/>
    <w:rsid w:val="F7778748"/>
    <w:rsid w:val="005C75B9"/>
    <w:rsid w:val="008A3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9C087"/>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C75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C75B9"/>
    <w:rPr>
      <w:rFonts w:asciiTheme="minorEastAsia" w:hAnsiTheme="minorEastAsia" w:cs="Times New Roman"/>
      <w:sz w:val="18"/>
      <w:szCs w:val="18"/>
    </w:rPr>
  </w:style>
  <w:style w:type="paragraph" w:styleId="a8">
    <w:name w:val="footer"/>
    <w:basedOn w:val="a"/>
    <w:link w:val="a9"/>
    <w:rsid w:val="005C75B9"/>
    <w:pPr>
      <w:tabs>
        <w:tab w:val="center" w:pos="4153"/>
        <w:tab w:val="right" w:pos="8306"/>
      </w:tabs>
      <w:snapToGrid w:val="0"/>
    </w:pPr>
    <w:rPr>
      <w:sz w:val="18"/>
      <w:szCs w:val="18"/>
    </w:rPr>
  </w:style>
  <w:style w:type="character" w:customStyle="1" w:styleId="a9">
    <w:name w:val="页脚 字符"/>
    <w:basedOn w:val="a0"/>
    <w:link w:val="a8"/>
    <w:rsid w:val="005C75B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320187/000032018722000017/nke-20220228.htm" TargetMode="External"/><Relationship Id="rId21" Type="http://schemas.openxmlformats.org/officeDocument/2006/relationships/hyperlink" Target="https://www.sec.gov/ix?doc=/Archives/edgar/data/0000320187/000032018722000017/nke-20220228.htm" TargetMode="External"/><Relationship Id="rId42" Type="http://schemas.openxmlformats.org/officeDocument/2006/relationships/hyperlink" Target="https://www.sec.gov/ix?doc=/Archives/edgar/data/0000320187/000032018722000017/nke-20220228.htm" TargetMode="External"/><Relationship Id="rId63" Type="http://schemas.openxmlformats.org/officeDocument/2006/relationships/hyperlink" Target="https://www.sec.gov/ix?doc=/Archives/edgar/data/0000320187/000032018722000017/nke-20220228.htm" TargetMode="External"/><Relationship Id="rId84" Type="http://schemas.openxmlformats.org/officeDocument/2006/relationships/hyperlink" Target="https://www.sec.gov/ix?doc=/Archives/edgar/data/0000320187/000032018722000017/nke-20220228.htm" TargetMode="External"/><Relationship Id="rId138" Type="http://schemas.openxmlformats.org/officeDocument/2006/relationships/theme" Target="theme/theme1.xml"/><Relationship Id="rId16" Type="http://schemas.openxmlformats.org/officeDocument/2006/relationships/hyperlink" Target="https://www.sec.gov/ix?doc=/Archives/edgar/data/0000320187/000032018722000017/nke-20220228.htm" TargetMode="External"/><Relationship Id="rId107" Type="http://schemas.openxmlformats.org/officeDocument/2006/relationships/hyperlink" Target="https://www.sec.gov/ix?doc=/Archives/edgar/data/0000320187/000032018722000017/nke-20220228.htm" TargetMode="External"/><Relationship Id="rId11" Type="http://schemas.openxmlformats.org/officeDocument/2006/relationships/hyperlink" Target="https://www.sec.gov/ix?doc=/Archives/edgar/data/0000320187/000032018722000017/nke-20220228.htm" TargetMode="External"/><Relationship Id="rId32" Type="http://schemas.openxmlformats.org/officeDocument/2006/relationships/hyperlink" Target="https://www.sec.gov/ix?doc=/Archives/edgar/data/0000320187/000032018722000017/nke-20220228.htm" TargetMode="External"/><Relationship Id="rId37" Type="http://schemas.openxmlformats.org/officeDocument/2006/relationships/hyperlink" Target="https://www.sec.gov/ix?doc=/Archives/edgar/data/0000320187/000032018722000017/nke-20220228.htm" TargetMode="External"/><Relationship Id="rId53" Type="http://schemas.openxmlformats.org/officeDocument/2006/relationships/hyperlink" Target="https://www.sec.gov/ix?doc=/Archives/edgar/data/0000320187/000032018722000017/nke-20220228.htm" TargetMode="External"/><Relationship Id="rId58" Type="http://schemas.openxmlformats.org/officeDocument/2006/relationships/hyperlink" Target="https://www.sec.gov/ix?doc=/Archives/edgar/data/0000320187/000032018722000017/nke-20220228.htm" TargetMode="External"/><Relationship Id="rId74" Type="http://schemas.openxmlformats.org/officeDocument/2006/relationships/hyperlink" Target="https://www.sec.gov/ix?doc=/Archives/edgar/data/0000320187/000032018722000017/nke-20220228.htm" TargetMode="External"/><Relationship Id="rId79" Type="http://schemas.openxmlformats.org/officeDocument/2006/relationships/hyperlink" Target="https://www.sec.gov/ix?doc=/Archives/edgar/data/0000320187/000032018722000017/nke-20220228.htm" TargetMode="External"/><Relationship Id="rId102" Type="http://schemas.openxmlformats.org/officeDocument/2006/relationships/hyperlink" Target="https://www.sec.gov/ix?doc=/Archives/edgar/data/0000320187/000032018722000017/nke-20220228.htm" TargetMode="External"/><Relationship Id="rId123" Type="http://schemas.openxmlformats.org/officeDocument/2006/relationships/hyperlink" Target="https://www.sec.gov/Archives/edgar/data/320187/000032018720000029/nkeexhibit31.htm" TargetMode="External"/><Relationship Id="rId128" Type="http://schemas.openxmlformats.org/officeDocument/2006/relationships/hyperlink" Target="https://www.sec.gov/Archives/edgar/data/320187/000032018722000010/active_155789663x9xnike-5x.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2000017/nke-20220228.htm" TargetMode="External"/><Relationship Id="rId95" Type="http://schemas.openxmlformats.org/officeDocument/2006/relationships/hyperlink" Target="https://www.sec.gov/ix?doc=/Archives/edgar/data/0000320187/000032018722000017/nke-20220228.htm" TargetMode="External"/><Relationship Id="rId22" Type="http://schemas.openxmlformats.org/officeDocument/2006/relationships/hyperlink" Target="https://www.sec.gov/ix?doc=/Archives/edgar/data/0000320187/000032018722000017/nke-20220228.htm" TargetMode="External"/><Relationship Id="rId27" Type="http://schemas.openxmlformats.org/officeDocument/2006/relationships/hyperlink" Target="https://www.sec.gov/ix?doc=/Archives/edgar/data/0000320187/000032018722000017/nke-20220228.htm" TargetMode="External"/><Relationship Id="rId43" Type="http://schemas.openxmlformats.org/officeDocument/2006/relationships/hyperlink" Target="https://www.sec.gov/ix?doc=/Archives/edgar/data/0000320187/000032018722000017/nke-20220228.htm" TargetMode="External"/><Relationship Id="rId48" Type="http://schemas.openxmlformats.org/officeDocument/2006/relationships/hyperlink" Target="https://www.sec.gov/ix?doc=/Archives/edgar/data/0000320187/000032018722000017/nke-20220228.htm" TargetMode="External"/><Relationship Id="rId64" Type="http://schemas.openxmlformats.org/officeDocument/2006/relationships/hyperlink" Target="https://www.sec.gov/ix?doc=/Archives/edgar/data/0000320187/000032018722000017/nke-20220228.htm" TargetMode="External"/><Relationship Id="rId69" Type="http://schemas.openxmlformats.org/officeDocument/2006/relationships/hyperlink" Target="https://www.sec.gov/ix?doc=/Archives/edgar/data/0000320187/000032018722000017/nke-20220228.htm" TargetMode="External"/><Relationship Id="rId113" Type="http://schemas.openxmlformats.org/officeDocument/2006/relationships/hyperlink" Target="https://www.sec.gov/ix?doc=/Archives/edgar/data/0000320187/000032018722000017/nke-20220228.htm" TargetMode="External"/><Relationship Id="rId118" Type="http://schemas.openxmlformats.org/officeDocument/2006/relationships/hyperlink" Target="https://www.sec.gov/ix?doc=/Archives/edgar/data/0000320187/000032018722000017/nke-20220228.htm" TargetMode="External"/><Relationship Id="rId134" Type="http://schemas.openxmlformats.org/officeDocument/2006/relationships/hyperlink" Target="https://www.sec.gov/Archives/edgar/data/0000320187/000032018722000017/nke-2282022xexhibit321.htm" TargetMode="External"/><Relationship Id="rId80" Type="http://schemas.openxmlformats.org/officeDocument/2006/relationships/hyperlink" Target="https://www.sec.gov/ix?doc=/Archives/edgar/data/0000320187/000032018722000017/nke-20220228.htm" TargetMode="External"/><Relationship Id="rId85" Type="http://schemas.openxmlformats.org/officeDocument/2006/relationships/hyperlink" Target="https://www.sec.gov/ix?doc=/Archives/edgar/data/0000320187/000032018722000017/nke-20220228.htm" TargetMode="External"/><Relationship Id="rId12" Type="http://schemas.openxmlformats.org/officeDocument/2006/relationships/hyperlink" Target="https://www.sec.gov/ix?doc=/Archives/edgar/data/0000320187/000032018722000017/nke-20220228.htm" TargetMode="External"/><Relationship Id="rId17" Type="http://schemas.openxmlformats.org/officeDocument/2006/relationships/hyperlink" Target="https://www.sec.gov/ix?doc=/Archives/edgar/data/0000320187/000032018722000017/nke-20220228.htm" TargetMode="External"/><Relationship Id="rId33" Type="http://schemas.openxmlformats.org/officeDocument/2006/relationships/hyperlink" Target="https://www.sec.gov/ix?doc=/Archives/edgar/data/0000320187/000032018722000017/nke-20220228.htm" TargetMode="External"/><Relationship Id="rId38" Type="http://schemas.openxmlformats.org/officeDocument/2006/relationships/hyperlink" Target="https://www.sec.gov/ix?doc=/Archives/edgar/data/0000320187/000032018722000017/nke-20220228.htm" TargetMode="External"/><Relationship Id="rId59" Type="http://schemas.openxmlformats.org/officeDocument/2006/relationships/hyperlink" Target="https://www.sec.gov/ix?doc=/Archives/edgar/data/0000320187/000032018722000017/nke-20220228.htm" TargetMode="External"/><Relationship Id="rId103" Type="http://schemas.openxmlformats.org/officeDocument/2006/relationships/hyperlink" Target="https://www.sec.gov/ix?doc=/Archives/edgar/data/0000320187/000032018722000017/nke-20220228.htm" TargetMode="External"/><Relationship Id="rId108" Type="http://schemas.openxmlformats.org/officeDocument/2006/relationships/hyperlink" Target="https://www.sec.gov/ix?doc=/Archives/edgar/data/0000320187/000032018722000017/nke-20220228.htm" TargetMode="External"/><Relationship Id="rId124" Type="http://schemas.openxmlformats.org/officeDocument/2006/relationships/hyperlink" Target="https://www.sec.gov/Archives/edgar/data/320187/000032018722000010/active_156389297x7xnike-36.htm" TargetMode="External"/><Relationship Id="rId129" Type="http://schemas.openxmlformats.org/officeDocument/2006/relationships/hyperlink" Target="https://www.sec.gov/Archives/edgar/data/320187/000032018722000010/active_155789663x9xnike-5x.htm" TargetMode="External"/><Relationship Id="rId54" Type="http://schemas.openxmlformats.org/officeDocument/2006/relationships/hyperlink" Target="https://www.sec.gov/ix?doc=/Archives/edgar/data/0000320187/000032018722000017/nke-20220228.htm" TargetMode="External"/><Relationship Id="rId70" Type="http://schemas.openxmlformats.org/officeDocument/2006/relationships/hyperlink" Target="https://www.sec.gov/ix?doc=/Archives/edgar/data/0000320187/000032018722000017/nke-20220228.htm" TargetMode="External"/><Relationship Id="rId75" Type="http://schemas.openxmlformats.org/officeDocument/2006/relationships/hyperlink" Target="https://www.sec.gov/ix?doc=/Archives/edgar/data/0000320187/000032018722000017/nke-20220228.htm" TargetMode="External"/><Relationship Id="rId91" Type="http://schemas.openxmlformats.org/officeDocument/2006/relationships/hyperlink" Target="https://www.sec.gov/ix?doc=/Archives/edgar/data/0000320187/000032018722000017/nke-20220228.htm" TargetMode="External"/><Relationship Id="rId96" Type="http://schemas.openxmlformats.org/officeDocument/2006/relationships/hyperlink" Target="https://www.sec.gov/ix?doc=/Archives/edgar/data/0000320187/000032018722000017/nke-20220228.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2000017/nke-20220228.htm" TargetMode="External"/><Relationship Id="rId28" Type="http://schemas.openxmlformats.org/officeDocument/2006/relationships/hyperlink" Target="https://www.sec.gov/ix?doc=/Archives/edgar/data/0000320187/000032018722000017/nke-20220228.htm" TargetMode="External"/><Relationship Id="rId49" Type="http://schemas.openxmlformats.org/officeDocument/2006/relationships/hyperlink" Target="https://www.sec.gov/ix?doc=/Archives/edgar/data/0000320187/000032018722000017/nke-20220228.htm" TargetMode="External"/><Relationship Id="rId114" Type="http://schemas.openxmlformats.org/officeDocument/2006/relationships/hyperlink" Target="https://www.sec.gov/ix?doc=/Archives/edgar/data/0000320187/000032018722000017/nke-20220228.htm" TargetMode="External"/><Relationship Id="rId119" Type="http://schemas.openxmlformats.org/officeDocument/2006/relationships/hyperlink" Target="https://www.sec.gov/ix?doc=/Archives/edgar/data/0000320187/000032018722000017/nke-20220228.htm" TargetMode="External"/><Relationship Id="rId44" Type="http://schemas.openxmlformats.org/officeDocument/2006/relationships/hyperlink" Target="https://www.sec.gov/ix?doc=/Archives/edgar/data/0000320187/000032018722000017/nke-20220228.htm" TargetMode="External"/><Relationship Id="rId60" Type="http://schemas.openxmlformats.org/officeDocument/2006/relationships/hyperlink" Target="https://www.sec.gov/ix?doc=/Archives/edgar/data/0000320187/000032018722000017/nke-20220228.htm" TargetMode="External"/><Relationship Id="rId65" Type="http://schemas.openxmlformats.org/officeDocument/2006/relationships/hyperlink" Target="https://www.sec.gov/ix?doc=/Archives/edgar/data/0000320187/000032018722000017/nke-20220228.htm" TargetMode="External"/><Relationship Id="rId81" Type="http://schemas.openxmlformats.org/officeDocument/2006/relationships/hyperlink" Target="https://www.sec.gov/ix?doc=/Archives/edgar/data/0000320187/000032018722000017/nke-20220228.htm" TargetMode="External"/><Relationship Id="rId86" Type="http://schemas.openxmlformats.org/officeDocument/2006/relationships/hyperlink" Target="https://www.sec.gov/ix?doc=/Archives/edgar/data/0000320187/000032018722000017/nke-20220228.htm" TargetMode="External"/><Relationship Id="rId130" Type="http://schemas.openxmlformats.org/officeDocument/2006/relationships/hyperlink" Target="https://www.sec.gov/Archives/edgar/data/320187/000032018722000010/active_155789663x9xnike-5x.htm" TargetMode="External"/><Relationship Id="rId135" Type="http://schemas.openxmlformats.org/officeDocument/2006/relationships/hyperlink" Target="https://www.sec.gov/Archives/edgar/data/0000320187/000032018722000017/nke-2282022xexhibit322.htm" TargetMode="External"/><Relationship Id="rId13" Type="http://schemas.openxmlformats.org/officeDocument/2006/relationships/hyperlink" Target="https://www.sec.gov/ix?doc=/Archives/edgar/data/0000320187/000032018722000017/nke-20220228.htm" TargetMode="External"/><Relationship Id="rId18" Type="http://schemas.openxmlformats.org/officeDocument/2006/relationships/hyperlink" Target="https://www.sec.gov/ix?doc=/Archives/edgar/data/0000320187/000032018722000017/nke-20220228.htm" TargetMode="External"/><Relationship Id="rId39" Type="http://schemas.openxmlformats.org/officeDocument/2006/relationships/hyperlink" Target="https://www.sec.gov/ix?doc=/Archives/edgar/data/0000320187/000032018722000017/nke-20220228.htm" TargetMode="External"/><Relationship Id="rId109" Type="http://schemas.openxmlformats.org/officeDocument/2006/relationships/hyperlink" Target="https://www.sec.gov/ix?doc=/Archives/edgar/data/0000320187/000032018722000017/nke-20220228.htm" TargetMode="External"/><Relationship Id="rId34" Type="http://schemas.openxmlformats.org/officeDocument/2006/relationships/hyperlink" Target="https://www.sec.gov/ix?doc=/Archives/edgar/data/0000320187/000032018722000017/nke-20220228.htm" TargetMode="External"/><Relationship Id="rId50" Type="http://schemas.openxmlformats.org/officeDocument/2006/relationships/hyperlink" Target="https://www.sec.gov/ix?doc=/Archives/edgar/data/0000320187/000032018722000017/nke-20220228.htm" TargetMode="External"/><Relationship Id="rId55" Type="http://schemas.openxmlformats.org/officeDocument/2006/relationships/hyperlink" Target="https://www.sec.gov/ix?doc=/Archives/edgar/data/0000320187/000032018722000017/nke-20220228.htm" TargetMode="External"/><Relationship Id="rId76" Type="http://schemas.openxmlformats.org/officeDocument/2006/relationships/hyperlink" Target="https://www.sec.gov/ix?doc=/Archives/edgar/data/0000320187/000032018722000017/nke-20220228.htm" TargetMode="External"/><Relationship Id="rId97" Type="http://schemas.openxmlformats.org/officeDocument/2006/relationships/hyperlink" Target="https://www.sec.gov/ix?doc=/Archives/edgar/data/0000320187/000032018722000017/nke-20220228.htm" TargetMode="External"/><Relationship Id="rId104" Type="http://schemas.openxmlformats.org/officeDocument/2006/relationships/hyperlink" Target="https://www.sec.gov/ix?doc=/Archives/edgar/data/0000320187/000032018722000017/nke-20220228.htm" TargetMode="External"/><Relationship Id="rId120" Type="http://schemas.openxmlformats.org/officeDocument/2006/relationships/hyperlink" Target="http://www.sec.gov/Archives/edgar/data/320187/000032018716000242/nke-11302015xexhibit31.htm" TargetMode="External"/><Relationship Id="rId125" Type="http://schemas.openxmlformats.org/officeDocument/2006/relationships/hyperlink" Target="https://www.sec.gov/Archives/edgar/data/320187/000032018722000010/active_156389297x7xnike-36.htm" TargetMode="External"/><Relationship Id="rId7" Type="http://schemas.openxmlformats.org/officeDocument/2006/relationships/hyperlink" Target="https://www.sec.gov/ix?doc=/Archives/edgar/data/0000320187/000032018722000017/nke-20220228.htm" TargetMode="External"/><Relationship Id="rId71" Type="http://schemas.openxmlformats.org/officeDocument/2006/relationships/hyperlink" Target="https://www.sec.gov/ix?doc=/Archives/edgar/data/0000320187/000032018722000017/nke-20220228.htm" TargetMode="External"/><Relationship Id="rId92" Type="http://schemas.openxmlformats.org/officeDocument/2006/relationships/hyperlink" Target="https://www.sec.gov/ix?doc=/Archives/edgar/data/0000320187/000032018722000017/nke-20220228.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2000017/nke-20220228.htm" TargetMode="External"/><Relationship Id="rId24" Type="http://schemas.openxmlformats.org/officeDocument/2006/relationships/hyperlink" Target="https://www.sec.gov/ix?doc=/Archives/edgar/data/0000320187/000032018722000017/nke-20220228.htm" TargetMode="External"/><Relationship Id="rId40" Type="http://schemas.openxmlformats.org/officeDocument/2006/relationships/hyperlink" Target="https://www.sec.gov/ix?doc=/Archives/edgar/data/0000320187/000032018722000017/nke-20220228.htm" TargetMode="External"/><Relationship Id="rId45" Type="http://schemas.openxmlformats.org/officeDocument/2006/relationships/hyperlink" Target="https://www.sec.gov/ix?doc=/Archives/edgar/data/0000320187/000032018722000017/nke-20220228.htm" TargetMode="External"/><Relationship Id="rId66" Type="http://schemas.openxmlformats.org/officeDocument/2006/relationships/hyperlink" Target="https://www.sec.gov/ix?doc=/Archives/edgar/data/0000320187/000032018722000017/nke-20220228.htm" TargetMode="External"/><Relationship Id="rId87" Type="http://schemas.openxmlformats.org/officeDocument/2006/relationships/hyperlink" Target="https://www.sec.gov/ix?doc=/Archives/edgar/data/0000320187/000032018722000017/nke-20220228.htm" TargetMode="External"/><Relationship Id="rId110" Type="http://schemas.openxmlformats.org/officeDocument/2006/relationships/hyperlink" Target="https://www.sec.gov/ix?doc=/Archives/edgar/data/0000320187/000032018722000017/nke-20220228.htm" TargetMode="External"/><Relationship Id="rId115" Type="http://schemas.openxmlformats.org/officeDocument/2006/relationships/hyperlink" Target="https://www.sec.gov/ix?doc=/Archives/edgar/data/0000320187/000032018722000017/nke-20220228.htm" TargetMode="External"/><Relationship Id="rId131" Type="http://schemas.openxmlformats.org/officeDocument/2006/relationships/hyperlink" Target="https://www.sec.gov/Archives/edgar/data/320187/000032018722000010/active_155789663x9xnike-5x.htm" TargetMode="External"/><Relationship Id="rId136" Type="http://schemas.openxmlformats.org/officeDocument/2006/relationships/hyperlink" Target="https://www.sec.gov/ix?doc=/Archives/edgar/data/0000320187/000032018722000017/nke-20220228.htm" TargetMode="External"/><Relationship Id="rId61" Type="http://schemas.openxmlformats.org/officeDocument/2006/relationships/hyperlink" Target="https://www.sec.gov/ix?doc=/Archives/edgar/data/0000320187/000032018722000017/nke-20220228.htm" TargetMode="External"/><Relationship Id="rId82" Type="http://schemas.openxmlformats.org/officeDocument/2006/relationships/hyperlink" Target="https://www.sec.gov/ix?doc=/Archives/edgar/data/0000320187/000032018722000017/nke-20220228.htm" TargetMode="External"/><Relationship Id="rId19" Type="http://schemas.openxmlformats.org/officeDocument/2006/relationships/hyperlink" Target="https://www.sec.gov/ix?doc=/Archives/edgar/data/0000320187/000032018722000017/nke-20220228.htm" TargetMode="External"/><Relationship Id="rId14" Type="http://schemas.openxmlformats.org/officeDocument/2006/relationships/hyperlink" Target="https://www.sec.gov/ix?doc=/Archives/edgar/data/0000320187/000032018722000017/nke-20220228.htm" TargetMode="External"/><Relationship Id="rId30" Type="http://schemas.openxmlformats.org/officeDocument/2006/relationships/hyperlink" Target="https://www.sec.gov/ix?doc=/Archives/edgar/data/0000320187/000032018722000017/nke-20220228.htm" TargetMode="External"/><Relationship Id="rId35" Type="http://schemas.openxmlformats.org/officeDocument/2006/relationships/hyperlink" Target="https://www.sec.gov/ix?doc=/Archives/edgar/data/0000320187/000032018722000017/nke-20220228.htm" TargetMode="External"/><Relationship Id="rId56" Type="http://schemas.openxmlformats.org/officeDocument/2006/relationships/hyperlink" Target="https://www.sec.gov/ix?doc=/Archives/edgar/data/0000320187/000032018722000017/nke-20220228.htm" TargetMode="External"/><Relationship Id="rId77" Type="http://schemas.openxmlformats.org/officeDocument/2006/relationships/hyperlink" Target="https://www.sec.gov/ix?doc=/Archives/edgar/data/0000320187/000032018722000017/nke-20220228.htm" TargetMode="External"/><Relationship Id="rId100" Type="http://schemas.openxmlformats.org/officeDocument/2006/relationships/hyperlink" Target="https://www.sec.gov/ix?doc=/Archives/edgar/data/0000320187/000032018722000017/nke-20220228.htm" TargetMode="External"/><Relationship Id="rId105" Type="http://schemas.openxmlformats.org/officeDocument/2006/relationships/hyperlink" Target="https://www.sec.gov/ix?doc=/Archives/edgar/data/0000320187/000032018722000017/nke-20220228.htm" TargetMode="External"/><Relationship Id="rId126" Type="http://schemas.openxmlformats.org/officeDocument/2006/relationships/hyperlink" Target="https://www.sec.gov/Archives/edgar/data/320187/000032018722000010/active_156389297x7xnike-36.htm" TargetMode="External"/><Relationship Id="rId8" Type="http://schemas.openxmlformats.org/officeDocument/2006/relationships/hyperlink" Target="https://www.sec.gov/ix?doc=/Archives/edgar/data/0000320187/000032018722000017/nke-20220228.htm" TargetMode="External"/><Relationship Id="rId51" Type="http://schemas.openxmlformats.org/officeDocument/2006/relationships/hyperlink" Target="https://www.sec.gov/ix?doc=/Archives/edgar/data/0000320187/000032018722000017/nke-20220228.htm" TargetMode="External"/><Relationship Id="rId72" Type="http://schemas.openxmlformats.org/officeDocument/2006/relationships/hyperlink" Target="https://www.sec.gov/ix?doc=/Archives/edgar/data/0000320187/000032018722000017/nke-20220228.htm" TargetMode="External"/><Relationship Id="rId93" Type="http://schemas.openxmlformats.org/officeDocument/2006/relationships/hyperlink" Target="https://www.sec.gov/ix?doc=/Archives/edgar/data/0000320187/000032018722000017/nke-20220228.htm" TargetMode="External"/><Relationship Id="rId98" Type="http://schemas.openxmlformats.org/officeDocument/2006/relationships/hyperlink" Target="https://www.sec.gov/ix?doc=/Archives/edgar/data/0000320187/000032018722000017/nke-20220228.htm" TargetMode="External"/><Relationship Id="rId121" Type="http://schemas.openxmlformats.org/officeDocument/2006/relationships/hyperlink" Target="https://www.sec.gov/Archives/edgar/data/320187/000032018720000029/nkeexhibit31.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2000017/nke-20220228.htm" TargetMode="External"/><Relationship Id="rId46" Type="http://schemas.openxmlformats.org/officeDocument/2006/relationships/hyperlink" Target="https://www.sec.gov/ix?doc=/Archives/edgar/data/0000320187/000032018722000017/nke-20220228.htm" TargetMode="External"/><Relationship Id="rId67" Type="http://schemas.openxmlformats.org/officeDocument/2006/relationships/hyperlink" Target="https://www.sec.gov/ix?doc=/Archives/edgar/data/0000320187/000032018722000017/nke-20220228.htm" TargetMode="External"/><Relationship Id="rId116" Type="http://schemas.openxmlformats.org/officeDocument/2006/relationships/hyperlink" Target="https://www.sec.gov/ix?doc=/Archives/edgar/data/0000320187/000032018722000017/nke-20220228.htm" TargetMode="External"/><Relationship Id="rId137" Type="http://schemas.openxmlformats.org/officeDocument/2006/relationships/fontTable" Target="fontTable.xml"/><Relationship Id="rId20" Type="http://schemas.openxmlformats.org/officeDocument/2006/relationships/hyperlink" Target="https://www.sec.gov/ix?doc=/Archives/edgar/data/0000320187/000032018722000017/nke-20220228.htm" TargetMode="External"/><Relationship Id="rId41" Type="http://schemas.openxmlformats.org/officeDocument/2006/relationships/hyperlink" Target="https://www.sec.gov/ix?doc=/Archives/edgar/data/0000320187/000032018722000017/nke-20220228.htm" TargetMode="External"/><Relationship Id="rId62" Type="http://schemas.openxmlformats.org/officeDocument/2006/relationships/hyperlink" Target="https://www.sec.gov/ix?doc=/Archives/edgar/data/0000320187/000032018722000017/nke-20220228.htm" TargetMode="External"/><Relationship Id="rId83" Type="http://schemas.openxmlformats.org/officeDocument/2006/relationships/hyperlink" Target="https://www.sec.gov/ix?doc=/Archives/edgar/data/0000320187/000032018722000017/nke-20220228.htm" TargetMode="External"/><Relationship Id="rId88" Type="http://schemas.openxmlformats.org/officeDocument/2006/relationships/hyperlink" Target="https://www.sec.gov/ix?doc=/Archives/edgar/data/0000320187/000032018722000017/nke-20220228.htm" TargetMode="External"/><Relationship Id="rId111" Type="http://schemas.openxmlformats.org/officeDocument/2006/relationships/hyperlink" Target="https://www.sec.gov/ix?doc=/Archives/edgar/data/0000320187/000032018722000017/nke-20220228.htm" TargetMode="External"/><Relationship Id="rId132" Type="http://schemas.openxmlformats.org/officeDocument/2006/relationships/hyperlink" Target="https://www.sec.gov/Archives/edgar/data/0000320187/000032018722000017/nke-2282022xexhibit311.htm" TargetMode="External"/><Relationship Id="rId15" Type="http://schemas.openxmlformats.org/officeDocument/2006/relationships/hyperlink" Target="https://www.sec.gov/ix?doc=/Archives/edgar/data/0000320187/000032018722000017/nke-20220228.htm" TargetMode="External"/><Relationship Id="rId36" Type="http://schemas.openxmlformats.org/officeDocument/2006/relationships/hyperlink" Target="https://www.sec.gov/ix?doc=/Archives/edgar/data/0000320187/000032018722000017/nke-20220228.htm" TargetMode="External"/><Relationship Id="rId57" Type="http://schemas.openxmlformats.org/officeDocument/2006/relationships/hyperlink" Target="https://www.sec.gov/ix?doc=/Archives/edgar/data/0000320187/000032018722000017/nke-20220228.htm" TargetMode="External"/><Relationship Id="rId106" Type="http://schemas.openxmlformats.org/officeDocument/2006/relationships/hyperlink" Target="https://www.sec.gov/ix?doc=/Archives/edgar/data/0000320187/000032018722000017/nke-20220228.htm" TargetMode="External"/><Relationship Id="rId127" Type="http://schemas.openxmlformats.org/officeDocument/2006/relationships/hyperlink" Target="https://www.sec.gov/Archives/edgar/data/320187/000032018722000010/active_155789663x9xnike-5x.htm" TargetMode="External"/><Relationship Id="rId10" Type="http://schemas.openxmlformats.org/officeDocument/2006/relationships/hyperlink" Target="https://www.sec.gov/ix?doc=/Archives/edgar/data/0000320187/000032018722000017/nke-20220228.htm" TargetMode="External"/><Relationship Id="rId31" Type="http://schemas.openxmlformats.org/officeDocument/2006/relationships/hyperlink" Target="https://www.sec.gov/ix?doc=/Archives/edgar/data/0000320187/000032018722000017/nke-20220228.htm" TargetMode="External"/><Relationship Id="rId52" Type="http://schemas.openxmlformats.org/officeDocument/2006/relationships/hyperlink" Target="https://www.sec.gov/ix?doc=/Archives/edgar/data/0000320187/000032018722000017/nke-20220228.htm" TargetMode="External"/><Relationship Id="rId73" Type="http://schemas.openxmlformats.org/officeDocument/2006/relationships/hyperlink" Target="https://www.sec.gov/ix?doc=/Archives/edgar/data/0000320187/000032018722000017/nke-20220228.htm" TargetMode="External"/><Relationship Id="rId78" Type="http://schemas.openxmlformats.org/officeDocument/2006/relationships/hyperlink" Target="https://www.sec.gov/ix?doc=/Archives/edgar/data/0000320187/000032018722000017/nke-20220228.htm" TargetMode="External"/><Relationship Id="rId94" Type="http://schemas.openxmlformats.org/officeDocument/2006/relationships/hyperlink" Target="https://www.sec.gov/ix?doc=/Archives/edgar/data/0000320187/000032018722000017/nke-20220228.htm" TargetMode="External"/><Relationship Id="rId99" Type="http://schemas.openxmlformats.org/officeDocument/2006/relationships/hyperlink" Target="https://www.sec.gov/ix?doc=/Archives/edgar/data/0000320187/000032018722000017/nke-20220228.htm" TargetMode="External"/><Relationship Id="rId101" Type="http://schemas.openxmlformats.org/officeDocument/2006/relationships/hyperlink" Target="https://www.sec.gov/ix?doc=/Archives/edgar/data/0000320187/000032018722000017/nke-20220228.htm" TargetMode="External"/><Relationship Id="rId122" Type="http://schemas.openxmlformats.org/officeDocument/2006/relationships/hyperlink" Target="http://www.sec.gov/Archives/edgar/data/320187/000032018716000242/nke-11302015xexhibit3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2000017/nke-20220228.htm" TargetMode="External"/><Relationship Id="rId26" Type="http://schemas.openxmlformats.org/officeDocument/2006/relationships/hyperlink" Target="https://www.sec.gov/ix?doc=/Archives/edgar/data/0000320187/000032018722000017/nke-20220228.htm" TargetMode="External"/><Relationship Id="rId47" Type="http://schemas.openxmlformats.org/officeDocument/2006/relationships/hyperlink" Target="https://www.sec.gov/ix?doc=/Archives/edgar/data/0000320187/000032018722000017/nke-20220228.htm" TargetMode="External"/><Relationship Id="rId68" Type="http://schemas.openxmlformats.org/officeDocument/2006/relationships/hyperlink" Target="https://www.sec.gov/ix?doc=/Archives/edgar/data/0000320187/000032018722000017/nke-20220228.htm" TargetMode="External"/><Relationship Id="rId89" Type="http://schemas.openxmlformats.org/officeDocument/2006/relationships/hyperlink" Target="https://www.sec.gov/ix?doc=/Archives/edgar/data/0000320187/000032018722000017/nke-20220228.htm" TargetMode="External"/><Relationship Id="rId112" Type="http://schemas.openxmlformats.org/officeDocument/2006/relationships/hyperlink" Target="https://www.sec.gov/ix?doc=/Archives/edgar/data/0000320187/000032018722000017/nke-20220228.htm" TargetMode="External"/><Relationship Id="rId133" Type="http://schemas.openxmlformats.org/officeDocument/2006/relationships/hyperlink" Target="https://www.sec.gov/Archives/edgar/data/0000320187/000032018722000017/nke-2282022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36698</Words>
  <Characters>209181</Characters>
  <Application>Microsoft Office Word</Application>
  <DocSecurity>0</DocSecurity>
  <Lines>1743</Lines>
  <Paragraphs>490</Paragraphs>
  <ScaleCrop>false</ScaleCrop>
  <Company/>
  <LinksUpToDate>false</LinksUpToDate>
  <CharactersWithSpaces>245389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2023-02-11T21:31:00Z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55901385F9C2B99EBA98E7635E09BCD4</vt:lpwstr>
  </property>
</Properties>
</file>