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61405A">
      <w:pPr>
        <w:divId w:val="560794849"/>
        <w:rPr>
          <w:rFonts w:eastAsia="Times New Roman"/>
          <w:vanish/>
        </w:rPr>
      </w:pPr>
      <w:r>
        <w:rPr>
          <w:rFonts w:eastAsia="Times New Roman"/>
          <w:vanish/>
        </w:rPr>
        <w:t>00012751582020FYfalseus-gaap:AccountingStandardsUpdate201409Memberus-gaap:AccountingStandardsUpdate201602MemberP5Yus-gaap:OtherLiabilitiesCurrentus-gaap:OtherLiabilitiesCurrentus-gaap:OtherLiabilitiesNoncurrent</w:t>
      </w:r>
      <w:r>
        <w:rPr>
          <w:rFonts w:eastAsia="Times New Roman"/>
          <w:vanish/>
        </w:rPr>
        <w:t>us-gaap:OtherLiabilitiesNoncurrentP1YP1YP1YP1YP1Y00012751582020-01-012020-12-29iso4217:USD00012751582020-06-30xbrli:shares00012751582021-02-2200012751582020-12-2900012751582019-12-31iso4217:USDxbrli:shares0001275158us-gaap:FoodAndBeverageMember2020-01-0120</w:t>
      </w:r>
      <w:r>
        <w:rPr>
          <w:rFonts w:eastAsia="Times New Roman"/>
          <w:vanish/>
        </w:rPr>
        <w:t>20-12-290001275158us-gaap:FoodAndBeverageMember2019-01-022019-12-310001275158us-gaap:FoodAndBeverageMember2018-01-032019-01-010001275158us-gaap:FranchiseMember2020-01-012020-12-290001275158us-gaap:FranchiseMember2019-01-022019-12-310001275158us-gaap:Franch</w:t>
      </w:r>
      <w:r>
        <w:rPr>
          <w:rFonts w:eastAsia="Times New Roman"/>
          <w:vanish/>
        </w:rPr>
        <w:t>iseMember2018-01-032019-01-0100012751582019-01-022019-12-3100012751582018-01-032019-01-010001275158ndls:LaborMember2020-01-012020-12-290001275158ndls:LaborMember2019-01-022019-12-310001275158ndls:LaborMember2018-01-032019-01-010001275158ndls:RestaurantOccu</w:t>
      </w:r>
      <w:r>
        <w:rPr>
          <w:rFonts w:eastAsia="Times New Roman"/>
          <w:vanish/>
        </w:rPr>
        <w:t>pancyMember2020-01-012020-12-290001275158ndls:RestaurantOccupancyMember2019-01-022019-12-310001275158ndls:RestaurantOccupancyMember2018-01-032019-01-010001275158us-gaap:CommonStockMember2018-01-020001275158us-gaap:TreasuryStockMember2018-01-020001275158us-</w:t>
      </w:r>
      <w:r>
        <w:rPr>
          <w:rFonts w:eastAsia="Times New Roman"/>
          <w:vanish/>
        </w:rPr>
        <w:t>gaap:AdditionalPaidInCapitalMember2018-01-020001275158us-gaap:RetainedEarningsMember2018-01-0200012751582018-01-020001275158us-gaap:CommonStockMember2018-01-032019-01-010001275158us-gaap:AdditionalPaidInCapitalMember2018-01-032019-01-010001275158us-gaap:Re</w:t>
      </w:r>
      <w:r>
        <w:rPr>
          <w:rFonts w:eastAsia="Times New Roman"/>
          <w:vanish/>
        </w:rPr>
        <w:t>tainedEarningsMembersrt:CumulativeEffectPeriodOfAdoptionAdjustmentMember2018-01-020001275158srt:CumulativeEffectPeriodOfAdoptionAdjustmentMember2018-01-020001275158us-gaap:RetainedEarningsMember2018-01-032019-01-010001275158us-gaap:CommonStockMember2019-01</w:t>
      </w:r>
      <w:r>
        <w:rPr>
          <w:rFonts w:eastAsia="Times New Roman"/>
          <w:vanish/>
        </w:rPr>
        <w:t>-010001275158us-gaap:TreasuryStockMember2019-01-010001275158us-gaap:AdditionalPaidInCapitalMember2019-01-010001275158us-gaap:RetainedEarningsMember2019-01-0100012751582019-01-010001275158us-gaap:CommonStockMember2019-01-022019-12-310001275158us-gaap:Additi</w:t>
      </w:r>
      <w:r>
        <w:rPr>
          <w:rFonts w:eastAsia="Times New Roman"/>
          <w:vanish/>
        </w:rPr>
        <w:t>onalPaidInCapitalMember2019-01-022019-12-310001275158us-gaap:RetainedEarningsMembersrt:CumulativeEffectPeriodOfAdoptionAdjustmentMember2019-01-010001275158srt:CumulativeEffectPeriodOfAdoptionAdjustmentMember2019-01-010001275158us-gaap:RetainedEarningsMembe</w:t>
      </w:r>
      <w:r>
        <w:rPr>
          <w:rFonts w:eastAsia="Times New Roman"/>
          <w:vanish/>
        </w:rPr>
        <w:t>r2019-01-022019-12-310001275158us-gaap:CommonStockMember2019-12-310001275158us-gaap:TreasuryStockMember2019-12-310001275158us-gaap:AdditionalPaidInCapitalMember2019-12-310001275158us-gaap:RetainedEarningsMember2019-12-310001275158us-gaap:CommonStockMember2</w:t>
      </w:r>
      <w:r>
        <w:rPr>
          <w:rFonts w:eastAsia="Times New Roman"/>
          <w:vanish/>
        </w:rPr>
        <w:t>020-01-012020-12-290001275158us-gaap:AdditionalPaidInCapitalMember2020-01-012020-12-290001275158us-gaap:RetainedEarningsMember2020-01-012020-12-290001275158us-gaap:CommonStockMember2020-12-290001275158us-gaap:TreasuryStockMember2020-12-290001275158us-gaap:</w:t>
      </w:r>
      <w:r>
        <w:rPr>
          <w:rFonts w:eastAsia="Times New Roman"/>
          <w:vanish/>
        </w:rPr>
        <w:t>AdditionalPaidInCapitalMember2020-12-290001275158us-gaap:RetainedEarningsMember2020-12-2900012751582018-05-24ndls:restaurant0001275158us-gaap:EntityOperatedUnitsMember2020-12-290001275158us-gaap:FranchisedUnitsMember2020-12-29ndls:statendls:segment00012751</w:t>
      </w:r>
      <w:r>
        <w:rPr>
          <w:rFonts w:eastAsia="Times New Roman"/>
          <w:vanish/>
        </w:rPr>
        <w:t>58us-gaap:CreditCardReceivablesMember2020-12-290001275158us-gaap:CreditCardReceivablesMember2019-12-310001275158ndls:SmallwaresInventoryMember2020-12-290001275158ndls:SmallwaresInventoryMember2019-12-310001275158srt:MaximumMemberus-gaap:LeaseholdImprovemen</w:t>
      </w:r>
      <w:r>
        <w:rPr>
          <w:rFonts w:eastAsia="Times New Roman"/>
          <w:vanish/>
        </w:rPr>
        <w:t>tsMember2020-01-012020-12-290001275158us-gaap:FurnitureAndFixturesMembersrt:MinimumMember2020-01-012020-12-290001275158srt:MaximumMemberus-gaap:FurnitureAndFixturesMember2020-01-012020-12-290001275158us-gaap:EquipmentMembersrt:MinimumMember2020-01-012020-1</w:t>
      </w:r>
      <w:r>
        <w:rPr>
          <w:rFonts w:eastAsia="Times New Roman"/>
          <w:vanish/>
        </w:rPr>
        <w:t>2-290001275158us-gaap:EquipmentMembersrt:MaximumMember2020-01-012020-12-290001275158srt:MinimumMemberus-gaap:FranchiseRightsMember2020-01-012020-12-290001275158srt:MaximumMemberus-gaap:FranchiseRightsMember2020-01-012020-12-29xbrli:pure0001275158us-gaap:Fr</w:t>
      </w:r>
      <w:r>
        <w:rPr>
          <w:rFonts w:eastAsia="Times New Roman"/>
          <w:vanish/>
        </w:rPr>
        <w:t>anchisedUnitsMember2019-12-310001275158us-gaap:FranchisedUnitsMember2019-01-010001275158us-gaap:FranchisedUnitsMember2020-01-012020-12-290001275158us-gaap:FranchisedUnitsMember2019-01-022019-12-310001275158srt:RestatementAdjustmentMemberus-gaap:AccountingS</w:t>
      </w:r>
      <w:r>
        <w:rPr>
          <w:rFonts w:eastAsia="Times New Roman"/>
          <w:vanish/>
        </w:rPr>
        <w:t>tandardsUpdate201602Member2019-01-020001275158us-gaap:AccountingStandardsUpdate201602Member2019-01-020001275158ndls:DeliveryProgramMember2020-12-290001275158ndls:DeliveryProgramMember2019-12-310001275158ndls:VendorRebateMember2020-12-290001275158ndls:Vendo</w:t>
      </w:r>
      <w:r>
        <w:rPr>
          <w:rFonts w:eastAsia="Times New Roman"/>
          <w:vanish/>
        </w:rPr>
        <w:t>rRebateMember2019-12-310001275158ndls:InsuranceReceivableMember2020-12-290001275158ndls:InsuranceReceivableMember2019-12-310001275158ndls:FranchiseReceivableMember2020-12-290001275158ndls:FranchiseReceivableMember2019-12-310001275158ndls:OtherReceivableMem</w:t>
      </w:r>
      <w:r>
        <w:rPr>
          <w:rFonts w:eastAsia="Times New Roman"/>
          <w:vanish/>
        </w:rPr>
        <w:t>ber2020-12-290001275158ndls:OtherReceivableMember2019-12-310001275158us-gaap:LeaseholdImprovementsMember2020-12-290001275158us-gaap:LeaseholdImprovementsMember2019-12-310001275158ndls:FurnitureFixturesAndEquipmentMember2020-12-290001275158ndls:FurnitureFix</w:t>
      </w:r>
      <w:r>
        <w:rPr>
          <w:rFonts w:eastAsia="Times New Roman"/>
          <w:vanish/>
        </w:rPr>
        <w:t>turesAndEquipmentMember2019-12-310001275158us-gaap:ConstructionInProgressMember2020-12-290001275158us-gaap:ConstructionInProgressMember2019-12-310001275158ndls:RCRGSaleMember2019-01-022019-12-3100012751582019-01-022019-04-020001275158ndls:TwoThousandandEig</w:t>
      </w:r>
      <w:r>
        <w:rPr>
          <w:rFonts w:eastAsia="Times New Roman"/>
          <w:vanish/>
        </w:rPr>
        <w:t>hteenTermLoanFacilityMember2018-05-090001275158ndls:TwoThousandAndEighteenLineOfCreditFacilityMemberus-gaap:RevolvingCreditFacilityMember2018-05-090001275158ndls:TwoThousandandEighteenCreditSubfacilityMemberus-gaap:LetterOfCreditMember2018-05-090001275158n</w:t>
      </w:r>
      <w:r>
        <w:rPr>
          <w:rFonts w:eastAsia="Times New Roman"/>
          <w:vanish/>
        </w:rPr>
        <w:t>dls:TwoThousandandEighteenSwinglineSubfacilityMember2018-05-090001275158ndls:TwoThousandandEighteenCreditFacilityMember2018-05-092018-05-090001275158ndls:TwoThousandAndEighteenLineOfCreditFacilityAmendedMemberus-gaap:RevolvingCreditFacilityMember2019-11-20</w:t>
      </w:r>
      <w:r>
        <w:rPr>
          <w:rFonts w:eastAsia="Times New Roman"/>
          <w:vanish/>
        </w:rPr>
        <w:t>0001275158ndls:TwoThousandAndEighteenCreditFacilityAmendedMember2019-11-200001275158ndls:TwoThousandandEighteenCreditFacilityMember2019-01-022019-12-310001275158srt:MinimumMemberus-gaap:LondonInterbankOfferedRateLIBORMemberndls:TwoThousandAndEighteenCredit</w:t>
      </w:r>
      <w:r>
        <w:rPr>
          <w:rFonts w:eastAsia="Times New Roman"/>
          <w:vanish/>
        </w:rPr>
        <w:t>FacilityAmendedMember2019-11-202019-11-200001275158srt:MaximumMemberus-gaap:LondonInterbankOfferedRateLIBORMemberndls:TwoThousandAndEighteenCreditFacilityAmendedMember2019-11-202019-11-200001275158us-gaap:BaseRateMembersrt:MinimumMemberndls:TwoThousandAndE</w:t>
      </w:r>
      <w:r>
        <w:rPr>
          <w:rFonts w:eastAsia="Times New Roman"/>
          <w:vanish/>
        </w:rPr>
        <w:t>ighteenCreditFacilityAmendedMember2019-11-202019-11-200001275158srt:MaximumMemberus-gaap:BaseRateMemberndls:TwoThousandAndEighteenCreditFacilityAmendedMember2019-11-202019-11-200001275158ndls:FederalFundsRateMemberndls:TwoThousandAndEighteenCreditFacilityA</w:t>
      </w:r>
      <w:r>
        <w:rPr>
          <w:rFonts w:eastAsia="Times New Roman"/>
          <w:vanish/>
        </w:rPr>
        <w:t>mendedMember2019-11-202019-11-200001275158us-gaap:PrimeRateMemberndls:TwoThousandAndEighteenCreditFacilityAmendedMember2019-11-202019-11-200001275158srt:MinimumMemberndls:TwoThousandAndEighteenCreditFacilityAmendedMember2019-11-202019-11-200001275158srt:Ma</w:t>
      </w:r>
      <w:r>
        <w:rPr>
          <w:rFonts w:eastAsia="Times New Roman"/>
          <w:vanish/>
        </w:rPr>
        <w:t>ximumMemberndls:TwoThousandAndEighteenCreditFacilityAmendedMember2019-11-202019-11-200001275158ndls:TwoThousandAndEighteenCreditFacilitySecondAmendmentMemberus-gaap:LondonInterbankOfferedRateLIBORMembersrt:ScenarioForecastMember2020-06-162021-09-3000012751</w:t>
      </w:r>
      <w:r>
        <w:rPr>
          <w:rFonts w:eastAsia="Times New Roman"/>
          <w:vanish/>
        </w:rPr>
        <w:t>58ndls:TwoThousandAndEighteenCreditFacilitySecondAmendmentMembersrt:MinimumMemberus-gaap:LondonInterbankOfferedRateLIBORMembersrt:ScenarioForecastMember2021-10-012024-11-200001275158srt:MaximumMemberndls:TwoThousandAndEighteenCreditFacilitySecondAmendmentM</w:t>
      </w:r>
      <w:r>
        <w:rPr>
          <w:rFonts w:eastAsia="Times New Roman"/>
          <w:vanish/>
        </w:rPr>
        <w:t>emberus-gaap:LondonInterbankOfferedRateLIBORMembersrt:ScenarioForecastMember2021-10-012024-11-200001275158ndls:TwoThousandAndEighteenCreditFacilitySecondAmendmentMember2020-06-160001275158srt:ScenarioForecastMember2021-01-012021-09-300001275158srt:Scenario</w:t>
      </w:r>
      <w:r>
        <w:rPr>
          <w:rFonts w:eastAsia="Times New Roman"/>
          <w:vanish/>
        </w:rPr>
        <w:t>ForecastMember2021-10-012022-09-300001275158srt:ScenarioForecastMember2022-10-012023-09-300001275158srt:ScenarioForecastMember2023-10-012024-11-200001275158srt:MinimumMember2020-01-012020-12-290001275158srt:MaximumMember2020-01-012020-12-290001275158ndls:P</w:t>
      </w:r>
      <w:r>
        <w:rPr>
          <w:rFonts w:eastAsia="Times New Roman"/>
          <w:vanish/>
        </w:rPr>
        <w:t>riorCreditFacilityMember2018-01-032019-01-010001275158us-gaap:DomesticCountryMember2020-12-290001275158us-gaap:DomesticCountryMember2019-12-310001275158us-gaap:CommonClassAMember2020-12-290001275158us-gaap:CommonClassBMember2020-12-290001275158us-gaap:Pref</w:t>
      </w:r>
      <w:r>
        <w:rPr>
          <w:rFonts w:eastAsia="Times New Roman"/>
          <w:vanish/>
        </w:rPr>
        <w:t>erredStockMember2020-12-290001275158srt:MinimumMemberus-gaap:InvestorMember2020-01-012020-12-290001275158us-gaap:CommonClassAMember2018-07-312018-07-310001275158us-gaap:CommonClassAMember2018-07-310001275158us-gaap:CommonClassBMember2018-05-242018-05-24000</w:t>
      </w:r>
      <w:r>
        <w:rPr>
          <w:rFonts w:eastAsia="Times New Roman"/>
          <w:vanish/>
        </w:rPr>
        <w:t>1275158us-gaap:CommonClassBMember2018-05-240001275158us-gaap:PrivatePlacementMember2017-02-082017-02-080001275158us-gaap:PrivatePlacementMemberus-gaap:PreferredStockMember2017-02-082017-02-080001275158us-gaap:PrivatePlacementMemberus-gaap:CommonClassAMembe</w:t>
      </w:r>
      <w:r>
        <w:rPr>
          <w:rFonts w:eastAsia="Times New Roman"/>
          <w:vanish/>
        </w:rPr>
        <w:t>r2017-02-080001275158us-gaap:PrivatePlacementMemberus-gaap:PreferredStockMember2017-02-080001275158ndls:LCattertonAgreementWarrantsMember2017-02-080001275158us-gaap:SubsequentEventMemberus-gaap:CommonClassAMember2021-01-062021-01-060001275158ndls:StockInce</w:t>
      </w:r>
      <w:r>
        <w:rPr>
          <w:rFonts w:eastAsia="Times New Roman"/>
          <w:vanish/>
        </w:rPr>
        <w:t>ntivePlanMember2020-01-012020-12-290001275158us-gaap:SellingGeneralAndAdministrativeExpensesMember2020-01-012020-12-290001275158us-gaap:SellingGeneralAndAdministrativeExpensesMember2019-01-022019-12-310001275158us-gaap:SellingGeneralAndAdministrativeExpens</w:t>
      </w:r>
      <w:r>
        <w:rPr>
          <w:rFonts w:eastAsia="Times New Roman"/>
          <w:vanish/>
        </w:rPr>
        <w:t>esMember2018-01-032019-01-010001275158us-gaap:EmployeeStockOptionMember2019-01-022019-12-310001275158us-gaap:EmployeeStockOptionMember2018-01-032019-01-010001275158us-gaap:RestrictedStockUnitsRSUMember2019-12-310001275158us-gaap:RestrictedStockUnitsRSUMemb</w:t>
      </w:r>
      <w:r>
        <w:rPr>
          <w:rFonts w:eastAsia="Times New Roman"/>
          <w:vanish/>
        </w:rPr>
        <w:t>er2020-01-012020-12-290001275158us-gaap:RestrictedStockUnitsRSUMember2020-12-290001275158us-gaap:OtherAssetsMember2020-12-290001275158us-gaap:OtherAssetsMember2019-12-310001275158ndls:AccruedExpensesandOtherCurrentLiabilitiesMember2020-12-290001275158ndls:</w:t>
      </w:r>
      <w:r>
        <w:rPr>
          <w:rFonts w:eastAsia="Times New Roman"/>
          <w:vanish/>
        </w:rPr>
        <w:t>AccruedExpensesandOtherCurrentLiabilitiesMember2019-12-310001275158ndls:EmployeeStockPurchasePlanMember2020-12-290001275158ndls:EmployeeStockPurchasePlanMember2020-01-012020-12-290001275158ndls:EmployeeStockPurchasePlanMember2013-06-172020-12-290001275158s</w:t>
      </w:r>
      <w:r>
        <w:rPr>
          <w:rFonts w:eastAsia="Times New Roman"/>
          <w:vanish/>
        </w:rPr>
        <w:t>rt:MinimumMember2020-12-290001275158srt:MaximumMember2020-12-290001275158ndls:LCattertonMemberndls:StockholdersAgreementMember2020-01-012020-12-290001275158ndls:MillRoadCapitalIIL.P.Memberndls:SecuritiesPurchaseAgreementMember2020-01-012020-12-290001275158</w:t>
      </w:r>
      <w:r>
        <w:rPr>
          <w:rFonts w:eastAsia="Times New Roman"/>
          <w:vanish/>
        </w:rPr>
        <w:t>ndls:OtherLongtermLiabilitiesMember2020-12-290001275158ndls:OtherLongtermLiabilitiesMember2019-12-310001275158ndls:FeesFromFranchiseeMemberus-gaap:DifferenceBetweenRevenueGuidanceInEffectBeforeAndAfterTopic606Memberus-gaap:AccountingStandardsUpdate201409Me</w:t>
      </w:r>
      <w:r>
        <w:rPr>
          <w:rFonts w:eastAsia="Times New Roman"/>
          <w:vanish/>
        </w:rPr>
        <w:t>mber2018-01-030001275158ndls:FeesFromFranchiseeMember2020-01-012020-12-2900012751582022-01-012020-12-2900012751582021-01-012020-12-2900012751582024-01-012020-12-2900012751582025-01-012020-12-2900012751582023-01-012020-12-2900012751582026-01-012020-12-29</w:t>
      </w:r>
    </w:p>
    <w:p w:rsidR="00000000" w:rsidRDefault="0061405A">
      <w:pPr>
        <w:divId w:val="793790500"/>
        <w:rPr>
          <w:rFonts w:eastAsia="Times New Roman"/>
        </w:rPr>
      </w:pPr>
    </w:p>
    <w:p w:rsidR="00000000" w:rsidRDefault="0061405A">
      <w:pPr>
        <w:jc w:val="center"/>
        <w:divId w:val="1463304015"/>
        <w:rPr>
          <w:rFonts w:eastAsia="Times New Roman"/>
        </w:rPr>
      </w:pPr>
      <w:r>
        <w:rPr>
          <w:rFonts w:eastAsia="Times New Roman"/>
          <w:b/>
          <w:bCs/>
          <w:color w:val="000000"/>
          <w:sz w:val="28"/>
          <w:szCs w:val="28"/>
        </w:rPr>
        <w:t>UNITED STATES</w:t>
      </w:r>
    </w:p>
    <w:p w:rsidR="00000000" w:rsidRDefault="0061405A">
      <w:pPr>
        <w:jc w:val="center"/>
        <w:rPr>
          <w:rFonts w:eastAsia="Times New Roman"/>
        </w:rPr>
      </w:pPr>
      <w:r>
        <w:rPr>
          <w:rFonts w:eastAsia="Times New Roman"/>
          <w:b/>
          <w:bCs/>
          <w:color w:val="000000"/>
          <w:sz w:val="28"/>
          <w:szCs w:val="28"/>
        </w:rPr>
        <w:t>SECURITIES AND EXCHANGE COMMISSION</w:t>
      </w:r>
    </w:p>
    <w:p w:rsidR="00000000" w:rsidRDefault="0061405A">
      <w:pPr>
        <w:jc w:val="center"/>
        <w:rPr>
          <w:rFonts w:eastAsia="Times New Roman"/>
        </w:rPr>
      </w:pPr>
      <w:r>
        <w:rPr>
          <w:rFonts w:eastAsia="Times New Roman"/>
          <w:b/>
          <w:bCs/>
          <w:color w:val="000000"/>
          <w:sz w:val="20"/>
          <w:szCs w:val="20"/>
        </w:rPr>
        <w:t>WASHINGTON, D.C. 20549</w:t>
      </w:r>
    </w:p>
    <w:p w:rsidR="00000000" w:rsidRDefault="0061405A">
      <w:pPr>
        <w:divId w:val="1559589215"/>
        <w:rPr>
          <w:rFonts w:eastAsia="Times New Roman"/>
        </w:rPr>
      </w:pPr>
      <w:r>
        <w:rPr>
          <w:rFonts w:eastAsia="Times New Roman"/>
          <w:color w:val="000000"/>
          <w:sz w:val="6"/>
          <w:szCs w:val="6"/>
        </w:rPr>
        <w:t> </w:t>
      </w:r>
      <w:r>
        <w:rPr>
          <w:rFonts w:eastAsia="Times New Roman"/>
          <w:color w:val="000000"/>
          <w:sz w:val="12"/>
          <w:szCs w:val="12"/>
        </w:rPr>
        <w:t> </w:t>
      </w:r>
    </w:p>
    <w:p w:rsidR="00000000" w:rsidRDefault="0061405A">
      <w:pPr>
        <w:jc w:val="center"/>
        <w:rPr>
          <w:rFonts w:eastAsia="Times New Roman"/>
        </w:rPr>
      </w:pPr>
      <w:r>
        <w:rPr>
          <w:rFonts w:eastAsia="Times New Roman"/>
          <w:b/>
          <w:bCs/>
          <w:color w:val="000000"/>
          <w:sz w:val="28"/>
          <w:szCs w:val="28"/>
        </w:rPr>
        <w:t xml:space="preserve">FORM 10-K </w:t>
      </w:r>
    </w:p>
    <w:p w:rsidR="00000000" w:rsidRDefault="0061405A">
      <w:pPr>
        <w:divId w:val="1920671078"/>
        <w:rPr>
          <w:rFonts w:eastAsia="Times New Roman"/>
        </w:rPr>
      </w:pPr>
      <w:r>
        <w:rPr>
          <w:rFonts w:eastAsia="Times New Roman"/>
          <w:color w:val="000000"/>
          <w:sz w:val="6"/>
          <w:szCs w:val="6"/>
        </w:rPr>
        <w:t> </w:t>
      </w:r>
      <w:r>
        <w:rPr>
          <w:rFonts w:eastAsia="Times New Roman"/>
          <w:color w:val="000000"/>
          <w:sz w:val="12"/>
          <w:szCs w:val="12"/>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44"/>
        <w:gridCol w:w="36"/>
        <w:gridCol w:w="69"/>
        <w:gridCol w:w="7952"/>
        <w:gridCol w:w="36"/>
      </w:tblGrid>
      <w:tr w:rsidR="00000000">
        <w:trPr>
          <w:divId w:val="969440801"/>
          <w:jc w:val="center"/>
        </w:trPr>
        <w:tc>
          <w:tcPr>
            <w:tcW w:w="50" w:type="pct"/>
            <w:vAlign w:val="center"/>
            <w:hideMark/>
          </w:tcPr>
          <w:p w:rsidR="00000000" w:rsidRDefault="0061405A">
            <w:pPr>
              <w:rPr>
                <w:rFonts w:eastAsia="Times New Roman"/>
              </w:rPr>
            </w:pPr>
          </w:p>
        </w:tc>
        <w:tc>
          <w:tcPr>
            <w:tcW w:w="9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4794"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969440801"/>
          <w:jc w:val="center"/>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ascii="Segoe UI Symbol" w:eastAsia="Times New Roman" w:hAnsi="Segoe UI Symbol" w:cs="Segoe UI Symbol"/>
                <w:color w:val="000000"/>
                <w:sz w:val="18"/>
                <w:szCs w:val="18"/>
              </w:rPr>
              <w:t>☒</w:t>
            </w:r>
          </w:p>
        </w:tc>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16"/>
                <w:szCs w:val="16"/>
              </w:rPr>
              <w:t>ANNUAL REPORT PURSUANT TO SECTION 13 OR 15(d) OF THE SECURITIES EXCHANGE ACT OF 1934</w:t>
            </w:r>
          </w:p>
        </w:tc>
      </w:tr>
    </w:tbl>
    <w:p w:rsidR="00000000" w:rsidRDefault="0061405A">
      <w:pPr>
        <w:jc w:val="center"/>
        <w:divId w:val="1872764039"/>
        <w:rPr>
          <w:rFonts w:eastAsia="Times New Roman"/>
        </w:rPr>
      </w:pPr>
      <w:r>
        <w:rPr>
          <w:rFonts w:eastAsia="Times New Roman"/>
          <w:b/>
          <w:bCs/>
          <w:color w:val="000000"/>
          <w:sz w:val="16"/>
          <w:szCs w:val="16"/>
        </w:rPr>
        <w:t xml:space="preserve">For the fiscal year ended December 29, 2020 </w:t>
      </w:r>
    </w:p>
    <w:p w:rsidR="00000000" w:rsidRDefault="0061405A">
      <w:pPr>
        <w:jc w:val="center"/>
        <w:divId w:val="2053073324"/>
        <w:rPr>
          <w:rFonts w:eastAsia="Times New Roman"/>
        </w:rPr>
      </w:pPr>
      <w:r>
        <w:rPr>
          <w:rFonts w:eastAsia="Times New Roman"/>
          <w:b/>
          <w:bCs/>
          <w:color w:val="000000"/>
          <w:sz w:val="16"/>
          <w:szCs w:val="16"/>
        </w:rPr>
        <w: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193"/>
        <w:gridCol w:w="36"/>
        <w:gridCol w:w="55"/>
        <w:gridCol w:w="7949"/>
        <w:gridCol w:w="36"/>
      </w:tblGrid>
      <w:tr w:rsidR="00000000">
        <w:trPr>
          <w:divId w:val="1711227327"/>
          <w:jc w:val="center"/>
        </w:trPr>
        <w:tc>
          <w:tcPr>
            <w:tcW w:w="5" w:type="pct"/>
            <w:vAlign w:val="center"/>
            <w:hideMark/>
          </w:tcPr>
          <w:p w:rsidR="00000000" w:rsidRDefault="0061405A">
            <w:pPr>
              <w:jc w:val="center"/>
              <w:rPr>
                <w:rFonts w:eastAsia="Times New Roman"/>
              </w:rPr>
            </w:pPr>
          </w:p>
        </w:tc>
        <w:tc>
          <w:tcPr>
            <w:tcW w:w="133"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4801"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1711227327"/>
          <w:jc w:val="center"/>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ascii="Segoe UI Symbol" w:eastAsia="Times New Roman" w:hAnsi="Segoe UI Symbol" w:cs="Segoe UI Symbol"/>
                <w:color w:val="000000"/>
                <w:sz w:val="18"/>
                <w:szCs w:val="18"/>
              </w:rPr>
              <w:t>☐</w:t>
            </w:r>
          </w:p>
        </w:tc>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16"/>
                <w:szCs w:val="16"/>
              </w:rPr>
              <w:t>TRANSITION REPORT PURSUANT TO SECTION 13 OR 15(d) OF THE SECURITIES EXCHANGE ACT OF 1934</w:t>
            </w:r>
          </w:p>
        </w:tc>
      </w:tr>
    </w:tbl>
    <w:p w:rsidR="00000000" w:rsidRDefault="0061405A">
      <w:pPr>
        <w:jc w:val="center"/>
        <w:divId w:val="1493906603"/>
        <w:rPr>
          <w:rFonts w:eastAsia="Times New Roman"/>
        </w:rPr>
      </w:pPr>
      <w:r>
        <w:rPr>
          <w:rFonts w:eastAsia="Times New Roman"/>
          <w:b/>
          <w:bCs/>
          <w:color w:val="000000"/>
          <w:sz w:val="16"/>
          <w:szCs w:val="16"/>
        </w:rPr>
        <w:t>For the transition period from                      to                     </w:t>
      </w:r>
    </w:p>
    <w:p w:rsidR="00000000" w:rsidRDefault="0061405A">
      <w:pPr>
        <w:jc w:val="center"/>
        <w:divId w:val="185868439"/>
        <w:rPr>
          <w:rFonts w:eastAsia="Times New Roman"/>
        </w:rPr>
      </w:pPr>
      <w:r>
        <w:rPr>
          <w:rFonts w:eastAsia="Times New Roman"/>
          <w:b/>
          <w:bCs/>
          <w:color w:val="000000"/>
          <w:sz w:val="16"/>
          <w:szCs w:val="16"/>
        </w:rPr>
        <w:t xml:space="preserve">Commission File Number: 001-35987 </w:t>
      </w:r>
    </w:p>
    <w:p w:rsidR="00000000" w:rsidRDefault="0061405A">
      <w:pPr>
        <w:divId w:val="1658069083"/>
        <w:rPr>
          <w:rFonts w:eastAsia="Times New Roman"/>
        </w:rPr>
      </w:pPr>
      <w:r>
        <w:rPr>
          <w:rFonts w:eastAsia="Times New Roman"/>
          <w:color w:val="000000"/>
          <w:sz w:val="6"/>
          <w:szCs w:val="6"/>
        </w:rPr>
        <w:t> </w:t>
      </w:r>
    </w:p>
    <w:p w:rsidR="00000000" w:rsidRDefault="0061405A">
      <w:pPr>
        <w:jc w:val="center"/>
        <w:divId w:val="1290210267"/>
        <w:rPr>
          <w:rFonts w:eastAsia="Times New Roman"/>
        </w:rPr>
      </w:pPr>
      <w:r>
        <w:rPr>
          <w:rFonts w:eastAsia="Times New Roman"/>
          <w:b/>
          <w:bCs/>
          <w:color w:val="000000"/>
          <w:sz w:val="34"/>
          <w:szCs w:val="34"/>
        </w:rPr>
        <w:t xml:space="preserve">NOODLES &amp; COMPANY </w:t>
      </w:r>
    </w:p>
    <w:p w:rsidR="00000000" w:rsidRDefault="0061405A">
      <w:pPr>
        <w:jc w:val="center"/>
        <w:rPr>
          <w:rFonts w:eastAsia="Times New Roman"/>
        </w:rPr>
      </w:pPr>
      <w:r>
        <w:rPr>
          <w:rFonts w:eastAsia="Times New Roman"/>
          <w:b/>
          <w:bCs/>
          <w:color w:val="000000"/>
          <w:sz w:val="12"/>
          <w:szCs w:val="12"/>
        </w:rPr>
        <w:t>(Exact name of registrant as sp</w:t>
      </w:r>
      <w:r>
        <w:rPr>
          <w:rFonts w:eastAsia="Times New Roman"/>
          <w:b/>
          <w:bCs/>
          <w:color w:val="000000"/>
          <w:sz w:val="12"/>
          <w:szCs w:val="12"/>
        </w:rPr>
        <w:t>ecified in its charter)</w:t>
      </w:r>
    </w:p>
    <w:p w:rsidR="00000000" w:rsidRDefault="0061405A">
      <w:pPr>
        <w:jc w:val="center"/>
        <w:rPr>
          <w:rFonts w:eastAsia="Times New Roman"/>
        </w:rPr>
      </w:pPr>
      <w:r>
        <w:rPr>
          <w:rFonts w:eastAsia="Times New Roman"/>
          <w:color w:val="000000"/>
          <w:sz w:val="6"/>
          <w:szCs w:val="6"/>
        </w:rPr>
        <w:t> </w:t>
      </w:r>
    </w:p>
    <w:p w:rsidR="00000000" w:rsidRDefault="0061405A">
      <w:pPr>
        <w:jc w:val="center"/>
        <w:rPr>
          <w:rFonts w:eastAsia="Times New Roman"/>
        </w:rPr>
      </w:pPr>
      <w:r>
        <w:rPr>
          <w:rFonts w:eastAsia="Times New Roman"/>
          <w:color w:val="000000"/>
          <w:sz w:val="6"/>
          <w:szCs w:val="6"/>
        </w:rPr>
        <w:t> </w:t>
      </w:r>
    </w:p>
    <w:tbl>
      <w:tblPr>
        <w:tblW w:w="10245" w:type="dxa"/>
        <w:jc w:val="center"/>
        <w:tblCellMar>
          <w:top w:w="15" w:type="dxa"/>
          <w:left w:w="15" w:type="dxa"/>
          <w:bottom w:w="15" w:type="dxa"/>
          <w:right w:w="15" w:type="dxa"/>
        </w:tblCellMar>
        <w:tblLook w:val="04A0" w:firstRow="1" w:lastRow="0" w:firstColumn="1" w:lastColumn="0" w:noHBand="0" w:noVBand="1"/>
      </w:tblPr>
      <w:tblGrid>
        <w:gridCol w:w="36"/>
        <w:gridCol w:w="4908"/>
        <w:gridCol w:w="36"/>
        <w:gridCol w:w="36"/>
        <w:gridCol w:w="213"/>
        <w:gridCol w:w="36"/>
        <w:gridCol w:w="36"/>
        <w:gridCol w:w="4908"/>
        <w:gridCol w:w="36"/>
      </w:tblGrid>
      <w:tr w:rsidR="00000000">
        <w:trPr>
          <w:divId w:val="592200854"/>
          <w:jc w:val="center"/>
        </w:trPr>
        <w:tc>
          <w:tcPr>
            <w:tcW w:w="20" w:type="dxa"/>
            <w:vAlign w:val="center"/>
            <w:hideMark/>
          </w:tcPr>
          <w:p w:rsidR="00000000" w:rsidRDefault="0061405A">
            <w:pPr>
              <w:jc w:val="center"/>
              <w:rPr>
                <w:rFonts w:eastAsia="Times New Roman"/>
              </w:rPr>
            </w:pPr>
          </w:p>
        </w:tc>
        <w:tc>
          <w:tcPr>
            <w:tcW w:w="4955" w:type="dxa"/>
            <w:vAlign w:val="center"/>
            <w:hideMark/>
          </w:tcPr>
          <w:p w:rsidR="00000000" w:rsidRDefault="0061405A">
            <w:pPr>
              <w:rPr>
                <w:rFonts w:eastAsia="Times New Roman"/>
                <w:sz w:val="20"/>
                <w:szCs w:val="20"/>
              </w:rPr>
            </w:pPr>
          </w:p>
        </w:tc>
        <w:tc>
          <w:tcPr>
            <w:tcW w:w="20" w:type="dxa"/>
            <w:vAlign w:val="center"/>
            <w:hideMark/>
          </w:tcPr>
          <w:p w:rsidR="00000000" w:rsidRDefault="0061405A">
            <w:pPr>
              <w:rPr>
                <w:rFonts w:eastAsia="Times New Roman"/>
                <w:sz w:val="20"/>
                <w:szCs w:val="20"/>
              </w:rPr>
            </w:pPr>
          </w:p>
        </w:tc>
        <w:tc>
          <w:tcPr>
            <w:tcW w:w="20" w:type="dxa"/>
            <w:vAlign w:val="center"/>
            <w:hideMark/>
          </w:tcPr>
          <w:p w:rsidR="00000000" w:rsidRDefault="0061405A">
            <w:pPr>
              <w:rPr>
                <w:rFonts w:eastAsia="Times New Roman"/>
                <w:sz w:val="20"/>
                <w:szCs w:val="20"/>
              </w:rPr>
            </w:pPr>
          </w:p>
        </w:tc>
        <w:tc>
          <w:tcPr>
            <w:tcW w:w="215" w:type="dxa"/>
            <w:vAlign w:val="center"/>
            <w:hideMark/>
          </w:tcPr>
          <w:p w:rsidR="00000000" w:rsidRDefault="0061405A">
            <w:pPr>
              <w:rPr>
                <w:rFonts w:eastAsia="Times New Roman"/>
                <w:sz w:val="20"/>
                <w:szCs w:val="20"/>
              </w:rPr>
            </w:pPr>
          </w:p>
        </w:tc>
        <w:tc>
          <w:tcPr>
            <w:tcW w:w="20" w:type="dxa"/>
            <w:vAlign w:val="center"/>
            <w:hideMark/>
          </w:tcPr>
          <w:p w:rsidR="00000000" w:rsidRDefault="0061405A">
            <w:pPr>
              <w:rPr>
                <w:rFonts w:eastAsia="Times New Roman"/>
                <w:sz w:val="20"/>
                <w:szCs w:val="20"/>
              </w:rPr>
            </w:pPr>
          </w:p>
        </w:tc>
        <w:tc>
          <w:tcPr>
            <w:tcW w:w="20" w:type="dxa"/>
            <w:vAlign w:val="center"/>
            <w:hideMark/>
          </w:tcPr>
          <w:p w:rsidR="00000000" w:rsidRDefault="0061405A">
            <w:pPr>
              <w:rPr>
                <w:rFonts w:eastAsia="Times New Roman"/>
                <w:sz w:val="20"/>
                <w:szCs w:val="20"/>
              </w:rPr>
            </w:pPr>
          </w:p>
        </w:tc>
        <w:tc>
          <w:tcPr>
            <w:tcW w:w="4955" w:type="dxa"/>
            <w:vAlign w:val="center"/>
            <w:hideMark/>
          </w:tcPr>
          <w:p w:rsidR="00000000" w:rsidRDefault="0061405A">
            <w:pPr>
              <w:rPr>
                <w:rFonts w:eastAsia="Times New Roman"/>
                <w:sz w:val="20"/>
                <w:szCs w:val="20"/>
              </w:rPr>
            </w:pPr>
          </w:p>
        </w:tc>
        <w:tc>
          <w:tcPr>
            <w:tcW w:w="20" w:type="dxa"/>
            <w:vAlign w:val="center"/>
            <w:hideMark/>
          </w:tcPr>
          <w:p w:rsidR="00000000" w:rsidRDefault="0061405A">
            <w:pPr>
              <w:rPr>
                <w:rFonts w:eastAsia="Times New Roman"/>
                <w:sz w:val="20"/>
                <w:szCs w:val="20"/>
              </w:rPr>
            </w:pPr>
          </w:p>
        </w:tc>
      </w:tr>
      <w:tr w:rsidR="00000000">
        <w:trPr>
          <w:divId w:val="592200854"/>
          <w:trHeight w:val="280"/>
          <w:jc w:val="center"/>
        </w:trPr>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Delaware</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84-1303469</w:t>
            </w:r>
          </w:p>
        </w:tc>
      </w:tr>
      <w:tr w:rsidR="00000000">
        <w:trPr>
          <w:divId w:val="592200854"/>
          <w:trHeight w:val="240"/>
          <w:jc w:val="center"/>
        </w:trPr>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2"/>
                <w:szCs w:val="12"/>
              </w:rPr>
              <w:t>(State or other jurisdiction of incorporation or organization)</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2"/>
                <w:szCs w:val="12"/>
              </w:rPr>
              <w:t>(IRS Employer Identification No.)</w:t>
            </w: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60"/>
        <w:gridCol w:w="3930"/>
        <w:gridCol w:w="37"/>
        <w:gridCol w:w="36"/>
        <w:gridCol w:w="167"/>
        <w:gridCol w:w="36"/>
        <w:gridCol w:w="61"/>
        <w:gridCol w:w="3930"/>
        <w:gridCol w:w="36"/>
      </w:tblGrid>
      <w:tr w:rsidR="00000000">
        <w:trPr>
          <w:jc w:val="center"/>
        </w:trPr>
        <w:tc>
          <w:tcPr>
            <w:tcW w:w="50" w:type="pct"/>
            <w:vAlign w:val="center"/>
            <w:hideMark/>
          </w:tcPr>
          <w:p w:rsidR="00000000" w:rsidRDefault="0061405A">
            <w:pPr>
              <w:jc w:val="center"/>
              <w:rPr>
                <w:rFonts w:eastAsia="Times New Roman"/>
              </w:rPr>
            </w:pPr>
          </w:p>
        </w:tc>
        <w:tc>
          <w:tcPr>
            <w:tcW w:w="2382"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114"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2382"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520 Zang Street, Suite D</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 </w:t>
            </w:r>
          </w:p>
        </w:tc>
      </w:tr>
      <w:tr w:rsidR="00000000">
        <w:trPr>
          <w:jc w:val="center"/>
        </w:trPr>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Broomfield, CO</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80021</w:t>
            </w:r>
          </w:p>
        </w:tc>
      </w:tr>
      <w:tr w:rsidR="00000000">
        <w:trPr>
          <w:jc w:val="center"/>
        </w:trPr>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color w:val="000000"/>
                <w:sz w:val="12"/>
                <w:szCs w:val="12"/>
              </w:rPr>
              <w:t>(Address of principal executive offices)</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color w:val="000000"/>
                <w:sz w:val="12"/>
                <w:szCs w:val="12"/>
              </w:rPr>
              <w:t>(Zip Code)</w:t>
            </w:r>
          </w:p>
        </w:tc>
      </w:tr>
    </w:tbl>
    <w:p w:rsidR="00000000" w:rsidRDefault="0061405A">
      <w:pPr>
        <w:jc w:val="center"/>
        <w:divId w:val="304966782"/>
        <w:rPr>
          <w:rFonts w:eastAsia="Times New Roman"/>
        </w:rPr>
      </w:pPr>
      <w:r>
        <w:rPr>
          <w:rFonts w:eastAsia="Times New Roman"/>
          <w:b/>
          <w:bCs/>
          <w:color w:val="000000"/>
          <w:sz w:val="16"/>
          <w:szCs w:val="16"/>
        </w:rPr>
        <w:t xml:space="preserve">Registrant’s telephone number, including area code: (720) 214-1900 </w:t>
      </w:r>
    </w:p>
    <w:p w:rsidR="00000000" w:rsidRDefault="0061405A">
      <w:pPr>
        <w:jc w:val="center"/>
        <w:divId w:val="889683294"/>
        <w:rPr>
          <w:rFonts w:eastAsia="Times New Roman"/>
        </w:rPr>
      </w:pPr>
      <w:r>
        <w:rPr>
          <w:rFonts w:eastAsia="Times New Roman"/>
          <w:b/>
          <w:bCs/>
          <w:color w:val="000000"/>
          <w:sz w:val="16"/>
          <w:szCs w:val="16"/>
        </w:rPr>
        <w:t>Securities registered pursuant to Section 12(b) of the Act:</w:t>
      </w:r>
    </w:p>
    <w:tbl>
      <w:tblPr>
        <w:tblW w:w="4773" w:type="pct"/>
        <w:jc w:val="center"/>
        <w:tblCellMar>
          <w:top w:w="15" w:type="dxa"/>
          <w:left w:w="15" w:type="dxa"/>
          <w:bottom w:w="15" w:type="dxa"/>
          <w:right w:w="15" w:type="dxa"/>
        </w:tblCellMar>
        <w:tblLook w:val="04A0" w:firstRow="1" w:lastRow="0" w:firstColumn="1" w:lastColumn="0" w:noHBand="0" w:noVBand="1"/>
      </w:tblPr>
      <w:tblGrid>
        <w:gridCol w:w="54"/>
        <w:gridCol w:w="2936"/>
        <w:gridCol w:w="37"/>
        <w:gridCol w:w="36"/>
        <w:gridCol w:w="165"/>
        <w:gridCol w:w="36"/>
        <w:gridCol w:w="54"/>
        <w:gridCol w:w="1308"/>
        <w:gridCol w:w="36"/>
        <w:gridCol w:w="36"/>
        <w:gridCol w:w="166"/>
        <w:gridCol w:w="36"/>
        <w:gridCol w:w="55"/>
        <w:gridCol w:w="2938"/>
        <w:gridCol w:w="36"/>
      </w:tblGrid>
      <w:tr w:rsidR="00000000">
        <w:trPr>
          <w:divId w:val="588974005"/>
          <w:jc w:val="center"/>
        </w:trPr>
        <w:tc>
          <w:tcPr>
            <w:tcW w:w="50" w:type="pct"/>
            <w:vAlign w:val="center"/>
            <w:hideMark/>
          </w:tcPr>
          <w:p w:rsidR="00000000" w:rsidRDefault="0061405A">
            <w:pPr>
              <w:jc w:val="center"/>
              <w:rPr>
                <w:rFonts w:eastAsia="Times New Roman"/>
              </w:rPr>
            </w:pPr>
          </w:p>
        </w:tc>
        <w:tc>
          <w:tcPr>
            <w:tcW w:w="1866"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12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84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12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1867"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588974005"/>
          <w:jc w:val="center"/>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2"/>
                <w:szCs w:val="12"/>
              </w:rPr>
              <w:t>Title of each class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2"/>
                <w:szCs w:val="12"/>
              </w:rPr>
              <w:t>Trading Symbol</w:t>
            </w: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00000"/>
              <w:right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2"/>
                <w:szCs w:val="12"/>
              </w:rPr>
              <w:t>Name of each exchange on which registered</w:t>
            </w:r>
          </w:p>
        </w:tc>
      </w:tr>
      <w:tr w:rsidR="00000000">
        <w:trPr>
          <w:divId w:val="588974005"/>
          <w:jc w:val="center"/>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Class A common stock, par value $0.01 per share</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NDLS</w:t>
            </w:r>
          </w:p>
        </w:tc>
        <w:tc>
          <w:tcPr>
            <w:tcW w:w="0" w:type="auto"/>
            <w:gridSpan w:val="3"/>
            <w:tcBorders>
              <w:top w:val="single" w:sz="8" w:space="0" w:color="000000"/>
              <w:left w:val="single" w:sz="8" w:space="0" w:color="000000"/>
              <w:bottom w:val="single" w:sz="8" w:space="0" w:color="000000"/>
            </w:tcBorders>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00000"/>
              <w:bottom w:val="single" w:sz="8" w:space="0" w:color="000000"/>
              <w:right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Nasdaq Global Select Market</w:t>
            </w:r>
          </w:p>
        </w:tc>
      </w:tr>
    </w:tbl>
    <w:p w:rsidR="00000000" w:rsidRDefault="0061405A">
      <w:pPr>
        <w:jc w:val="center"/>
        <w:divId w:val="814492559"/>
        <w:rPr>
          <w:rFonts w:eastAsia="Times New Roman"/>
        </w:rPr>
      </w:pPr>
      <w:r>
        <w:rPr>
          <w:rFonts w:eastAsia="Times New Roman"/>
          <w:b/>
          <w:bCs/>
          <w:color w:val="000000"/>
          <w:sz w:val="16"/>
          <w:szCs w:val="16"/>
        </w:rPr>
        <w:t>Securities registered pursuant to Section 12(g) of the Act: None</w:t>
      </w:r>
    </w:p>
    <w:p w:rsidR="00000000" w:rsidRDefault="0061405A">
      <w:pPr>
        <w:divId w:val="291786107"/>
        <w:rPr>
          <w:rFonts w:eastAsia="Times New Roman"/>
        </w:rPr>
      </w:pPr>
      <w:r>
        <w:rPr>
          <w:rFonts w:eastAsia="Times New Roman"/>
          <w:color w:val="000000"/>
          <w:sz w:val="6"/>
          <w:szCs w:val="6"/>
        </w:rPr>
        <w:t> </w:t>
      </w:r>
    </w:p>
    <w:p w:rsidR="00000000" w:rsidRDefault="0061405A">
      <w:pPr>
        <w:ind w:firstLine="360"/>
        <w:divId w:val="1961180412"/>
        <w:rPr>
          <w:rFonts w:eastAsia="Times New Roman"/>
        </w:rPr>
      </w:pPr>
      <w:r>
        <w:rPr>
          <w:rFonts w:eastAsia="Times New Roman"/>
          <w:color w:val="000000"/>
          <w:sz w:val="16"/>
          <w:szCs w:val="16"/>
        </w:rPr>
        <w:t>Indicate by check mark if the registrant is a well-known seasoned issuer, as defined in Rule 405 of the Securities Act.    Yes  </w:t>
      </w:r>
      <w:r>
        <w:rPr>
          <w:rFonts w:ascii="Wingdings" w:eastAsia="Times New Roman" w:hAnsi="Wingdings"/>
          <w:color w:val="000000"/>
          <w:sz w:val="16"/>
          <w:szCs w:val="16"/>
        </w:rPr>
        <w:t>¨</w:t>
      </w:r>
      <w:r>
        <w:rPr>
          <w:rFonts w:eastAsia="Times New Roman"/>
          <w:color w:val="000000"/>
          <w:sz w:val="16"/>
          <w:szCs w:val="16"/>
        </w:rPr>
        <w:t>    No  </w:t>
      </w:r>
      <w:r>
        <w:rPr>
          <w:rFonts w:ascii="Wingdings" w:eastAsia="Times New Roman" w:hAnsi="Wingdings"/>
          <w:color w:val="000000"/>
          <w:sz w:val="16"/>
          <w:szCs w:val="16"/>
        </w:rPr>
        <w:t>x</w:t>
      </w:r>
    </w:p>
    <w:p w:rsidR="00000000" w:rsidRDefault="0061405A">
      <w:pPr>
        <w:ind w:firstLine="360"/>
        <w:divId w:val="667245695"/>
        <w:rPr>
          <w:rFonts w:eastAsia="Times New Roman"/>
        </w:rPr>
      </w:pPr>
      <w:r>
        <w:rPr>
          <w:rFonts w:eastAsia="Times New Roman"/>
          <w:color w:val="000000"/>
          <w:sz w:val="16"/>
          <w:szCs w:val="16"/>
        </w:rPr>
        <w:t>Indicate by check mark if the registrant is not required to file reports pursuant to Section 13 or Section 15(d) of t</w:t>
      </w:r>
      <w:r>
        <w:rPr>
          <w:rFonts w:eastAsia="Times New Roman"/>
          <w:color w:val="000000"/>
          <w:sz w:val="16"/>
          <w:szCs w:val="16"/>
        </w:rPr>
        <w:t>he Act.    Yes  </w:t>
      </w:r>
      <w:r>
        <w:rPr>
          <w:rFonts w:ascii="Wingdings" w:eastAsia="Times New Roman" w:hAnsi="Wingdings"/>
          <w:color w:val="000000"/>
          <w:sz w:val="16"/>
          <w:szCs w:val="16"/>
        </w:rPr>
        <w:t>¨</w:t>
      </w:r>
      <w:r>
        <w:rPr>
          <w:rFonts w:eastAsia="Times New Roman"/>
          <w:color w:val="000000"/>
          <w:sz w:val="16"/>
          <w:szCs w:val="16"/>
        </w:rPr>
        <w:t>    No  </w:t>
      </w:r>
      <w:r>
        <w:rPr>
          <w:rFonts w:ascii="Wingdings" w:eastAsia="Times New Roman" w:hAnsi="Wingdings"/>
          <w:color w:val="000000"/>
          <w:sz w:val="16"/>
          <w:szCs w:val="16"/>
        </w:rPr>
        <w:t>x</w:t>
      </w:r>
    </w:p>
    <w:p w:rsidR="00000000" w:rsidRDefault="0061405A">
      <w:pPr>
        <w:ind w:firstLine="360"/>
        <w:divId w:val="398984392"/>
        <w:rPr>
          <w:rFonts w:eastAsia="Times New Roman"/>
        </w:rPr>
      </w:pPr>
      <w:r>
        <w:rPr>
          <w:rFonts w:eastAsia="Times New Roman"/>
          <w:color w:val="000000"/>
          <w:sz w:val="16"/>
          <w:szCs w:val="16"/>
        </w:rPr>
        <w:t>Indicate by check mark whether the registrant: (1) has filed all reports required to be filed by Section </w:t>
      </w:r>
      <w:r>
        <w:rPr>
          <w:rFonts w:eastAsia="Times New Roman"/>
          <w:color w:val="000000"/>
          <w:sz w:val="16"/>
          <w:szCs w:val="16"/>
        </w:rPr>
        <w:t xml:space="preserve">13 or 15(d) of the Securities Exchange Act of 1934 during the preceding 12 months (or for such shorter period that the registrant was required to file such reports), and (2) has been subject to such filing requirements for the past 90 days Yes  </w:t>
      </w:r>
      <w:r>
        <w:rPr>
          <w:rFonts w:ascii="Wingdings" w:eastAsia="Times New Roman" w:hAnsi="Wingdings"/>
          <w:color w:val="000000"/>
          <w:sz w:val="16"/>
          <w:szCs w:val="16"/>
        </w:rPr>
        <w:t>x</w:t>
      </w:r>
      <w:r>
        <w:rPr>
          <w:rFonts w:eastAsia="Times New Roman"/>
          <w:color w:val="000000"/>
          <w:sz w:val="16"/>
          <w:szCs w:val="16"/>
        </w:rPr>
        <w:t xml:space="preserve">     No  </w:t>
      </w:r>
      <w:r>
        <w:rPr>
          <w:rFonts w:ascii="Wingdings" w:eastAsia="Times New Roman" w:hAnsi="Wingdings"/>
          <w:color w:val="000000"/>
          <w:sz w:val="16"/>
          <w:szCs w:val="16"/>
        </w:rPr>
        <w:t>¨</w:t>
      </w:r>
    </w:p>
    <w:p w:rsidR="00000000" w:rsidRDefault="0061405A">
      <w:pPr>
        <w:ind w:firstLine="360"/>
        <w:divId w:val="84302891"/>
        <w:rPr>
          <w:rFonts w:eastAsia="Times New Roman"/>
        </w:rPr>
      </w:pPr>
      <w:r>
        <w:rPr>
          <w:rFonts w:eastAsia="Times New Roman"/>
          <w:color w:val="000000"/>
          <w:sz w:val="16"/>
          <w:szCs w:val="16"/>
        </w:rPr>
        <w:t>Indicate by check mark whether the registrant has submitted electronically every Interactive Data File required to be submitted pursuant to Rule 405 of Regulation S-T (§232.405 of this chapter) during the preceding 12 months (or for such shorter period th</w:t>
      </w:r>
      <w:r>
        <w:rPr>
          <w:rFonts w:eastAsia="Times New Roman"/>
          <w:color w:val="000000"/>
          <w:sz w:val="16"/>
          <w:szCs w:val="16"/>
        </w:rPr>
        <w:t>at the registrant was required to submit such files).    Yes  </w:t>
      </w:r>
      <w:r>
        <w:rPr>
          <w:rFonts w:ascii="Wingdings" w:eastAsia="Times New Roman" w:hAnsi="Wingdings"/>
          <w:color w:val="000000"/>
          <w:sz w:val="16"/>
          <w:szCs w:val="16"/>
        </w:rPr>
        <w:t>x</w:t>
      </w:r>
      <w:r>
        <w:rPr>
          <w:rFonts w:eastAsia="Times New Roman"/>
          <w:color w:val="000000"/>
          <w:sz w:val="16"/>
          <w:szCs w:val="16"/>
        </w:rPr>
        <w:t xml:space="preserve">     No  </w:t>
      </w:r>
      <w:r>
        <w:rPr>
          <w:rFonts w:ascii="Wingdings" w:eastAsia="Times New Roman" w:hAnsi="Wingdings"/>
          <w:color w:val="000000"/>
          <w:sz w:val="16"/>
          <w:szCs w:val="16"/>
        </w:rPr>
        <w:t>¨</w:t>
      </w:r>
    </w:p>
    <w:p w:rsidR="00000000" w:rsidRDefault="0061405A">
      <w:pPr>
        <w:ind w:firstLine="360"/>
        <w:divId w:val="2136825335"/>
        <w:rPr>
          <w:rFonts w:eastAsia="Times New Roman"/>
        </w:rPr>
      </w:pPr>
      <w:r>
        <w:rPr>
          <w:rFonts w:eastAsia="Times New Roman"/>
          <w:color w:val="000000"/>
          <w:sz w:val="16"/>
          <w:szCs w:val="16"/>
        </w:rPr>
        <w:t>Indicate by check mark whether the registrant is a large accelerated filer, an accelerated filer, a non-accelerated filer, a smaller reporting company, or an emerging growth company.</w:t>
      </w:r>
      <w:r>
        <w:rPr>
          <w:rFonts w:eastAsia="Times New Roman"/>
          <w:color w:val="000000"/>
          <w:sz w:val="16"/>
          <w:szCs w:val="16"/>
        </w:rPr>
        <w:t>  See the definitions of “large accelerated filer,” “accelerated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69"/>
        <w:gridCol w:w="1591"/>
        <w:gridCol w:w="36"/>
        <w:gridCol w:w="69"/>
        <w:gridCol w:w="1494"/>
        <w:gridCol w:w="36"/>
        <w:gridCol w:w="69"/>
        <w:gridCol w:w="220"/>
        <w:gridCol w:w="36"/>
        <w:gridCol w:w="69"/>
        <w:gridCol w:w="959"/>
        <w:gridCol w:w="36"/>
        <w:gridCol w:w="69"/>
        <w:gridCol w:w="1494"/>
        <w:gridCol w:w="36"/>
        <w:gridCol w:w="69"/>
        <w:gridCol w:w="220"/>
        <w:gridCol w:w="36"/>
        <w:gridCol w:w="70"/>
        <w:gridCol w:w="1592"/>
        <w:gridCol w:w="36"/>
      </w:tblGrid>
      <w:tr w:rsidR="00000000">
        <w:trPr>
          <w:divId w:val="595209650"/>
        </w:trPr>
        <w:tc>
          <w:tcPr>
            <w:tcW w:w="50" w:type="pct"/>
            <w:vAlign w:val="center"/>
            <w:hideMark/>
          </w:tcPr>
          <w:p w:rsidR="00000000" w:rsidRDefault="0061405A">
            <w:pPr>
              <w:ind w:firstLine="360"/>
              <w:rPr>
                <w:rFonts w:eastAsia="Times New Roman"/>
              </w:rPr>
            </w:pPr>
          </w:p>
        </w:tc>
        <w:tc>
          <w:tcPr>
            <w:tcW w:w="96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907"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141"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86"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907"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141"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96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595209650"/>
        </w:trPr>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6"/>
                <w:szCs w:val="16"/>
              </w:rPr>
              <w:t>Large accelerated filer</w:t>
            </w: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6"/>
                <w:szCs w:val="16"/>
              </w:rPr>
              <w:t>Accelerated filer</w:t>
            </w: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r>
      <w:tr w:rsidR="00000000">
        <w:trPr>
          <w:divId w:val="595209650"/>
        </w:trPr>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6"/>
                <w:szCs w:val="16"/>
              </w:rPr>
              <w:t>Non-accelerated filer</w:t>
            </w: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6"/>
                <w:szCs w:val="16"/>
              </w:rPr>
              <w:t>Smaller reporting company</w:t>
            </w: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r>
      <w:tr w:rsidR="00000000">
        <w:trPr>
          <w:divId w:val="595209650"/>
        </w:trPr>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6"/>
                <w:szCs w:val="16"/>
              </w:rPr>
              <w:t>Emerging growth company</w:t>
            </w: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r>
    </w:tbl>
    <w:p w:rsidR="00000000" w:rsidRDefault="0061405A">
      <w:pPr>
        <w:ind w:firstLine="360"/>
        <w:divId w:val="475878886"/>
        <w:rPr>
          <w:rFonts w:eastAsia="Times New Roman"/>
        </w:rPr>
      </w:pPr>
      <w:r>
        <w:rPr>
          <w:rFonts w:eastAsia="Times New Roman"/>
          <w:color w:val="000000"/>
          <w:sz w:val="16"/>
          <w:szCs w:val="16"/>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8"/>
          <w:szCs w:val="18"/>
        </w:rPr>
        <w:t>☐</w:t>
      </w:r>
    </w:p>
    <w:p w:rsidR="00000000" w:rsidRDefault="0061405A">
      <w:pPr>
        <w:ind w:firstLine="360"/>
        <w:divId w:val="2003239417"/>
        <w:rPr>
          <w:rFonts w:eastAsia="Times New Roman"/>
        </w:rPr>
      </w:pPr>
      <w:r>
        <w:rPr>
          <w:rFonts w:eastAsia="Times New Roman"/>
          <w:color w:val="000000"/>
          <w:sz w:val="16"/>
          <w:szCs w:val="16"/>
        </w:rPr>
        <w:t>Indicate by check mark whether the registrant has filed a report on and attestation to its management’s assessment of the effectiveness of its internal control over financial reporting under Section 404(b) of the Sarbanes-Oxley Act (15 U.S.C. 7262(b)) by t</w:t>
      </w:r>
      <w:r>
        <w:rPr>
          <w:rFonts w:eastAsia="Times New Roman"/>
          <w:color w:val="000000"/>
          <w:sz w:val="16"/>
          <w:szCs w:val="16"/>
        </w:rPr>
        <w:t>he registered public accounting firm that prepared or issued its audit report.     </w:t>
      </w:r>
      <w:r>
        <w:rPr>
          <w:rFonts w:ascii="Segoe UI Symbol" w:eastAsia="Times New Roman" w:hAnsi="Segoe UI Symbol" w:cs="Segoe UI Symbol"/>
          <w:color w:val="000000"/>
          <w:sz w:val="16"/>
          <w:szCs w:val="16"/>
        </w:rPr>
        <w:t>☒</w:t>
      </w:r>
    </w:p>
    <w:p w:rsidR="00000000" w:rsidRDefault="0061405A">
      <w:pPr>
        <w:ind w:firstLine="360"/>
        <w:divId w:val="636187269"/>
        <w:rPr>
          <w:rFonts w:eastAsia="Times New Roman"/>
        </w:rPr>
      </w:pPr>
      <w:r>
        <w:rPr>
          <w:rFonts w:eastAsia="Times New Roman"/>
          <w:color w:val="000000"/>
          <w:sz w:val="16"/>
          <w:szCs w:val="16"/>
        </w:rPr>
        <w:lastRenderedPageBreak/>
        <w:t>Indicate by check mark whether the registrant is a shell company (as defined in Rule 12b-2 of the Act).    Yes  </w:t>
      </w:r>
      <w:r>
        <w:rPr>
          <w:rFonts w:ascii="Segoe UI Symbol" w:eastAsia="Times New Roman" w:hAnsi="Segoe UI Symbol" w:cs="Segoe UI Symbol"/>
          <w:color w:val="000000"/>
          <w:sz w:val="18"/>
          <w:szCs w:val="18"/>
        </w:rPr>
        <w:t>☐</w:t>
      </w:r>
      <w:r>
        <w:rPr>
          <w:rFonts w:eastAsia="Times New Roman"/>
          <w:color w:val="000000"/>
          <w:sz w:val="16"/>
          <w:szCs w:val="16"/>
        </w:rPr>
        <w:t>    No  </w:t>
      </w:r>
      <w:r>
        <w:rPr>
          <w:rFonts w:ascii="Segoe UI Symbol" w:eastAsia="Times New Roman" w:hAnsi="Segoe UI Symbol" w:cs="Segoe UI Symbol"/>
          <w:color w:val="000000"/>
          <w:sz w:val="18"/>
          <w:szCs w:val="18"/>
        </w:rPr>
        <w:t>☒</w:t>
      </w:r>
    </w:p>
    <w:p w:rsidR="00000000" w:rsidRDefault="0061405A">
      <w:pPr>
        <w:ind w:firstLine="360"/>
        <w:divId w:val="227226879"/>
        <w:rPr>
          <w:rFonts w:eastAsia="Times New Roman"/>
        </w:rPr>
      </w:pPr>
      <w:r>
        <w:rPr>
          <w:rFonts w:eastAsia="Times New Roman"/>
          <w:color w:val="000000"/>
          <w:sz w:val="16"/>
          <w:szCs w:val="16"/>
        </w:rPr>
        <w:t>The aggregate market value of the voting and non</w:t>
      </w:r>
      <w:r>
        <w:rPr>
          <w:rFonts w:eastAsia="Times New Roman"/>
          <w:color w:val="000000"/>
          <w:sz w:val="16"/>
          <w:szCs w:val="16"/>
        </w:rPr>
        <w:t xml:space="preserve">-voting common stock held by non-affiliates as of June 30, 2020, the last business day of the registrant’s most recently completed second fiscal quarter, was $172.2 million. This amount was calculated based on the closing price of the common stock on June </w:t>
      </w:r>
      <w:r>
        <w:rPr>
          <w:rFonts w:eastAsia="Times New Roman"/>
          <w:color w:val="000000"/>
          <w:sz w:val="16"/>
          <w:szCs w:val="16"/>
        </w:rPr>
        <w:t>30, 2020 on the Nasdaq Global Select Market. All executive officers and directors of the registrant have been deemed, solely for the purpose of the foregoing calculation, to be “affiliates” of the registrant.</w:t>
      </w:r>
    </w:p>
    <w:p w:rsidR="00000000" w:rsidRDefault="0061405A">
      <w:pPr>
        <w:ind w:firstLine="360"/>
        <w:divId w:val="922029843"/>
        <w:rPr>
          <w:rFonts w:eastAsia="Times New Roman"/>
        </w:rPr>
      </w:pPr>
      <w:r>
        <w:rPr>
          <w:rFonts w:eastAsia="Times New Roman"/>
          <w:color w:val="000000"/>
          <w:sz w:val="16"/>
          <w:szCs w:val="16"/>
        </w:rPr>
        <w:t xml:space="preserve">As of February 22, 2021, there were 45,357,796 </w:t>
      </w:r>
      <w:r>
        <w:rPr>
          <w:rFonts w:eastAsia="Times New Roman"/>
          <w:color w:val="000000"/>
          <w:sz w:val="16"/>
          <w:szCs w:val="16"/>
        </w:rPr>
        <w:t>shares of the registrant’s Class A common stock, par value of $0.01 per share outstanding.</w:t>
      </w:r>
    </w:p>
    <w:p w:rsidR="00000000" w:rsidRDefault="0061405A">
      <w:pPr>
        <w:jc w:val="center"/>
        <w:divId w:val="1658879180"/>
        <w:rPr>
          <w:rFonts w:eastAsia="Times New Roman"/>
        </w:rPr>
      </w:pPr>
    </w:p>
    <w:p w:rsidR="00000000" w:rsidRDefault="0061405A">
      <w:pPr>
        <w:divId w:val="1268347883"/>
        <w:rPr>
          <w:rFonts w:eastAsia="Times New Roman"/>
        </w:rPr>
      </w:pPr>
    </w:p>
    <w:p w:rsidR="00000000" w:rsidRDefault="0061405A">
      <w:pPr>
        <w:rPr>
          <w:rFonts w:eastAsia="Times New Roman"/>
        </w:rPr>
      </w:pPr>
      <w:r>
        <w:rPr>
          <w:rFonts w:eastAsia="Times New Roman"/>
        </w:rPr>
        <w:pict>
          <v:rect id="_x0000_i1025" style="width:0;height:1.5pt" o:hralign="center" o:hrstd="t" o:hr="t" fillcolor="#a0a0a0" stroked="f"/>
        </w:pict>
      </w:r>
    </w:p>
    <w:p w:rsidR="00000000" w:rsidRDefault="0061405A">
      <w:pPr>
        <w:divId w:val="846213019"/>
        <w:rPr>
          <w:rFonts w:eastAsia="Times New Roman"/>
        </w:rPr>
      </w:pPr>
    </w:p>
    <w:p w:rsidR="00000000" w:rsidRDefault="0061405A">
      <w:pPr>
        <w:jc w:val="center"/>
        <w:divId w:val="663357618"/>
        <w:rPr>
          <w:rFonts w:eastAsia="Times New Roman"/>
        </w:rPr>
      </w:pPr>
    </w:p>
    <w:p w:rsidR="00000000" w:rsidRDefault="0061405A">
      <w:pPr>
        <w:jc w:val="center"/>
        <w:divId w:val="468019311"/>
        <w:rPr>
          <w:rFonts w:eastAsia="Times New Roman"/>
        </w:rPr>
      </w:pPr>
      <w:r>
        <w:rPr>
          <w:rFonts w:eastAsia="Times New Roman"/>
          <w:b/>
          <w:bCs/>
          <w:color w:val="000000"/>
          <w:sz w:val="16"/>
          <w:szCs w:val="16"/>
        </w:rPr>
        <w:t>DOCUMENTS INCORPORATED BY REFERENCE</w:t>
      </w:r>
    </w:p>
    <w:p w:rsidR="00000000" w:rsidRDefault="0061405A">
      <w:pPr>
        <w:ind w:firstLine="360"/>
        <w:jc w:val="both"/>
        <w:divId w:val="270284967"/>
        <w:rPr>
          <w:rFonts w:eastAsia="Times New Roman"/>
        </w:rPr>
      </w:pPr>
      <w:r>
        <w:rPr>
          <w:rFonts w:eastAsia="Times New Roman"/>
          <w:color w:val="000000"/>
          <w:sz w:val="16"/>
          <w:szCs w:val="16"/>
        </w:rPr>
        <w:t xml:space="preserve">Portions of the registrant’s proxy statement relating to its 2021 Annual Meeting of </w:t>
      </w:r>
      <w:r>
        <w:rPr>
          <w:rFonts w:eastAsia="Times New Roman"/>
          <w:color w:val="000000"/>
          <w:sz w:val="16"/>
          <w:szCs w:val="16"/>
        </w:rPr>
        <w:t>Stockholders, to be held on or about April 27, 2021, are incorporated by reference into Part III of this Annual Report on Form 10-K, where so indicated. Such proxy statement will be filed with the U.S. Securities and Exchange Commission within 120 days aft</w:t>
      </w:r>
      <w:r>
        <w:rPr>
          <w:rFonts w:eastAsia="Times New Roman"/>
          <w:color w:val="000000"/>
          <w:sz w:val="16"/>
          <w:szCs w:val="16"/>
        </w:rPr>
        <w:t xml:space="preserve">er the end of the fiscal year to which this report relates. </w:t>
      </w:r>
    </w:p>
    <w:p w:rsidR="00000000" w:rsidRDefault="0061405A">
      <w:pPr>
        <w:ind w:firstLine="360"/>
        <w:jc w:val="both"/>
        <w:divId w:val="2102295752"/>
        <w:rPr>
          <w:rFonts w:eastAsia="Times New Roman"/>
        </w:rPr>
      </w:pPr>
    </w:p>
    <w:p w:rsidR="00000000" w:rsidRDefault="0061405A">
      <w:pPr>
        <w:divId w:val="784234432"/>
        <w:rPr>
          <w:rFonts w:eastAsia="Times New Roman"/>
        </w:rPr>
      </w:pPr>
    </w:p>
    <w:p w:rsidR="00000000" w:rsidRDefault="0061405A">
      <w:pPr>
        <w:rPr>
          <w:rFonts w:eastAsia="Times New Roman"/>
        </w:rPr>
      </w:pPr>
      <w:r>
        <w:rPr>
          <w:rFonts w:eastAsia="Times New Roman"/>
        </w:rPr>
        <w:pict>
          <v:rect id="_x0000_i1026" style="width:0;height:1.5pt" o:hralign="center" o:hrstd="t" o:hr="t" fillcolor="#a0a0a0" stroked="f"/>
        </w:pict>
      </w:r>
    </w:p>
    <w:p w:rsidR="00000000" w:rsidRDefault="0061405A">
      <w:pPr>
        <w:divId w:val="1282224581"/>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center"/>
        <w:divId w:val="1450708277"/>
        <w:rPr>
          <w:rFonts w:eastAsia="Times New Roman"/>
        </w:rPr>
      </w:pPr>
      <w:r>
        <w:rPr>
          <w:rFonts w:eastAsia="Times New Roman"/>
          <w:b/>
          <w:bCs/>
          <w:color w:val="000000"/>
          <w:sz w:val="20"/>
          <w:szCs w:val="20"/>
        </w:rPr>
        <w:t>TABLE OF CONTENTS</w:t>
      </w:r>
    </w:p>
    <w:tbl>
      <w:tblPr>
        <w:tblW w:w="5000" w:type="pct"/>
        <w:tblCellMar>
          <w:top w:w="15" w:type="dxa"/>
          <w:left w:w="15" w:type="dxa"/>
          <w:bottom w:w="15" w:type="dxa"/>
          <w:right w:w="15" w:type="dxa"/>
        </w:tblCellMar>
        <w:tblLook w:val="04A0" w:firstRow="1" w:lastRow="0" w:firstColumn="1" w:lastColumn="0" w:noHBand="0" w:noVBand="1"/>
      </w:tblPr>
      <w:tblGrid>
        <w:gridCol w:w="78"/>
        <w:gridCol w:w="1256"/>
        <w:gridCol w:w="36"/>
        <w:gridCol w:w="69"/>
        <w:gridCol w:w="6304"/>
        <w:gridCol w:w="38"/>
        <w:gridCol w:w="69"/>
        <w:gridCol w:w="420"/>
        <w:gridCol w:w="36"/>
      </w:tblGrid>
      <w:tr w:rsidR="00000000">
        <w:trPr>
          <w:divId w:val="655379600"/>
        </w:trPr>
        <w:tc>
          <w:tcPr>
            <w:tcW w:w="50" w:type="pct"/>
            <w:vAlign w:val="center"/>
            <w:hideMark/>
          </w:tcPr>
          <w:p w:rsidR="00000000" w:rsidRDefault="0061405A">
            <w:pPr>
              <w:jc w:val="center"/>
              <w:rPr>
                <w:rFonts w:eastAsia="Times New Roman"/>
              </w:rPr>
            </w:pPr>
          </w:p>
        </w:tc>
        <w:tc>
          <w:tcPr>
            <w:tcW w:w="771"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3802"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261"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655379600"/>
        </w:trPr>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20"/>
                <w:szCs w:val="20"/>
              </w:rPr>
              <w:t> </w:t>
            </w: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Page</w:t>
            </w:r>
          </w:p>
        </w:tc>
      </w:tr>
      <w:tr w:rsidR="00000000">
        <w:trPr>
          <w:divId w:val="655379600"/>
        </w:trPr>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color w:val="000000"/>
                <w:sz w:val="20"/>
                <w:szCs w:val="20"/>
              </w:rPr>
              <w:t>PART I</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jc w:val="center"/>
              <w:rPr>
                <w:rFonts w:eastAsia="Times New Roman"/>
              </w:rPr>
            </w:pPr>
          </w:p>
        </w:tc>
      </w:tr>
      <w:tr w:rsidR="00000000">
        <w:trPr>
          <w:divId w:val="655379600"/>
        </w:trPr>
        <w:tc>
          <w:tcPr>
            <w:tcW w:w="0" w:type="auto"/>
            <w:gridSpan w:val="3"/>
            <w:tcMar>
              <w:top w:w="30" w:type="dxa"/>
              <w:left w:w="20" w:type="dxa"/>
              <w:bottom w:w="30" w:type="dxa"/>
              <w:right w:w="20" w:type="dxa"/>
            </w:tcMar>
            <w:hideMark/>
          </w:tcPr>
          <w:p w:rsidR="00000000" w:rsidRDefault="0061405A">
            <w:pPr>
              <w:rPr>
                <w:rFonts w:eastAsia="Times New Roman"/>
              </w:rPr>
            </w:pPr>
            <w:r>
              <w:rPr>
                <w:rFonts w:eastAsia="Times New Roman"/>
                <w:color w:val="000000"/>
                <w:sz w:val="20"/>
                <w:szCs w:val="20"/>
              </w:rPr>
              <w:t>ITEM 1.</w:t>
            </w:r>
          </w:p>
        </w:tc>
        <w:tc>
          <w:tcPr>
            <w:tcW w:w="0" w:type="auto"/>
            <w:gridSpan w:val="3"/>
            <w:tcMar>
              <w:top w:w="30" w:type="dxa"/>
              <w:left w:w="20" w:type="dxa"/>
              <w:bottom w:w="30" w:type="dxa"/>
              <w:right w:w="20" w:type="dxa"/>
            </w:tcMar>
            <w:vAlign w:val="bottom"/>
            <w:hideMark/>
          </w:tcPr>
          <w:p w:rsidR="00000000" w:rsidRDefault="0061405A">
            <w:pPr>
              <w:divId w:val="723140579"/>
              <w:rPr>
                <w:rFonts w:eastAsia="Times New Roman"/>
              </w:rPr>
            </w:pPr>
            <w:hyperlink w:anchor="i8677812f4896441ea668decd267056f9_13" w:history="1">
              <w:r>
                <w:rPr>
                  <w:rStyle w:val="a3"/>
                  <w:rFonts w:eastAsia="Times New Roman"/>
                  <w:sz w:val="20"/>
                  <w:szCs w:val="20"/>
                </w:rPr>
                <w:t>Business</w:t>
              </w:r>
            </w:hyperlink>
          </w:p>
        </w:tc>
        <w:tc>
          <w:tcPr>
            <w:tcW w:w="0" w:type="auto"/>
            <w:gridSpan w:val="3"/>
            <w:tcMar>
              <w:top w:w="30" w:type="dxa"/>
              <w:left w:w="20" w:type="dxa"/>
              <w:bottom w:w="30" w:type="dxa"/>
              <w:right w:w="20" w:type="dxa"/>
            </w:tcMar>
            <w:vAlign w:val="bottom"/>
            <w:hideMark/>
          </w:tcPr>
          <w:p w:rsidR="00000000" w:rsidRDefault="0061405A">
            <w:pPr>
              <w:jc w:val="right"/>
              <w:rPr>
                <w:rFonts w:eastAsia="Times New Roman"/>
              </w:rPr>
            </w:pPr>
            <w:hyperlink w:anchor="i8677812f4896441ea668decd267056f9_13" w:history="1">
              <w:r>
                <w:rPr>
                  <w:rStyle w:val="a3"/>
                  <w:rFonts w:eastAsia="Times New Roman"/>
                  <w:sz w:val="20"/>
                  <w:szCs w:val="20"/>
                </w:rPr>
                <w:t>1</w:t>
              </w:r>
            </w:hyperlink>
          </w:p>
        </w:tc>
      </w:tr>
      <w:tr w:rsidR="00000000">
        <w:trPr>
          <w:divId w:val="655379600"/>
        </w:trPr>
        <w:tc>
          <w:tcPr>
            <w:tcW w:w="0" w:type="auto"/>
            <w:gridSpan w:val="3"/>
            <w:tcMar>
              <w:top w:w="30" w:type="dxa"/>
              <w:left w:w="20" w:type="dxa"/>
              <w:bottom w:w="30" w:type="dxa"/>
              <w:right w:w="20" w:type="dxa"/>
            </w:tcMar>
            <w:hideMark/>
          </w:tcPr>
          <w:p w:rsidR="00000000" w:rsidRDefault="0061405A">
            <w:pPr>
              <w:rPr>
                <w:rFonts w:eastAsia="Times New Roman"/>
              </w:rPr>
            </w:pPr>
            <w:r>
              <w:rPr>
                <w:rFonts w:eastAsia="Times New Roman"/>
                <w:color w:val="000000"/>
                <w:sz w:val="20"/>
                <w:szCs w:val="20"/>
              </w:rPr>
              <w:t>ITEM 1A.</w:t>
            </w:r>
          </w:p>
        </w:tc>
        <w:tc>
          <w:tcPr>
            <w:tcW w:w="0" w:type="auto"/>
            <w:gridSpan w:val="3"/>
            <w:tcMar>
              <w:top w:w="30" w:type="dxa"/>
              <w:left w:w="20" w:type="dxa"/>
              <w:bottom w:w="30" w:type="dxa"/>
              <w:right w:w="20" w:type="dxa"/>
            </w:tcMar>
            <w:vAlign w:val="bottom"/>
            <w:hideMark/>
          </w:tcPr>
          <w:p w:rsidR="00000000" w:rsidRDefault="0061405A">
            <w:pPr>
              <w:divId w:val="207688234"/>
              <w:rPr>
                <w:rFonts w:eastAsia="Times New Roman"/>
              </w:rPr>
            </w:pPr>
            <w:hyperlink w:anchor="i8677812f4896441ea668decd267056f9_16" w:history="1">
              <w:r>
                <w:rPr>
                  <w:rStyle w:val="a3"/>
                  <w:rFonts w:eastAsia="Times New Roman"/>
                  <w:sz w:val="20"/>
                  <w:szCs w:val="20"/>
                </w:rPr>
                <w:t>Risk Factors</w:t>
              </w:r>
            </w:hyperlink>
          </w:p>
        </w:tc>
        <w:tc>
          <w:tcPr>
            <w:tcW w:w="0" w:type="auto"/>
            <w:gridSpan w:val="3"/>
            <w:tcMar>
              <w:top w:w="30" w:type="dxa"/>
              <w:left w:w="20" w:type="dxa"/>
              <w:bottom w:w="30" w:type="dxa"/>
              <w:right w:w="20" w:type="dxa"/>
            </w:tcMar>
            <w:vAlign w:val="bottom"/>
            <w:hideMark/>
          </w:tcPr>
          <w:p w:rsidR="00000000" w:rsidRDefault="0061405A">
            <w:pPr>
              <w:jc w:val="right"/>
              <w:rPr>
                <w:rFonts w:eastAsia="Times New Roman"/>
              </w:rPr>
            </w:pPr>
            <w:hyperlink w:anchor="i8677812f4896441ea668decd267056f9_16" w:history="1">
              <w:r>
                <w:rPr>
                  <w:rStyle w:val="a3"/>
                  <w:rFonts w:eastAsia="Times New Roman"/>
                  <w:sz w:val="20"/>
                  <w:szCs w:val="20"/>
                </w:rPr>
                <w:t>10</w:t>
              </w:r>
            </w:hyperlink>
          </w:p>
        </w:tc>
      </w:tr>
      <w:tr w:rsidR="00000000">
        <w:trPr>
          <w:divId w:val="655379600"/>
        </w:trPr>
        <w:tc>
          <w:tcPr>
            <w:tcW w:w="0" w:type="auto"/>
            <w:gridSpan w:val="3"/>
            <w:tcMar>
              <w:top w:w="30" w:type="dxa"/>
              <w:left w:w="20" w:type="dxa"/>
              <w:bottom w:w="30" w:type="dxa"/>
              <w:right w:w="20" w:type="dxa"/>
            </w:tcMar>
            <w:hideMark/>
          </w:tcPr>
          <w:p w:rsidR="00000000" w:rsidRDefault="0061405A">
            <w:pPr>
              <w:rPr>
                <w:rFonts w:eastAsia="Times New Roman"/>
              </w:rPr>
            </w:pPr>
            <w:r>
              <w:rPr>
                <w:rFonts w:eastAsia="Times New Roman"/>
                <w:color w:val="000000"/>
                <w:sz w:val="20"/>
                <w:szCs w:val="20"/>
              </w:rPr>
              <w:t>ITEM 1B.</w:t>
            </w:r>
          </w:p>
        </w:tc>
        <w:tc>
          <w:tcPr>
            <w:tcW w:w="0" w:type="auto"/>
            <w:gridSpan w:val="3"/>
            <w:tcMar>
              <w:top w:w="30" w:type="dxa"/>
              <w:left w:w="20" w:type="dxa"/>
              <w:bottom w:w="30" w:type="dxa"/>
              <w:right w:w="20" w:type="dxa"/>
            </w:tcMar>
            <w:vAlign w:val="bottom"/>
            <w:hideMark/>
          </w:tcPr>
          <w:p w:rsidR="00000000" w:rsidRDefault="0061405A">
            <w:pPr>
              <w:divId w:val="1591696316"/>
              <w:rPr>
                <w:rFonts w:eastAsia="Times New Roman"/>
              </w:rPr>
            </w:pPr>
            <w:hyperlink w:anchor="i8677812f4896441ea668decd267056f9_19" w:history="1">
              <w:r>
                <w:rPr>
                  <w:rStyle w:val="a3"/>
                  <w:rFonts w:eastAsia="Times New Roman"/>
                  <w:sz w:val="20"/>
                  <w:szCs w:val="20"/>
                </w:rPr>
                <w:t>Unresolved Staff Comments</w:t>
              </w:r>
            </w:hyperlink>
          </w:p>
        </w:tc>
        <w:tc>
          <w:tcPr>
            <w:tcW w:w="0" w:type="auto"/>
            <w:gridSpan w:val="3"/>
            <w:tcMar>
              <w:top w:w="30" w:type="dxa"/>
              <w:left w:w="20" w:type="dxa"/>
              <w:bottom w:w="30" w:type="dxa"/>
              <w:right w:w="20" w:type="dxa"/>
            </w:tcMar>
            <w:vAlign w:val="bottom"/>
            <w:hideMark/>
          </w:tcPr>
          <w:p w:rsidR="00000000" w:rsidRDefault="0061405A">
            <w:pPr>
              <w:jc w:val="right"/>
              <w:rPr>
                <w:rFonts w:eastAsia="Times New Roman"/>
              </w:rPr>
            </w:pPr>
            <w:hyperlink w:anchor="i8677812f4896441ea668decd267056f9_19" w:history="1">
              <w:r>
                <w:rPr>
                  <w:rStyle w:val="a3"/>
                  <w:rFonts w:eastAsia="Times New Roman"/>
                  <w:sz w:val="20"/>
                  <w:szCs w:val="20"/>
                </w:rPr>
                <w:t>23</w:t>
              </w:r>
            </w:hyperlink>
          </w:p>
        </w:tc>
      </w:tr>
      <w:tr w:rsidR="00000000">
        <w:trPr>
          <w:divId w:val="655379600"/>
        </w:trPr>
        <w:tc>
          <w:tcPr>
            <w:tcW w:w="0" w:type="auto"/>
            <w:gridSpan w:val="3"/>
            <w:tcMar>
              <w:top w:w="30" w:type="dxa"/>
              <w:left w:w="20" w:type="dxa"/>
              <w:bottom w:w="30" w:type="dxa"/>
              <w:right w:w="20" w:type="dxa"/>
            </w:tcMar>
            <w:hideMark/>
          </w:tcPr>
          <w:p w:rsidR="00000000" w:rsidRDefault="0061405A">
            <w:pPr>
              <w:rPr>
                <w:rFonts w:eastAsia="Times New Roman"/>
              </w:rPr>
            </w:pPr>
            <w:r>
              <w:rPr>
                <w:rFonts w:eastAsia="Times New Roman"/>
                <w:color w:val="000000"/>
                <w:sz w:val="20"/>
                <w:szCs w:val="20"/>
              </w:rPr>
              <w:t>ITEM 2.</w:t>
            </w:r>
          </w:p>
        </w:tc>
        <w:tc>
          <w:tcPr>
            <w:tcW w:w="0" w:type="auto"/>
            <w:gridSpan w:val="3"/>
            <w:tcMar>
              <w:top w:w="30" w:type="dxa"/>
              <w:left w:w="20" w:type="dxa"/>
              <w:bottom w:w="30" w:type="dxa"/>
              <w:right w:w="20" w:type="dxa"/>
            </w:tcMar>
            <w:vAlign w:val="bottom"/>
            <w:hideMark/>
          </w:tcPr>
          <w:p w:rsidR="00000000" w:rsidRDefault="0061405A">
            <w:pPr>
              <w:divId w:val="1407535604"/>
              <w:rPr>
                <w:rFonts w:eastAsia="Times New Roman"/>
              </w:rPr>
            </w:pPr>
            <w:hyperlink w:anchor="i8677812f4896441ea668decd267056f9_22" w:history="1">
              <w:r>
                <w:rPr>
                  <w:rStyle w:val="a3"/>
                  <w:rFonts w:eastAsia="Times New Roman"/>
                  <w:sz w:val="20"/>
                  <w:szCs w:val="20"/>
                </w:rPr>
                <w:t>Properties</w:t>
              </w:r>
            </w:hyperlink>
          </w:p>
        </w:tc>
        <w:tc>
          <w:tcPr>
            <w:tcW w:w="0" w:type="auto"/>
            <w:gridSpan w:val="3"/>
            <w:tcMar>
              <w:top w:w="30" w:type="dxa"/>
              <w:left w:w="20" w:type="dxa"/>
              <w:bottom w:w="30" w:type="dxa"/>
              <w:right w:w="20" w:type="dxa"/>
            </w:tcMar>
            <w:vAlign w:val="bottom"/>
            <w:hideMark/>
          </w:tcPr>
          <w:p w:rsidR="00000000" w:rsidRDefault="0061405A">
            <w:pPr>
              <w:jc w:val="right"/>
              <w:rPr>
                <w:rFonts w:eastAsia="Times New Roman"/>
              </w:rPr>
            </w:pPr>
            <w:hyperlink w:anchor="i8677812f4896441ea668decd267056f9_22" w:history="1">
              <w:r>
                <w:rPr>
                  <w:rStyle w:val="a3"/>
                  <w:rFonts w:eastAsia="Times New Roman"/>
                  <w:sz w:val="20"/>
                  <w:szCs w:val="20"/>
                </w:rPr>
                <w:t>24</w:t>
              </w:r>
            </w:hyperlink>
          </w:p>
        </w:tc>
      </w:tr>
      <w:tr w:rsidR="00000000">
        <w:trPr>
          <w:divId w:val="655379600"/>
        </w:trPr>
        <w:tc>
          <w:tcPr>
            <w:tcW w:w="0" w:type="auto"/>
            <w:gridSpan w:val="3"/>
            <w:tcMar>
              <w:top w:w="30" w:type="dxa"/>
              <w:left w:w="20" w:type="dxa"/>
              <w:bottom w:w="30" w:type="dxa"/>
              <w:right w:w="20" w:type="dxa"/>
            </w:tcMar>
            <w:hideMark/>
          </w:tcPr>
          <w:p w:rsidR="00000000" w:rsidRDefault="0061405A">
            <w:pPr>
              <w:rPr>
                <w:rFonts w:eastAsia="Times New Roman"/>
              </w:rPr>
            </w:pPr>
            <w:r>
              <w:rPr>
                <w:rFonts w:eastAsia="Times New Roman"/>
                <w:color w:val="000000"/>
                <w:sz w:val="20"/>
                <w:szCs w:val="20"/>
              </w:rPr>
              <w:t>ITEM 3.</w:t>
            </w:r>
          </w:p>
        </w:tc>
        <w:tc>
          <w:tcPr>
            <w:tcW w:w="0" w:type="auto"/>
            <w:gridSpan w:val="3"/>
            <w:tcMar>
              <w:top w:w="30" w:type="dxa"/>
              <w:left w:w="20" w:type="dxa"/>
              <w:bottom w:w="30" w:type="dxa"/>
              <w:right w:w="20" w:type="dxa"/>
            </w:tcMar>
            <w:vAlign w:val="bottom"/>
            <w:hideMark/>
          </w:tcPr>
          <w:p w:rsidR="00000000" w:rsidRDefault="0061405A">
            <w:pPr>
              <w:divId w:val="1107387249"/>
              <w:rPr>
                <w:rFonts w:eastAsia="Times New Roman"/>
              </w:rPr>
            </w:pPr>
            <w:hyperlink w:anchor="i8677812f4896441ea668decd267056f9_25"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vAlign w:val="bottom"/>
            <w:hideMark/>
          </w:tcPr>
          <w:p w:rsidR="00000000" w:rsidRDefault="0061405A">
            <w:pPr>
              <w:jc w:val="right"/>
              <w:rPr>
                <w:rFonts w:eastAsia="Times New Roman"/>
              </w:rPr>
            </w:pPr>
            <w:hyperlink w:anchor="i8677812f4896441ea668decd267056f9_25" w:history="1">
              <w:r>
                <w:rPr>
                  <w:rStyle w:val="a3"/>
                  <w:rFonts w:eastAsia="Times New Roman"/>
                  <w:sz w:val="20"/>
                  <w:szCs w:val="20"/>
                </w:rPr>
                <w:t>25</w:t>
              </w:r>
            </w:hyperlink>
          </w:p>
        </w:tc>
      </w:tr>
      <w:tr w:rsidR="00000000">
        <w:trPr>
          <w:divId w:val="655379600"/>
        </w:trPr>
        <w:tc>
          <w:tcPr>
            <w:tcW w:w="0" w:type="auto"/>
            <w:gridSpan w:val="3"/>
            <w:tcMar>
              <w:top w:w="30" w:type="dxa"/>
              <w:left w:w="20" w:type="dxa"/>
              <w:bottom w:w="30" w:type="dxa"/>
              <w:right w:w="20" w:type="dxa"/>
            </w:tcMar>
            <w:hideMark/>
          </w:tcPr>
          <w:p w:rsidR="00000000" w:rsidRDefault="0061405A">
            <w:pPr>
              <w:rPr>
                <w:rFonts w:eastAsia="Times New Roman"/>
              </w:rPr>
            </w:pPr>
            <w:r>
              <w:rPr>
                <w:rFonts w:eastAsia="Times New Roman"/>
                <w:color w:val="000000"/>
                <w:sz w:val="20"/>
                <w:szCs w:val="20"/>
              </w:rPr>
              <w:t>ITEM 4.</w:t>
            </w:r>
          </w:p>
        </w:tc>
        <w:tc>
          <w:tcPr>
            <w:tcW w:w="0" w:type="auto"/>
            <w:gridSpan w:val="3"/>
            <w:tcMar>
              <w:top w:w="30" w:type="dxa"/>
              <w:left w:w="20" w:type="dxa"/>
              <w:bottom w:w="30" w:type="dxa"/>
              <w:right w:w="20" w:type="dxa"/>
            </w:tcMar>
            <w:vAlign w:val="bottom"/>
            <w:hideMark/>
          </w:tcPr>
          <w:p w:rsidR="00000000" w:rsidRDefault="0061405A">
            <w:pPr>
              <w:divId w:val="228082344"/>
              <w:rPr>
                <w:rFonts w:eastAsia="Times New Roman"/>
              </w:rPr>
            </w:pPr>
            <w:hyperlink w:anchor="i8677812f4896441ea668decd267056f9_28"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vAlign w:val="bottom"/>
            <w:hideMark/>
          </w:tcPr>
          <w:p w:rsidR="00000000" w:rsidRDefault="0061405A">
            <w:pPr>
              <w:jc w:val="right"/>
              <w:rPr>
                <w:rFonts w:eastAsia="Times New Roman"/>
              </w:rPr>
            </w:pPr>
            <w:hyperlink w:anchor="i8677812f4896441ea668decd267056f9_28" w:history="1">
              <w:r>
                <w:rPr>
                  <w:rStyle w:val="a3"/>
                  <w:rFonts w:eastAsia="Times New Roman"/>
                  <w:sz w:val="20"/>
                  <w:szCs w:val="20"/>
                </w:rPr>
                <w:t>25</w:t>
              </w:r>
            </w:hyperlink>
          </w:p>
        </w:tc>
      </w:tr>
      <w:tr w:rsidR="00000000">
        <w:trPr>
          <w:divId w:val="655379600"/>
        </w:trPr>
        <w:tc>
          <w:tcPr>
            <w:tcW w:w="0" w:type="auto"/>
            <w:gridSpan w:val="3"/>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color w:val="000000"/>
                <w:sz w:val="20"/>
                <w:szCs w:val="20"/>
              </w:rPr>
              <w:t>PART II</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r>
      <w:tr w:rsidR="00000000">
        <w:trPr>
          <w:divId w:val="655379600"/>
        </w:trPr>
        <w:tc>
          <w:tcPr>
            <w:tcW w:w="0" w:type="auto"/>
            <w:gridSpan w:val="3"/>
            <w:tcMar>
              <w:top w:w="30" w:type="dxa"/>
              <w:left w:w="20" w:type="dxa"/>
              <w:bottom w:w="30" w:type="dxa"/>
              <w:right w:w="20" w:type="dxa"/>
            </w:tcMar>
            <w:hideMark/>
          </w:tcPr>
          <w:p w:rsidR="00000000" w:rsidRDefault="0061405A">
            <w:pPr>
              <w:rPr>
                <w:rFonts w:eastAsia="Times New Roman"/>
              </w:rPr>
            </w:pPr>
            <w:r>
              <w:rPr>
                <w:rFonts w:eastAsia="Times New Roman"/>
                <w:color w:val="000000"/>
                <w:sz w:val="20"/>
                <w:szCs w:val="20"/>
              </w:rPr>
              <w:t>ITEM 5.</w:t>
            </w:r>
          </w:p>
        </w:tc>
        <w:tc>
          <w:tcPr>
            <w:tcW w:w="0" w:type="auto"/>
            <w:gridSpan w:val="3"/>
            <w:tcMar>
              <w:top w:w="30" w:type="dxa"/>
              <w:left w:w="20" w:type="dxa"/>
              <w:bottom w:w="30" w:type="dxa"/>
              <w:right w:w="20" w:type="dxa"/>
            </w:tcMar>
            <w:vAlign w:val="bottom"/>
            <w:hideMark/>
          </w:tcPr>
          <w:p w:rsidR="00000000" w:rsidRDefault="0061405A">
            <w:pPr>
              <w:divId w:val="1097562073"/>
              <w:rPr>
                <w:rFonts w:eastAsia="Times New Roman"/>
              </w:rPr>
            </w:pPr>
            <w:hyperlink w:anchor="i8677812f4896441ea668decd267056f9_34" w:history="1">
              <w:r>
                <w:rPr>
                  <w:rStyle w:val="a3"/>
                  <w:rFonts w:eastAsia="Times New Roman"/>
                  <w:sz w:val="20"/>
                  <w:szCs w:val="20"/>
                </w:rPr>
                <w:t>Market for Registrant's Common Equity, Related Stockholder Matters and Issuer Purchases of Equity Securities</w:t>
              </w:r>
            </w:hyperlink>
          </w:p>
        </w:tc>
        <w:tc>
          <w:tcPr>
            <w:tcW w:w="0" w:type="auto"/>
            <w:gridSpan w:val="3"/>
            <w:tcMar>
              <w:top w:w="30" w:type="dxa"/>
              <w:left w:w="20" w:type="dxa"/>
              <w:bottom w:w="30" w:type="dxa"/>
              <w:right w:w="20" w:type="dxa"/>
            </w:tcMar>
            <w:vAlign w:val="bottom"/>
            <w:hideMark/>
          </w:tcPr>
          <w:p w:rsidR="00000000" w:rsidRDefault="0061405A">
            <w:pPr>
              <w:jc w:val="right"/>
              <w:rPr>
                <w:rFonts w:eastAsia="Times New Roman"/>
              </w:rPr>
            </w:pPr>
            <w:hyperlink w:anchor="i8677812f4896441ea668decd267056f9_34" w:history="1">
              <w:r>
                <w:rPr>
                  <w:rStyle w:val="a3"/>
                  <w:rFonts w:eastAsia="Times New Roman"/>
                  <w:sz w:val="20"/>
                  <w:szCs w:val="20"/>
                </w:rPr>
                <w:t>26</w:t>
              </w:r>
            </w:hyperlink>
          </w:p>
        </w:tc>
      </w:tr>
      <w:tr w:rsidR="00000000">
        <w:trPr>
          <w:divId w:val="655379600"/>
        </w:trPr>
        <w:tc>
          <w:tcPr>
            <w:tcW w:w="0" w:type="auto"/>
            <w:gridSpan w:val="3"/>
            <w:tcMar>
              <w:top w:w="30" w:type="dxa"/>
              <w:left w:w="20" w:type="dxa"/>
              <w:bottom w:w="30" w:type="dxa"/>
              <w:right w:w="20" w:type="dxa"/>
            </w:tcMar>
            <w:hideMark/>
          </w:tcPr>
          <w:p w:rsidR="00000000" w:rsidRDefault="0061405A">
            <w:pPr>
              <w:rPr>
                <w:rFonts w:eastAsia="Times New Roman"/>
              </w:rPr>
            </w:pPr>
            <w:r>
              <w:rPr>
                <w:rFonts w:eastAsia="Times New Roman"/>
                <w:color w:val="000000"/>
                <w:sz w:val="20"/>
                <w:szCs w:val="20"/>
              </w:rPr>
              <w:t>ITEM 6.</w:t>
            </w:r>
          </w:p>
        </w:tc>
        <w:tc>
          <w:tcPr>
            <w:tcW w:w="0" w:type="auto"/>
            <w:gridSpan w:val="3"/>
            <w:tcMar>
              <w:top w:w="30" w:type="dxa"/>
              <w:left w:w="20" w:type="dxa"/>
              <w:bottom w:w="30" w:type="dxa"/>
              <w:right w:w="20" w:type="dxa"/>
            </w:tcMar>
            <w:vAlign w:val="bottom"/>
            <w:hideMark/>
          </w:tcPr>
          <w:p w:rsidR="00000000" w:rsidRDefault="0061405A">
            <w:pPr>
              <w:divId w:val="1644382124"/>
              <w:rPr>
                <w:rFonts w:eastAsia="Times New Roman"/>
              </w:rPr>
            </w:pPr>
            <w:hyperlink w:anchor="i8677812f4896441ea668decd267056f9_40" w:history="1">
              <w:r>
                <w:rPr>
                  <w:rStyle w:val="a3"/>
                  <w:rFonts w:eastAsia="Times New Roman"/>
                  <w:sz w:val="20"/>
                  <w:szCs w:val="20"/>
                </w:rPr>
                <w:t>Selected Financial Data</w:t>
              </w:r>
            </w:hyperlink>
          </w:p>
        </w:tc>
        <w:tc>
          <w:tcPr>
            <w:tcW w:w="0" w:type="auto"/>
            <w:gridSpan w:val="3"/>
            <w:tcMar>
              <w:top w:w="30" w:type="dxa"/>
              <w:left w:w="20" w:type="dxa"/>
              <w:bottom w:w="30" w:type="dxa"/>
              <w:right w:w="20" w:type="dxa"/>
            </w:tcMar>
            <w:vAlign w:val="bottom"/>
            <w:hideMark/>
          </w:tcPr>
          <w:p w:rsidR="00000000" w:rsidRDefault="0061405A">
            <w:pPr>
              <w:jc w:val="right"/>
              <w:rPr>
                <w:rFonts w:eastAsia="Times New Roman"/>
              </w:rPr>
            </w:pPr>
            <w:hyperlink w:anchor="i8677812f4896441ea668decd267056f9_40" w:history="1">
              <w:r>
                <w:rPr>
                  <w:rStyle w:val="a3"/>
                  <w:rFonts w:eastAsia="Times New Roman"/>
                  <w:sz w:val="20"/>
                  <w:szCs w:val="20"/>
                </w:rPr>
                <w:t>27</w:t>
              </w:r>
            </w:hyperlink>
          </w:p>
        </w:tc>
      </w:tr>
      <w:tr w:rsidR="00000000">
        <w:trPr>
          <w:divId w:val="655379600"/>
        </w:trPr>
        <w:tc>
          <w:tcPr>
            <w:tcW w:w="0" w:type="auto"/>
            <w:gridSpan w:val="3"/>
            <w:tcMar>
              <w:top w:w="30" w:type="dxa"/>
              <w:left w:w="20" w:type="dxa"/>
              <w:bottom w:w="30" w:type="dxa"/>
              <w:right w:w="20" w:type="dxa"/>
            </w:tcMar>
            <w:hideMark/>
          </w:tcPr>
          <w:p w:rsidR="00000000" w:rsidRDefault="0061405A">
            <w:pPr>
              <w:rPr>
                <w:rFonts w:eastAsia="Times New Roman"/>
              </w:rPr>
            </w:pPr>
            <w:r>
              <w:rPr>
                <w:rFonts w:eastAsia="Times New Roman"/>
                <w:color w:val="000000"/>
                <w:sz w:val="20"/>
                <w:szCs w:val="20"/>
              </w:rPr>
              <w:t>ITEM 7.</w:t>
            </w:r>
          </w:p>
        </w:tc>
        <w:tc>
          <w:tcPr>
            <w:tcW w:w="0" w:type="auto"/>
            <w:gridSpan w:val="3"/>
            <w:tcMar>
              <w:top w:w="30" w:type="dxa"/>
              <w:left w:w="20" w:type="dxa"/>
              <w:bottom w:w="30" w:type="dxa"/>
              <w:right w:w="20" w:type="dxa"/>
            </w:tcMar>
            <w:vAlign w:val="bottom"/>
            <w:hideMark/>
          </w:tcPr>
          <w:p w:rsidR="00000000" w:rsidRDefault="0061405A">
            <w:pPr>
              <w:divId w:val="507672835"/>
              <w:rPr>
                <w:rFonts w:eastAsia="Times New Roman"/>
              </w:rPr>
            </w:pPr>
            <w:hyperlink w:anchor="i8677812f4896441ea668decd267056f9_43" w:history="1">
              <w:r>
                <w:rPr>
                  <w:rStyle w:val="a3"/>
                  <w:rFonts w:eastAsia="Times New Roman"/>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rsidR="00000000" w:rsidRDefault="0061405A">
            <w:pPr>
              <w:jc w:val="right"/>
              <w:rPr>
                <w:rFonts w:eastAsia="Times New Roman"/>
              </w:rPr>
            </w:pPr>
            <w:hyperlink w:anchor="i8677812f4896441ea668decd267056f9_43" w:history="1">
              <w:r>
                <w:rPr>
                  <w:rStyle w:val="a3"/>
                  <w:rFonts w:eastAsia="Times New Roman"/>
                  <w:sz w:val="20"/>
                  <w:szCs w:val="20"/>
                </w:rPr>
                <w:t>30</w:t>
              </w:r>
            </w:hyperlink>
          </w:p>
        </w:tc>
      </w:tr>
      <w:tr w:rsidR="00000000">
        <w:trPr>
          <w:divId w:val="655379600"/>
        </w:trPr>
        <w:tc>
          <w:tcPr>
            <w:tcW w:w="0" w:type="auto"/>
            <w:gridSpan w:val="3"/>
            <w:tcMar>
              <w:top w:w="30" w:type="dxa"/>
              <w:left w:w="20" w:type="dxa"/>
              <w:bottom w:w="30" w:type="dxa"/>
              <w:right w:w="20" w:type="dxa"/>
            </w:tcMar>
            <w:hideMark/>
          </w:tcPr>
          <w:p w:rsidR="00000000" w:rsidRDefault="0061405A">
            <w:pPr>
              <w:rPr>
                <w:rFonts w:eastAsia="Times New Roman"/>
              </w:rPr>
            </w:pPr>
            <w:r>
              <w:rPr>
                <w:rFonts w:eastAsia="Times New Roman"/>
                <w:color w:val="000000"/>
                <w:sz w:val="20"/>
                <w:szCs w:val="20"/>
              </w:rPr>
              <w:t>ITEM 7A.</w:t>
            </w:r>
          </w:p>
        </w:tc>
        <w:tc>
          <w:tcPr>
            <w:tcW w:w="0" w:type="auto"/>
            <w:gridSpan w:val="3"/>
            <w:tcMar>
              <w:top w:w="30" w:type="dxa"/>
              <w:left w:w="20" w:type="dxa"/>
              <w:bottom w:w="30" w:type="dxa"/>
              <w:right w:w="20" w:type="dxa"/>
            </w:tcMar>
            <w:vAlign w:val="bottom"/>
            <w:hideMark/>
          </w:tcPr>
          <w:p w:rsidR="00000000" w:rsidRDefault="0061405A">
            <w:pPr>
              <w:divId w:val="278924799"/>
              <w:rPr>
                <w:rFonts w:eastAsia="Times New Roman"/>
              </w:rPr>
            </w:pPr>
            <w:hyperlink w:anchor="i8677812f4896441ea668decd267056f9_58"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61405A">
            <w:pPr>
              <w:jc w:val="right"/>
              <w:rPr>
                <w:rFonts w:eastAsia="Times New Roman"/>
              </w:rPr>
            </w:pPr>
            <w:hyperlink w:anchor="i8677812f4896441ea668decd267056f9_58" w:history="1">
              <w:r>
                <w:rPr>
                  <w:rStyle w:val="a3"/>
                  <w:rFonts w:eastAsia="Times New Roman"/>
                  <w:sz w:val="20"/>
                  <w:szCs w:val="20"/>
                </w:rPr>
                <w:t>46</w:t>
              </w:r>
            </w:hyperlink>
          </w:p>
        </w:tc>
      </w:tr>
      <w:tr w:rsidR="00000000">
        <w:trPr>
          <w:divId w:val="655379600"/>
        </w:trPr>
        <w:tc>
          <w:tcPr>
            <w:tcW w:w="0" w:type="auto"/>
            <w:gridSpan w:val="3"/>
            <w:tcMar>
              <w:top w:w="30" w:type="dxa"/>
              <w:left w:w="20" w:type="dxa"/>
              <w:bottom w:w="30" w:type="dxa"/>
              <w:right w:w="20" w:type="dxa"/>
            </w:tcMar>
            <w:hideMark/>
          </w:tcPr>
          <w:p w:rsidR="00000000" w:rsidRDefault="0061405A">
            <w:pPr>
              <w:rPr>
                <w:rFonts w:eastAsia="Times New Roman"/>
              </w:rPr>
            </w:pPr>
            <w:r>
              <w:rPr>
                <w:rFonts w:eastAsia="Times New Roman"/>
                <w:color w:val="000000"/>
                <w:sz w:val="20"/>
                <w:szCs w:val="20"/>
              </w:rPr>
              <w:t>ITEM 8.</w:t>
            </w:r>
          </w:p>
        </w:tc>
        <w:tc>
          <w:tcPr>
            <w:tcW w:w="0" w:type="auto"/>
            <w:gridSpan w:val="3"/>
            <w:tcMar>
              <w:top w:w="30" w:type="dxa"/>
              <w:left w:w="20" w:type="dxa"/>
              <w:bottom w:w="30" w:type="dxa"/>
              <w:right w:w="20" w:type="dxa"/>
            </w:tcMar>
            <w:vAlign w:val="bottom"/>
            <w:hideMark/>
          </w:tcPr>
          <w:p w:rsidR="00000000" w:rsidRDefault="0061405A">
            <w:pPr>
              <w:divId w:val="2014918427"/>
              <w:rPr>
                <w:rFonts w:eastAsia="Times New Roman"/>
              </w:rPr>
            </w:pPr>
            <w:hyperlink w:anchor="i8677812f4896441ea668decd267056f9_61" w:history="1">
              <w:r>
                <w:rPr>
                  <w:rStyle w:val="a3"/>
                  <w:rFonts w:eastAsia="Times New Roman"/>
                  <w:sz w:val="20"/>
                  <w:szCs w:val="20"/>
                </w:rPr>
                <w:t>Financial Statements and Supplementary Data</w:t>
              </w:r>
            </w:hyperlink>
          </w:p>
        </w:tc>
        <w:tc>
          <w:tcPr>
            <w:tcW w:w="0" w:type="auto"/>
            <w:gridSpan w:val="3"/>
            <w:tcMar>
              <w:top w:w="30" w:type="dxa"/>
              <w:left w:w="20" w:type="dxa"/>
              <w:bottom w:w="30" w:type="dxa"/>
              <w:right w:w="20" w:type="dxa"/>
            </w:tcMar>
            <w:vAlign w:val="bottom"/>
            <w:hideMark/>
          </w:tcPr>
          <w:p w:rsidR="00000000" w:rsidRDefault="0061405A">
            <w:pPr>
              <w:jc w:val="right"/>
              <w:rPr>
                <w:rFonts w:eastAsia="Times New Roman"/>
              </w:rPr>
            </w:pPr>
            <w:hyperlink w:anchor="i8677812f4896441ea668decd267056f9_61" w:history="1">
              <w:r>
                <w:rPr>
                  <w:rStyle w:val="a3"/>
                  <w:rFonts w:eastAsia="Times New Roman"/>
                  <w:sz w:val="20"/>
                  <w:szCs w:val="20"/>
                </w:rPr>
                <w:t>47</w:t>
              </w:r>
            </w:hyperlink>
          </w:p>
        </w:tc>
      </w:tr>
      <w:tr w:rsidR="00000000">
        <w:trPr>
          <w:divId w:val="655379600"/>
        </w:trPr>
        <w:tc>
          <w:tcPr>
            <w:tcW w:w="0" w:type="auto"/>
            <w:gridSpan w:val="3"/>
            <w:tcMar>
              <w:top w:w="30" w:type="dxa"/>
              <w:left w:w="20" w:type="dxa"/>
              <w:bottom w:w="30" w:type="dxa"/>
              <w:right w:w="20" w:type="dxa"/>
            </w:tcMar>
            <w:hideMark/>
          </w:tcPr>
          <w:p w:rsidR="00000000" w:rsidRDefault="0061405A">
            <w:pPr>
              <w:rPr>
                <w:rFonts w:eastAsia="Times New Roman"/>
              </w:rPr>
            </w:pPr>
            <w:r>
              <w:rPr>
                <w:rFonts w:eastAsia="Times New Roman"/>
                <w:color w:val="000000"/>
                <w:sz w:val="20"/>
                <w:szCs w:val="20"/>
              </w:rPr>
              <w:t>ITEM 9.</w:t>
            </w:r>
          </w:p>
        </w:tc>
        <w:tc>
          <w:tcPr>
            <w:tcW w:w="0" w:type="auto"/>
            <w:gridSpan w:val="3"/>
            <w:tcMar>
              <w:top w:w="30" w:type="dxa"/>
              <w:left w:w="20" w:type="dxa"/>
              <w:bottom w:w="30" w:type="dxa"/>
              <w:right w:w="20" w:type="dxa"/>
            </w:tcMar>
            <w:vAlign w:val="bottom"/>
            <w:hideMark/>
          </w:tcPr>
          <w:p w:rsidR="00000000" w:rsidRDefault="0061405A">
            <w:pPr>
              <w:divId w:val="662247033"/>
              <w:rPr>
                <w:rFonts w:eastAsia="Times New Roman"/>
              </w:rPr>
            </w:pPr>
            <w:hyperlink w:anchor="i8677812f4896441ea668decd267056f9_169" w:history="1">
              <w:r>
                <w:rPr>
                  <w:rStyle w:val="a3"/>
                  <w:rFonts w:eastAsia="Times New Roman"/>
                  <w:sz w:val="20"/>
                  <w:szCs w:val="20"/>
                </w:rPr>
                <w:t>Changes in and Disagreements with Accountants on Accounting and Financial Disclosure</w:t>
              </w:r>
            </w:hyperlink>
          </w:p>
        </w:tc>
        <w:tc>
          <w:tcPr>
            <w:tcW w:w="0" w:type="auto"/>
            <w:gridSpan w:val="3"/>
            <w:tcMar>
              <w:top w:w="30" w:type="dxa"/>
              <w:left w:w="20" w:type="dxa"/>
              <w:bottom w:w="30" w:type="dxa"/>
              <w:right w:w="20" w:type="dxa"/>
            </w:tcMar>
            <w:vAlign w:val="bottom"/>
            <w:hideMark/>
          </w:tcPr>
          <w:p w:rsidR="00000000" w:rsidRDefault="0061405A">
            <w:pPr>
              <w:jc w:val="right"/>
              <w:rPr>
                <w:rFonts w:eastAsia="Times New Roman"/>
              </w:rPr>
            </w:pPr>
            <w:hyperlink w:anchor="i8677812f4896441ea668decd267056f9_169" w:history="1">
              <w:r>
                <w:rPr>
                  <w:rStyle w:val="a3"/>
                  <w:rFonts w:eastAsia="Times New Roman"/>
                  <w:sz w:val="20"/>
                  <w:szCs w:val="20"/>
                </w:rPr>
                <w:t>75</w:t>
              </w:r>
            </w:hyperlink>
          </w:p>
        </w:tc>
      </w:tr>
      <w:tr w:rsidR="00000000">
        <w:trPr>
          <w:divId w:val="655379600"/>
        </w:trPr>
        <w:tc>
          <w:tcPr>
            <w:tcW w:w="0" w:type="auto"/>
            <w:gridSpan w:val="3"/>
            <w:tcMar>
              <w:top w:w="30" w:type="dxa"/>
              <w:left w:w="20" w:type="dxa"/>
              <w:bottom w:w="30" w:type="dxa"/>
              <w:right w:w="20" w:type="dxa"/>
            </w:tcMar>
            <w:hideMark/>
          </w:tcPr>
          <w:p w:rsidR="00000000" w:rsidRDefault="0061405A">
            <w:pPr>
              <w:rPr>
                <w:rFonts w:eastAsia="Times New Roman"/>
              </w:rPr>
            </w:pPr>
            <w:r>
              <w:rPr>
                <w:rFonts w:eastAsia="Times New Roman"/>
                <w:color w:val="000000"/>
                <w:sz w:val="20"/>
                <w:szCs w:val="20"/>
              </w:rPr>
              <w:t>ITEM 9A.</w:t>
            </w:r>
          </w:p>
        </w:tc>
        <w:tc>
          <w:tcPr>
            <w:tcW w:w="0" w:type="auto"/>
            <w:gridSpan w:val="3"/>
            <w:tcMar>
              <w:top w:w="30" w:type="dxa"/>
              <w:left w:w="20" w:type="dxa"/>
              <w:bottom w:w="30" w:type="dxa"/>
              <w:right w:w="20" w:type="dxa"/>
            </w:tcMar>
            <w:vAlign w:val="bottom"/>
            <w:hideMark/>
          </w:tcPr>
          <w:p w:rsidR="00000000" w:rsidRDefault="0061405A">
            <w:pPr>
              <w:divId w:val="679235425"/>
              <w:rPr>
                <w:rFonts w:eastAsia="Times New Roman"/>
              </w:rPr>
            </w:pPr>
            <w:hyperlink w:anchor="i8677812f4896441ea668decd267056f9_172"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vAlign w:val="bottom"/>
            <w:hideMark/>
          </w:tcPr>
          <w:p w:rsidR="00000000" w:rsidRDefault="0061405A">
            <w:pPr>
              <w:jc w:val="right"/>
              <w:rPr>
                <w:rFonts w:eastAsia="Times New Roman"/>
              </w:rPr>
            </w:pPr>
            <w:hyperlink w:anchor="i8677812f4896441ea668decd267056f9_172" w:history="1">
              <w:r>
                <w:rPr>
                  <w:rStyle w:val="a3"/>
                  <w:rFonts w:eastAsia="Times New Roman"/>
                  <w:sz w:val="20"/>
                  <w:szCs w:val="20"/>
                </w:rPr>
                <w:t>75</w:t>
              </w:r>
            </w:hyperlink>
          </w:p>
        </w:tc>
      </w:tr>
      <w:tr w:rsidR="00000000">
        <w:trPr>
          <w:divId w:val="655379600"/>
        </w:trPr>
        <w:tc>
          <w:tcPr>
            <w:tcW w:w="0" w:type="auto"/>
            <w:gridSpan w:val="3"/>
            <w:tcMar>
              <w:top w:w="30" w:type="dxa"/>
              <w:left w:w="20" w:type="dxa"/>
              <w:bottom w:w="30" w:type="dxa"/>
              <w:right w:w="20" w:type="dxa"/>
            </w:tcMar>
            <w:hideMark/>
          </w:tcPr>
          <w:p w:rsidR="00000000" w:rsidRDefault="0061405A">
            <w:pPr>
              <w:rPr>
                <w:rFonts w:eastAsia="Times New Roman"/>
              </w:rPr>
            </w:pPr>
            <w:r>
              <w:rPr>
                <w:rFonts w:eastAsia="Times New Roman"/>
                <w:color w:val="000000"/>
                <w:sz w:val="20"/>
                <w:szCs w:val="20"/>
              </w:rPr>
              <w:t>ITEM 9B.</w:t>
            </w:r>
          </w:p>
        </w:tc>
        <w:tc>
          <w:tcPr>
            <w:tcW w:w="0" w:type="auto"/>
            <w:gridSpan w:val="3"/>
            <w:tcMar>
              <w:top w:w="30" w:type="dxa"/>
              <w:left w:w="20" w:type="dxa"/>
              <w:bottom w:w="30" w:type="dxa"/>
              <w:right w:w="20" w:type="dxa"/>
            </w:tcMar>
            <w:vAlign w:val="bottom"/>
            <w:hideMark/>
          </w:tcPr>
          <w:p w:rsidR="00000000" w:rsidRDefault="0061405A">
            <w:pPr>
              <w:divId w:val="1615819845"/>
              <w:rPr>
                <w:rFonts w:eastAsia="Times New Roman"/>
              </w:rPr>
            </w:pPr>
            <w:hyperlink w:anchor="i8677812f4896441ea668decd267056f9_175"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vAlign w:val="bottom"/>
            <w:hideMark/>
          </w:tcPr>
          <w:p w:rsidR="00000000" w:rsidRDefault="0061405A">
            <w:pPr>
              <w:jc w:val="right"/>
              <w:rPr>
                <w:rFonts w:eastAsia="Times New Roman"/>
              </w:rPr>
            </w:pPr>
            <w:hyperlink w:anchor="i8677812f4896441ea668decd267056f9_175" w:history="1">
              <w:r>
                <w:rPr>
                  <w:rStyle w:val="a3"/>
                  <w:rFonts w:eastAsia="Times New Roman"/>
                  <w:sz w:val="20"/>
                  <w:szCs w:val="20"/>
                </w:rPr>
                <w:t>77</w:t>
              </w:r>
            </w:hyperlink>
          </w:p>
        </w:tc>
      </w:tr>
      <w:tr w:rsidR="00000000">
        <w:trPr>
          <w:divId w:val="655379600"/>
        </w:trPr>
        <w:tc>
          <w:tcPr>
            <w:tcW w:w="0" w:type="auto"/>
            <w:gridSpan w:val="3"/>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color w:val="000000"/>
                <w:sz w:val="20"/>
                <w:szCs w:val="20"/>
              </w:rPr>
              <w:t>PART III</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r>
      <w:tr w:rsidR="00000000">
        <w:trPr>
          <w:divId w:val="655379600"/>
        </w:trPr>
        <w:tc>
          <w:tcPr>
            <w:tcW w:w="0" w:type="auto"/>
            <w:gridSpan w:val="3"/>
            <w:tcMar>
              <w:top w:w="30" w:type="dxa"/>
              <w:left w:w="20" w:type="dxa"/>
              <w:bottom w:w="30" w:type="dxa"/>
              <w:right w:w="20" w:type="dxa"/>
            </w:tcMar>
            <w:hideMark/>
          </w:tcPr>
          <w:p w:rsidR="00000000" w:rsidRDefault="0061405A">
            <w:pPr>
              <w:rPr>
                <w:rFonts w:eastAsia="Times New Roman"/>
              </w:rPr>
            </w:pPr>
            <w:r>
              <w:rPr>
                <w:rFonts w:eastAsia="Times New Roman"/>
                <w:color w:val="000000"/>
                <w:sz w:val="20"/>
                <w:szCs w:val="20"/>
              </w:rPr>
              <w:t>ITEM 10.</w:t>
            </w:r>
          </w:p>
        </w:tc>
        <w:tc>
          <w:tcPr>
            <w:tcW w:w="0" w:type="auto"/>
            <w:gridSpan w:val="3"/>
            <w:tcMar>
              <w:top w:w="30" w:type="dxa"/>
              <w:left w:w="20" w:type="dxa"/>
              <w:bottom w:w="30" w:type="dxa"/>
              <w:right w:w="20" w:type="dxa"/>
            </w:tcMar>
            <w:vAlign w:val="bottom"/>
            <w:hideMark/>
          </w:tcPr>
          <w:p w:rsidR="00000000" w:rsidRDefault="0061405A">
            <w:pPr>
              <w:divId w:val="684208114"/>
              <w:rPr>
                <w:rFonts w:eastAsia="Times New Roman"/>
              </w:rPr>
            </w:pPr>
            <w:hyperlink w:anchor="i8677812f4896441ea668decd267056f9_181" w:history="1">
              <w:r>
                <w:rPr>
                  <w:rStyle w:val="a3"/>
                  <w:rFonts w:eastAsia="Times New Roman"/>
                  <w:sz w:val="20"/>
                  <w:szCs w:val="20"/>
                </w:rPr>
                <w:t>Directors, Executive Officers and Corporate Governance</w:t>
              </w:r>
            </w:hyperlink>
          </w:p>
        </w:tc>
        <w:tc>
          <w:tcPr>
            <w:tcW w:w="0" w:type="auto"/>
            <w:gridSpan w:val="3"/>
            <w:tcMar>
              <w:top w:w="30" w:type="dxa"/>
              <w:left w:w="20" w:type="dxa"/>
              <w:bottom w:w="30" w:type="dxa"/>
              <w:right w:w="20" w:type="dxa"/>
            </w:tcMar>
            <w:vAlign w:val="bottom"/>
            <w:hideMark/>
          </w:tcPr>
          <w:p w:rsidR="00000000" w:rsidRDefault="0061405A">
            <w:pPr>
              <w:jc w:val="right"/>
              <w:rPr>
                <w:rFonts w:eastAsia="Times New Roman"/>
              </w:rPr>
            </w:pPr>
            <w:hyperlink w:anchor="i8677812f4896441ea668decd267056f9_181" w:history="1">
              <w:r>
                <w:rPr>
                  <w:rStyle w:val="a3"/>
                  <w:rFonts w:eastAsia="Times New Roman"/>
                  <w:sz w:val="20"/>
                  <w:szCs w:val="20"/>
                </w:rPr>
                <w:t>77</w:t>
              </w:r>
            </w:hyperlink>
          </w:p>
        </w:tc>
      </w:tr>
      <w:tr w:rsidR="00000000">
        <w:trPr>
          <w:divId w:val="655379600"/>
        </w:trPr>
        <w:tc>
          <w:tcPr>
            <w:tcW w:w="0" w:type="auto"/>
            <w:gridSpan w:val="3"/>
            <w:tcMar>
              <w:top w:w="30" w:type="dxa"/>
              <w:left w:w="20" w:type="dxa"/>
              <w:bottom w:w="30" w:type="dxa"/>
              <w:right w:w="20" w:type="dxa"/>
            </w:tcMar>
            <w:hideMark/>
          </w:tcPr>
          <w:p w:rsidR="00000000" w:rsidRDefault="0061405A">
            <w:pPr>
              <w:rPr>
                <w:rFonts w:eastAsia="Times New Roman"/>
              </w:rPr>
            </w:pPr>
            <w:r>
              <w:rPr>
                <w:rFonts w:eastAsia="Times New Roman"/>
                <w:color w:val="000000"/>
                <w:sz w:val="20"/>
                <w:szCs w:val="20"/>
              </w:rPr>
              <w:t>ITEM 11.</w:t>
            </w:r>
          </w:p>
        </w:tc>
        <w:tc>
          <w:tcPr>
            <w:tcW w:w="0" w:type="auto"/>
            <w:gridSpan w:val="3"/>
            <w:tcMar>
              <w:top w:w="30" w:type="dxa"/>
              <w:left w:w="20" w:type="dxa"/>
              <w:bottom w:w="30" w:type="dxa"/>
              <w:right w:w="20" w:type="dxa"/>
            </w:tcMar>
            <w:vAlign w:val="bottom"/>
            <w:hideMark/>
          </w:tcPr>
          <w:p w:rsidR="00000000" w:rsidRDefault="0061405A">
            <w:pPr>
              <w:divId w:val="1523935543"/>
              <w:rPr>
                <w:rFonts w:eastAsia="Times New Roman"/>
              </w:rPr>
            </w:pPr>
            <w:hyperlink w:anchor="i8677812f4896441ea668decd267056f9_184" w:history="1">
              <w:r>
                <w:rPr>
                  <w:rStyle w:val="a3"/>
                  <w:rFonts w:eastAsia="Times New Roman"/>
                  <w:sz w:val="20"/>
                  <w:szCs w:val="20"/>
                </w:rPr>
                <w:t>Executive Compensation</w:t>
              </w:r>
            </w:hyperlink>
          </w:p>
        </w:tc>
        <w:tc>
          <w:tcPr>
            <w:tcW w:w="0" w:type="auto"/>
            <w:gridSpan w:val="3"/>
            <w:tcMar>
              <w:top w:w="30" w:type="dxa"/>
              <w:left w:w="20" w:type="dxa"/>
              <w:bottom w:w="30" w:type="dxa"/>
              <w:right w:w="20" w:type="dxa"/>
            </w:tcMar>
            <w:vAlign w:val="bottom"/>
            <w:hideMark/>
          </w:tcPr>
          <w:p w:rsidR="00000000" w:rsidRDefault="0061405A">
            <w:pPr>
              <w:jc w:val="right"/>
              <w:rPr>
                <w:rFonts w:eastAsia="Times New Roman"/>
              </w:rPr>
            </w:pPr>
            <w:hyperlink w:anchor="i8677812f4896441ea668decd267056f9_184" w:history="1">
              <w:r>
                <w:rPr>
                  <w:rStyle w:val="a3"/>
                  <w:rFonts w:eastAsia="Times New Roman"/>
                  <w:sz w:val="20"/>
                  <w:szCs w:val="20"/>
                </w:rPr>
                <w:t>77</w:t>
              </w:r>
            </w:hyperlink>
          </w:p>
        </w:tc>
      </w:tr>
      <w:tr w:rsidR="00000000">
        <w:trPr>
          <w:divId w:val="655379600"/>
        </w:trPr>
        <w:tc>
          <w:tcPr>
            <w:tcW w:w="0" w:type="auto"/>
            <w:gridSpan w:val="3"/>
            <w:tcMar>
              <w:top w:w="30" w:type="dxa"/>
              <w:left w:w="20" w:type="dxa"/>
              <w:bottom w:w="30" w:type="dxa"/>
              <w:right w:w="20" w:type="dxa"/>
            </w:tcMar>
            <w:hideMark/>
          </w:tcPr>
          <w:p w:rsidR="00000000" w:rsidRDefault="0061405A">
            <w:pPr>
              <w:rPr>
                <w:rFonts w:eastAsia="Times New Roman"/>
              </w:rPr>
            </w:pPr>
            <w:r>
              <w:rPr>
                <w:rFonts w:eastAsia="Times New Roman"/>
                <w:color w:val="000000"/>
                <w:sz w:val="20"/>
                <w:szCs w:val="20"/>
              </w:rPr>
              <w:t>ITEM 12.</w:t>
            </w:r>
          </w:p>
        </w:tc>
        <w:tc>
          <w:tcPr>
            <w:tcW w:w="0" w:type="auto"/>
            <w:gridSpan w:val="3"/>
            <w:tcMar>
              <w:top w:w="30" w:type="dxa"/>
              <w:left w:w="20" w:type="dxa"/>
              <w:bottom w:w="30" w:type="dxa"/>
              <w:right w:w="20" w:type="dxa"/>
            </w:tcMar>
            <w:vAlign w:val="bottom"/>
            <w:hideMark/>
          </w:tcPr>
          <w:p w:rsidR="00000000" w:rsidRDefault="0061405A">
            <w:pPr>
              <w:divId w:val="216166785"/>
              <w:rPr>
                <w:rFonts w:eastAsia="Times New Roman"/>
              </w:rPr>
            </w:pPr>
            <w:hyperlink w:anchor="i8677812f4896441ea668decd267056f9_187" w:history="1">
              <w:r>
                <w:rPr>
                  <w:rStyle w:val="a3"/>
                  <w:rFonts w:eastAsia="Times New Roman"/>
                  <w:sz w:val="20"/>
                  <w:szCs w:val="20"/>
                </w:rPr>
                <w:t>Security Ownership of Certain Beneficial Owners and Management and Related Stockholder Matters</w:t>
              </w:r>
            </w:hyperlink>
          </w:p>
        </w:tc>
        <w:tc>
          <w:tcPr>
            <w:tcW w:w="0" w:type="auto"/>
            <w:gridSpan w:val="3"/>
            <w:tcMar>
              <w:top w:w="30" w:type="dxa"/>
              <w:left w:w="20" w:type="dxa"/>
              <w:bottom w:w="30" w:type="dxa"/>
              <w:right w:w="20" w:type="dxa"/>
            </w:tcMar>
            <w:vAlign w:val="bottom"/>
            <w:hideMark/>
          </w:tcPr>
          <w:p w:rsidR="00000000" w:rsidRDefault="0061405A">
            <w:pPr>
              <w:jc w:val="right"/>
              <w:rPr>
                <w:rFonts w:eastAsia="Times New Roman"/>
              </w:rPr>
            </w:pPr>
            <w:hyperlink w:anchor="i8677812f4896441ea668decd267056f9_187" w:history="1">
              <w:r>
                <w:rPr>
                  <w:rStyle w:val="a3"/>
                  <w:rFonts w:eastAsia="Times New Roman"/>
                  <w:sz w:val="20"/>
                  <w:szCs w:val="20"/>
                </w:rPr>
                <w:t>77</w:t>
              </w:r>
            </w:hyperlink>
          </w:p>
        </w:tc>
      </w:tr>
      <w:tr w:rsidR="00000000">
        <w:trPr>
          <w:divId w:val="655379600"/>
        </w:trPr>
        <w:tc>
          <w:tcPr>
            <w:tcW w:w="0" w:type="auto"/>
            <w:gridSpan w:val="3"/>
            <w:tcMar>
              <w:top w:w="30" w:type="dxa"/>
              <w:left w:w="20" w:type="dxa"/>
              <w:bottom w:w="30" w:type="dxa"/>
              <w:right w:w="20" w:type="dxa"/>
            </w:tcMar>
            <w:hideMark/>
          </w:tcPr>
          <w:p w:rsidR="00000000" w:rsidRDefault="0061405A">
            <w:pPr>
              <w:rPr>
                <w:rFonts w:eastAsia="Times New Roman"/>
              </w:rPr>
            </w:pPr>
            <w:r>
              <w:rPr>
                <w:rFonts w:eastAsia="Times New Roman"/>
                <w:color w:val="000000"/>
                <w:sz w:val="20"/>
                <w:szCs w:val="20"/>
              </w:rPr>
              <w:lastRenderedPageBreak/>
              <w:t>ITEM 13.</w:t>
            </w:r>
          </w:p>
        </w:tc>
        <w:tc>
          <w:tcPr>
            <w:tcW w:w="0" w:type="auto"/>
            <w:gridSpan w:val="3"/>
            <w:tcMar>
              <w:top w:w="30" w:type="dxa"/>
              <w:left w:w="20" w:type="dxa"/>
              <w:bottom w:w="30" w:type="dxa"/>
              <w:right w:w="20" w:type="dxa"/>
            </w:tcMar>
            <w:vAlign w:val="bottom"/>
            <w:hideMark/>
          </w:tcPr>
          <w:p w:rsidR="00000000" w:rsidRDefault="0061405A">
            <w:pPr>
              <w:divId w:val="255872049"/>
              <w:rPr>
                <w:rFonts w:eastAsia="Times New Roman"/>
              </w:rPr>
            </w:pPr>
            <w:hyperlink w:anchor="i8677812f4896441ea668decd267056f9_190" w:history="1">
              <w:r>
                <w:rPr>
                  <w:rStyle w:val="a3"/>
                  <w:rFonts w:eastAsia="Times New Roman"/>
                  <w:sz w:val="20"/>
                  <w:szCs w:val="20"/>
                </w:rPr>
                <w:t xml:space="preserve">Certain Relationships </w:t>
              </w:r>
              <w:r>
                <w:rPr>
                  <w:rStyle w:val="a3"/>
                  <w:rFonts w:eastAsia="Times New Roman"/>
                  <w:sz w:val="20"/>
                  <w:szCs w:val="20"/>
                </w:rPr>
                <w:t>and Related Transactions, and Director Independence</w:t>
              </w:r>
            </w:hyperlink>
          </w:p>
        </w:tc>
        <w:tc>
          <w:tcPr>
            <w:tcW w:w="0" w:type="auto"/>
            <w:gridSpan w:val="3"/>
            <w:tcMar>
              <w:top w:w="30" w:type="dxa"/>
              <w:left w:w="20" w:type="dxa"/>
              <w:bottom w:w="30" w:type="dxa"/>
              <w:right w:w="20" w:type="dxa"/>
            </w:tcMar>
            <w:vAlign w:val="bottom"/>
            <w:hideMark/>
          </w:tcPr>
          <w:p w:rsidR="00000000" w:rsidRDefault="0061405A">
            <w:pPr>
              <w:jc w:val="right"/>
              <w:rPr>
                <w:rFonts w:eastAsia="Times New Roman"/>
              </w:rPr>
            </w:pPr>
            <w:hyperlink w:anchor="i8677812f4896441ea668decd267056f9_190" w:history="1">
              <w:r>
                <w:rPr>
                  <w:rStyle w:val="a3"/>
                  <w:rFonts w:eastAsia="Times New Roman"/>
                  <w:sz w:val="20"/>
                  <w:szCs w:val="20"/>
                </w:rPr>
                <w:t>77</w:t>
              </w:r>
            </w:hyperlink>
          </w:p>
        </w:tc>
      </w:tr>
      <w:tr w:rsidR="00000000">
        <w:trPr>
          <w:divId w:val="655379600"/>
        </w:trPr>
        <w:tc>
          <w:tcPr>
            <w:tcW w:w="0" w:type="auto"/>
            <w:gridSpan w:val="3"/>
            <w:tcMar>
              <w:top w:w="30" w:type="dxa"/>
              <w:left w:w="20" w:type="dxa"/>
              <w:bottom w:w="30" w:type="dxa"/>
              <w:right w:w="20" w:type="dxa"/>
            </w:tcMar>
            <w:hideMark/>
          </w:tcPr>
          <w:p w:rsidR="00000000" w:rsidRDefault="0061405A">
            <w:pPr>
              <w:rPr>
                <w:rFonts w:eastAsia="Times New Roman"/>
              </w:rPr>
            </w:pPr>
            <w:r>
              <w:rPr>
                <w:rFonts w:eastAsia="Times New Roman"/>
                <w:color w:val="000000"/>
                <w:sz w:val="20"/>
                <w:szCs w:val="20"/>
              </w:rPr>
              <w:t>ITEM 14.</w:t>
            </w:r>
          </w:p>
        </w:tc>
        <w:tc>
          <w:tcPr>
            <w:tcW w:w="0" w:type="auto"/>
            <w:gridSpan w:val="3"/>
            <w:tcMar>
              <w:top w:w="30" w:type="dxa"/>
              <w:left w:w="20" w:type="dxa"/>
              <w:bottom w:w="30" w:type="dxa"/>
              <w:right w:w="20" w:type="dxa"/>
            </w:tcMar>
            <w:vAlign w:val="bottom"/>
            <w:hideMark/>
          </w:tcPr>
          <w:p w:rsidR="00000000" w:rsidRDefault="0061405A">
            <w:pPr>
              <w:divId w:val="356464909"/>
              <w:rPr>
                <w:rFonts w:eastAsia="Times New Roman"/>
              </w:rPr>
            </w:pPr>
            <w:hyperlink w:anchor="i8677812f4896441ea668decd267056f9_193" w:history="1">
              <w:r>
                <w:rPr>
                  <w:rStyle w:val="a3"/>
                  <w:rFonts w:eastAsia="Times New Roman"/>
                  <w:sz w:val="20"/>
                  <w:szCs w:val="20"/>
                </w:rPr>
                <w:t>Principal Accounting Fees and Services</w:t>
              </w:r>
            </w:hyperlink>
          </w:p>
        </w:tc>
        <w:tc>
          <w:tcPr>
            <w:tcW w:w="0" w:type="auto"/>
            <w:gridSpan w:val="3"/>
            <w:tcMar>
              <w:top w:w="30" w:type="dxa"/>
              <w:left w:w="20" w:type="dxa"/>
              <w:bottom w:w="30" w:type="dxa"/>
              <w:right w:w="20" w:type="dxa"/>
            </w:tcMar>
            <w:vAlign w:val="bottom"/>
            <w:hideMark/>
          </w:tcPr>
          <w:p w:rsidR="00000000" w:rsidRDefault="0061405A">
            <w:pPr>
              <w:jc w:val="right"/>
              <w:rPr>
                <w:rFonts w:eastAsia="Times New Roman"/>
              </w:rPr>
            </w:pPr>
            <w:hyperlink w:anchor="i8677812f4896441ea668decd267056f9_193" w:history="1">
              <w:r>
                <w:rPr>
                  <w:rStyle w:val="a3"/>
                  <w:rFonts w:eastAsia="Times New Roman"/>
                  <w:sz w:val="20"/>
                  <w:szCs w:val="20"/>
                </w:rPr>
                <w:t>77</w:t>
              </w:r>
            </w:hyperlink>
          </w:p>
        </w:tc>
      </w:tr>
      <w:tr w:rsidR="00000000">
        <w:trPr>
          <w:divId w:val="655379600"/>
        </w:trPr>
        <w:tc>
          <w:tcPr>
            <w:tcW w:w="0" w:type="auto"/>
            <w:gridSpan w:val="3"/>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color w:val="000000"/>
                <w:sz w:val="20"/>
                <w:szCs w:val="20"/>
              </w:rPr>
              <w:t>PART IV</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r>
      <w:tr w:rsidR="00000000">
        <w:trPr>
          <w:divId w:val="655379600"/>
        </w:trPr>
        <w:tc>
          <w:tcPr>
            <w:tcW w:w="0" w:type="auto"/>
            <w:gridSpan w:val="3"/>
            <w:tcMar>
              <w:top w:w="30" w:type="dxa"/>
              <w:left w:w="20" w:type="dxa"/>
              <w:bottom w:w="30" w:type="dxa"/>
              <w:right w:w="20" w:type="dxa"/>
            </w:tcMar>
            <w:hideMark/>
          </w:tcPr>
          <w:p w:rsidR="00000000" w:rsidRDefault="0061405A">
            <w:pPr>
              <w:rPr>
                <w:rFonts w:eastAsia="Times New Roman"/>
              </w:rPr>
            </w:pPr>
            <w:r>
              <w:rPr>
                <w:rFonts w:eastAsia="Times New Roman"/>
                <w:color w:val="000000"/>
                <w:sz w:val="20"/>
                <w:szCs w:val="20"/>
              </w:rPr>
              <w:t>ITEM 15.</w:t>
            </w:r>
          </w:p>
        </w:tc>
        <w:tc>
          <w:tcPr>
            <w:tcW w:w="0" w:type="auto"/>
            <w:gridSpan w:val="3"/>
            <w:tcMar>
              <w:top w:w="30" w:type="dxa"/>
              <w:left w:w="20" w:type="dxa"/>
              <w:bottom w:w="30" w:type="dxa"/>
              <w:right w:w="20" w:type="dxa"/>
            </w:tcMar>
            <w:vAlign w:val="bottom"/>
            <w:hideMark/>
          </w:tcPr>
          <w:p w:rsidR="00000000" w:rsidRDefault="0061405A">
            <w:pPr>
              <w:divId w:val="1273778259"/>
              <w:rPr>
                <w:rFonts w:eastAsia="Times New Roman"/>
              </w:rPr>
            </w:pPr>
            <w:hyperlink w:anchor="i8677812f4896441ea668decd267056f9_199" w:history="1">
              <w:r>
                <w:rPr>
                  <w:rStyle w:val="a3"/>
                  <w:rFonts w:eastAsia="Times New Roman"/>
                  <w:sz w:val="20"/>
                  <w:szCs w:val="20"/>
                </w:rPr>
                <w:t>Exhibits, Financial Statement Schedules</w:t>
              </w:r>
            </w:hyperlink>
          </w:p>
        </w:tc>
        <w:tc>
          <w:tcPr>
            <w:tcW w:w="0" w:type="auto"/>
            <w:gridSpan w:val="3"/>
            <w:tcMar>
              <w:top w:w="30" w:type="dxa"/>
              <w:left w:w="20" w:type="dxa"/>
              <w:bottom w:w="30" w:type="dxa"/>
              <w:right w:w="20" w:type="dxa"/>
            </w:tcMar>
            <w:vAlign w:val="bottom"/>
            <w:hideMark/>
          </w:tcPr>
          <w:p w:rsidR="00000000" w:rsidRDefault="0061405A">
            <w:pPr>
              <w:jc w:val="right"/>
              <w:rPr>
                <w:rFonts w:eastAsia="Times New Roman"/>
              </w:rPr>
            </w:pPr>
            <w:hyperlink w:anchor="i8677812f4896441ea668decd267056f9_199" w:history="1">
              <w:r>
                <w:rPr>
                  <w:rStyle w:val="a3"/>
                  <w:rFonts w:eastAsia="Times New Roman"/>
                  <w:sz w:val="20"/>
                  <w:szCs w:val="20"/>
                </w:rPr>
                <w:t>78</w:t>
              </w:r>
            </w:hyperlink>
          </w:p>
        </w:tc>
      </w:tr>
      <w:tr w:rsidR="00000000">
        <w:trPr>
          <w:divId w:val="655379600"/>
        </w:trPr>
        <w:tc>
          <w:tcPr>
            <w:tcW w:w="0" w:type="auto"/>
            <w:gridSpan w:val="3"/>
            <w:tcMar>
              <w:top w:w="30" w:type="dxa"/>
              <w:left w:w="20" w:type="dxa"/>
              <w:bottom w:w="30" w:type="dxa"/>
              <w:right w:w="20" w:type="dxa"/>
            </w:tcMar>
            <w:hideMark/>
          </w:tcPr>
          <w:p w:rsidR="00000000" w:rsidRDefault="0061405A">
            <w:pPr>
              <w:rPr>
                <w:rFonts w:eastAsia="Times New Roman"/>
              </w:rPr>
            </w:pPr>
            <w:r>
              <w:rPr>
                <w:rFonts w:eastAsia="Times New Roman"/>
                <w:color w:val="000000"/>
                <w:sz w:val="20"/>
                <w:szCs w:val="20"/>
              </w:rPr>
              <w:t>ITEM 16.</w:t>
            </w:r>
          </w:p>
        </w:tc>
        <w:tc>
          <w:tcPr>
            <w:tcW w:w="0" w:type="auto"/>
            <w:gridSpan w:val="3"/>
            <w:tcMar>
              <w:top w:w="30" w:type="dxa"/>
              <w:left w:w="20" w:type="dxa"/>
              <w:bottom w:w="30" w:type="dxa"/>
              <w:right w:w="20" w:type="dxa"/>
            </w:tcMar>
            <w:vAlign w:val="bottom"/>
            <w:hideMark/>
          </w:tcPr>
          <w:p w:rsidR="00000000" w:rsidRDefault="0061405A">
            <w:pPr>
              <w:divId w:val="844252006"/>
              <w:rPr>
                <w:rFonts w:eastAsia="Times New Roman"/>
              </w:rPr>
            </w:pPr>
            <w:hyperlink w:anchor="i8677812f4896441ea668decd267056f9_205" w:history="1">
              <w:r>
                <w:rPr>
                  <w:rStyle w:val="a3"/>
                  <w:rFonts w:eastAsia="Times New Roman"/>
                  <w:sz w:val="20"/>
                  <w:szCs w:val="20"/>
                </w:rPr>
                <w:t>Form 10-K Summary</w:t>
              </w:r>
            </w:hyperlink>
          </w:p>
        </w:tc>
        <w:tc>
          <w:tcPr>
            <w:tcW w:w="0" w:type="auto"/>
            <w:gridSpan w:val="3"/>
            <w:tcMar>
              <w:top w:w="30" w:type="dxa"/>
              <w:left w:w="20" w:type="dxa"/>
              <w:bottom w:w="30" w:type="dxa"/>
              <w:right w:w="20" w:type="dxa"/>
            </w:tcMar>
            <w:vAlign w:val="bottom"/>
            <w:hideMark/>
          </w:tcPr>
          <w:p w:rsidR="00000000" w:rsidRDefault="0061405A">
            <w:pPr>
              <w:jc w:val="right"/>
              <w:rPr>
                <w:rFonts w:eastAsia="Times New Roman"/>
              </w:rPr>
            </w:pPr>
            <w:hyperlink w:anchor="i8677812f4896441ea668decd267056f9_205" w:history="1">
              <w:r>
                <w:rPr>
                  <w:rStyle w:val="a3"/>
                  <w:rFonts w:eastAsia="Times New Roman"/>
                  <w:sz w:val="20"/>
                  <w:szCs w:val="20"/>
                </w:rPr>
                <w:t>82</w:t>
              </w:r>
            </w:hyperlink>
          </w:p>
        </w:tc>
      </w:tr>
      <w:tr w:rsidR="00000000">
        <w:trPr>
          <w:divId w:val="655379600"/>
        </w:trPr>
        <w:tc>
          <w:tcPr>
            <w:tcW w:w="0" w:type="auto"/>
            <w:gridSpan w:val="3"/>
            <w:tcMar>
              <w:top w:w="30" w:type="dxa"/>
              <w:left w:w="20" w:type="dxa"/>
              <w:bottom w:w="30" w:type="dxa"/>
              <w:right w:w="20" w:type="dxa"/>
            </w:tcMar>
            <w:hideMark/>
          </w:tcPr>
          <w:p w:rsidR="00000000" w:rsidRDefault="0061405A">
            <w:pPr>
              <w:rPr>
                <w:rFonts w:eastAsia="Times New Roman"/>
              </w:rPr>
            </w:pPr>
            <w:r>
              <w:rPr>
                <w:rFonts w:eastAsia="Times New Roman"/>
                <w:color w:val="000000"/>
                <w:sz w:val="20"/>
                <w:szCs w:val="20"/>
              </w:rPr>
              <w:t>SIGNATURES</w:t>
            </w:r>
          </w:p>
        </w:tc>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655379600"/>
        </w:trPr>
        <w:tc>
          <w:tcPr>
            <w:tcW w:w="0" w:type="auto"/>
            <w:gridSpan w:val="3"/>
            <w:tcMar>
              <w:top w:w="30" w:type="dxa"/>
              <w:left w:w="20" w:type="dxa"/>
              <w:bottom w:w="30" w:type="dxa"/>
              <w:right w:w="20" w:type="dxa"/>
            </w:tcMar>
            <w:hideMark/>
          </w:tcPr>
          <w:p w:rsidR="00000000" w:rsidRDefault="0061405A">
            <w:pPr>
              <w:rPr>
                <w:rFonts w:eastAsia="Times New Roman"/>
              </w:rPr>
            </w:pPr>
            <w:r>
              <w:rPr>
                <w:rFonts w:eastAsia="Times New Roman"/>
                <w:color w:val="000000"/>
                <w:sz w:val="20"/>
                <w:szCs w:val="20"/>
              </w:rPr>
              <w:t>EXHIBITS</w:t>
            </w:r>
          </w:p>
        </w:tc>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r>
    </w:tbl>
    <w:p w:rsidR="00000000" w:rsidRDefault="0061405A">
      <w:pPr>
        <w:ind w:firstLine="720"/>
        <w:jc w:val="both"/>
        <w:divId w:val="1312371331"/>
        <w:rPr>
          <w:rFonts w:eastAsia="Times New Roman"/>
        </w:rPr>
      </w:pPr>
    </w:p>
    <w:p w:rsidR="00000000" w:rsidRDefault="0061405A">
      <w:pPr>
        <w:ind w:firstLine="360"/>
        <w:jc w:val="both"/>
        <w:divId w:val="1461918830"/>
        <w:rPr>
          <w:rFonts w:eastAsia="Times New Roman"/>
        </w:rPr>
      </w:pPr>
    </w:p>
    <w:p w:rsidR="00000000" w:rsidRDefault="0061405A">
      <w:pPr>
        <w:divId w:val="1078401747"/>
        <w:rPr>
          <w:rFonts w:eastAsia="Times New Roman"/>
        </w:rPr>
      </w:pPr>
    </w:p>
    <w:p w:rsidR="00000000" w:rsidRDefault="0061405A">
      <w:pPr>
        <w:jc w:val="center"/>
        <w:divId w:val="685404717"/>
        <w:rPr>
          <w:rFonts w:eastAsia="Times New Roman"/>
        </w:rPr>
      </w:pPr>
      <w:r>
        <w:rPr>
          <w:rFonts w:eastAsia="Times New Roman"/>
          <w:color w:val="000000"/>
          <w:sz w:val="20"/>
          <w:szCs w:val="20"/>
        </w:rPr>
        <w:t>i</w:t>
      </w:r>
    </w:p>
    <w:p w:rsidR="00000000" w:rsidRDefault="0061405A">
      <w:pPr>
        <w:jc w:val="center"/>
        <w:divId w:val="685404717"/>
        <w:rPr>
          <w:rFonts w:eastAsia="Times New Roman"/>
        </w:rPr>
      </w:pPr>
    </w:p>
    <w:p w:rsidR="00000000" w:rsidRDefault="0061405A">
      <w:pPr>
        <w:rPr>
          <w:rFonts w:eastAsia="Times New Roman"/>
        </w:rPr>
      </w:pPr>
      <w:r>
        <w:rPr>
          <w:rFonts w:eastAsia="Times New Roman"/>
        </w:rPr>
        <w:pict>
          <v:rect id="_x0000_i1027" style="width:0;height:1.5pt" o:hralign="center" o:hrstd="t" o:hr="t" fillcolor="#a0a0a0" stroked="f"/>
        </w:pict>
      </w:r>
    </w:p>
    <w:p w:rsidR="00000000" w:rsidRDefault="0061405A">
      <w:pPr>
        <w:divId w:val="1902446374"/>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center"/>
        <w:divId w:val="1506170316"/>
        <w:rPr>
          <w:rFonts w:eastAsia="Times New Roman"/>
        </w:rPr>
      </w:pPr>
      <w:r>
        <w:rPr>
          <w:rFonts w:eastAsia="Times New Roman"/>
          <w:b/>
          <w:bCs/>
          <w:color w:val="000000"/>
          <w:sz w:val="20"/>
          <w:szCs w:val="20"/>
        </w:rPr>
        <w:t>PART I</w:t>
      </w:r>
    </w:p>
    <w:p w:rsidR="00000000" w:rsidRDefault="0061405A">
      <w:pPr>
        <w:divId w:val="318923872"/>
        <w:rPr>
          <w:rFonts w:eastAsia="Times New Roman"/>
        </w:rPr>
      </w:pPr>
      <w:r>
        <w:rPr>
          <w:rFonts w:eastAsia="Times New Roman"/>
          <w:b/>
          <w:bCs/>
          <w:color w:val="000000"/>
          <w:sz w:val="20"/>
          <w:szCs w:val="20"/>
        </w:rPr>
        <w:t>ITEM 1.    Business</w:t>
      </w:r>
    </w:p>
    <w:p w:rsidR="00000000" w:rsidRDefault="0061405A">
      <w:pPr>
        <w:jc w:val="both"/>
        <w:divId w:val="1651787223"/>
        <w:rPr>
          <w:rFonts w:eastAsia="Times New Roman"/>
        </w:rPr>
      </w:pPr>
      <w:r>
        <w:rPr>
          <w:rFonts w:eastAsia="Times New Roman"/>
          <w:b/>
          <w:bCs/>
          <w:color w:val="000000"/>
          <w:sz w:val="20"/>
          <w:szCs w:val="20"/>
        </w:rPr>
        <w:t>General</w:t>
      </w:r>
    </w:p>
    <w:p w:rsidR="00000000" w:rsidRDefault="0061405A">
      <w:pPr>
        <w:jc w:val="both"/>
        <w:divId w:val="1891304508"/>
        <w:rPr>
          <w:rFonts w:eastAsia="Times New Roman"/>
        </w:rPr>
      </w:pPr>
      <w:r>
        <w:rPr>
          <w:rFonts w:eastAsia="Times New Roman"/>
          <w:color w:val="000000"/>
          <w:sz w:val="20"/>
          <w:szCs w:val="20"/>
        </w:rPr>
        <w:t>Noodles &amp; Company is a restaurant concept offering lunch and dinner within the fast-casual se</w:t>
      </w:r>
      <w:r>
        <w:rPr>
          <w:rFonts w:eastAsia="Times New Roman"/>
          <w:color w:val="000000"/>
          <w:sz w:val="20"/>
          <w:szCs w:val="20"/>
        </w:rPr>
        <w:t>gment of the restaurant industry. We opened our first location in Denver, Colorado in 1995, offering noodle and pasta dishes, staples of many different cuisines, with the goal of delivering fresh ingredients and flavors from around the world under one roof</w:t>
      </w:r>
      <w:r>
        <w:rPr>
          <w:rFonts w:eastAsia="Times New Roman"/>
          <w:color w:val="000000"/>
          <w:sz w:val="20"/>
          <w:szCs w:val="20"/>
        </w:rPr>
        <w:t>. Today, our globally-inspired menu includes a wide variety of high quality, cooked-to-order dishes, including noodles and pasta, soups, salads and appetizers. We believe that we offer our customers value, with per person spend of $10.12 for the fiscal yea</w:t>
      </w:r>
      <w:r>
        <w:rPr>
          <w:rFonts w:eastAsia="Times New Roman"/>
          <w:color w:val="000000"/>
          <w:sz w:val="20"/>
          <w:szCs w:val="20"/>
        </w:rPr>
        <w:t>r ended December 29, 2020.</w:t>
      </w:r>
    </w:p>
    <w:p w:rsidR="00000000" w:rsidRDefault="0061405A">
      <w:pPr>
        <w:jc w:val="both"/>
        <w:divId w:val="2091535668"/>
        <w:rPr>
          <w:rFonts w:eastAsia="Times New Roman"/>
        </w:rPr>
      </w:pPr>
      <w:r>
        <w:rPr>
          <w:rFonts w:eastAsia="Times New Roman"/>
          <w:color w:val="000000"/>
          <w:sz w:val="20"/>
          <w:szCs w:val="20"/>
        </w:rPr>
        <w:t>We offer more t</w:t>
      </w:r>
      <w:r>
        <w:rPr>
          <w:rFonts w:eastAsia="Times New Roman"/>
          <w:color w:val="000000"/>
          <w:sz w:val="20"/>
          <w:szCs w:val="20"/>
          <w:shd w:val="clear" w:color="auto" w:fill="FFFFFF"/>
        </w:rPr>
        <w:t xml:space="preserve">han 20 </w:t>
      </w:r>
      <w:r>
        <w:rPr>
          <w:rFonts w:eastAsia="Times New Roman"/>
          <w:color w:val="000000"/>
          <w:sz w:val="20"/>
          <w:szCs w:val="20"/>
        </w:rPr>
        <w:t xml:space="preserve">globally-inspired dishes together on a single menu that can be enjoyed inside our restaurants, taken to-go, </w:t>
      </w:r>
      <w:r>
        <w:rPr>
          <w:rFonts w:eastAsia="Times New Roman"/>
          <w:color w:val="000000"/>
          <w:sz w:val="20"/>
          <w:szCs w:val="20"/>
          <w:shd w:val="clear" w:color="auto" w:fill="FFFFFF"/>
        </w:rPr>
        <w:t>or deliver</w:t>
      </w:r>
      <w:r>
        <w:rPr>
          <w:rFonts w:eastAsia="Times New Roman"/>
          <w:color w:val="000000"/>
          <w:sz w:val="20"/>
          <w:szCs w:val="20"/>
        </w:rPr>
        <w:t xml:space="preserve">ed to our customers. We believe we will benefit from trends in consumer preferences such </w:t>
      </w:r>
      <w:r>
        <w:rPr>
          <w:rFonts w:eastAsia="Times New Roman"/>
          <w:color w:val="000000"/>
          <w:sz w:val="20"/>
          <w:szCs w:val="20"/>
        </w:rPr>
        <w:t>as the increasing desire for convenience and to engage with brands digitally, as well as the broader demand for international cuisines. At many restaurants, customers are limited to a particular ethnic cuisine or type of dish, such as a sandwich, burrito o</w:t>
      </w:r>
      <w:r>
        <w:rPr>
          <w:rFonts w:eastAsia="Times New Roman"/>
          <w:color w:val="000000"/>
          <w:sz w:val="20"/>
          <w:szCs w:val="20"/>
        </w:rPr>
        <w:t>r burger. At Noodles &amp; Company, we aim to eliminate the “veto vote” by satisfying the preferences of a wide range of customers, whether a family or parent with kids, a group of coworkers, an individual or a large party.</w:t>
      </w:r>
    </w:p>
    <w:p w:rsidR="00000000" w:rsidRDefault="0061405A">
      <w:pPr>
        <w:jc w:val="both"/>
        <w:rPr>
          <w:rFonts w:eastAsia="Times New Roman"/>
        </w:rPr>
      </w:pPr>
      <w:r>
        <w:rPr>
          <w:rFonts w:eastAsia="Times New Roman"/>
          <w:color w:val="000000"/>
          <w:sz w:val="20"/>
          <w:szCs w:val="20"/>
        </w:rPr>
        <w:t>Our menu is well suited for off-prem</w:t>
      </w:r>
      <w:r>
        <w:rPr>
          <w:rFonts w:eastAsia="Times New Roman"/>
          <w:color w:val="000000"/>
          <w:sz w:val="20"/>
          <w:szCs w:val="20"/>
        </w:rPr>
        <w:t>ise dining occasions in which customers order at our restaurant or online but then eat their meal from the comfort of their home or office. Our menu items travel particularly well and that our digital capabilities as well as the breadth of our menu positio</w:t>
      </w:r>
      <w:r>
        <w:rPr>
          <w:rFonts w:eastAsia="Times New Roman"/>
          <w:color w:val="000000"/>
          <w:sz w:val="20"/>
          <w:szCs w:val="20"/>
        </w:rPr>
        <w:t>n the brand well for changing consumer trends around convenience. We also believe that our globally-inspired menu, focused on noodle and pasta dishes, differentiates us from other restaurants. We believe our attributes—global flavors, variety, dishes prepa</w:t>
      </w:r>
      <w:r>
        <w:rPr>
          <w:rFonts w:eastAsia="Times New Roman"/>
          <w:color w:val="000000"/>
          <w:sz w:val="20"/>
          <w:szCs w:val="20"/>
        </w:rPr>
        <w:t>red-to-order and fast service—allow us to compete against multiple segments throughout the restaurant industry and provide us a larger addressable market for lunch and dinner than competitors who focus on a single cuisine. We strive to provide a pleasant d</w:t>
      </w:r>
      <w:r>
        <w:rPr>
          <w:rFonts w:eastAsia="Times New Roman"/>
          <w:color w:val="000000"/>
          <w:sz w:val="20"/>
          <w:szCs w:val="20"/>
        </w:rPr>
        <w:t xml:space="preserve">ining, pick-up or delivery experience by quickly preparing fresh food with friendly service at a price point we believe is attractive to our customers. </w:t>
      </w:r>
    </w:p>
    <w:p w:rsidR="00000000" w:rsidRDefault="0061405A">
      <w:pPr>
        <w:jc w:val="both"/>
        <w:rPr>
          <w:rFonts w:eastAsia="Times New Roman"/>
        </w:rPr>
      </w:pPr>
    </w:p>
    <w:p w:rsidR="00000000" w:rsidRDefault="0061405A">
      <w:pPr>
        <w:jc w:val="both"/>
        <w:divId w:val="1859274297"/>
        <w:rPr>
          <w:rFonts w:eastAsia="Times New Roman"/>
        </w:rPr>
      </w:pPr>
      <w:r>
        <w:rPr>
          <w:rFonts w:eastAsia="Times New Roman"/>
          <w:color w:val="000000"/>
          <w:sz w:val="20"/>
          <w:szCs w:val="20"/>
        </w:rPr>
        <w:t>Noodles &amp; Company is a Delaware corporation that was organized in 2002. Noodles &amp; Company and its sub</w:t>
      </w:r>
      <w:r>
        <w:rPr>
          <w:rFonts w:eastAsia="Times New Roman"/>
          <w:color w:val="000000"/>
          <w:sz w:val="20"/>
          <w:szCs w:val="20"/>
        </w:rPr>
        <w:t xml:space="preserve">sidiaries are sometimes referred to as “we,” “us,” “our,” and the “Company” in this report. We refer to our Class A Common Stock, par value $0.01 per share, as our “common stock.” </w:t>
      </w:r>
    </w:p>
    <w:p w:rsidR="00000000" w:rsidRDefault="0061405A">
      <w:pPr>
        <w:jc w:val="both"/>
        <w:divId w:val="461927117"/>
        <w:rPr>
          <w:rFonts w:eastAsia="Times New Roman"/>
        </w:rPr>
      </w:pPr>
      <w:r>
        <w:rPr>
          <w:rFonts w:eastAsia="Times New Roman"/>
          <w:b/>
          <w:bCs/>
          <w:color w:val="000000"/>
          <w:sz w:val="20"/>
          <w:szCs w:val="20"/>
        </w:rPr>
        <w:t>Our Response to COVID-19</w:t>
      </w:r>
    </w:p>
    <w:p w:rsidR="00000000" w:rsidRDefault="0061405A">
      <w:pPr>
        <w:jc w:val="both"/>
        <w:divId w:val="1104302024"/>
        <w:rPr>
          <w:rFonts w:eastAsia="Times New Roman"/>
        </w:rPr>
      </w:pPr>
      <w:r>
        <w:rPr>
          <w:rFonts w:eastAsia="Times New Roman"/>
          <w:color w:val="000000"/>
          <w:sz w:val="20"/>
          <w:szCs w:val="20"/>
          <w:shd w:val="clear" w:color="auto" w:fill="FFFFFF"/>
        </w:rPr>
        <w:lastRenderedPageBreak/>
        <w:t xml:space="preserve">The onset of the </w:t>
      </w:r>
      <w:r>
        <w:rPr>
          <w:rFonts w:eastAsia="Times New Roman"/>
          <w:color w:val="000000"/>
          <w:sz w:val="20"/>
          <w:szCs w:val="20"/>
        </w:rPr>
        <w:t>novel coronavirus outbreak, known</w:t>
      </w:r>
      <w:r>
        <w:rPr>
          <w:rFonts w:eastAsia="Times New Roman"/>
          <w:color w:val="000000"/>
          <w:sz w:val="20"/>
          <w:szCs w:val="20"/>
        </w:rPr>
        <w:t xml:space="preserve"> as the global pandemic COVID-19 (“COVID-19 pandemic”)</w:t>
      </w:r>
      <w:r>
        <w:rPr>
          <w:rFonts w:eastAsia="Times New Roman"/>
          <w:color w:val="000000"/>
          <w:sz w:val="20"/>
          <w:szCs w:val="20"/>
          <w:shd w:val="clear" w:color="auto" w:fill="FFFFFF"/>
        </w:rPr>
        <w:t xml:space="preserve"> resulted in significant disruption to the restaurant industry and adversely affected our business. The greatest impact to our sales and overall financial results was during the initial stages of the pa</w:t>
      </w:r>
      <w:r>
        <w:rPr>
          <w:rFonts w:eastAsia="Times New Roman"/>
          <w:color w:val="000000"/>
          <w:sz w:val="20"/>
          <w:szCs w:val="20"/>
          <w:shd w:val="clear" w:color="auto" w:fill="FFFFFF"/>
        </w:rPr>
        <w:t>ndemic, beginning the third week of March 2020 through the end of May 2020. During this period, we temporarily closed nearly all of our dining rooms and migrated to a nearly entire off-premise model, driven by local government imposed restrictions in areas</w:t>
      </w:r>
      <w:r>
        <w:rPr>
          <w:rFonts w:eastAsia="Times New Roman"/>
          <w:color w:val="000000"/>
          <w:sz w:val="20"/>
          <w:szCs w:val="20"/>
          <w:shd w:val="clear" w:color="auto" w:fill="FFFFFF"/>
        </w:rPr>
        <w:t xml:space="preserve"> where we operate our restaurants.</w:t>
      </w:r>
      <w:r>
        <w:rPr>
          <w:rFonts w:eastAsia="Times New Roman"/>
          <w:color w:val="000000"/>
          <w:sz w:val="20"/>
          <w:szCs w:val="20"/>
        </w:rPr>
        <w:t xml:space="preserve"> Since the initial disruption, we have seen sequential improvement in our financial performance. While the second half of the year included several heightened periods of hospitalizations and infection rates, particularly d</w:t>
      </w:r>
      <w:r>
        <w:rPr>
          <w:rFonts w:eastAsia="Times New Roman"/>
          <w:color w:val="000000"/>
          <w:sz w:val="20"/>
          <w:szCs w:val="20"/>
        </w:rPr>
        <w:t>uring the fourth quarter, the financial impact to our business was not as severe as the initial stages of the pandemic.</w:t>
      </w:r>
    </w:p>
    <w:p w:rsidR="00000000" w:rsidRDefault="0061405A">
      <w:pPr>
        <w:jc w:val="both"/>
        <w:divId w:val="1413887988"/>
        <w:rPr>
          <w:rFonts w:eastAsia="Times New Roman"/>
        </w:rPr>
      </w:pPr>
      <w:r>
        <w:rPr>
          <w:rFonts w:eastAsia="Times New Roman"/>
          <w:color w:val="000000"/>
          <w:sz w:val="20"/>
          <w:szCs w:val="20"/>
        </w:rPr>
        <w:t>In response to the ongoing COVID-19 pandemic, we did the following:</w:t>
      </w:r>
    </w:p>
    <w:p w:rsidR="00000000" w:rsidRDefault="0061405A">
      <w:pPr>
        <w:ind w:hanging="360"/>
        <w:jc w:val="both"/>
        <w:rPr>
          <w:rFonts w:eastAsia="Times New Roman"/>
        </w:rPr>
      </w:pPr>
      <w:r>
        <w:rPr>
          <w:rFonts w:eastAsia="Times New Roman"/>
          <w:color w:val="000000"/>
          <w:sz w:val="20"/>
          <w:szCs w:val="20"/>
        </w:rPr>
        <w:t>•</w:t>
      </w:r>
      <w:r>
        <w:rPr>
          <w:rFonts w:eastAsia="Times New Roman"/>
          <w:color w:val="000000"/>
          <w:sz w:val="20"/>
          <w:szCs w:val="20"/>
        </w:rPr>
        <w:t>Placed further emphasis on our already in place off-premise measures, including:</w:t>
      </w:r>
    </w:p>
    <w:p w:rsidR="00000000" w:rsidRDefault="0061405A">
      <w:pPr>
        <w:ind w:hanging="360"/>
        <w:jc w:val="both"/>
        <w:rPr>
          <w:rFonts w:eastAsia="Times New Roman"/>
        </w:rPr>
      </w:pPr>
      <w:r>
        <w:rPr>
          <w:rFonts w:eastAsia="Times New Roman"/>
          <w:color w:val="000000"/>
          <w:sz w:val="20"/>
          <w:szCs w:val="20"/>
        </w:rPr>
        <w:t>◦</w:t>
      </w:r>
      <w:r>
        <w:rPr>
          <w:rFonts w:eastAsia="Times New Roman"/>
          <w:color w:val="000000"/>
          <w:sz w:val="20"/>
          <w:szCs w:val="20"/>
        </w:rPr>
        <w:t xml:space="preserve">Implementing direct delivery nationwide through the Noodles app and website; </w:t>
      </w:r>
    </w:p>
    <w:p w:rsidR="00000000" w:rsidRDefault="0061405A">
      <w:pPr>
        <w:ind w:hanging="360"/>
        <w:jc w:val="both"/>
        <w:rPr>
          <w:rFonts w:eastAsia="Times New Roman"/>
        </w:rPr>
      </w:pPr>
      <w:r>
        <w:rPr>
          <w:rFonts w:eastAsia="Times New Roman"/>
          <w:color w:val="000000"/>
          <w:sz w:val="20"/>
          <w:szCs w:val="20"/>
        </w:rPr>
        <w:t>◦</w:t>
      </w:r>
      <w:r>
        <w:rPr>
          <w:rFonts w:eastAsia="Times New Roman"/>
          <w:color w:val="000000"/>
          <w:sz w:val="20"/>
          <w:szCs w:val="20"/>
        </w:rPr>
        <w:t>Expanding our third-party delivery service; and</w:t>
      </w:r>
    </w:p>
    <w:p w:rsidR="00000000" w:rsidRDefault="0061405A">
      <w:pPr>
        <w:ind w:hanging="360"/>
        <w:jc w:val="both"/>
        <w:rPr>
          <w:rFonts w:eastAsia="Times New Roman"/>
        </w:rPr>
      </w:pPr>
      <w:r>
        <w:rPr>
          <w:rFonts w:eastAsia="Times New Roman"/>
          <w:color w:val="000000"/>
          <w:sz w:val="20"/>
          <w:szCs w:val="20"/>
        </w:rPr>
        <w:t>◦</w:t>
      </w:r>
      <w:r>
        <w:rPr>
          <w:rFonts w:eastAsia="Times New Roman"/>
          <w:color w:val="000000"/>
          <w:sz w:val="20"/>
          <w:szCs w:val="20"/>
        </w:rPr>
        <w:t>Launching curbside delivery at all of our restaurants</w:t>
      </w:r>
    </w:p>
    <w:p w:rsidR="00000000" w:rsidRDefault="0061405A">
      <w:pPr>
        <w:ind w:hanging="360"/>
        <w:jc w:val="both"/>
        <w:rPr>
          <w:rFonts w:eastAsia="Times New Roman"/>
        </w:rPr>
      </w:pPr>
      <w:r>
        <w:rPr>
          <w:rFonts w:eastAsia="Times New Roman"/>
          <w:color w:val="000000"/>
          <w:sz w:val="20"/>
          <w:szCs w:val="20"/>
        </w:rPr>
        <w:t>•Negotiated a bank amendment for covenant relief and other liquidity flexibility;</w:t>
      </w:r>
    </w:p>
    <w:p w:rsidR="00000000" w:rsidRDefault="0061405A">
      <w:pPr>
        <w:ind w:hanging="360"/>
        <w:jc w:val="both"/>
        <w:rPr>
          <w:rFonts w:eastAsia="Times New Roman"/>
        </w:rPr>
      </w:pPr>
      <w:r>
        <w:rPr>
          <w:rFonts w:eastAsia="Times New Roman"/>
          <w:color w:val="000000"/>
          <w:sz w:val="20"/>
          <w:szCs w:val="20"/>
        </w:rPr>
        <w:t>•Implemented temporary salary reductions and furloughs at our support center and reductions in force throughout the orga</w:t>
      </w:r>
      <w:r>
        <w:rPr>
          <w:rFonts w:eastAsia="Times New Roman"/>
          <w:color w:val="000000"/>
          <w:sz w:val="20"/>
          <w:szCs w:val="20"/>
        </w:rPr>
        <w:t>nization;</w:t>
      </w:r>
    </w:p>
    <w:p w:rsidR="00000000" w:rsidRDefault="0061405A">
      <w:pPr>
        <w:ind w:hanging="360"/>
        <w:jc w:val="both"/>
        <w:rPr>
          <w:rFonts w:eastAsia="Times New Roman"/>
        </w:rPr>
      </w:pPr>
      <w:r>
        <w:rPr>
          <w:rFonts w:eastAsia="Times New Roman"/>
          <w:i/>
          <w:iCs/>
          <w:color w:val="000000"/>
          <w:sz w:val="20"/>
          <w:szCs w:val="20"/>
          <w:shd w:val="clear" w:color="auto" w:fill="FFFFFF"/>
        </w:rPr>
        <w:t>•</w:t>
      </w:r>
      <w:r>
        <w:rPr>
          <w:rFonts w:eastAsia="Times New Roman"/>
          <w:color w:val="000000"/>
          <w:sz w:val="20"/>
          <w:szCs w:val="20"/>
        </w:rPr>
        <w:t>Closed nearly all of our dining rooms beginning the third week of March 2020 through May 2020, limiting our service to off-premise only. We began re-opening dining rooms in May 2020 as a result of reduced restrictions by local governments. Howev</w:t>
      </w:r>
      <w:r>
        <w:rPr>
          <w:rFonts w:eastAsia="Times New Roman"/>
          <w:color w:val="000000"/>
          <w:sz w:val="20"/>
          <w:szCs w:val="20"/>
        </w:rPr>
        <w:t xml:space="preserve">er, during the fourth quarter, </w:t>
      </w:r>
      <w:r>
        <w:rPr>
          <w:rFonts w:eastAsia="Times New Roman"/>
          <w:color w:val="000000"/>
          <w:sz w:val="20"/>
          <w:szCs w:val="20"/>
          <w:shd w:val="clear" w:color="auto" w:fill="FFFFFF"/>
        </w:rPr>
        <w:t xml:space="preserve">our business was further impacted due to a rise in hospitalizations and </w:t>
      </w:r>
    </w:p>
    <w:p w:rsidR="00000000" w:rsidRDefault="0061405A">
      <w:pPr>
        <w:ind w:firstLine="720"/>
        <w:jc w:val="center"/>
        <w:divId w:val="565533386"/>
        <w:rPr>
          <w:rFonts w:eastAsia="Times New Roman"/>
        </w:rPr>
      </w:pPr>
      <w:r>
        <w:rPr>
          <w:rFonts w:eastAsia="Times New Roman"/>
          <w:color w:val="000000"/>
          <w:sz w:val="20"/>
          <w:szCs w:val="20"/>
        </w:rPr>
        <w:t>1</w:t>
      </w:r>
    </w:p>
    <w:p w:rsidR="00000000" w:rsidRDefault="0061405A">
      <w:pPr>
        <w:rPr>
          <w:rFonts w:eastAsia="Times New Roman"/>
        </w:rPr>
      </w:pPr>
      <w:r>
        <w:rPr>
          <w:rFonts w:eastAsia="Times New Roman"/>
        </w:rPr>
        <w:pict>
          <v:rect id="_x0000_i1028" style="width:0;height:1.5pt" o:hralign="center" o:hrstd="t" o:hr="t" fillcolor="#a0a0a0" stroked="f"/>
        </w:pict>
      </w:r>
    </w:p>
    <w:p w:rsidR="00000000" w:rsidRDefault="0061405A">
      <w:pPr>
        <w:divId w:val="1522620040"/>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both"/>
        <w:rPr>
          <w:rFonts w:eastAsia="Times New Roman"/>
        </w:rPr>
      </w:pPr>
      <w:r>
        <w:rPr>
          <w:rFonts w:eastAsia="Times New Roman"/>
          <w:color w:val="000000"/>
          <w:sz w:val="20"/>
          <w:szCs w:val="20"/>
          <w:shd w:val="clear" w:color="auto" w:fill="FFFFFF"/>
        </w:rPr>
        <w:t>local restrictions and</w:t>
      </w:r>
      <w:r>
        <w:rPr>
          <w:rFonts w:eastAsia="Times New Roman"/>
          <w:color w:val="000000"/>
          <w:sz w:val="20"/>
          <w:szCs w:val="20"/>
          <w:shd w:val="clear" w:color="auto" w:fill="FFFFFF"/>
        </w:rPr>
        <w:t xml:space="preserve"> the </w:t>
      </w:r>
      <w:r>
        <w:rPr>
          <w:rFonts w:eastAsia="Times New Roman"/>
          <w:color w:val="000000"/>
          <w:sz w:val="20"/>
          <w:szCs w:val="20"/>
        </w:rPr>
        <w:t>vast majority of our dining rooms closed again. We have since reopened a majority of our dining rooms with limited capacity, and will continue to open the remaining dining rooms as appropriate.</w:t>
      </w:r>
    </w:p>
    <w:p w:rsidR="00000000" w:rsidRDefault="0061405A">
      <w:pPr>
        <w:jc w:val="both"/>
        <w:rPr>
          <w:rFonts w:eastAsia="Times New Roman"/>
        </w:rPr>
      </w:pPr>
    </w:p>
    <w:p w:rsidR="00000000" w:rsidRDefault="0061405A">
      <w:pPr>
        <w:jc w:val="both"/>
        <w:rPr>
          <w:rFonts w:eastAsia="Times New Roman"/>
        </w:rPr>
      </w:pPr>
      <w:r>
        <w:rPr>
          <w:rFonts w:eastAsia="Times New Roman"/>
          <w:color w:val="000000"/>
          <w:sz w:val="20"/>
          <w:szCs w:val="20"/>
        </w:rPr>
        <w:t>The Company continue</w:t>
      </w:r>
      <w:r>
        <w:rPr>
          <w:rFonts w:eastAsia="Times New Roman"/>
          <w:color w:val="000000"/>
          <w:sz w:val="20"/>
          <w:szCs w:val="20"/>
          <w:shd w:val="clear" w:color="auto" w:fill="FFFFFF"/>
        </w:rPr>
        <w:t>s to prioritize health and safety m</w:t>
      </w:r>
      <w:r>
        <w:rPr>
          <w:rFonts w:eastAsia="Times New Roman"/>
          <w:color w:val="000000"/>
          <w:sz w:val="20"/>
          <w:szCs w:val="20"/>
          <w:shd w:val="clear" w:color="auto" w:fill="FFFFFF"/>
        </w:rPr>
        <w:t>easures including tak</w:t>
      </w:r>
      <w:r>
        <w:rPr>
          <w:rFonts w:eastAsia="Times New Roman"/>
          <w:color w:val="000000"/>
          <w:sz w:val="20"/>
          <w:szCs w:val="20"/>
        </w:rPr>
        <w:t>ing steps to protect the health and safety of its team members and guests by doing the following:</w:t>
      </w:r>
    </w:p>
    <w:p w:rsidR="00000000" w:rsidRDefault="0061405A">
      <w:pPr>
        <w:ind w:hanging="360"/>
        <w:jc w:val="both"/>
        <w:rPr>
          <w:rFonts w:eastAsia="Times New Roman"/>
        </w:rPr>
      </w:pPr>
      <w:r>
        <w:rPr>
          <w:rFonts w:eastAsia="Times New Roman"/>
          <w:color w:val="000000"/>
          <w:sz w:val="20"/>
          <w:szCs w:val="20"/>
        </w:rPr>
        <w:t>•Increased cleaning and sanitizing protocols;</w:t>
      </w:r>
    </w:p>
    <w:p w:rsidR="00000000" w:rsidRDefault="0061405A">
      <w:pPr>
        <w:ind w:hanging="360"/>
        <w:jc w:val="both"/>
        <w:rPr>
          <w:rFonts w:eastAsia="Times New Roman"/>
        </w:rPr>
      </w:pPr>
      <w:r>
        <w:rPr>
          <w:rFonts w:eastAsia="Times New Roman"/>
          <w:color w:val="000000"/>
          <w:sz w:val="20"/>
          <w:szCs w:val="20"/>
        </w:rPr>
        <w:t>•Implemented additional training and operational manuals for its restaurant employees, as w</w:t>
      </w:r>
      <w:r>
        <w:rPr>
          <w:rFonts w:eastAsia="Times New Roman"/>
          <w:color w:val="000000"/>
          <w:sz w:val="20"/>
          <w:szCs w:val="20"/>
        </w:rPr>
        <w:t>ell as enhanced handwashing procedures;</w:t>
      </w:r>
    </w:p>
    <w:p w:rsidR="00000000" w:rsidRDefault="0061405A">
      <w:pPr>
        <w:ind w:hanging="360"/>
        <w:jc w:val="both"/>
        <w:rPr>
          <w:rFonts w:eastAsia="Times New Roman"/>
        </w:rPr>
      </w:pPr>
      <w:r>
        <w:rPr>
          <w:rFonts w:eastAsia="Times New Roman"/>
          <w:color w:val="000000"/>
          <w:sz w:val="20"/>
          <w:szCs w:val="20"/>
        </w:rPr>
        <w:t>•Installation of plexiglass at point of sale terminals;</w:t>
      </w:r>
    </w:p>
    <w:p w:rsidR="00000000" w:rsidRDefault="0061405A">
      <w:pPr>
        <w:ind w:hanging="360"/>
        <w:jc w:val="both"/>
        <w:rPr>
          <w:rFonts w:eastAsia="Times New Roman"/>
        </w:rPr>
      </w:pPr>
      <w:r>
        <w:rPr>
          <w:rFonts w:eastAsia="Times New Roman"/>
          <w:color w:val="000000"/>
          <w:sz w:val="20"/>
          <w:szCs w:val="20"/>
        </w:rPr>
        <w:t>•Requirements for wearing of masks by all team members and guests; and</w:t>
      </w:r>
    </w:p>
    <w:p w:rsidR="00000000" w:rsidRDefault="0061405A">
      <w:pPr>
        <w:ind w:hanging="360"/>
        <w:jc w:val="both"/>
        <w:rPr>
          <w:rFonts w:eastAsia="Times New Roman"/>
        </w:rPr>
      </w:pPr>
      <w:r>
        <w:rPr>
          <w:rFonts w:eastAsia="Times New Roman"/>
          <w:color w:val="000000"/>
          <w:sz w:val="20"/>
          <w:szCs w:val="20"/>
        </w:rPr>
        <w:t>•Health screening process for all team members before the start of each shift.</w:t>
      </w:r>
    </w:p>
    <w:p w:rsidR="00000000" w:rsidRDefault="0061405A">
      <w:pPr>
        <w:jc w:val="both"/>
        <w:divId w:val="803236203"/>
        <w:rPr>
          <w:rFonts w:eastAsia="Times New Roman"/>
        </w:rPr>
      </w:pPr>
    </w:p>
    <w:p w:rsidR="00000000" w:rsidRDefault="0061405A">
      <w:pPr>
        <w:jc w:val="both"/>
        <w:divId w:val="1734042709"/>
        <w:rPr>
          <w:rFonts w:eastAsia="Times New Roman"/>
        </w:rPr>
      </w:pPr>
      <w:r>
        <w:rPr>
          <w:rFonts w:eastAsia="Times New Roman"/>
          <w:b/>
          <w:bCs/>
          <w:color w:val="000000"/>
          <w:sz w:val="20"/>
          <w:szCs w:val="20"/>
        </w:rPr>
        <w:t>Our Conc</w:t>
      </w:r>
      <w:r>
        <w:rPr>
          <w:rFonts w:eastAsia="Times New Roman"/>
          <w:b/>
          <w:bCs/>
          <w:color w:val="000000"/>
          <w:sz w:val="20"/>
          <w:szCs w:val="20"/>
        </w:rPr>
        <w:t>ept and Business Strengths</w:t>
      </w:r>
    </w:p>
    <w:p w:rsidR="00000000" w:rsidRDefault="0061405A">
      <w:pPr>
        <w:jc w:val="both"/>
        <w:divId w:val="797381803"/>
        <w:rPr>
          <w:rFonts w:eastAsia="Times New Roman"/>
        </w:rPr>
      </w:pPr>
      <w:r>
        <w:rPr>
          <w:rFonts w:eastAsia="Times New Roman"/>
          <w:i/>
          <w:iCs/>
          <w:color w:val="000000"/>
          <w:sz w:val="20"/>
          <w:szCs w:val="20"/>
        </w:rPr>
        <w:t>Convenience</w:t>
      </w:r>
      <w:r>
        <w:rPr>
          <w:rFonts w:eastAsia="Times New Roman"/>
          <w:color w:val="000000"/>
          <w:sz w:val="20"/>
          <w:szCs w:val="20"/>
        </w:rPr>
        <w:t>. Our customers experience the Noodles brand through our company-owned and franchise operated locations, through our website www.noodles.com and through our mobile app. In 2020, approximatel</w:t>
      </w:r>
      <w:r>
        <w:rPr>
          <w:rFonts w:eastAsia="Times New Roman"/>
          <w:color w:val="000000"/>
          <w:sz w:val="20"/>
          <w:szCs w:val="20"/>
          <w:shd w:val="clear" w:color="auto" w:fill="FFFFFF"/>
        </w:rPr>
        <w:t>y 57% of</w:t>
      </w:r>
      <w:r>
        <w:rPr>
          <w:rFonts w:eastAsia="Times New Roman"/>
          <w:color w:val="000000"/>
          <w:sz w:val="20"/>
          <w:szCs w:val="20"/>
        </w:rPr>
        <w:t xml:space="preserve"> our sales were deri</w:t>
      </w:r>
      <w:r>
        <w:rPr>
          <w:rFonts w:eastAsia="Times New Roman"/>
          <w:color w:val="000000"/>
          <w:sz w:val="20"/>
          <w:szCs w:val="20"/>
        </w:rPr>
        <w:t>ved from digital ordering, where guests have the opportunity to select in-restaurant quick pick-up, curbside service, or delivery to their home or office. In select restaurants, particularly new locations, we offer the added convenience of order-ahead driv</w:t>
      </w:r>
      <w:r>
        <w:rPr>
          <w:rFonts w:eastAsia="Times New Roman"/>
          <w:color w:val="000000"/>
          <w:sz w:val="20"/>
          <w:szCs w:val="20"/>
        </w:rPr>
        <w:t xml:space="preserve">e through pick-up windows. We believe that the breadth of ways that consumers can access our brand, the variety inherent in our menu, and how well our food travels is a business strength in relation to consumer trends towards convenience. </w:t>
      </w:r>
    </w:p>
    <w:p w:rsidR="00000000" w:rsidRDefault="0061405A">
      <w:pPr>
        <w:jc w:val="both"/>
        <w:divId w:val="73473556"/>
        <w:rPr>
          <w:rFonts w:eastAsia="Times New Roman"/>
        </w:rPr>
      </w:pPr>
      <w:r>
        <w:rPr>
          <w:rFonts w:eastAsia="Times New Roman"/>
          <w:i/>
          <w:iCs/>
          <w:color w:val="000000"/>
          <w:sz w:val="20"/>
          <w:szCs w:val="20"/>
        </w:rPr>
        <w:t>Variety</w:t>
      </w:r>
      <w:r>
        <w:rPr>
          <w:rFonts w:eastAsia="Times New Roman"/>
          <w:color w:val="000000"/>
          <w:sz w:val="20"/>
          <w:szCs w:val="20"/>
        </w:rPr>
        <w:t>. We have</w:t>
      </w:r>
      <w:r>
        <w:rPr>
          <w:rFonts w:eastAsia="Times New Roman"/>
          <w:color w:val="000000"/>
          <w:sz w:val="20"/>
          <w:szCs w:val="20"/>
        </w:rPr>
        <w:t xml:space="preserve"> purposefully chosen a range of healthy to indulgent dishes to satisfy multiple dietary and lifestyle preferences. Our menu encourages customers to customize their meals to meet their tastes and nutritional preferences with our selection of a variety of fr</w:t>
      </w:r>
      <w:r>
        <w:rPr>
          <w:rFonts w:eastAsia="Times New Roman"/>
          <w:color w:val="000000"/>
          <w:sz w:val="20"/>
          <w:szCs w:val="20"/>
        </w:rPr>
        <w:t>esh vegetables and nine proteins. Additionally, customers are able to customize the noodle that their dish is prepared with, including healthy options such as our zucchini noodle (“Zoodles”), cauliflower infused rigatoni (“Caulifloodles”), gluten free pipe</w:t>
      </w:r>
      <w:r>
        <w:rPr>
          <w:rFonts w:eastAsia="Times New Roman"/>
          <w:color w:val="000000"/>
          <w:sz w:val="20"/>
          <w:szCs w:val="20"/>
        </w:rPr>
        <w:t>tte noodles and the more recently launched cauliflower gnocchi.</w:t>
      </w:r>
    </w:p>
    <w:p w:rsidR="00000000" w:rsidRDefault="0061405A">
      <w:pPr>
        <w:jc w:val="both"/>
        <w:divId w:val="1815296173"/>
        <w:rPr>
          <w:rFonts w:eastAsia="Times New Roman"/>
        </w:rPr>
      </w:pPr>
      <w:r>
        <w:rPr>
          <w:rFonts w:eastAsia="Times New Roman"/>
          <w:color w:val="000000"/>
          <w:sz w:val="20"/>
          <w:szCs w:val="20"/>
        </w:rPr>
        <w:lastRenderedPageBreak/>
        <w:t>All of our dishes are cooked-to-order with fresh, high quality ingredients sourced from our carefully selected suppliers. Our commitment to the freshness of our ingredients is further demonstrated by our use of seasonal ingredients and healthy add-in optio</w:t>
      </w:r>
      <w:r>
        <w:rPr>
          <w:rFonts w:eastAsia="Times New Roman"/>
          <w:color w:val="000000"/>
          <w:sz w:val="20"/>
          <w:szCs w:val="20"/>
        </w:rPr>
        <w:t>ns such as seasoned tofu. Our culinary team strives to develop new dishes and limited time offerings to further reinforce our brand positioning and regularly provide our customers additional options. Choice has always been a great strength of the brand, an</w:t>
      </w:r>
      <w:r>
        <w:rPr>
          <w:rFonts w:eastAsia="Times New Roman"/>
          <w:color w:val="000000"/>
          <w:sz w:val="20"/>
          <w:szCs w:val="20"/>
        </w:rPr>
        <w:t>d we continue to innovate in ways that allow guests to enjoy the world flavors they know and love, as well as discover new ones with all of the benefits of healthier options. For example, the introduction of zucchini noodles in 2018 removed a major obstacl</w:t>
      </w:r>
      <w:r>
        <w:rPr>
          <w:rFonts w:eastAsia="Times New Roman"/>
          <w:color w:val="000000"/>
          <w:sz w:val="20"/>
          <w:szCs w:val="20"/>
        </w:rPr>
        <w:t xml:space="preserve">e to the brand by providing a low-carb, gluten free noodle alternative to our guests. Zoodles can be substituted into any of our dishes or enjoyed in a signature dish. We have continued to innovate around plant-based menu options, like cauliflower-infused </w:t>
      </w:r>
      <w:r>
        <w:rPr>
          <w:rFonts w:eastAsia="Times New Roman"/>
          <w:color w:val="000000"/>
          <w:sz w:val="20"/>
          <w:szCs w:val="20"/>
        </w:rPr>
        <w:t>rigatoni and more recently, cauliflower gnocchi, which is gluten-free, low-carb and provides a full serving of vegetables. This focus on culinary innovation allows us to prepare and serve high quality food, meet changing consumer trends and acquire new cus</w:t>
      </w:r>
      <w:r>
        <w:rPr>
          <w:rFonts w:eastAsia="Times New Roman"/>
          <w:color w:val="000000"/>
          <w:sz w:val="20"/>
          <w:szCs w:val="20"/>
        </w:rPr>
        <w:t>tomers.</w:t>
      </w:r>
    </w:p>
    <w:p w:rsidR="00000000" w:rsidRDefault="0061405A">
      <w:pPr>
        <w:jc w:val="both"/>
        <w:divId w:val="1843664422"/>
        <w:rPr>
          <w:rFonts w:eastAsia="Times New Roman"/>
        </w:rPr>
      </w:pPr>
      <w:r>
        <w:rPr>
          <w:rFonts w:eastAsia="Times New Roman"/>
          <w:i/>
          <w:iCs/>
          <w:color w:val="000000"/>
          <w:sz w:val="20"/>
          <w:szCs w:val="20"/>
        </w:rPr>
        <w:t>Value.</w:t>
      </w:r>
      <w:r>
        <w:rPr>
          <w:rFonts w:eastAsia="Times New Roman"/>
          <w:b/>
          <w:bCs/>
          <w:i/>
          <w:iCs/>
          <w:color w:val="000000"/>
          <w:sz w:val="20"/>
          <w:szCs w:val="20"/>
        </w:rPr>
        <w:t xml:space="preserve"> </w:t>
      </w:r>
      <w:r>
        <w:rPr>
          <w:rFonts w:eastAsia="Times New Roman"/>
          <w:color w:val="000000"/>
          <w:sz w:val="20"/>
          <w:szCs w:val="20"/>
        </w:rPr>
        <w:t xml:space="preserve">The quality of our food and the welcoming ambiance of our restaurants creates an overall customer experience that we believe is unique and differentiated. Our per person spend is competitive not only within the fast-casual segment, but also </w:t>
      </w:r>
      <w:r>
        <w:rPr>
          <w:rFonts w:eastAsia="Times New Roman"/>
          <w:color w:val="000000"/>
          <w:sz w:val="20"/>
          <w:szCs w:val="20"/>
        </w:rPr>
        <w:t>within the quick-service segment. We deliver value by combining a family-friendly dining environment with the opportunity to enjoy many dishes containing a variety of fresh ingredients. We also offer kids meals which, at a fixed low price, provide the oppo</w:t>
      </w:r>
      <w:r>
        <w:rPr>
          <w:rFonts w:eastAsia="Times New Roman"/>
          <w:color w:val="000000"/>
          <w:sz w:val="20"/>
          <w:szCs w:val="20"/>
        </w:rPr>
        <w:t>rtunity for parents to feed their children a balanced meal with sides such as broccoli, carrots, applesauce and a smaller portion of our house made rice crispy treat.</w:t>
      </w:r>
    </w:p>
    <w:p w:rsidR="00000000" w:rsidRDefault="0061405A">
      <w:pPr>
        <w:jc w:val="both"/>
        <w:divId w:val="1166432387"/>
        <w:rPr>
          <w:rFonts w:eastAsia="Times New Roman"/>
        </w:rPr>
      </w:pPr>
      <w:r>
        <w:rPr>
          <w:rFonts w:eastAsia="Times New Roman"/>
          <w:i/>
          <w:iCs/>
          <w:color w:val="000000"/>
          <w:sz w:val="20"/>
          <w:szCs w:val="20"/>
        </w:rPr>
        <w:t xml:space="preserve">Our Brand Experience. </w:t>
      </w:r>
      <w:r>
        <w:rPr>
          <w:rFonts w:eastAsia="Times New Roman"/>
          <w:color w:val="000000"/>
          <w:sz w:val="20"/>
          <w:szCs w:val="20"/>
        </w:rPr>
        <w:t>Our locations are designed individually, which we believe creates a</w:t>
      </w:r>
      <w:r>
        <w:rPr>
          <w:rFonts w:eastAsia="Times New Roman"/>
          <w:color w:val="000000"/>
          <w:sz w:val="20"/>
          <w:szCs w:val="20"/>
        </w:rPr>
        <w:t>n inviting restaurant environment. We believe the ambiance is warm and welcoming, with muted lighting and colors, comfortable seating and our own custom music mix, which is intended to make our customers feel relaxed and at home. We believe we deliver an e</w:t>
      </w:r>
      <w:r>
        <w:rPr>
          <w:rFonts w:eastAsia="Times New Roman"/>
          <w:color w:val="000000"/>
          <w:sz w:val="20"/>
          <w:szCs w:val="20"/>
        </w:rPr>
        <w:t xml:space="preserve">xceptional overall dining experience. Our customers expect not only great food from our restaurants, but also warm hospitality and attentive service. </w:t>
      </w:r>
    </w:p>
    <w:p w:rsidR="00000000" w:rsidRDefault="0061405A">
      <w:pPr>
        <w:ind w:firstLine="720"/>
        <w:jc w:val="center"/>
        <w:divId w:val="1221945040"/>
        <w:rPr>
          <w:rFonts w:eastAsia="Times New Roman"/>
        </w:rPr>
      </w:pPr>
      <w:r>
        <w:rPr>
          <w:rFonts w:eastAsia="Times New Roman"/>
          <w:color w:val="000000"/>
          <w:sz w:val="20"/>
          <w:szCs w:val="20"/>
        </w:rPr>
        <w:t>2</w:t>
      </w:r>
    </w:p>
    <w:p w:rsidR="00000000" w:rsidRDefault="0061405A">
      <w:pPr>
        <w:rPr>
          <w:rFonts w:eastAsia="Times New Roman"/>
        </w:rPr>
      </w:pPr>
      <w:r>
        <w:rPr>
          <w:rFonts w:eastAsia="Times New Roman"/>
        </w:rPr>
        <w:pict>
          <v:rect id="_x0000_i1029" style="width:0;height:1.5pt" o:hralign="center" o:hrstd="t" o:hr="t" fillcolor="#a0a0a0" stroked="f"/>
        </w:pict>
      </w:r>
    </w:p>
    <w:p w:rsidR="00000000" w:rsidRDefault="0061405A">
      <w:pPr>
        <w:divId w:val="1130974127"/>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both"/>
        <w:divId w:val="1318608489"/>
        <w:rPr>
          <w:rFonts w:eastAsia="Times New Roman"/>
        </w:rPr>
      </w:pPr>
      <w:r>
        <w:rPr>
          <w:rFonts w:eastAsia="Times New Roman"/>
          <w:color w:val="000000"/>
          <w:sz w:val="20"/>
          <w:szCs w:val="20"/>
        </w:rPr>
        <w:t>Consistent with our culture of enhanced customer service, we seek to hire individuals who will deliver prompt, attentive service</w:t>
      </w:r>
      <w:r>
        <w:rPr>
          <w:rFonts w:eastAsia="Times New Roman"/>
          <w:color w:val="000000"/>
          <w:sz w:val="20"/>
          <w:szCs w:val="20"/>
        </w:rPr>
        <w:t xml:space="preserve"> by engaging customers the moment they enter our restaurants. Our training philosophy empowers both our restaurant managers and team members, also referred to as employees, to add a personal touch when engaging with our customers. Our restaurant managers a</w:t>
      </w:r>
      <w:r>
        <w:rPr>
          <w:rFonts w:eastAsia="Times New Roman"/>
          <w:color w:val="000000"/>
          <w:sz w:val="20"/>
          <w:szCs w:val="20"/>
        </w:rPr>
        <w:t>re critical to our success, as we believe that their entrepreneurial spirit and outreach efforts build our brand in our communities.</w:t>
      </w:r>
    </w:p>
    <w:p w:rsidR="00000000" w:rsidRDefault="0061405A">
      <w:pPr>
        <w:jc w:val="both"/>
        <w:divId w:val="351147287"/>
        <w:rPr>
          <w:rFonts w:eastAsia="Times New Roman"/>
        </w:rPr>
      </w:pPr>
      <w:r>
        <w:rPr>
          <w:rFonts w:eastAsia="Times New Roman"/>
          <w:color w:val="000000"/>
          <w:sz w:val="20"/>
          <w:szCs w:val="20"/>
          <w:shd w:val="clear" w:color="auto" w:fill="FFFFFF"/>
        </w:rPr>
        <w:t>Prior to the COVID-19 pandemic approxim</w:t>
      </w:r>
      <w:r>
        <w:rPr>
          <w:rFonts w:eastAsia="Times New Roman"/>
          <w:color w:val="000000"/>
          <w:sz w:val="20"/>
          <w:szCs w:val="20"/>
        </w:rPr>
        <w:t xml:space="preserve">ately 60% of our transactions were off-premise occasions. Following the outbreak of </w:t>
      </w:r>
      <w:r>
        <w:rPr>
          <w:rFonts w:eastAsia="Times New Roman"/>
          <w:color w:val="000000"/>
          <w:sz w:val="20"/>
          <w:szCs w:val="20"/>
        </w:rPr>
        <w:t xml:space="preserve">the COVID-19 pandemic in late March, and for the remainder of 2020, nearly all of our sales were off-premise, driven by temporarily closed dining rooms in most jurisdictions and a change in consumer behavior. This led to a higher level of mobile ordering, </w:t>
      </w:r>
      <w:r>
        <w:rPr>
          <w:rFonts w:eastAsia="Times New Roman"/>
          <w:color w:val="000000"/>
          <w:sz w:val="20"/>
          <w:szCs w:val="20"/>
        </w:rPr>
        <w:t xml:space="preserve">more contactless pick-ups and an increase in our guests requesting delivery through our own channels or a third party aggregator. We were able to swiftly adapt to these changes in customer behavior due to prior investments in our off-premise channel, such </w:t>
      </w:r>
      <w:r>
        <w:rPr>
          <w:rFonts w:eastAsia="Times New Roman"/>
          <w:color w:val="000000"/>
          <w:sz w:val="20"/>
          <w:szCs w:val="20"/>
        </w:rPr>
        <w:t>as our elevated technology capabilities available to our guests through our website and mobile app, and our quick-pick up counters. Additionally, in the majority of our locations, we provide curbside pick-up available to our guests directly through our mob</w:t>
      </w:r>
      <w:r>
        <w:rPr>
          <w:rFonts w:eastAsia="Times New Roman"/>
          <w:color w:val="000000"/>
          <w:sz w:val="20"/>
          <w:szCs w:val="20"/>
        </w:rPr>
        <w:t xml:space="preserve">ile app. During 2019, we also began incorporating pick-up windows into many of our new restaurants to increase our level of convenience. </w:t>
      </w:r>
    </w:p>
    <w:p w:rsidR="00000000" w:rsidRDefault="0061405A">
      <w:pPr>
        <w:jc w:val="both"/>
        <w:divId w:val="421030206"/>
        <w:rPr>
          <w:rFonts w:eastAsia="Times New Roman"/>
        </w:rPr>
      </w:pPr>
      <w:r>
        <w:rPr>
          <w:rFonts w:eastAsia="Times New Roman"/>
          <w:b/>
          <w:bCs/>
          <w:color w:val="000000"/>
          <w:sz w:val="20"/>
          <w:szCs w:val="20"/>
        </w:rPr>
        <w:t xml:space="preserve">Our Operational Strategy </w:t>
      </w:r>
    </w:p>
    <w:p w:rsidR="00000000" w:rsidRDefault="0061405A">
      <w:pPr>
        <w:jc w:val="both"/>
        <w:divId w:val="455638374"/>
        <w:rPr>
          <w:rFonts w:eastAsia="Times New Roman"/>
        </w:rPr>
      </w:pPr>
      <w:r>
        <w:rPr>
          <w:rFonts w:eastAsia="Times New Roman"/>
          <w:color w:val="000000"/>
          <w:sz w:val="20"/>
          <w:szCs w:val="20"/>
        </w:rPr>
        <w:t>We believe our brand and globally-inspired menu resonates with consumers, and we believe our</w:t>
      </w:r>
      <w:r>
        <w:rPr>
          <w:rFonts w:eastAsia="Times New Roman"/>
          <w:color w:val="000000"/>
          <w:sz w:val="20"/>
          <w:szCs w:val="20"/>
        </w:rPr>
        <w:t xml:space="preserve"> restaurants, team members and online engagement provide customers a unique and high-quality experience. We are focused on offering customers flavorful, cooked-to-order dishes in a warm and welcoming environment at an attractive value. </w:t>
      </w:r>
    </w:p>
    <w:p w:rsidR="00000000" w:rsidRDefault="0061405A">
      <w:pPr>
        <w:jc w:val="both"/>
        <w:divId w:val="1825269890"/>
        <w:rPr>
          <w:rFonts w:eastAsia="Times New Roman"/>
        </w:rPr>
      </w:pPr>
      <w:r>
        <w:rPr>
          <w:rFonts w:eastAsia="Times New Roman"/>
          <w:i/>
          <w:iCs/>
          <w:color w:val="000000"/>
          <w:sz w:val="20"/>
          <w:szCs w:val="20"/>
        </w:rPr>
        <w:t>Restaurant initiati</w:t>
      </w:r>
      <w:r>
        <w:rPr>
          <w:rFonts w:eastAsia="Times New Roman"/>
          <w:i/>
          <w:iCs/>
          <w:color w:val="000000"/>
          <w:sz w:val="20"/>
          <w:szCs w:val="20"/>
        </w:rPr>
        <w:t xml:space="preserve">ves. </w:t>
      </w:r>
      <w:r>
        <w:rPr>
          <w:rFonts w:eastAsia="Times New Roman"/>
          <w:color w:val="000000"/>
          <w:sz w:val="20"/>
          <w:szCs w:val="20"/>
        </w:rPr>
        <w:t>Our plan to improve our performance includes the following four key strategies:</w:t>
      </w:r>
    </w:p>
    <w:p w:rsidR="00000000" w:rsidRDefault="0061405A">
      <w:pPr>
        <w:ind w:hanging="720"/>
        <w:jc w:val="both"/>
        <w:divId w:val="1834221904"/>
        <w:rPr>
          <w:rFonts w:eastAsia="Times New Roman"/>
        </w:rPr>
      </w:pPr>
      <w:r>
        <w:rPr>
          <w:rFonts w:eastAsia="Times New Roman"/>
          <w:color w:val="000000"/>
          <w:sz w:val="20"/>
          <w:szCs w:val="20"/>
        </w:rPr>
        <w:lastRenderedPageBreak/>
        <w:t>•</w:t>
      </w:r>
      <w:r>
        <w:rPr>
          <w:rFonts w:eastAsia="Times New Roman"/>
          <w:i/>
          <w:iCs/>
          <w:color w:val="000000"/>
          <w:sz w:val="20"/>
          <w:szCs w:val="20"/>
        </w:rPr>
        <w:t>Enhancing convenience for our customers</w:t>
      </w:r>
      <w:r>
        <w:rPr>
          <w:rFonts w:eastAsia="Times New Roman"/>
          <w:color w:val="000000"/>
          <w:sz w:val="20"/>
          <w:szCs w:val="20"/>
        </w:rPr>
        <w:t xml:space="preserve">. We have meaningfully improved convenience for customers during the past few years and we believe there still remains significant </w:t>
      </w:r>
      <w:r>
        <w:rPr>
          <w:rFonts w:eastAsia="Times New Roman"/>
          <w:color w:val="000000"/>
          <w:sz w:val="20"/>
          <w:szCs w:val="20"/>
        </w:rPr>
        <w:t xml:space="preserve">opportunity to increase convenience for our customers. In 2019, we relaunched our digital platform making it easier for guests to navigate our menu and customize their orders. The digital platform introduced a new and improved </w:t>
      </w:r>
      <w:r>
        <w:rPr>
          <w:rFonts w:eastAsia="Times New Roman"/>
          <w:i/>
          <w:iCs/>
          <w:color w:val="000000"/>
          <w:sz w:val="20"/>
          <w:szCs w:val="20"/>
        </w:rPr>
        <w:t>Noodles Rewards</w:t>
      </w:r>
      <w:r>
        <w:rPr>
          <w:rFonts w:eastAsia="Times New Roman"/>
          <w:color w:val="000000"/>
          <w:sz w:val="20"/>
          <w:szCs w:val="20"/>
        </w:rPr>
        <w:t xml:space="preserve"> program that </w:t>
      </w:r>
      <w:r>
        <w:rPr>
          <w:rFonts w:eastAsia="Times New Roman"/>
          <w:color w:val="000000"/>
          <w:sz w:val="20"/>
          <w:szCs w:val="20"/>
        </w:rPr>
        <w:t>incorporates points and tier-based rewards to further customer engagement. Additionally, we have reduced friction for off-premise channels by allowing our guests to have their meals delivered curbside by using features on our Noodles app or to use our quic</w:t>
      </w:r>
      <w:r>
        <w:rPr>
          <w:rFonts w:eastAsia="Times New Roman"/>
          <w:color w:val="000000"/>
          <w:sz w:val="20"/>
          <w:szCs w:val="20"/>
        </w:rPr>
        <w:t xml:space="preserve">k pick-up counter within our locations. Finally, we continue to offer an additional level of convenience for our customers through our third-party delivery program. </w:t>
      </w:r>
    </w:p>
    <w:p w:rsidR="00000000" w:rsidRDefault="0061405A">
      <w:pPr>
        <w:ind w:hanging="720"/>
        <w:jc w:val="both"/>
        <w:divId w:val="1732970439"/>
        <w:rPr>
          <w:rFonts w:eastAsia="Times New Roman"/>
        </w:rPr>
      </w:pPr>
      <w:r>
        <w:rPr>
          <w:rFonts w:eastAsia="Times New Roman"/>
          <w:color w:val="000000"/>
          <w:sz w:val="20"/>
          <w:szCs w:val="20"/>
        </w:rPr>
        <w:t>•</w:t>
      </w:r>
      <w:r>
        <w:rPr>
          <w:rFonts w:eastAsia="Times New Roman"/>
          <w:i/>
          <w:iCs/>
          <w:color w:val="000000"/>
          <w:sz w:val="20"/>
          <w:szCs w:val="20"/>
        </w:rPr>
        <w:t>Focusing on our global flavors and menu offerings.</w:t>
      </w:r>
      <w:r>
        <w:rPr>
          <w:rFonts w:eastAsia="Times New Roman"/>
          <w:color w:val="000000"/>
          <w:sz w:val="20"/>
          <w:szCs w:val="20"/>
        </w:rPr>
        <w:t xml:space="preserve"> We believe that our globally-inspired </w:t>
      </w:r>
      <w:r>
        <w:rPr>
          <w:rFonts w:eastAsia="Times New Roman"/>
          <w:color w:val="000000"/>
          <w:sz w:val="20"/>
          <w:szCs w:val="20"/>
        </w:rPr>
        <w:t>menu, focused on noodle and pasta dishes, differentiates us from other restaurants. We also believe this global variety, which includes a range of healthy to indulgent dishes that are cooked to order with fresh, high-quality ingredients, remains a competit</w:t>
      </w:r>
      <w:r>
        <w:rPr>
          <w:rFonts w:eastAsia="Times New Roman"/>
          <w:color w:val="000000"/>
          <w:sz w:val="20"/>
          <w:szCs w:val="20"/>
        </w:rPr>
        <w:t>ive strength. We believe we have significant potential to broaden awareness and drive new guests with our zucchini and cauliflower-infused dishes. Additionally, we continue to test the next evolution of our core offerings to increase the frequency of our l</w:t>
      </w:r>
      <w:r>
        <w:rPr>
          <w:rFonts w:eastAsia="Times New Roman"/>
          <w:color w:val="000000"/>
          <w:sz w:val="20"/>
          <w:szCs w:val="20"/>
        </w:rPr>
        <w:t xml:space="preserve">oyal guests. </w:t>
      </w:r>
    </w:p>
    <w:p w:rsidR="00000000" w:rsidRDefault="0061405A">
      <w:pPr>
        <w:ind w:hanging="720"/>
        <w:jc w:val="both"/>
        <w:divId w:val="1763718068"/>
        <w:rPr>
          <w:rFonts w:eastAsia="Times New Roman"/>
        </w:rPr>
      </w:pPr>
      <w:r>
        <w:rPr>
          <w:rFonts w:eastAsia="Times New Roman"/>
          <w:color w:val="000000"/>
          <w:sz w:val="20"/>
          <w:szCs w:val="20"/>
        </w:rPr>
        <w:t>•</w:t>
      </w:r>
      <w:r>
        <w:rPr>
          <w:rFonts w:eastAsia="Times New Roman"/>
          <w:i/>
          <w:iCs/>
          <w:color w:val="000000"/>
          <w:sz w:val="20"/>
          <w:szCs w:val="20"/>
        </w:rPr>
        <w:t xml:space="preserve">Improving efficiencies and unit-level margins. </w:t>
      </w:r>
      <w:r>
        <w:rPr>
          <w:rFonts w:eastAsia="Times New Roman"/>
          <w:color w:val="000000"/>
          <w:sz w:val="20"/>
          <w:szCs w:val="20"/>
        </w:rPr>
        <w:t>The increased demand for off-premise and digital sales has accelerated our ability to optimize our staffing model and vendor efficiencies. We are actively enhancing our supply chain and food pre</w:t>
      </w:r>
      <w:r>
        <w:rPr>
          <w:rFonts w:eastAsia="Times New Roman"/>
          <w:color w:val="000000"/>
          <w:sz w:val="20"/>
          <w:szCs w:val="20"/>
        </w:rPr>
        <w:t>paration procedures to reduce inbound ingredient costs and improve labor efficiency. During the year, we improved our sales-based labor model to more efficiently staff our restaurants, optimized scheduling for food preparation and reduced our labor hours f</w:t>
      </w:r>
      <w:r>
        <w:rPr>
          <w:rFonts w:eastAsia="Times New Roman"/>
          <w:color w:val="000000"/>
          <w:sz w:val="20"/>
          <w:szCs w:val="20"/>
        </w:rPr>
        <w:t>rom our Noodle Ambassadors who serve as front of house cashiers. We expect to further optimize our labor model through new equipment packages and a new kitchen design that we expect to improve throughput, food quality, off-premise ease of pick-up and provi</w:t>
      </w:r>
      <w:r>
        <w:rPr>
          <w:rFonts w:eastAsia="Times New Roman"/>
          <w:color w:val="000000"/>
          <w:sz w:val="20"/>
          <w:szCs w:val="20"/>
        </w:rPr>
        <w:t xml:space="preserve">de flexibility for future culinary innovation. In 2020, we began incorporating these changes into our new restaurants as well. </w:t>
      </w:r>
    </w:p>
    <w:p w:rsidR="00000000" w:rsidRDefault="0061405A">
      <w:pPr>
        <w:ind w:hanging="720"/>
        <w:jc w:val="both"/>
        <w:divId w:val="83768908"/>
        <w:rPr>
          <w:rFonts w:eastAsia="Times New Roman"/>
        </w:rPr>
      </w:pPr>
      <w:r>
        <w:rPr>
          <w:rFonts w:eastAsia="Times New Roman"/>
          <w:color w:val="000000"/>
          <w:sz w:val="20"/>
          <w:szCs w:val="20"/>
        </w:rPr>
        <w:t>•</w:t>
      </w:r>
      <w:r>
        <w:rPr>
          <w:rFonts w:eastAsia="Times New Roman"/>
          <w:i/>
          <w:iCs/>
          <w:color w:val="000000"/>
          <w:sz w:val="20"/>
          <w:szCs w:val="20"/>
        </w:rPr>
        <w:t>Improving manager selection, training and development of our teams</w:t>
      </w:r>
      <w:r>
        <w:rPr>
          <w:rFonts w:eastAsia="Times New Roman"/>
          <w:color w:val="000000"/>
          <w:sz w:val="20"/>
          <w:szCs w:val="20"/>
        </w:rPr>
        <w:t>. Team member retention is a critical component to our succes</w:t>
      </w:r>
      <w:r>
        <w:rPr>
          <w:rFonts w:eastAsia="Times New Roman"/>
          <w:color w:val="000000"/>
          <w:sz w:val="20"/>
          <w:szCs w:val="20"/>
        </w:rPr>
        <w:t>s. We have increased our focus on the selection, training and development of our restaurant teams by implementing certain changes to our restaurant compensation program, and more recently in 2020, expanding our benefits program. Our investment in extensive</w:t>
      </w:r>
      <w:r>
        <w:rPr>
          <w:rFonts w:eastAsia="Times New Roman"/>
          <w:color w:val="000000"/>
          <w:sz w:val="20"/>
          <w:szCs w:val="20"/>
        </w:rPr>
        <w:t xml:space="preserve"> training tools and learning management systems have improved overall training execution, improved employee turnover and encouraged career development within our teams. </w:t>
      </w:r>
    </w:p>
    <w:p w:rsidR="00000000" w:rsidRDefault="0061405A">
      <w:pPr>
        <w:ind w:firstLine="720"/>
        <w:jc w:val="center"/>
        <w:divId w:val="319578194"/>
        <w:rPr>
          <w:rFonts w:eastAsia="Times New Roman"/>
        </w:rPr>
      </w:pPr>
      <w:r>
        <w:rPr>
          <w:rFonts w:eastAsia="Times New Roman"/>
          <w:color w:val="000000"/>
          <w:sz w:val="20"/>
          <w:szCs w:val="20"/>
        </w:rPr>
        <w:t>3</w:t>
      </w:r>
    </w:p>
    <w:p w:rsidR="00000000" w:rsidRDefault="0061405A">
      <w:pPr>
        <w:rPr>
          <w:rFonts w:eastAsia="Times New Roman"/>
        </w:rPr>
      </w:pPr>
      <w:r>
        <w:rPr>
          <w:rFonts w:eastAsia="Times New Roman"/>
        </w:rPr>
        <w:pict>
          <v:rect id="_x0000_i1030" style="width:0;height:1.5pt" o:hralign="center" o:hrstd="t" o:hr="t" fillcolor="#a0a0a0" stroked="f"/>
        </w:pict>
      </w:r>
    </w:p>
    <w:p w:rsidR="00000000" w:rsidRDefault="0061405A">
      <w:pPr>
        <w:divId w:val="1781682653"/>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both"/>
        <w:divId w:val="1968851465"/>
        <w:rPr>
          <w:rFonts w:eastAsia="Times New Roman"/>
        </w:rPr>
      </w:pPr>
      <w:r>
        <w:rPr>
          <w:rFonts w:eastAsia="Times New Roman"/>
          <w:b/>
          <w:bCs/>
          <w:color w:val="000000"/>
          <w:sz w:val="20"/>
          <w:szCs w:val="20"/>
        </w:rPr>
        <w:t>Restaurant Portfolio and Franchising</w:t>
      </w:r>
    </w:p>
    <w:p w:rsidR="00000000" w:rsidRDefault="0061405A">
      <w:pPr>
        <w:jc w:val="both"/>
        <w:divId w:val="1798798750"/>
        <w:rPr>
          <w:rFonts w:eastAsia="Times New Roman"/>
        </w:rPr>
      </w:pPr>
      <w:r>
        <w:rPr>
          <w:rFonts w:eastAsia="Times New Roman"/>
          <w:i/>
          <w:iCs/>
          <w:color w:val="000000"/>
          <w:sz w:val="20"/>
          <w:szCs w:val="20"/>
        </w:rPr>
        <w:t xml:space="preserve">Restaurant Portfolio. </w:t>
      </w:r>
      <w:r>
        <w:rPr>
          <w:rFonts w:eastAsia="Times New Roman"/>
          <w:color w:val="000000"/>
          <w:sz w:val="20"/>
          <w:szCs w:val="20"/>
        </w:rPr>
        <w:t>As of December 29, 2020, we had 378 company-owned restaurants and 76 </w:t>
      </w:r>
      <w:r>
        <w:rPr>
          <w:rFonts w:eastAsia="Times New Roman"/>
          <w:color w:val="000000"/>
          <w:sz w:val="20"/>
          <w:szCs w:val="20"/>
        </w:rPr>
        <w:t>franchise restaurants in 29 states. Our restaurants are typically approximately 2,600 square feet and are located in end-cap, in-line or free-standing locations across a variety of suburban and urban markets. We are currently executing a smaller square foo</w:t>
      </w:r>
      <w:r>
        <w:rPr>
          <w:rFonts w:eastAsia="Times New Roman"/>
          <w:color w:val="000000"/>
          <w:sz w:val="20"/>
          <w:szCs w:val="20"/>
        </w:rPr>
        <w:t xml:space="preserve">tage design which largely includes drive thru pick-up windows as we embed our new operating model into new restaurants. We anticipate that this design will better facilitate future expansion and better meet the needs of the changing consumer experience. </w:t>
      </w:r>
    </w:p>
    <w:p w:rsidR="00000000" w:rsidRDefault="0061405A">
      <w:pPr>
        <w:jc w:val="both"/>
        <w:divId w:val="1076169417"/>
        <w:rPr>
          <w:rFonts w:eastAsia="Times New Roman"/>
        </w:rPr>
      </w:pPr>
      <w:r>
        <w:rPr>
          <w:rFonts w:eastAsia="Times New Roman"/>
          <w:i/>
          <w:iCs/>
          <w:color w:val="000000"/>
          <w:sz w:val="20"/>
          <w:szCs w:val="20"/>
        </w:rPr>
        <w:t>R</w:t>
      </w:r>
      <w:r>
        <w:rPr>
          <w:rFonts w:eastAsia="Times New Roman"/>
          <w:i/>
          <w:iCs/>
          <w:color w:val="000000"/>
          <w:sz w:val="20"/>
          <w:szCs w:val="20"/>
        </w:rPr>
        <w:t xml:space="preserve">estaurant Development. </w:t>
      </w:r>
      <w:r>
        <w:rPr>
          <w:rFonts w:eastAsia="Times New Roman"/>
          <w:color w:val="000000"/>
          <w:sz w:val="20"/>
          <w:szCs w:val="20"/>
        </w:rPr>
        <w:t>Given improvement in results, operating effectiveness and liquidity, we are currently pursuing a disciplined development pipeline to execute new unit growth in 2021, and expect an annual unit growth rate of approximately 7% to 10% be</w:t>
      </w:r>
      <w:r>
        <w:rPr>
          <w:rFonts w:eastAsia="Times New Roman"/>
          <w:color w:val="000000"/>
          <w:sz w:val="20"/>
          <w:szCs w:val="20"/>
        </w:rPr>
        <w:t xml:space="preserve">ginning in 2022. We anticipate this unit growth to include a combination of both company and franchise development. In 2020, we opened four new company-owned restaurants and sold nine restaurants to a franchisee. </w:t>
      </w:r>
    </w:p>
    <w:p w:rsidR="00000000" w:rsidRDefault="0061405A">
      <w:pPr>
        <w:jc w:val="both"/>
        <w:divId w:val="1406878704"/>
        <w:rPr>
          <w:rFonts w:eastAsia="Times New Roman"/>
        </w:rPr>
      </w:pPr>
    </w:p>
    <w:p w:rsidR="00000000" w:rsidRDefault="0061405A">
      <w:pPr>
        <w:jc w:val="both"/>
        <w:divId w:val="1978991622"/>
        <w:rPr>
          <w:rFonts w:eastAsia="Times New Roman"/>
        </w:rPr>
      </w:pPr>
      <w:r>
        <w:rPr>
          <w:rFonts w:eastAsia="Times New Roman"/>
          <w:i/>
          <w:iCs/>
          <w:color w:val="000000"/>
          <w:sz w:val="20"/>
          <w:szCs w:val="20"/>
        </w:rPr>
        <w:t>Franchising.</w:t>
      </w:r>
      <w:r>
        <w:rPr>
          <w:rFonts w:eastAsia="Times New Roman"/>
          <w:color w:val="000000"/>
          <w:sz w:val="20"/>
          <w:szCs w:val="20"/>
        </w:rPr>
        <w:t xml:space="preserve"> As of December 29, 2020, we</w:t>
      </w:r>
      <w:r>
        <w:rPr>
          <w:rFonts w:eastAsia="Times New Roman"/>
          <w:color w:val="000000"/>
          <w:sz w:val="20"/>
          <w:szCs w:val="20"/>
        </w:rPr>
        <w:t xml:space="preserve"> had 76 franchise units in 16 states operated </w:t>
      </w:r>
      <w:r>
        <w:rPr>
          <w:rFonts w:eastAsia="Times New Roman"/>
          <w:color w:val="000000"/>
          <w:sz w:val="20"/>
          <w:szCs w:val="20"/>
          <w:shd w:val="clear" w:color="auto" w:fill="FFFFFF"/>
        </w:rPr>
        <w:t>by 10 franchisees. In 2020, our franchisees acquired nine restaurants previously operated by the Company and closed one restaurant. We have a total of nine area developers who have signed development agreements</w:t>
      </w:r>
      <w:r>
        <w:rPr>
          <w:rFonts w:eastAsia="Times New Roman"/>
          <w:color w:val="000000"/>
          <w:sz w:val="20"/>
          <w:szCs w:val="20"/>
          <w:shd w:val="clear" w:color="auto" w:fill="FFFFFF"/>
        </w:rPr>
        <w:t xml:space="preserve"> providing for the opening of 72 additional restaurants in their respective territories. We </w:t>
      </w:r>
      <w:r>
        <w:rPr>
          <w:rFonts w:eastAsia="Times New Roman"/>
          <w:color w:val="000000"/>
          <w:sz w:val="20"/>
          <w:szCs w:val="20"/>
        </w:rPr>
        <w:t>expect franchising to be a larger part of our growth strategy in future years. We look for experienced, well-capitalized franchise partners who are able to leverage</w:t>
      </w:r>
      <w:r>
        <w:rPr>
          <w:rFonts w:eastAsia="Times New Roman"/>
          <w:color w:val="000000"/>
          <w:sz w:val="20"/>
          <w:szCs w:val="20"/>
        </w:rPr>
        <w:t xml:space="preserve"> their existing infrastructure and local knowledge in a manner that benefits both our franchisees and us. We expect to continue to offer development rights in markets where we do not intend to build company-owned restaurants. We may offer such rights to la</w:t>
      </w:r>
      <w:r>
        <w:rPr>
          <w:rFonts w:eastAsia="Times New Roman"/>
          <w:color w:val="000000"/>
          <w:sz w:val="20"/>
          <w:szCs w:val="20"/>
        </w:rPr>
        <w:t>rger developers who commit to open 10 or more units, or to smaller developers who may commit to open fewer restaurants. We do not currently intend to offer single-unit franchises. We believe the strength and attractiveness of our brand will attract experie</w:t>
      </w:r>
      <w:r>
        <w:rPr>
          <w:rFonts w:eastAsia="Times New Roman"/>
          <w:color w:val="000000"/>
          <w:sz w:val="20"/>
          <w:szCs w:val="20"/>
        </w:rPr>
        <w:t>nced and well-capitalized area developers.</w:t>
      </w:r>
    </w:p>
    <w:p w:rsidR="00000000" w:rsidRDefault="0061405A">
      <w:pPr>
        <w:jc w:val="both"/>
        <w:divId w:val="1608929017"/>
        <w:rPr>
          <w:rFonts w:eastAsia="Times New Roman"/>
        </w:rPr>
      </w:pPr>
      <w:r>
        <w:rPr>
          <w:rFonts w:eastAsia="Times New Roman"/>
          <w:i/>
          <w:iCs/>
          <w:color w:val="000000"/>
          <w:sz w:val="20"/>
          <w:szCs w:val="20"/>
        </w:rPr>
        <w:t>Certain Restaurant Closures.</w:t>
      </w:r>
      <w:r>
        <w:rPr>
          <w:rFonts w:eastAsia="Times New Roman"/>
          <w:color w:val="000000"/>
        </w:rPr>
        <w:t xml:space="preserve"> </w:t>
      </w:r>
      <w:r>
        <w:rPr>
          <w:rFonts w:eastAsia="Times New Roman"/>
          <w:color w:val="000000"/>
          <w:sz w:val="20"/>
          <w:szCs w:val="20"/>
        </w:rPr>
        <w:t>We clos</w:t>
      </w:r>
      <w:r>
        <w:rPr>
          <w:rFonts w:eastAsia="Times New Roman"/>
          <w:color w:val="000000"/>
          <w:sz w:val="20"/>
          <w:szCs w:val="20"/>
          <w:shd w:val="clear" w:color="auto" w:fill="FFFFFF"/>
        </w:rPr>
        <w:t>ed six company-owned res</w:t>
      </w:r>
      <w:r>
        <w:rPr>
          <w:rFonts w:eastAsia="Times New Roman"/>
          <w:color w:val="000000"/>
          <w:sz w:val="20"/>
          <w:szCs w:val="20"/>
        </w:rPr>
        <w:t>taurants in 2020 and five company-owned restaurants in 2019, most of which were at or approaching the expiration of their leases or in trade areas that a</w:t>
      </w:r>
      <w:r>
        <w:rPr>
          <w:rFonts w:eastAsia="Times New Roman"/>
          <w:color w:val="000000"/>
          <w:sz w:val="20"/>
          <w:szCs w:val="20"/>
        </w:rPr>
        <w:t>re not as well positioned for current consumer trends. We currently do not anticipate a significant number of restaurant closures for the foreseeable future; however, we may from time to time close or relocate certain restaurants, that are at, or near, the</w:t>
      </w:r>
      <w:r>
        <w:rPr>
          <w:rFonts w:eastAsia="Times New Roman"/>
          <w:color w:val="000000"/>
          <w:sz w:val="20"/>
          <w:szCs w:val="20"/>
        </w:rPr>
        <w:t xml:space="preserve"> expiration of their leases or in trade areas that are not as well positioned for current consumer trends.</w:t>
      </w:r>
    </w:p>
    <w:p w:rsidR="00000000" w:rsidRDefault="0061405A">
      <w:pPr>
        <w:jc w:val="both"/>
        <w:divId w:val="1222717949"/>
        <w:rPr>
          <w:rFonts w:eastAsia="Times New Roman"/>
        </w:rPr>
      </w:pPr>
      <w:r>
        <w:rPr>
          <w:rFonts w:eastAsia="Times New Roman"/>
          <w:b/>
          <w:bCs/>
          <w:color w:val="000000"/>
          <w:sz w:val="20"/>
          <w:szCs w:val="20"/>
        </w:rPr>
        <w:t>Site Development and Expansion</w:t>
      </w:r>
    </w:p>
    <w:p w:rsidR="00000000" w:rsidRDefault="0061405A">
      <w:pPr>
        <w:jc w:val="both"/>
        <w:divId w:val="1005792128"/>
        <w:rPr>
          <w:rFonts w:eastAsia="Times New Roman"/>
        </w:rPr>
      </w:pPr>
      <w:r>
        <w:rPr>
          <w:rFonts w:eastAsia="Times New Roman"/>
          <w:color w:val="000000"/>
          <w:sz w:val="20"/>
          <w:szCs w:val="20"/>
        </w:rPr>
        <w:t>We consider our site selection and development process critical to our long-term success. We have used a combination o</w:t>
      </w:r>
      <w:r>
        <w:rPr>
          <w:rFonts w:eastAsia="Times New Roman"/>
          <w:color w:val="000000"/>
          <w:sz w:val="20"/>
          <w:szCs w:val="20"/>
        </w:rPr>
        <w:t>f our own internal team and outside real estate consultants to locate, evaluate and negotiate new sites using various criteria. In making site selection decisions, we use several analytical tools designed to uncover the key site, demographic, business, ret</w:t>
      </w:r>
      <w:r>
        <w:rPr>
          <w:rFonts w:eastAsia="Times New Roman"/>
          <w:color w:val="000000"/>
          <w:sz w:val="20"/>
          <w:szCs w:val="20"/>
        </w:rPr>
        <w:t>ail, competitive and traffic characteristics that drive successful locations. Once a location has been approved by our executive-level selection committee, we begin a design process to match the characteristics and feel of the location to the trade area.</w:t>
      </w:r>
    </w:p>
    <w:p w:rsidR="00000000" w:rsidRDefault="0061405A">
      <w:pPr>
        <w:jc w:val="both"/>
        <w:divId w:val="1827547918"/>
        <w:rPr>
          <w:rFonts w:eastAsia="Times New Roman"/>
        </w:rPr>
      </w:pPr>
      <w:r>
        <w:rPr>
          <w:rFonts w:eastAsia="Times New Roman"/>
          <w:b/>
          <w:bCs/>
          <w:color w:val="000000"/>
          <w:sz w:val="20"/>
          <w:szCs w:val="20"/>
        </w:rPr>
        <w:t>R</w:t>
      </w:r>
      <w:r>
        <w:rPr>
          <w:rFonts w:eastAsia="Times New Roman"/>
          <w:b/>
          <w:bCs/>
          <w:color w:val="000000"/>
          <w:sz w:val="20"/>
          <w:szCs w:val="20"/>
        </w:rPr>
        <w:t>estaurant Management and Operations</w:t>
      </w:r>
    </w:p>
    <w:p w:rsidR="00000000" w:rsidRDefault="0061405A">
      <w:pPr>
        <w:jc w:val="both"/>
        <w:divId w:val="1171523865"/>
        <w:rPr>
          <w:rFonts w:eastAsia="Times New Roman"/>
        </w:rPr>
      </w:pPr>
      <w:r>
        <w:rPr>
          <w:rFonts w:eastAsia="Times New Roman"/>
          <w:i/>
          <w:iCs/>
          <w:color w:val="000000"/>
          <w:sz w:val="20"/>
          <w:szCs w:val="20"/>
        </w:rPr>
        <w:t xml:space="preserve">Friendly Team Members. </w:t>
      </w:r>
      <w:r>
        <w:rPr>
          <w:rFonts w:eastAsia="Times New Roman"/>
          <w:color w:val="000000"/>
          <w:sz w:val="20"/>
          <w:szCs w:val="20"/>
        </w:rPr>
        <w:t>We believe our genuine, friendly team members separate us from our competitors. We value the individuality of our team members, which we believe results in a management, operations and training phi</w:t>
      </w:r>
      <w:r>
        <w:rPr>
          <w:rFonts w:eastAsia="Times New Roman"/>
          <w:color w:val="000000"/>
          <w:sz w:val="20"/>
          <w:szCs w:val="20"/>
        </w:rPr>
        <w:t>losophy distinct from that of our competitors. We strive to hire team members who share our values, a passion for food, have a competitive spirit and will operate our restaurants in a way that is consistent with our high standards. We seek to hire individu</w:t>
      </w:r>
      <w:r>
        <w:rPr>
          <w:rFonts w:eastAsia="Times New Roman"/>
          <w:color w:val="000000"/>
          <w:sz w:val="20"/>
          <w:szCs w:val="20"/>
        </w:rPr>
        <w:t xml:space="preserve">als who will deliver prompt, attentive service by engaging customers at all points during the Noodles brand experience. We empower our team members to enrich the experience of our customers and directly address any concerns that may arise in a manner that </w:t>
      </w:r>
      <w:r>
        <w:rPr>
          <w:rFonts w:eastAsia="Times New Roman"/>
          <w:color w:val="000000"/>
          <w:sz w:val="20"/>
          <w:szCs w:val="20"/>
        </w:rPr>
        <w:t>contributes to the success of our business.</w:t>
      </w:r>
    </w:p>
    <w:p w:rsidR="00000000" w:rsidRDefault="0061405A">
      <w:pPr>
        <w:jc w:val="both"/>
        <w:divId w:val="199125375"/>
        <w:rPr>
          <w:rFonts w:eastAsia="Times New Roman"/>
        </w:rPr>
      </w:pPr>
      <w:r>
        <w:rPr>
          <w:rFonts w:eastAsia="Times New Roman"/>
          <w:i/>
          <w:iCs/>
          <w:color w:val="000000"/>
          <w:sz w:val="20"/>
          <w:szCs w:val="20"/>
        </w:rPr>
        <w:t>Restaurant Management and Employees.</w:t>
      </w:r>
      <w:r>
        <w:rPr>
          <w:rFonts w:eastAsia="Times New Roman"/>
          <w:color w:val="000000"/>
          <w:sz w:val="20"/>
          <w:szCs w:val="20"/>
        </w:rPr>
        <w:t xml:space="preserve"> Each restaurant typically has a restaurant manager, an assistant manager, a shift manager and team members. We cross-train our employees in an effort to create a depth of comp</w:t>
      </w:r>
      <w:r>
        <w:rPr>
          <w:rFonts w:eastAsia="Times New Roman"/>
          <w:color w:val="000000"/>
          <w:sz w:val="20"/>
          <w:szCs w:val="20"/>
        </w:rPr>
        <w:t>etency in our critical restaurant functions. To lead our restaurant management teams, we have area managers (each of whom is responsible for between five and 10 restaurants), as well as regional directors (each of whom is responsible for between approximat</w:t>
      </w:r>
      <w:r>
        <w:rPr>
          <w:rFonts w:eastAsia="Times New Roman"/>
          <w:color w:val="000000"/>
          <w:sz w:val="20"/>
          <w:szCs w:val="20"/>
        </w:rPr>
        <w:t>ely 50 and 60 restaurants).</w:t>
      </w:r>
    </w:p>
    <w:p w:rsidR="00000000" w:rsidRDefault="0061405A">
      <w:pPr>
        <w:jc w:val="both"/>
        <w:divId w:val="1202087778"/>
        <w:rPr>
          <w:rFonts w:eastAsia="Times New Roman"/>
        </w:rPr>
      </w:pPr>
      <w:r>
        <w:rPr>
          <w:rFonts w:eastAsia="Times New Roman"/>
          <w:i/>
          <w:iCs/>
          <w:color w:val="000000"/>
          <w:sz w:val="20"/>
          <w:szCs w:val="20"/>
        </w:rPr>
        <w:t>Training and Career Development.</w:t>
      </w:r>
      <w:r>
        <w:rPr>
          <w:rFonts w:eastAsia="Times New Roman"/>
          <w:color w:val="000000"/>
          <w:sz w:val="20"/>
          <w:szCs w:val="20"/>
        </w:rPr>
        <w:t xml:space="preserve"> </w:t>
      </w:r>
      <w:r>
        <w:rPr>
          <w:rFonts w:eastAsia="Times New Roman"/>
          <w:color w:val="000000"/>
          <w:sz w:val="20"/>
          <w:szCs w:val="20"/>
        </w:rPr>
        <w:t>We believe that our training efforts create a culture of continuous learning and professional growth that allows our team members to continue their career development with us. Within each restaurant, two to four team members are designated to lead the trai</w:t>
      </w:r>
      <w:r>
        <w:rPr>
          <w:rFonts w:eastAsia="Times New Roman"/>
          <w:color w:val="000000"/>
          <w:sz w:val="20"/>
          <w:szCs w:val="20"/>
        </w:rPr>
        <w:t xml:space="preserve">ning efforts and ensure a consistent approach to team member development. We produce </w:t>
      </w:r>
    </w:p>
    <w:p w:rsidR="00000000" w:rsidRDefault="0061405A">
      <w:pPr>
        <w:ind w:firstLine="720"/>
        <w:jc w:val="center"/>
        <w:divId w:val="1102341976"/>
        <w:rPr>
          <w:rFonts w:eastAsia="Times New Roman"/>
        </w:rPr>
      </w:pPr>
      <w:r>
        <w:rPr>
          <w:rFonts w:eastAsia="Times New Roman"/>
          <w:color w:val="000000"/>
          <w:sz w:val="20"/>
          <w:szCs w:val="20"/>
        </w:rPr>
        <w:t>4</w:t>
      </w:r>
    </w:p>
    <w:p w:rsidR="00000000" w:rsidRDefault="0061405A">
      <w:pPr>
        <w:rPr>
          <w:rFonts w:eastAsia="Times New Roman"/>
        </w:rPr>
      </w:pPr>
      <w:r>
        <w:rPr>
          <w:rFonts w:eastAsia="Times New Roman"/>
        </w:rPr>
        <w:pict>
          <v:rect id="_x0000_i1031" style="width:0;height:1.5pt" o:hralign="center" o:hrstd="t" o:hr="t" fillcolor="#a0a0a0" stroked="f"/>
        </w:pict>
      </w:r>
    </w:p>
    <w:p w:rsidR="00000000" w:rsidRDefault="0061405A">
      <w:pPr>
        <w:divId w:val="1346328934"/>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both"/>
        <w:divId w:val="1051811704"/>
        <w:rPr>
          <w:rFonts w:eastAsia="Times New Roman"/>
        </w:rPr>
      </w:pPr>
      <w:r>
        <w:rPr>
          <w:rFonts w:eastAsia="Times New Roman"/>
          <w:color w:val="000000"/>
          <w:sz w:val="20"/>
          <w:szCs w:val="20"/>
        </w:rPr>
        <w:t>training materials that encourage individual contributions and participation from our team members while also requiring adherence to certain guidelines and procedures.</w:t>
      </w:r>
    </w:p>
    <w:p w:rsidR="00000000" w:rsidRDefault="0061405A">
      <w:pPr>
        <w:jc w:val="both"/>
        <w:divId w:val="425536853"/>
        <w:rPr>
          <w:rFonts w:eastAsia="Times New Roman"/>
        </w:rPr>
      </w:pPr>
      <w:r>
        <w:rPr>
          <w:rFonts w:eastAsia="Times New Roman"/>
          <w:i/>
          <w:iCs/>
          <w:color w:val="000000"/>
          <w:sz w:val="20"/>
          <w:szCs w:val="20"/>
        </w:rPr>
        <w:t>Food Preparation and Quality.</w:t>
      </w:r>
      <w:r>
        <w:rPr>
          <w:rFonts w:eastAsia="Times New Roman"/>
          <w:color w:val="000000"/>
          <w:sz w:val="20"/>
          <w:szCs w:val="20"/>
        </w:rPr>
        <w:t xml:space="preserve"> Our teams use classic professional cooking methods, includ</w:t>
      </w:r>
      <w:r>
        <w:rPr>
          <w:rFonts w:eastAsia="Times New Roman"/>
          <w:color w:val="000000"/>
          <w:sz w:val="20"/>
          <w:szCs w:val="20"/>
        </w:rPr>
        <w:t>ing sautéing many of our vegetables, in full kitchens resembling those of full-service restaurants. All team members, including our restaurant managers, spend their first several days working solely with food and learning these techniques, and we spend a s</w:t>
      </w:r>
      <w:r>
        <w:rPr>
          <w:rFonts w:eastAsia="Times New Roman"/>
          <w:color w:val="000000"/>
          <w:sz w:val="20"/>
          <w:szCs w:val="20"/>
        </w:rPr>
        <w:t xml:space="preserve">ignificant amount of time ensuring that each team member learns how to prepare and cook our food properly. </w:t>
      </w:r>
    </w:p>
    <w:p w:rsidR="00000000" w:rsidRDefault="0061405A">
      <w:pPr>
        <w:jc w:val="both"/>
        <w:divId w:val="677582855"/>
        <w:rPr>
          <w:rFonts w:eastAsia="Times New Roman"/>
        </w:rPr>
      </w:pPr>
      <w:r>
        <w:rPr>
          <w:rFonts w:eastAsia="Times New Roman"/>
          <w:color w:val="000000"/>
          <w:sz w:val="20"/>
          <w:szCs w:val="20"/>
        </w:rPr>
        <w:t>The majority of our restaurants have exhibition-style kitchens. This design demonstrates our commitment to cooking fresh food in an accessible manne</w:t>
      </w:r>
      <w:r>
        <w:rPr>
          <w:rFonts w:eastAsia="Times New Roman"/>
          <w:color w:val="000000"/>
          <w:sz w:val="20"/>
          <w:szCs w:val="20"/>
        </w:rPr>
        <w:t>r. We provide each customer with individual attention and make every effort to respond to customer suggestions and concerns in a personal and hospitable way.</w:t>
      </w:r>
    </w:p>
    <w:p w:rsidR="00000000" w:rsidRDefault="0061405A">
      <w:pPr>
        <w:jc w:val="both"/>
        <w:divId w:val="1101415625"/>
        <w:rPr>
          <w:rFonts w:eastAsia="Times New Roman"/>
        </w:rPr>
      </w:pPr>
      <w:r>
        <w:rPr>
          <w:rFonts w:eastAsia="Times New Roman"/>
          <w:color w:val="000000"/>
          <w:sz w:val="20"/>
          <w:szCs w:val="20"/>
        </w:rPr>
        <w:t>We require all of our dishes to be cooked to order at food safe temperatures or, in the case of sa</w:t>
      </w:r>
      <w:r>
        <w:rPr>
          <w:rFonts w:eastAsia="Times New Roman"/>
          <w:color w:val="000000"/>
          <w:sz w:val="20"/>
          <w:szCs w:val="20"/>
        </w:rPr>
        <w:t xml:space="preserve">lads, subject to our produce washing protocols, which helps to ensure that the food we serve to our customers is safe. We have designed our food safety and quality assurance programs to maintain high standards for our food and food preparation procedures. </w:t>
      </w:r>
      <w:r>
        <w:rPr>
          <w:rFonts w:eastAsia="Times New Roman"/>
          <w:color w:val="000000"/>
          <w:sz w:val="20"/>
          <w:szCs w:val="20"/>
        </w:rPr>
        <w:t xml:space="preserve">Our director of quality assurance oversees comprehensive restaurant and supplier audits based upon the potential food safety risk of each food. We also consider food safety and quality assurance when selecting our distributors and suppliers. Our suppliers </w:t>
      </w:r>
      <w:r>
        <w:rPr>
          <w:rFonts w:eastAsia="Times New Roman"/>
          <w:color w:val="000000"/>
          <w:sz w:val="20"/>
          <w:szCs w:val="20"/>
        </w:rPr>
        <w:t>are inspected by federal, state and local regulators or other reputable, qualified inspection services, which helps ensure their compliance with all federal food safety and quality guidelines. We regularly inspect our suppliers to ensure that the ingredien</w:t>
      </w:r>
      <w:r>
        <w:rPr>
          <w:rFonts w:eastAsia="Times New Roman"/>
          <w:color w:val="000000"/>
          <w:sz w:val="20"/>
          <w:szCs w:val="20"/>
        </w:rPr>
        <w:t>ts we buy conform to our quality standards and that the prices we pay are competitive. We also rely on our own recipes, specifications and protocols to ensure that our food is consistently the best quality that is possible when it is served, including a ph</w:t>
      </w:r>
      <w:r>
        <w:rPr>
          <w:rFonts w:eastAsia="Times New Roman"/>
          <w:color w:val="000000"/>
          <w:sz w:val="20"/>
          <w:szCs w:val="20"/>
        </w:rPr>
        <w:t>ysical examination of ingredients when they arrive at our restaurants. We train our employees to pay detailed attention to food quality at every stage of the food preparation cycle, and we have developed a daily checklist that our employees use to assess t</w:t>
      </w:r>
      <w:r>
        <w:rPr>
          <w:rFonts w:eastAsia="Times New Roman"/>
          <w:color w:val="000000"/>
          <w:sz w:val="20"/>
          <w:szCs w:val="20"/>
        </w:rPr>
        <w:t xml:space="preserve">he freshness and quality of food supplies. Finally, we encourage our customers to provide feedback regarding our food quality so that we can identify and resolve problems or concerns as quickly as possible. </w:t>
      </w:r>
    </w:p>
    <w:p w:rsidR="00000000" w:rsidRDefault="0061405A">
      <w:pPr>
        <w:jc w:val="both"/>
        <w:divId w:val="1907108890"/>
        <w:rPr>
          <w:rFonts w:eastAsia="Times New Roman"/>
        </w:rPr>
      </w:pPr>
      <w:r>
        <w:rPr>
          <w:rFonts w:eastAsia="Times New Roman"/>
          <w:b/>
          <w:bCs/>
          <w:color w:val="000000"/>
          <w:sz w:val="20"/>
          <w:szCs w:val="20"/>
        </w:rPr>
        <w:t>Restaurant Marketing</w:t>
      </w:r>
    </w:p>
    <w:p w:rsidR="00000000" w:rsidRDefault="0061405A">
      <w:pPr>
        <w:jc w:val="both"/>
        <w:divId w:val="86192624"/>
        <w:rPr>
          <w:rFonts w:eastAsia="Times New Roman"/>
        </w:rPr>
      </w:pPr>
      <w:r>
        <w:rPr>
          <w:rFonts w:eastAsia="Times New Roman"/>
          <w:color w:val="000000"/>
          <w:sz w:val="20"/>
          <w:szCs w:val="20"/>
        </w:rPr>
        <w:t>Our strategic marketing eff</w:t>
      </w:r>
      <w:r>
        <w:rPr>
          <w:rFonts w:eastAsia="Times New Roman"/>
          <w:color w:val="000000"/>
          <w:sz w:val="20"/>
          <w:szCs w:val="20"/>
        </w:rPr>
        <w:t>orts seek to drive sales and increase brand loyalty by highlighting our competitive strengths through a variety of channels including digital marketing, social media, public relations, guest engagement and local marketing. We focus on attributes that set u</w:t>
      </w:r>
      <w:r>
        <w:rPr>
          <w:rFonts w:eastAsia="Times New Roman"/>
          <w:color w:val="000000"/>
          <w:sz w:val="20"/>
          <w:szCs w:val="20"/>
        </w:rPr>
        <w:t xml:space="preserve">s apart including the breadth and customization of our menu and our best-in-class convenience offerings, and ultimately use a data-driven approach to guide our strategy. </w:t>
      </w:r>
    </w:p>
    <w:p w:rsidR="00000000" w:rsidRDefault="0061405A">
      <w:pPr>
        <w:ind w:hanging="720"/>
        <w:jc w:val="both"/>
        <w:divId w:val="1526092003"/>
        <w:rPr>
          <w:rFonts w:eastAsia="Times New Roman"/>
        </w:rPr>
      </w:pPr>
      <w:r>
        <w:rPr>
          <w:rFonts w:eastAsia="Times New Roman"/>
          <w:i/>
          <w:iCs/>
          <w:color w:val="000000"/>
          <w:sz w:val="20"/>
          <w:szCs w:val="20"/>
        </w:rPr>
        <w:t>•Our Menu Offering.</w:t>
      </w:r>
      <w:r>
        <w:rPr>
          <w:rFonts w:eastAsia="Times New Roman"/>
          <w:b/>
          <w:bCs/>
          <w:i/>
          <w:iCs/>
          <w:color w:val="000000"/>
          <w:sz w:val="20"/>
          <w:szCs w:val="20"/>
        </w:rPr>
        <w:t xml:space="preserve"> </w:t>
      </w:r>
      <w:r>
        <w:rPr>
          <w:rFonts w:eastAsia="Times New Roman"/>
          <w:color w:val="000000"/>
          <w:sz w:val="20"/>
          <w:szCs w:val="20"/>
        </w:rPr>
        <w:t>At the heart of our marketing is our ongoing mission to nourish a</w:t>
      </w:r>
      <w:r>
        <w:rPr>
          <w:rFonts w:eastAsia="Times New Roman"/>
          <w:color w:val="000000"/>
          <w:sz w:val="20"/>
          <w:szCs w:val="20"/>
        </w:rPr>
        <w:t>nd inspire every guest, team member and community we serve. We focus some of our marketing efforts on new menu offerings to broaden our appeal to our customers. While most of these marketing efforts are focused on prompt consumer action to directly drive t</w:t>
      </w:r>
      <w:r>
        <w:rPr>
          <w:rFonts w:eastAsia="Times New Roman"/>
          <w:color w:val="000000"/>
          <w:sz w:val="20"/>
          <w:szCs w:val="20"/>
        </w:rPr>
        <w:t xml:space="preserve">raffic, we remain focused on our broader mission. </w:t>
      </w:r>
    </w:p>
    <w:p w:rsidR="00000000" w:rsidRDefault="0061405A">
      <w:pPr>
        <w:ind w:hanging="720"/>
        <w:jc w:val="both"/>
        <w:divId w:val="859585386"/>
        <w:rPr>
          <w:rFonts w:eastAsia="Times New Roman"/>
        </w:rPr>
      </w:pPr>
      <w:r>
        <w:rPr>
          <w:rFonts w:eastAsia="Times New Roman"/>
          <w:i/>
          <w:iCs/>
          <w:color w:val="000000"/>
          <w:sz w:val="20"/>
          <w:szCs w:val="20"/>
        </w:rPr>
        <w:t xml:space="preserve">•Loyalty Program. </w:t>
      </w:r>
      <w:r>
        <w:rPr>
          <w:rFonts w:eastAsia="Times New Roman"/>
          <w:color w:val="000000"/>
          <w:sz w:val="20"/>
          <w:szCs w:val="20"/>
        </w:rPr>
        <w:t xml:space="preserve">Our </w:t>
      </w:r>
      <w:r>
        <w:rPr>
          <w:rFonts w:eastAsia="Times New Roman"/>
          <w:i/>
          <w:iCs/>
          <w:color w:val="000000"/>
          <w:sz w:val="20"/>
          <w:szCs w:val="20"/>
        </w:rPr>
        <w:t>Noodles Rewards</w:t>
      </w:r>
      <w:r>
        <w:rPr>
          <w:rFonts w:eastAsia="Times New Roman"/>
          <w:color w:val="000000"/>
          <w:sz w:val="20"/>
          <w:szCs w:val="20"/>
        </w:rPr>
        <w:t xml:space="preserve"> program has more than 3.5 million members and allows us to build a relationship with each guest. The program allows guests to accumulate reward points associated with </w:t>
      </w:r>
      <w:r>
        <w:rPr>
          <w:rFonts w:eastAsia="Times New Roman"/>
          <w:color w:val="000000"/>
          <w:sz w:val="20"/>
          <w:szCs w:val="20"/>
        </w:rPr>
        <w:t xml:space="preserve">each purchase that can be redeemed for tasty offers such as free bowls, shareables and delivery. Rewards members are the first to learn about new offerings, which allows us to build a relationship with each guest. </w:t>
      </w:r>
    </w:p>
    <w:p w:rsidR="00000000" w:rsidRDefault="0061405A">
      <w:pPr>
        <w:ind w:hanging="720"/>
        <w:jc w:val="both"/>
        <w:divId w:val="1966081805"/>
        <w:rPr>
          <w:rFonts w:eastAsia="Times New Roman"/>
        </w:rPr>
      </w:pPr>
      <w:r>
        <w:rPr>
          <w:rFonts w:eastAsia="Times New Roman"/>
          <w:color w:val="000000"/>
          <w:sz w:val="20"/>
          <w:szCs w:val="20"/>
        </w:rPr>
        <w:t>•</w:t>
      </w:r>
      <w:r>
        <w:rPr>
          <w:rFonts w:eastAsia="Times New Roman"/>
          <w:i/>
          <w:iCs/>
          <w:color w:val="000000"/>
          <w:sz w:val="20"/>
          <w:szCs w:val="20"/>
        </w:rPr>
        <w:t xml:space="preserve">Seamless Digital Experiences. </w:t>
      </w:r>
      <w:r>
        <w:rPr>
          <w:rFonts w:eastAsia="Times New Roman"/>
          <w:color w:val="000000"/>
          <w:sz w:val="20"/>
          <w:szCs w:val="20"/>
        </w:rPr>
        <w:t>With our w</w:t>
      </w:r>
      <w:r>
        <w:rPr>
          <w:rFonts w:eastAsia="Times New Roman"/>
          <w:color w:val="000000"/>
          <w:sz w:val="20"/>
          <w:szCs w:val="20"/>
        </w:rPr>
        <w:t>ebsite and our app, we offer guests a seamless ordering experience. From exploring and selecting new dishes, to finding the perfect shareable, or redeeming rewards points, our digital experience has been carefully designed to highlight our food without the</w:t>
      </w:r>
      <w:r>
        <w:rPr>
          <w:rFonts w:eastAsia="Times New Roman"/>
          <w:color w:val="000000"/>
          <w:sz w:val="20"/>
          <w:szCs w:val="20"/>
        </w:rPr>
        <w:t xml:space="preserve"> hassle. </w:t>
      </w:r>
    </w:p>
    <w:p w:rsidR="00000000" w:rsidRDefault="0061405A">
      <w:pPr>
        <w:ind w:hanging="720"/>
        <w:jc w:val="both"/>
        <w:divId w:val="447432078"/>
        <w:rPr>
          <w:rFonts w:eastAsia="Times New Roman"/>
        </w:rPr>
      </w:pPr>
      <w:r>
        <w:rPr>
          <w:rFonts w:eastAsia="Times New Roman"/>
          <w:color w:val="000000"/>
          <w:sz w:val="20"/>
          <w:szCs w:val="20"/>
        </w:rPr>
        <w:t>•</w:t>
      </w:r>
      <w:r>
        <w:rPr>
          <w:rFonts w:eastAsia="Times New Roman"/>
          <w:i/>
          <w:iCs/>
          <w:color w:val="000000"/>
          <w:sz w:val="20"/>
          <w:szCs w:val="20"/>
        </w:rPr>
        <w:t>Digital and Search Advertising.</w:t>
      </w:r>
      <w:r>
        <w:rPr>
          <w:rFonts w:eastAsia="Times New Roman"/>
          <w:color w:val="000000"/>
          <w:sz w:val="20"/>
          <w:szCs w:val="20"/>
        </w:rPr>
        <w:t xml:space="preserve"> We use targeted digital advertising in all our markets. This helps to increase top of mind awareness with potential guests and drives both frequency and trial. We use first party data to be more effective and effi</w:t>
      </w:r>
      <w:r>
        <w:rPr>
          <w:rFonts w:eastAsia="Times New Roman"/>
          <w:color w:val="000000"/>
          <w:sz w:val="20"/>
          <w:szCs w:val="20"/>
        </w:rPr>
        <w:t>cient with our advertising spend, and to ensure we are improving the return on our investment. In addition, digital advertising provides us with the opportunity to promote specific product categories, convenient offerings such as curbside and direct delive</w:t>
      </w:r>
      <w:r>
        <w:rPr>
          <w:rFonts w:eastAsia="Times New Roman"/>
          <w:color w:val="000000"/>
          <w:sz w:val="20"/>
          <w:szCs w:val="20"/>
        </w:rPr>
        <w:t xml:space="preserve">ry and encourage consumer action, resulting in immediate increases in our customer traffic and long-term customer loyalty. </w:t>
      </w:r>
    </w:p>
    <w:p w:rsidR="00000000" w:rsidRDefault="0061405A">
      <w:pPr>
        <w:ind w:hanging="720"/>
        <w:jc w:val="both"/>
        <w:divId w:val="1880894604"/>
        <w:rPr>
          <w:rFonts w:eastAsia="Times New Roman"/>
        </w:rPr>
      </w:pPr>
      <w:r>
        <w:rPr>
          <w:rFonts w:eastAsia="Times New Roman"/>
          <w:color w:val="000000"/>
          <w:sz w:val="20"/>
          <w:szCs w:val="20"/>
        </w:rPr>
        <w:t>•</w:t>
      </w:r>
      <w:r>
        <w:rPr>
          <w:rFonts w:eastAsia="Times New Roman"/>
          <w:i/>
          <w:iCs/>
          <w:color w:val="000000"/>
          <w:sz w:val="20"/>
          <w:szCs w:val="20"/>
        </w:rPr>
        <w:t xml:space="preserve">Online, Social and Other Media Tools. </w:t>
      </w:r>
      <w:r>
        <w:rPr>
          <w:rFonts w:eastAsia="Times New Roman"/>
          <w:color w:val="000000"/>
          <w:sz w:val="20"/>
          <w:szCs w:val="20"/>
        </w:rPr>
        <w:t>We rely on our website, www.noodles.com, to promote our business and increase brand awareness</w:t>
      </w:r>
      <w:r>
        <w:rPr>
          <w:rFonts w:eastAsia="Times New Roman"/>
          <w:color w:val="000000"/>
          <w:sz w:val="20"/>
          <w:szCs w:val="20"/>
        </w:rPr>
        <w:t xml:space="preserve">. The information on or available through our website is not, and should not be considered, a part of this </w:t>
      </w:r>
    </w:p>
    <w:p w:rsidR="00000000" w:rsidRDefault="0061405A">
      <w:pPr>
        <w:ind w:firstLine="720"/>
        <w:jc w:val="center"/>
        <w:divId w:val="498348427"/>
        <w:rPr>
          <w:rFonts w:eastAsia="Times New Roman"/>
        </w:rPr>
      </w:pPr>
      <w:r>
        <w:rPr>
          <w:rFonts w:eastAsia="Times New Roman"/>
          <w:color w:val="000000"/>
          <w:sz w:val="20"/>
          <w:szCs w:val="20"/>
        </w:rPr>
        <w:t>5</w:t>
      </w:r>
    </w:p>
    <w:p w:rsidR="00000000" w:rsidRDefault="0061405A">
      <w:pPr>
        <w:rPr>
          <w:rFonts w:eastAsia="Times New Roman"/>
        </w:rPr>
      </w:pPr>
      <w:r>
        <w:rPr>
          <w:rFonts w:eastAsia="Times New Roman"/>
        </w:rPr>
        <w:pict>
          <v:rect id="_x0000_i1032" style="width:0;height:1.5pt" o:hralign="center" o:hrstd="t" o:hr="t" fillcolor="#a0a0a0" stroked="f"/>
        </w:pict>
      </w:r>
    </w:p>
    <w:p w:rsidR="00000000" w:rsidRDefault="0061405A">
      <w:pPr>
        <w:divId w:val="1156799451"/>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both"/>
        <w:divId w:val="463351041"/>
        <w:rPr>
          <w:rFonts w:eastAsia="Times New Roman"/>
        </w:rPr>
      </w:pPr>
      <w:r>
        <w:rPr>
          <w:rFonts w:eastAsia="Times New Roman"/>
          <w:color w:val="000000"/>
          <w:sz w:val="20"/>
          <w:szCs w:val="20"/>
        </w:rPr>
        <w:t>report. Our guests</w:t>
      </w:r>
      <w:r>
        <w:rPr>
          <w:rFonts w:eastAsia="Times New Roman"/>
          <w:color w:val="000000"/>
          <w:sz w:val="20"/>
          <w:szCs w:val="20"/>
        </w:rPr>
        <w:t xml:space="preserve"> are encouraged to sign up to receive communications through our Noodles Rewards program, updating them on new menu offerings and promotional opportunities. We also communicate with our guests using social media, such as our Facebook and Instagram pages, o</w:t>
      </w:r>
      <w:r>
        <w:rPr>
          <w:rFonts w:eastAsia="Times New Roman"/>
          <w:color w:val="000000"/>
          <w:sz w:val="20"/>
          <w:szCs w:val="20"/>
        </w:rPr>
        <w:t xml:space="preserve">ur Twitter feed, and direct contact made through our guest feedback form posted to our website. Our online and social media capabilities provide exciting opportunities to target and personalize customer communications. </w:t>
      </w:r>
    </w:p>
    <w:p w:rsidR="00000000" w:rsidRDefault="0061405A">
      <w:pPr>
        <w:jc w:val="both"/>
        <w:divId w:val="392848702"/>
        <w:rPr>
          <w:rFonts w:eastAsia="Times New Roman"/>
        </w:rPr>
      </w:pPr>
      <w:r>
        <w:rPr>
          <w:rFonts w:eastAsia="Times New Roman"/>
          <w:b/>
          <w:bCs/>
          <w:color w:val="000000"/>
          <w:sz w:val="20"/>
          <w:szCs w:val="20"/>
        </w:rPr>
        <w:t>Human Capital Management</w:t>
      </w:r>
    </w:p>
    <w:p w:rsidR="00000000" w:rsidRDefault="0061405A">
      <w:pPr>
        <w:jc w:val="both"/>
        <w:divId w:val="608202542"/>
        <w:rPr>
          <w:rFonts w:eastAsia="Times New Roman"/>
        </w:rPr>
      </w:pPr>
      <w:r>
        <w:rPr>
          <w:rFonts w:eastAsia="Times New Roman"/>
          <w:color w:val="000000"/>
          <w:sz w:val="20"/>
          <w:szCs w:val="20"/>
        </w:rPr>
        <w:t xml:space="preserve">We believe </w:t>
      </w:r>
      <w:r>
        <w:rPr>
          <w:rFonts w:eastAsia="Times New Roman"/>
          <w:color w:val="000000"/>
          <w:sz w:val="20"/>
          <w:szCs w:val="20"/>
        </w:rPr>
        <w:t>the strength of our workforce is one of the significant contributors to our success as a brand. This is largely attributed to our team members who strive every d</w:t>
      </w:r>
      <w:r>
        <w:rPr>
          <w:rFonts w:eastAsia="Times New Roman"/>
          <w:color w:val="000000"/>
          <w:sz w:val="20"/>
          <w:szCs w:val="20"/>
          <w:shd w:val="clear" w:color="auto" w:fill="FFFFFF"/>
        </w:rPr>
        <w:t>ay to create an environment for our guests where they feel welcomed and cared for. Therefore, o</w:t>
      </w:r>
      <w:r>
        <w:rPr>
          <w:rFonts w:eastAsia="Times New Roman"/>
          <w:color w:val="000000"/>
          <w:sz w:val="20"/>
          <w:szCs w:val="20"/>
          <w:shd w:val="clear" w:color="auto" w:fill="FFFFFF"/>
        </w:rPr>
        <w:t>ne of our strategic priorities is to develop people as a differentiator, including investing in the following areas of focus:</w:t>
      </w:r>
    </w:p>
    <w:p w:rsidR="00000000" w:rsidRDefault="0061405A">
      <w:pPr>
        <w:jc w:val="both"/>
        <w:rPr>
          <w:rFonts w:eastAsia="Times New Roman"/>
        </w:rPr>
      </w:pPr>
      <w:r>
        <w:rPr>
          <w:rFonts w:eastAsia="Times New Roman"/>
          <w:i/>
          <w:iCs/>
          <w:color w:val="000000"/>
          <w:sz w:val="20"/>
          <w:szCs w:val="20"/>
          <w:shd w:val="clear" w:color="auto" w:fill="FFFFFF"/>
        </w:rPr>
        <w:t xml:space="preserve">Oversight and Management. </w:t>
      </w:r>
      <w:r>
        <w:rPr>
          <w:rFonts w:eastAsia="Times New Roman"/>
          <w:color w:val="000000"/>
          <w:sz w:val="20"/>
          <w:szCs w:val="20"/>
          <w:shd w:val="clear" w:color="auto" w:fill="FFFFFF"/>
        </w:rPr>
        <w:t>We recognize the diversity of our guests, team members and communities, and believe in creating an inclusive and equitable environment that represents a broad spectrum of backgrounds and cultures. Working under these principles, our Human Resources departm</w:t>
      </w:r>
      <w:r>
        <w:rPr>
          <w:rFonts w:eastAsia="Times New Roman"/>
          <w:color w:val="000000"/>
          <w:sz w:val="20"/>
          <w:szCs w:val="20"/>
          <w:shd w:val="clear" w:color="auto" w:fill="FFFFFF"/>
        </w:rPr>
        <w:t xml:space="preserve">ent is tasked with managing employment-related matters, including recruiting and hiring, onboarding and training, compensation and benefit planning, performance management and talent development. Our management and cross-functional teams also work closely </w:t>
      </w:r>
      <w:r>
        <w:rPr>
          <w:rFonts w:eastAsia="Times New Roman"/>
          <w:color w:val="000000"/>
          <w:sz w:val="20"/>
          <w:szCs w:val="20"/>
          <w:shd w:val="clear" w:color="auto" w:fill="FFFFFF"/>
        </w:rPr>
        <w:t>to evaluate human capital management issues such as team member retention, workplace safety, harassment and bullying, as well as to implement measures to mitigate these risks.</w:t>
      </w:r>
    </w:p>
    <w:p w:rsidR="00000000" w:rsidRDefault="0061405A">
      <w:pPr>
        <w:divId w:val="1751463085"/>
        <w:rPr>
          <w:rFonts w:eastAsia="Times New Roman"/>
        </w:rPr>
      </w:pPr>
    </w:p>
    <w:p w:rsidR="00000000" w:rsidRDefault="0061405A">
      <w:pPr>
        <w:jc w:val="both"/>
        <w:rPr>
          <w:rFonts w:eastAsia="Times New Roman"/>
        </w:rPr>
      </w:pPr>
      <w:r>
        <w:rPr>
          <w:rFonts w:eastAsia="Times New Roman"/>
          <w:color w:val="000000"/>
          <w:sz w:val="20"/>
          <w:szCs w:val="20"/>
          <w:shd w:val="clear" w:color="auto" w:fill="FFFFFF"/>
        </w:rPr>
        <w:t>Our Board of Directors and Board committees provide oversight on certain human</w:t>
      </w:r>
      <w:r>
        <w:rPr>
          <w:rFonts w:eastAsia="Times New Roman"/>
          <w:color w:val="000000"/>
          <w:sz w:val="20"/>
          <w:szCs w:val="20"/>
          <w:shd w:val="clear" w:color="auto" w:fill="FFFFFF"/>
        </w:rPr>
        <w:t xml:space="preserve"> capital matters. </w:t>
      </w:r>
      <w:r>
        <w:rPr>
          <w:rFonts w:eastAsia="Times New Roman"/>
          <w:color w:val="000000"/>
          <w:sz w:val="20"/>
          <w:szCs w:val="20"/>
        </w:rPr>
        <w:t>Our Compensation Committee, with input from members of our management, has responsibility for administering and approving annually certain elements of compensation, including our incentive compensation plans and equity-based plans. Manage</w:t>
      </w:r>
      <w:r>
        <w:rPr>
          <w:rFonts w:eastAsia="Times New Roman"/>
          <w:color w:val="000000"/>
          <w:sz w:val="20"/>
          <w:szCs w:val="20"/>
        </w:rPr>
        <w:t>ment provides input into the design of our incentive compensation programs to ensure that these programs support the Company’s business objectives and strategic priorities. The annual business plan initially established by our management, but approved by o</w:t>
      </w:r>
      <w:r>
        <w:rPr>
          <w:rFonts w:eastAsia="Times New Roman"/>
          <w:color w:val="000000"/>
          <w:sz w:val="20"/>
          <w:szCs w:val="20"/>
        </w:rPr>
        <w:t xml:space="preserve">ur Board, is an important element of our Compensation Committee’s decision-making process for performance measures and goals. </w:t>
      </w:r>
    </w:p>
    <w:p w:rsidR="00000000" w:rsidRDefault="0061405A">
      <w:pPr>
        <w:jc w:val="both"/>
        <w:rPr>
          <w:rFonts w:eastAsia="Times New Roman"/>
        </w:rPr>
      </w:pPr>
    </w:p>
    <w:p w:rsidR="00000000" w:rsidRDefault="0061405A">
      <w:pPr>
        <w:jc w:val="both"/>
        <w:rPr>
          <w:rFonts w:eastAsia="Times New Roman"/>
        </w:rPr>
      </w:pPr>
      <w:r>
        <w:rPr>
          <w:rFonts w:eastAsia="Times New Roman"/>
          <w:i/>
          <w:iCs/>
          <w:color w:val="000000"/>
          <w:sz w:val="20"/>
          <w:szCs w:val="20"/>
        </w:rPr>
        <w:t xml:space="preserve">Total Rewards. </w:t>
      </w:r>
      <w:r>
        <w:rPr>
          <w:rFonts w:eastAsia="Times New Roman"/>
          <w:color w:val="000000"/>
          <w:sz w:val="20"/>
          <w:szCs w:val="20"/>
        </w:rPr>
        <w:t xml:space="preserve">We have demonstrated a history of investing </w:t>
      </w:r>
      <w:r>
        <w:rPr>
          <w:rFonts w:eastAsia="Times New Roman"/>
          <w:color w:val="000000"/>
          <w:sz w:val="20"/>
          <w:szCs w:val="20"/>
          <w:shd w:val="clear" w:color="auto" w:fill="FFFFFF"/>
        </w:rPr>
        <w:t>in our workforce by offering competitive salaries and wages. To fost</w:t>
      </w:r>
      <w:r>
        <w:rPr>
          <w:rFonts w:eastAsia="Times New Roman"/>
          <w:color w:val="000000"/>
          <w:sz w:val="20"/>
          <w:szCs w:val="20"/>
          <w:shd w:val="clear" w:color="auto" w:fill="FFFFFF"/>
        </w:rPr>
        <w:t xml:space="preserve">er a stronger sense of ownership and align the interests of our team members with shareholders, restricted stock units are provided to eligible team members under our stock incentive programs. Additionally, we provide incentive compensation through annual </w:t>
      </w:r>
      <w:r>
        <w:rPr>
          <w:rFonts w:eastAsia="Times New Roman"/>
          <w:color w:val="000000"/>
          <w:sz w:val="20"/>
          <w:szCs w:val="20"/>
          <w:shd w:val="clear" w:color="auto" w:fill="FFFFFF"/>
        </w:rPr>
        <w:t xml:space="preserve">bonus plans for all eligible team members. </w:t>
      </w:r>
      <w:r>
        <w:rPr>
          <w:rFonts w:eastAsia="Times New Roman"/>
          <w:color w:val="000000"/>
          <w:sz w:val="20"/>
          <w:szCs w:val="20"/>
        </w:rPr>
        <w:t>Furthermore, we offer comprehensive, targeted and innovative benefits to all eligible team members. This includes comprehensive health, dental and vision insurance coverage, a 401(k) program and paid time off.</w:t>
      </w:r>
      <w:r>
        <w:rPr>
          <w:rFonts w:eastAsia="Times New Roman"/>
          <w:color w:val="000000"/>
        </w:rPr>
        <w:t xml:space="preserve"> </w:t>
      </w:r>
    </w:p>
    <w:p w:rsidR="00000000" w:rsidRDefault="0061405A">
      <w:pPr>
        <w:jc w:val="both"/>
        <w:rPr>
          <w:rFonts w:eastAsia="Times New Roman"/>
        </w:rPr>
      </w:pPr>
    </w:p>
    <w:p w:rsidR="00000000" w:rsidRDefault="0061405A">
      <w:pPr>
        <w:jc w:val="both"/>
        <w:rPr>
          <w:rFonts w:eastAsia="Times New Roman"/>
        </w:rPr>
      </w:pPr>
      <w:r>
        <w:rPr>
          <w:rFonts w:eastAsia="Times New Roman"/>
          <w:color w:val="000000"/>
          <w:sz w:val="20"/>
          <w:szCs w:val="20"/>
          <w:shd w:val="clear" w:color="auto" w:fill="FFFFFF"/>
        </w:rPr>
        <w:t xml:space="preserve">In 2020, we announced the expansion of our already comprehensive team member benefits program called </w:t>
      </w:r>
      <w:r>
        <w:rPr>
          <w:rFonts w:eastAsia="Times New Roman"/>
          <w:i/>
          <w:iCs/>
          <w:color w:val="000000"/>
          <w:sz w:val="20"/>
          <w:szCs w:val="20"/>
          <w:shd w:val="clear" w:color="auto" w:fill="FFFFFF"/>
        </w:rPr>
        <w:t xml:space="preserve">LifeAtNoodles. </w:t>
      </w:r>
      <w:r>
        <w:rPr>
          <w:rFonts w:eastAsia="Times New Roman"/>
          <w:color w:val="000000"/>
          <w:sz w:val="20"/>
          <w:szCs w:val="20"/>
          <w:shd w:val="clear" w:color="auto" w:fill="FFFFFF"/>
        </w:rPr>
        <w:t xml:space="preserve">The new benefits include education, wellness, family planning, expanded time off and recognition initiatives for all team members. </w:t>
      </w:r>
    </w:p>
    <w:p w:rsidR="00000000" w:rsidRDefault="0061405A">
      <w:pPr>
        <w:jc w:val="both"/>
        <w:rPr>
          <w:rFonts w:eastAsia="Times New Roman"/>
        </w:rPr>
      </w:pPr>
    </w:p>
    <w:p w:rsidR="00000000" w:rsidRDefault="0061405A">
      <w:pPr>
        <w:ind w:hanging="720"/>
        <w:jc w:val="both"/>
        <w:rPr>
          <w:rFonts w:eastAsia="Times New Roman"/>
        </w:rPr>
      </w:pPr>
      <w:r>
        <w:rPr>
          <w:rFonts w:eastAsia="Times New Roman"/>
          <w:i/>
          <w:iCs/>
          <w:color w:val="000000"/>
          <w:sz w:val="20"/>
          <w:szCs w:val="20"/>
        </w:rPr>
        <w:t>•Ment</w:t>
      </w:r>
      <w:r>
        <w:rPr>
          <w:rFonts w:eastAsia="Times New Roman"/>
          <w:i/>
          <w:iCs/>
          <w:color w:val="000000"/>
          <w:sz w:val="20"/>
          <w:szCs w:val="20"/>
        </w:rPr>
        <w:t xml:space="preserve">al Health. </w:t>
      </w:r>
      <w:r>
        <w:rPr>
          <w:rFonts w:eastAsia="Times New Roman"/>
          <w:color w:val="000000"/>
          <w:sz w:val="20"/>
          <w:szCs w:val="20"/>
        </w:rPr>
        <w:t>Our new benefits prioritize mental health by offering free in-person and virtual counseling for all team members. We also offer mental health awareness live webinars, focusing on identifying mental health symptoms, and supporting individuals wit</w:t>
      </w:r>
      <w:r>
        <w:rPr>
          <w:rFonts w:eastAsia="Times New Roman"/>
          <w:color w:val="000000"/>
          <w:sz w:val="20"/>
          <w:szCs w:val="20"/>
        </w:rPr>
        <w:t xml:space="preserve">h mental health issues to ensure all team members are supported. </w:t>
      </w:r>
    </w:p>
    <w:p w:rsidR="00000000" w:rsidRDefault="0061405A">
      <w:pPr>
        <w:ind w:hanging="360"/>
        <w:jc w:val="both"/>
        <w:rPr>
          <w:rFonts w:eastAsia="Times New Roman"/>
        </w:rPr>
      </w:pPr>
    </w:p>
    <w:p w:rsidR="00000000" w:rsidRDefault="0061405A">
      <w:pPr>
        <w:ind w:hanging="720"/>
        <w:jc w:val="both"/>
        <w:rPr>
          <w:rFonts w:eastAsia="Times New Roman"/>
        </w:rPr>
      </w:pPr>
      <w:r>
        <w:rPr>
          <w:rFonts w:eastAsia="Times New Roman"/>
          <w:i/>
          <w:iCs/>
          <w:color w:val="000000"/>
          <w:sz w:val="20"/>
          <w:szCs w:val="20"/>
        </w:rPr>
        <w:t xml:space="preserve">•Family Planning. </w:t>
      </w:r>
      <w:r>
        <w:rPr>
          <w:rFonts w:eastAsia="Times New Roman"/>
          <w:color w:val="000000"/>
          <w:sz w:val="20"/>
          <w:szCs w:val="20"/>
        </w:rPr>
        <w:t>We also support team members growing families by offering six weeks of paid paternity leave and surrogacy and adoption assistance for qualifying team members of up to $10</w:t>
      </w:r>
      <w:r>
        <w:rPr>
          <w:rFonts w:eastAsia="Times New Roman"/>
          <w:color w:val="000000"/>
          <w:sz w:val="20"/>
          <w:szCs w:val="20"/>
        </w:rPr>
        <w:t>,000. This is in addition to our back-up dependent care assistance, which provides team members with 10 days of back-up child, elder, or pet care to assist with unexpected situations, and exceptional phase-in and phase-out maternity leave which includes 10</w:t>
      </w:r>
      <w:r>
        <w:rPr>
          <w:rFonts w:eastAsia="Times New Roman"/>
          <w:color w:val="000000"/>
          <w:sz w:val="20"/>
          <w:szCs w:val="20"/>
        </w:rPr>
        <w:t xml:space="preserve">0% pay for a reduced schedule during the four weeks before and after the arrival of a child. </w:t>
      </w:r>
    </w:p>
    <w:p w:rsidR="00000000" w:rsidRDefault="0061405A">
      <w:pPr>
        <w:ind w:hanging="360"/>
        <w:jc w:val="both"/>
        <w:rPr>
          <w:rFonts w:eastAsia="Times New Roman"/>
        </w:rPr>
      </w:pPr>
    </w:p>
    <w:p w:rsidR="00000000" w:rsidRDefault="0061405A">
      <w:pPr>
        <w:ind w:hanging="720"/>
        <w:jc w:val="both"/>
        <w:divId w:val="1932155756"/>
        <w:rPr>
          <w:rFonts w:eastAsia="Times New Roman"/>
        </w:rPr>
      </w:pPr>
      <w:r>
        <w:rPr>
          <w:rFonts w:eastAsia="Times New Roman"/>
          <w:color w:val="000000"/>
          <w:sz w:val="20"/>
          <w:szCs w:val="20"/>
        </w:rPr>
        <w:t>•</w:t>
      </w:r>
      <w:r>
        <w:rPr>
          <w:rFonts w:eastAsia="Times New Roman"/>
          <w:i/>
          <w:iCs/>
          <w:color w:val="000000"/>
          <w:sz w:val="20"/>
          <w:szCs w:val="20"/>
        </w:rPr>
        <w:t>Tuition</w:t>
      </w:r>
      <w:r>
        <w:rPr>
          <w:rFonts w:eastAsia="Times New Roman"/>
          <w:color w:val="000000"/>
          <w:sz w:val="20"/>
          <w:szCs w:val="20"/>
        </w:rPr>
        <w:t>. We offer tuition assistance for all team members and their immediate family to help families meet their educational goals and career aspirations.</w:t>
      </w:r>
    </w:p>
    <w:p w:rsidR="00000000" w:rsidRDefault="0061405A">
      <w:pPr>
        <w:jc w:val="both"/>
        <w:divId w:val="1859469385"/>
        <w:rPr>
          <w:rFonts w:eastAsia="Times New Roman"/>
        </w:rPr>
      </w:pPr>
      <w:r>
        <w:rPr>
          <w:rFonts w:eastAsia="Times New Roman"/>
          <w:color w:val="000000"/>
          <w:sz w:val="20"/>
          <w:szCs w:val="20"/>
        </w:rPr>
        <w:t>We a</w:t>
      </w:r>
      <w:r>
        <w:rPr>
          <w:rFonts w:eastAsia="Times New Roman"/>
          <w:color w:val="000000"/>
          <w:sz w:val="20"/>
          <w:szCs w:val="20"/>
        </w:rPr>
        <w:t xml:space="preserve">re continually focused on how we can offer the best workplace in our industry and we are proud of these new benefits that honor our commitment to inclusion and diversity. </w:t>
      </w:r>
    </w:p>
    <w:p w:rsidR="00000000" w:rsidRDefault="0061405A">
      <w:pPr>
        <w:jc w:val="both"/>
        <w:rPr>
          <w:rFonts w:eastAsia="Times New Roman"/>
        </w:rPr>
      </w:pPr>
      <w:r>
        <w:rPr>
          <w:rFonts w:eastAsia="Times New Roman"/>
          <w:color w:val="000000"/>
          <w:sz w:val="20"/>
          <w:szCs w:val="20"/>
        </w:rPr>
        <w:t>The health and well-being of our employees and guests remains our top priority. We a</w:t>
      </w:r>
      <w:r>
        <w:rPr>
          <w:rFonts w:eastAsia="Times New Roman"/>
          <w:color w:val="000000"/>
          <w:sz w:val="20"/>
          <w:szCs w:val="20"/>
        </w:rPr>
        <w:t>re benefiting from investments over the past year including sanitizers throughout the restaurants, wellness protocols and enhanced handwashing. In addition, we are closely following the recommendations of the Centers for Disease Control and local health de</w:t>
      </w:r>
      <w:r>
        <w:rPr>
          <w:rFonts w:eastAsia="Times New Roman"/>
          <w:color w:val="000000"/>
          <w:sz w:val="20"/>
          <w:szCs w:val="20"/>
        </w:rPr>
        <w:t xml:space="preserve">partments and have implemented social </w:t>
      </w:r>
    </w:p>
    <w:p w:rsidR="00000000" w:rsidRDefault="0061405A">
      <w:pPr>
        <w:ind w:firstLine="720"/>
        <w:jc w:val="center"/>
        <w:divId w:val="1248419981"/>
        <w:rPr>
          <w:rFonts w:eastAsia="Times New Roman"/>
        </w:rPr>
      </w:pPr>
      <w:r>
        <w:rPr>
          <w:rFonts w:eastAsia="Times New Roman"/>
          <w:color w:val="000000"/>
          <w:sz w:val="20"/>
          <w:szCs w:val="20"/>
        </w:rPr>
        <w:t>6</w:t>
      </w:r>
    </w:p>
    <w:p w:rsidR="00000000" w:rsidRDefault="0061405A">
      <w:pPr>
        <w:rPr>
          <w:rFonts w:eastAsia="Times New Roman"/>
        </w:rPr>
      </w:pPr>
      <w:r>
        <w:rPr>
          <w:rFonts w:eastAsia="Times New Roman"/>
        </w:rPr>
        <w:pict>
          <v:rect id="_x0000_i1033" style="width:0;height:1.5pt" o:hralign="center" o:hrstd="t" o:hr="t" fillcolor="#a0a0a0" stroked="f"/>
        </w:pict>
      </w:r>
    </w:p>
    <w:p w:rsidR="00000000" w:rsidRDefault="0061405A">
      <w:pPr>
        <w:divId w:val="477109117"/>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both"/>
        <w:rPr>
          <w:rFonts w:eastAsia="Times New Roman"/>
        </w:rPr>
      </w:pPr>
      <w:r>
        <w:rPr>
          <w:rFonts w:eastAsia="Times New Roman"/>
          <w:color w:val="000000"/>
          <w:sz w:val="20"/>
          <w:szCs w:val="20"/>
        </w:rPr>
        <w:t>distancing, wearing face masks and enhanced cleaning and sanitizing of our high-traffi</w:t>
      </w:r>
      <w:r>
        <w:rPr>
          <w:rFonts w:eastAsia="Times New Roman"/>
          <w:color w:val="000000"/>
          <w:sz w:val="20"/>
          <w:szCs w:val="20"/>
        </w:rPr>
        <w:t>c areas. Collectively, these efforts give our employees and guests confidence that we remain dedicated to our commitment to keep them safe.</w:t>
      </w:r>
    </w:p>
    <w:p w:rsidR="00000000" w:rsidRDefault="0061405A">
      <w:pPr>
        <w:jc w:val="both"/>
        <w:divId w:val="2000496827"/>
        <w:rPr>
          <w:rFonts w:eastAsia="Times New Roman"/>
        </w:rPr>
      </w:pPr>
      <w:r>
        <w:rPr>
          <w:rFonts w:eastAsia="Times New Roman"/>
          <w:color w:val="000000"/>
          <w:sz w:val="20"/>
          <w:szCs w:val="20"/>
        </w:rPr>
        <w:t>As of December 29, 2020, we had approximately 8,400 employees, including approximately 500 salaried employees and ap</w:t>
      </w:r>
      <w:r>
        <w:rPr>
          <w:rFonts w:eastAsia="Times New Roman"/>
          <w:color w:val="000000"/>
          <w:sz w:val="20"/>
          <w:szCs w:val="20"/>
        </w:rPr>
        <w:t>proximately 7,900 hourly employees. None of our employees are unionized or covered by a collective bargaining agreement, and we consider our current employee relations to be good.</w:t>
      </w:r>
    </w:p>
    <w:p w:rsidR="00000000" w:rsidRDefault="0061405A">
      <w:pPr>
        <w:divId w:val="732236696"/>
        <w:rPr>
          <w:rFonts w:eastAsia="Times New Roman"/>
        </w:rPr>
      </w:pPr>
    </w:p>
    <w:p w:rsidR="00000000" w:rsidRDefault="0061405A">
      <w:pPr>
        <w:jc w:val="both"/>
        <w:divId w:val="1405489098"/>
        <w:rPr>
          <w:rFonts w:eastAsia="Times New Roman"/>
        </w:rPr>
      </w:pPr>
      <w:r>
        <w:rPr>
          <w:rFonts w:eastAsia="Times New Roman"/>
          <w:b/>
          <w:bCs/>
          <w:color w:val="000000"/>
          <w:sz w:val="20"/>
          <w:szCs w:val="20"/>
        </w:rPr>
        <w:t>Suppliers</w:t>
      </w:r>
    </w:p>
    <w:p w:rsidR="00000000" w:rsidRDefault="0061405A">
      <w:pPr>
        <w:jc w:val="both"/>
        <w:divId w:val="1178151551"/>
        <w:rPr>
          <w:rFonts w:eastAsia="Times New Roman"/>
        </w:rPr>
      </w:pPr>
      <w:r>
        <w:rPr>
          <w:rFonts w:eastAsia="Times New Roman"/>
          <w:color w:val="000000"/>
          <w:sz w:val="20"/>
          <w:szCs w:val="20"/>
        </w:rPr>
        <w:t xml:space="preserve">Maintaining a high degree of quality in our restaurants depends in part on our ability to acquire fresh ingredients and other necessary supplies that meet our specifications from reliable suppliers. We carefully select suppliers based on quality and their </w:t>
      </w:r>
      <w:r>
        <w:rPr>
          <w:rFonts w:eastAsia="Times New Roman"/>
          <w:color w:val="000000"/>
          <w:sz w:val="20"/>
          <w:szCs w:val="20"/>
        </w:rPr>
        <w:t xml:space="preserve">understanding of our brand, and we seek to develop mutually beneficial long-term relationships with them. We work closely with our suppliers and use a mix of forward, fixed and formula pricing protocols. In some cases, we have made efforts to increase the </w:t>
      </w:r>
      <w:r>
        <w:rPr>
          <w:rFonts w:eastAsia="Times New Roman"/>
          <w:color w:val="000000"/>
          <w:sz w:val="20"/>
          <w:szCs w:val="20"/>
        </w:rPr>
        <w:t>number of suppliers for our ingredients, which we believe can help mitigate pricing volatility. We monitor industry news, trade issues, weather, crises and other world events that may affect supply prices. In addition, a substantial volume of our produce i</w:t>
      </w:r>
      <w:r>
        <w:rPr>
          <w:rFonts w:eastAsia="Times New Roman"/>
          <w:color w:val="000000"/>
          <w:sz w:val="20"/>
          <w:szCs w:val="20"/>
        </w:rPr>
        <w:t xml:space="preserve">tems are grown in Mexico and other countries and any new or increased import duties, tariffs or taxes, or other changes in U.S. trade or tax policy, could result in higher food and supply costs. </w:t>
      </w:r>
    </w:p>
    <w:p w:rsidR="00000000" w:rsidRDefault="0061405A">
      <w:pPr>
        <w:jc w:val="both"/>
        <w:divId w:val="1637104335"/>
        <w:rPr>
          <w:rFonts w:eastAsia="Times New Roman"/>
        </w:rPr>
      </w:pPr>
      <w:r>
        <w:rPr>
          <w:rFonts w:eastAsia="Times New Roman"/>
          <w:b/>
          <w:bCs/>
          <w:color w:val="000000"/>
          <w:sz w:val="20"/>
          <w:szCs w:val="20"/>
        </w:rPr>
        <w:t>Seasonality</w:t>
      </w:r>
    </w:p>
    <w:p w:rsidR="00000000" w:rsidRDefault="0061405A">
      <w:pPr>
        <w:jc w:val="both"/>
        <w:divId w:val="713308044"/>
        <w:rPr>
          <w:rFonts w:eastAsia="Times New Roman"/>
        </w:rPr>
      </w:pPr>
      <w:r>
        <w:rPr>
          <w:rFonts w:eastAsia="Times New Roman"/>
          <w:color w:val="000000"/>
          <w:sz w:val="20"/>
          <w:szCs w:val="20"/>
        </w:rPr>
        <w:t>Seasonal factors and the timing of holidays caus</w:t>
      </w:r>
      <w:r>
        <w:rPr>
          <w:rFonts w:eastAsia="Times New Roman"/>
          <w:color w:val="000000"/>
          <w:sz w:val="20"/>
          <w:szCs w:val="20"/>
        </w:rPr>
        <w:t xml:space="preserve">e our revenue to fluctuate from quarter to quarter. Our revenue per restaurant is typically lower in the first and fourth quarters, due to reduced winter and holiday traffic, and higher in the second and third quarters. </w:t>
      </w:r>
    </w:p>
    <w:p w:rsidR="00000000" w:rsidRDefault="0061405A">
      <w:pPr>
        <w:jc w:val="both"/>
        <w:divId w:val="122356915"/>
        <w:rPr>
          <w:rFonts w:eastAsia="Times New Roman"/>
        </w:rPr>
      </w:pPr>
      <w:r>
        <w:rPr>
          <w:rFonts w:eastAsia="Times New Roman"/>
          <w:b/>
          <w:bCs/>
          <w:color w:val="000000"/>
          <w:sz w:val="20"/>
          <w:szCs w:val="20"/>
        </w:rPr>
        <w:t>Competition</w:t>
      </w:r>
    </w:p>
    <w:p w:rsidR="00000000" w:rsidRDefault="0061405A">
      <w:pPr>
        <w:jc w:val="both"/>
        <w:divId w:val="1491362044"/>
        <w:rPr>
          <w:rFonts w:eastAsia="Times New Roman"/>
        </w:rPr>
      </w:pPr>
      <w:r>
        <w:rPr>
          <w:rFonts w:eastAsia="Times New Roman"/>
          <w:color w:val="000000"/>
          <w:sz w:val="20"/>
          <w:szCs w:val="20"/>
        </w:rPr>
        <w:t>We face competition fro</w:t>
      </w:r>
      <w:r>
        <w:rPr>
          <w:rFonts w:eastAsia="Times New Roman"/>
          <w:color w:val="000000"/>
          <w:sz w:val="20"/>
          <w:szCs w:val="20"/>
        </w:rPr>
        <w:t xml:space="preserve">m the casual dining, quick-service and fast-casual segments of the restaurant industry. These segments are highly competitive with respect to taste, price, food quality and presentation, service, location and the ambiance and condition of each restaurant, </w:t>
      </w:r>
      <w:r>
        <w:rPr>
          <w:rFonts w:eastAsia="Times New Roman"/>
          <w:color w:val="000000"/>
          <w:sz w:val="20"/>
          <w:szCs w:val="20"/>
        </w:rPr>
        <w:t>among other things. Our competition includes a variety of locally owned restaurants and national and regional chains who offer dine-in, carry-out and delivery services. Many of our competitors have existed longer and have a more established market presence</w:t>
      </w:r>
      <w:r>
        <w:rPr>
          <w:rFonts w:eastAsia="Times New Roman"/>
          <w:color w:val="000000"/>
          <w:sz w:val="20"/>
          <w:szCs w:val="20"/>
        </w:rPr>
        <w:t xml:space="preserve"> with substantially greater financial, marketing, personnel and other resources than we have. Among our competitors are a number of multi-unit, multi-market fast-casual restaurant concepts, some of which are expanding nationally. As we expand, we will face</w:t>
      </w:r>
      <w:r>
        <w:rPr>
          <w:rFonts w:eastAsia="Times New Roman"/>
          <w:color w:val="000000"/>
          <w:sz w:val="20"/>
          <w:szCs w:val="20"/>
        </w:rPr>
        <w:t xml:space="preserve"> competition from these concepts and new competitors that strive to compete with our market segments. </w:t>
      </w:r>
    </w:p>
    <w:p w:rsidR="00000000" w:rsidRDefault="0061405A">
      <w:pPr>
        <w:jc w:val="both"/>
        <w:divId w:val="1419860842"/>
        <w:rPr>
          <w:rFonts w:eastAsia="Times New Roman"/>
        </w:rPr>
      </w:pPr>
      <w:r>
        <w:rPr>
          <w:rFonts w:eastAsia="Times New Roman"/>
          <w:color w:val="000000"/>
          <w:sz w:val="20"/>
          <w:szCs w:val="20"/>
        </w:rPr>
        <w:t>We also face competition from firms outside the restaurant industry, such as grocery stores and home meal replacement services, who sell prepared meals f</w:t>
      </w:r>
      <w:r>
        <w:rPr>
          <w:rFonts w:eastAsia="Times New Roman"/>
          <w:color w:val="000000"/>
          <w:sz w:val="20"/>
          <w:szCs w:val="20"/>
        </w:rPr>
        <w:t>or takeout and in some cases, offer delivery service.</w:t>
      </w:r>
    </w:p>
    <w:p w:rsidR="00000000" w:rsidRDefault="0061405A">
      <w:pPr>
        <w:jc w:val="both"/>
        <w:divId w:val="529338317"/>
        <w:rPr>
          <w:rFonts w:eastAsia="Times New Roman"/>
        </w:rPr>
      </w:pPr>
      <w:r>
        <w:rPr>
          <w:rFonts w:eastAsia="Times New Roman"/>
          <w:b/>
          <w:bCs/>
          <w:color w:val="000000"/>
          <w:sz w:val="20"/>
          <w:szCs w:val="20"/>
        </w:rPr>
        <w:t>Intellectual Property and Trademarks</w:t>
      </w:r>
    </w:p>
    <w:p w:rsidR="00000000" w:rsidRDefault="0061405A">
      <w:pPr>
        <w:jc w:val="both"/>
        <w:divId w:val="912931160"/>
        <w:rPr>
          <w:rFonts w:eastAsia="Times New Roman"/>
        </w:rPr>
      </w:pPr>
      <w:r>
        <w:rPr>
          <w:rFonts w:eastAsia="Times New Roman"/>
          <w:color w:val="000000"/>
          <w:sz w:val="20"/>
          <w:szCs w:val="20"/>
        </w:rPr>
        <w:t>We own a number of trademarks and service marks registered or pending with the U.S. Patent and Trademark Office (“PTO”). The marks we have registered with the PTO in</w:t>
      </w:r>
      <w:r>
        <w:rPr>
          <w:rFonts w:eastAsia="Times New Roman"/>
          <w:color w:val="000000"/>
          <w:sz w:val="20"/>
          <w:szCs w:val="20"/>
        </w:rPr>
        <w:t>clude the following: Noodles &amp; Company, the Noodles &amp; Company logo, Your World Kitchen, Noodles &amp; Company World Kitchen, Noodles World Kitchen, Noodles Rewards and Wisconsin Mac &amp; Cheese. We also have certain trademarks registered or pending in certain for</w:t>
      </w:r>
      <w:r>
        <w:rPr>
          <w:rFonts w:eastAsia="Times New Roman"/>
          <w:color w:val="000000"/>
          <w:sz w:val="20"/>
          <w:szCs w:val="20"/>
        </w:rPr>
        <w:t xml:space="preserve">eign countries. In addition, we own the Internet domain name </w:t>
      </w:r>
      <w:r>
        <w:rPr>
          <w:rFonts w:eastAsia="Times New Roman"/>
          <w:i/>
          <w:iCs/>
          <w:color w:val="000000"/>
          <w:sz w:val="20"/>
          <w:szCs w:val="20"/>
        </w:rPr>
        <w:t>www.noodles.com</w:t>
      </w:r>
      <w:r>
        <w:rPr>
          <w:rFonts w:eastAsia="Times New Roman"/>
          <w:color w:val="000000"/>
          <w:sz w:val="20"/>
          <w:szCs w:val="20"/>
        </w:rPr>
        <w:t xml:space="preserve">. The information on, or that can be accessed through, our website is not part of this report. We believe that our trademarks, service marks and other intellectual property rights </w:t>
      </w:r>
      <w:r>
        <w:rPr>
          <w:rFonts w:eastAsia="Times New Roman"/>
          <w:color w:val="000000"/>
          <w:sz w:val="20"/>
          <w:szCs w:val="20"/>
        </w:rPr>
        <w:t>have significant value and are important to the marketing of our brand, and it is our policy to protect and defend vigorously our rights to such intellectual property.</w:t>
      </w:r>
    </w:p>
    <w:p w:rsidR="00000000" w:rsidRDefault="0061405A">
      <w:pPr>
        <w:jc w:val="both"/>
        <w:divId w:val="1843665878"/>
        <w:rPr>
          <w:rFonts w:eastAsia="Times New Roman"/>
        </w:rPr>
      </w:pPr>
      <w:r>
        <w:rPr>
          <w:rFonts w:eastAsia="Times New Roman"/>
          <w:b/>
          <w:bCs/>
          <w:color w:val="000000"/>
          <w:sz w:val="20"/>
          <w:szCs w:val="20"/>
        </w:rPr>
        <w:t>Governmental Regulation and Environmental Matters</w:t>
      </w:r>
    </w:p>
    <w:p w:rsidR="00000000" w:rsidRDefault="0061405A">
      <w:pPr>
        <w:jc w:val="both"/>
        <w:divId w:val="67506308"/>
        <w:rPr>
          <w:rFonts w:eastAsia="Times New Roman"/>
        </w:rPr>
      </w:pPr>
      <w:r>
        <w:rPr>
          <w:rFonts w:eastAsia="Times New Roman"/>
          <w:color w:val="000000"/>
          <w:sz w:val="20"/>
          <w:szCs w:val="20"/>
        </w:rPr>
        <w:t>We are subject to extensive and varied federal, state and local government regulation, including regulations relating to public and occupational health and safety, sanitation and fire prevention. We operate</w:t>
      </w:r>
      <w:r>
        <w:rPr>
          <w:rFonts w:eastAsia="Times New Roman"/>
          <w:color w:val="000000"/>
          <w:sz w:val="20"/>
          <w:szCs w:val="20"/>
        </w:rPr>
        <w:t xml:space="preserve"> each of our restaurants in accordance with standards and procedures designed to comply with applicable codes and regulations. However, an inability to obtain or retain health department or other licenses could adversely affect our operations. Although we </w:t>
      </w:r>
      <w:r>
        <w:rPr>
          <w:rFonts w:eastAsia="Times New Roman"/>
          <w:color w:val="000000"/>
          <w:sz w:val="20"/>
          <w:szCs w:val="20"/>
        </w:rPr>
        <w:t>have not experienced, and do not anticipate, any significant difficulties, delays or failures in obtaining required licenses, permits or approvals, any such problem could delay or prevent the opening of, or adversely impact the viability of, a particular r</w:t>
      </w:r>
      <w:r>
        <w:rPr>
          <w:rFonts w:eastAsia="Times New Roman"/>
          <w:color w:val="000000"/>
          <w:sz w:val="20"/>
          <w:szCs w:val="20"/>
        </w:rPr>
        <w:t>estaurant or group of restaurants.</w:t>
      </w:r>
    </w:p>
    <w:p w:rsidR="00000000" w:rsidRDefault="0061405A">
      <w:pPr>
        <w:ind w:firstLine="720"/>
        <w:jc w:val="center"/>
        <w:divId w:val="349339240"/>
        <w:rPr>
          <w:rFonts w:eastAsia="Times New Roman"/>
        </w:rPr>
      </w:pPr>
      <w:r>
        <w:rPr>
          <w:rFonts w:eastAsia="Times New Roman"/>
          <w:color w:val="000000"/>
          <w:sz w:val="20"/>
          <w:szCs w:val="20"/>
        </w:rPr>
        <w:t>7</w:t>
      </w:r>
    </w:p>
    <w:p w:rsidR="00000000" w:rsidRDefault="0061405A">
      <w:pPr>
        <w:rPr>
          <w:rFonts w:eastAsia="Times New Roman"/>
        </w:rPr>
      </w:pPr>
      <w:r>
        <w:rPr>
          <w:rFonts w:eastAsia="Times New Roman"/>
        </w:rPr>
        <w:pict>
          <v:rect id="_x0000_i1034" style="width:0;height:1.5pt" o:hralign="center" o:hrstd="t" o:hr="t" fillcolor="#a0a0a0" stroked="f"/>
        </w:pict>
      </w:r>
    </w:p>
    <w:p w:rsidR="00000000" w:rsidRDefault="0061405A">
      <w:pPr>
        <w:divId w:val="1445343629"/>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both"/>
        <w:divId w:val="2120025127"/>
        <w:rPr>
          <w:rFonts w:eastAsia="Times New Roman"/>
        </w:rPr>
      </w:pPr>
      <w:r>
        <w:rPr>
          <w:rFonts w:eastAsia="Times New Roman"/>
          <w:color w:val="000000"/>
          <w:sz w:val="20"/>
          <w:szCs w:val="20"/>
        </w:rPr>
        <w:t>In addition, in order to develop and construct restaurants, we need to comply with applica</w:t>
      </w:r>
      <w:r>
        <w:rPr>
          <w:rFonts w:eastAsia="Times New Roman"/>
          <w:color w:val="000000"/>
          <w:sz w:val="20"/>
          <w:szCs w:val="20"/>
        </w:rPr>
        <w:t>ble zoning, land use and environmental regulations. Federal and state environmental regulations have not had a material effect on our operations to date, but more stringent and varied requirements of local governmental bodies with respect to zoning, land u</w:t>
      </w:r>
      <w:r>
        <w:rPr>
          <w:rFonts w:eastAsia="Times New Roman"/>
          <w:color w:val="000000"/>
          <w:sz w:val="20"/>
          <w:szCs w:val="20"/>
        </w:rPr>
        <w:t>se and environmental factors could delay or even prevent construction and increase development costs for new restaurants. We are also required to comply with the accessibility standards mandated by the U.S. Americans with Disabilities Act (“ADA”), which ge</w:t>
      </w:r>
      <w:r>
        <w:rPr>
          <w:rFonts w:eastAsia="Times New Roman"/>
          <w:color w:val="000000"/>
          <w:sz w:val="20"/>
          <w:szCs w:val="20"/>
        </w:rPr>
        <w:t>nerally prohibits discrimination in accommodation or employment based on disability. We may in the future have to modify restaurants, for example by adding access ramps or redesigning certain architectural fixtures, to provide service to or make reasonable</w:t>
      </w:r>
      <w:r>
        <w:rPr>
          <w:rFonts w:eastAsia="Times New Roman"/>
          <w:color w:val="000000"/>
          <w:sz w:val="20"/>
          <w:szCs w:val="20"/>
        </w:rPr>
        <w:t xml:space="preserve"> accommodations for disabled persons. While these expenses could be material, our current expectation is that any such actions will not require us to expend substantial funds.</w:t>
      </w:r>
    </w:p>
    <w:p w:rsidR="00000000" w:rsidRDefault="0061405A">
      <w:pPr>
        <w:jc w:val="both"/>
        <w:divId w:val="1624266392"/>
        <w:rPr>
          <w:rFonts w:eastAsia="Times New Roman"/>
        </w:rPr>
      </w:pPr>
      <w:r>
        <w:rPr>
          <w:rFonts w:eastAsia="Times New Roman"/>
          <w:color w:val="000000"/>
          <w:sz w:val="20"/>
          <w:szCs w:val="20"/>
        </w:rPr>
        <w:t>In addition, we are subject to the U.S. Fair Labor Standards Act, the U.S. Immig</w:t>
      </w:r>
      <w:r>
        <w:rPr>
          <w:rFonts w:eastAsia="Times New Roman"/>
          <w:color w:val="000000"/>
          <w:sz w:val="20"/>
          <w:szCs w:val="20"/>
        </w:rPr>
        <w:t>ration Reform and Control Act of 1986, the Occupational Safety and Health Act and various other federal and state laws governing similar matters including minimum wages, overtime, workplace safety and other working conditions. Our failure to fully comply w</w:t>
      </w:r>
      <w:r>
        <w:rPr>
          <w:rFonts w:eastAsia="Times New Roman"/>
          <w:color w:val="000000"/>
          <w:sz w:val="20"/>
          <w:szCs w:val="20"/>
        </w:rPr>
        <w:t>ith these laws could subject us to potential litigation and liability. We are also subject to various laws and regulations relating to our current and any future franchise operations.</w:t>
      </w:r>
    </w:p>
    <w:p w:rsidR="00000000" w:rsidRDefault="0061405A">
      <w:pPr>
        <w:jc w:val="both"/>
        <w:divId w:val="757941718"/>
        <w:rPr>
          <w:rFonts w:eastAsia="Times New Roman"/>
        </w:rPr>
      </w:pPr>
      <w:r>
        <w:rPr>
          <w:rFonts w:eastAsia="Times New Roman"/>
          <w:color w:val="000000"/>
          <w:sz w:val="20"/>
          <w:szCs w:val="20"/>
        </w:rPr>
        <w:t>We are also subject to the Patient Protection and Affordable Care Act of</w:t>
      </w:r>
      <w:r>
        <w:rPr>
          <w:rFonts w:eastAsia="Times New Roman"/>
          <w:color w:val="000000"/>
          <w:sz w:val="20"/>
          <w:szCs w:val="20"/>
        </w:rPr>
        <w:t xml:space="preserve"> 2010 (the “PPACA”), which requires health care coverage for many previously uninsured individuals and expands coverage for those already insured. We began offering such benefits in 2015. It is possible that legislation will be passed by Congress and signe</w:t>
      </w:r>
      <w:r>
        <w:rPr>
          <w:rFonts w:eastAsia="Times New Roman"/>
          <w:color w:val="000000"/>
          <w:sz w:val="20"/>
          <w:szCs w:val="20"/>
        </w:rPr>
        <w:t>d into law that repeals the PPACA, in whole or in part, and/or introduces a new form of health care reform. It is unclear at this point what the scope of any such legislation will be and when it would become effective. Because of the uncertainty surroundin</w:t>
      </w:r>
      <w:r>
        <w:rPr>
          <w:rFonts w:eastAsia="Times New Roman"/>
          <w:color w:val="000000"/>
          <w:sz w:val="20"/>
          <w:szCs w:val="20"/>
        </w:rPr>
        <w:t>g possible replacement health care reform legislation, we cannot predict with any certainty the likely impact of the PPACA’s repeal or the adoption of any other health care reform legislation on our business, financial condition or results of operations. W</w:t>
      </w:r>
      <w:r>
        <w:rPr>
          <w:rFonts w:eastAsia="Times New Roman"/>
          <w:color w:val="000000"/>
          <w:sz w:val="20"/>
          <w:szCs w:val="20"/>
        </w:rPr>
        <w:t>hether or not there is alternative health care legislation enacted in the U.S., there may be significant disruption to the health care market in the coming months and years and the costs of the Company’s health care expenditures may increase.</w:t>
      </w:r>
    </w:p>
    <w:p w:rsidR="00000000" w:rsidRDefault="0061405A">
      <w:pPr>
        <w:jc w:val="both"/>
        <w:divId w:val="1068764782"/>
        <w:rPr>
          <w:rFonts w:eastAsia="Times New Roman"/>
        </w:rPr>
      </w:pPr>
      <w:r>
        <w:rPr>
          <w:rFonts w:eastAsia="Times New Roman"/>
          <w:color w:val="000000"/>
          <w:sz w:val="20"/>
          <w:szCs w:val="20"/>
        </w:rPr>
        <w:t>We are subjec</w:t>
      </w:r>
      <w:r>
        <w:rPr>
          <w:rFonts w:eastAsia="Times New Roman"/>
          <w:color w:val="000000"/>
          <w:sz w:val="20"/>
          <w:szCs w:val="20"/>
        </w:rPr>
        <w:t>t to federal, state and local environmental laws and regulations concerning waste disposal, pollution, protection of the environment and the presence, discharge, storage, handling, release and disposal of, or exposure to, hazardous or toxic substances (“en</w:t>
      </w:r>
      <w:r>
        <w:rPr>
          <w:rFonts w:eastAsia="Times New Roman"/>
          <w:color w:val="000000"/>
          <w:sz w:val="20"/>
          <w:szCs w:val="20"/>
        </w:rPr>
        <w:t xml:space="preserve">vironmental laws”). These environmental laws can provide for significant fines and penalties for non-compliance and liabilities for remediation, sometimes without regard to whether the owner or operator of the property knew of, or was responsible for, the </w:t>
      </w:r>
      <w:r>
        <w:rPr>
          <w:rFonts w:eastAsia="Times New Roman"/>
          <w:color w:val="000000"/>
          <w:sz w:val="20"/>
          <w:szCs w:val="20"/>
        </w:rPr>
        <w:t>release or presence of the hazardous or toxic substances. Third parties may also make claims against owners or operators of properties for personal injuries and property damage associated with releases of, or actual or alleged exposure to, such substances.</w:t>
      </w:r>
      <w:r>
        <w:rPr>
          <w:rFonts w:eastAsia="Times New Roman"/>
          <w:color w:val="000000"/>
          <w:sz w:val="20"/>
          <w:szCs w:val="20"/>
        </w:rPr>
        <w:t xml:space="preserve"> We are not aware of any environmental laws that will materially affect our earnings or competitive position, or result in material capital expenditures relating to our restaurants. However, we cannot predict what environmental laws will be enacted in the </w:t>
      </w:r>
      <w:r>
        <w:rPr>
          <w:rFonts w:eastAsia="Times New Roman"/>
          <w:color w:val="000000"/>
          <w:sz w:val="20"/>
          <w:szCs w:val="20"/>
        </w:rPr>
        <w:t>future, how existing or future environmental laws will be administered, interpreted or enforced, or the amount of future expenditures that we may need to make to comply with, or to satisfy claims relating to, environmental laws. It is possible that we will</w:t>
      </w:r>
      <w:r>
        <w:rPr>
          <w:rFonts w:eastAsia="Times New Roman"/>
          <w:color w:val="000000"/>
          <w:sz w:val="20"/>
          <w:szCs w:val="20"/>
        </w:rPr>
        <w:t xml:space="preserve"> become subject to environmental liabilities at our properties, and any such liabilities could materially affect our business, financial condition or results of operations.</w:t>
      </w:r>
    </w:p>
    <w:p w:rsidR="00000000" w:rsidRDefault="0061405A">
      <w:pPr>
        <w:jc w:val="both"/>
        <w:divId w:val="315573376"/>
        <w:rPr>
          <w:rFonts w:eastAsia="Times New Roman"/>
        </w:rPr>
      </w:pPr>
      <w:r>
        <w:rPr>
          <w:rFonts w:eastAsia="Times New Roman"/>
          <w:b/>
          <w:bCs/>
          <w:color w:val="000000"/>
          <w:sz w:val="20"/>
          <w:szCs w:val="20"/>
        </w:rPr>
        <w:t>Management Information Systems</w:t>
      </w:r>
    </w:p>
    <w:p w:rsidR="00000000" w:rsidRDefault="0061405A">
      <w:pPr>
        <w:jc w:val="both"/>
        <w:divId w:val="2047440035"/>
        <w:rPr>
          <w:rFonts w:eastAsia="Times New Roman"/>
        </w:rPr>
      </w:pPr>
      <w:r>
        <w:rPr>
          <w:rFonts w:eastAsia="Times New Roman"/>
          <w:color w:val="000000"/>
          <w:sz w:val="20"/>
          <w:szCs w:val="20"/>
        </w:rPr>
        <w:t>We use a variety of applications and systems to secu</w:t>
      </w:r>
      <w:r>
        <w:rPr>
          <w:rFonts w:eastAsia="Times New Roman"/>
          <w:color w:val="000000"/>
          <w:sz w:val="20"/>
          <w:szCs w:val="20"/>
        </w:rPr>
        <w:t>rely manage the flow of information within each restaurant, and within our central support office infrastructure. All of our restaurants use computerized management information systems, which we believe are scalable to support any future growth plans. We u</w:t>
      </w:r>
      <w:r>
        <w:rPr>
          <w:rFonts w:eastAsia="Times New Roman"/>
          <w:color w:val="000000"/>
          <w:sz w:val="20"/>
          <w:szCs w:val="20"/>
        </w:rPr>
        <w:t>se point-of-sale (“POS”) computers designed specifically for the restaurant industry. Our POS system provides a touch screen interface, a graphical order confirmation display and integrated, high-speed credit card and gift card processing. Our online order</w:t>
      </w:r>
      <w:r>
        <w:rPr>
          <w:rFonts w:eastAsia="Times New Roman"/>
          <w:color w:val="000000"/>
          <w:sz w:val="20"/>
          <w:szCs w:val="20"/>
        </w:rPr>
        <w:t>ing system allows customers to place orders online or through our mobile app. Orders taken remotely are routed to the point-of-sale system based on the time of customer order pickup. The POS system is used to collect daily transaction data, which generates</w:t>
      </w:r>
      <w:r>
        <w:rPr>
          <w:rFonts w:eastAsia="Times New Roman"/>
          <w:color w:val="000000"/>
          <w:sz w:val="20"/>
          <w:szCs w:val="20"/>
        </w:rPr>
        <w:t xml:space="preserve"> information about daily sales, product mix and average check that we actively analyze. All products sold and prices at our company-owned restaurants are programmed into the system from our central support office. We also continue to modernize and make inv</w:t>
      </w:r>
      <w:r>
        <w:rPr>
          <w:rFonts w:eastAsia="Times New Roman"/>
          <w:color w:val="000000"/>
          <w:sz w:val="20"/>
          <w:szCs w:val="20"/>
        </w:rPr>
        <w:t>estments in our information technology networks and infrastructure, specifically in our physical and technological security measures, to anticipate cyber-attacks and defend against breaches and to provide improved control, security and scalability. Enhanci</w:t>
      </w:r>
      <w:r>
        <w:rPr>
          <w:rFonts w:eastAsia="Times New Roman"/>
          <w:color w:val="000000"/>
          <w:sz w:val="20"/>
          <w:szCs w:val="20"/>
        </w:rPr>
        <w:t xml:space="preserve">ng the security of our financial data, customer information and other personal information is a high priority for us. </w:t>
      </w:r>
    </w:p>
    <w:p w:rsidR="00000000" w:rsidRDefault="0061405A">
      <w:pPr>
        <w:jc w:val="both"/>
        <w:divId w:val="855119820"/>
        <w:rPr>
          <w:rFonts w:eastAsia="Times New Roman"/>
        </w:rPr>
      </w:pPr>
      <w:r>
        <w:rPr>
          <w:rFonts w:eastAsia="Times New Roman"/>
          <w:color w:val="000000"/>
          <w:sz w:val="20"/>
          <w:szCs w:val="20"/>
        </w:rPr>
        <w:t xml:space="preserve">Our in-restaurant back office computer system is designed to assist in the management of our restaurants and provide labor and food cost </w:t>
      </w:r>
      <w:r>
        <w:rPr>
          <w:rFonts w:eastAsia="Times New Roman"/>
          <w:color w:val="000000"/>
          <w:sz w:val="20"/>
          <w:szCs w:val="20"/>
        </w:rPr>
        <w:t xml:space="preserve">management tools. These tools provide restaurant operations management and our central support office quick access to </w:t>
      </w:r>
    </w:p>
    <w:p w:rsidR="00000000" w:rsidRDefault="0061405A">
      <w:pPr>
        <w:ind w:firstLine="720"/>
        <w:jc w:val="center"/>
        <w:divId w:val="121582229"/>
        <w:rPr>
          <w:rFonts w:eastAsia="Times New Roman"/>
        </w:rPr>
      </w:pPr>
      <w:r>
        <w:rPr>
          <w:rFonts w:eastAsia="Times New Roman"/>
          <w:color w:val="000000"/>
          <w:sz w:val="20"/>
          <w:szCs w:val="20"/>
        </w:rPr>
        <w:t>8</w:t>
      </w:r>
    </w:p>
    <w:p w:rsidR="00000000" w:rsidRDefault="0061405A">
      <w:pPr>
        <w:rPr>
          <w:rFonts w:eastAsia="Times New Roman"/>
        </w:rPr>
      </w:pPr>
      <w:r>
        <w:rPr>
          <w:rFonts w:eastAsia="Times New Roman"/>
        </w:rPr>
        <w:pict>
          <v:rect id="_x0000_i1035" style="width:0;height:1.5pt" o:hralign="center" o:hrstd="t" o:hr="t" fillcolor="#a0a0a0" stroked="f"/>
        </w:pict>
      </w:r>
    </w:p>
    <w:p w:rsidR="00000000" w:rsidRDefault="0061405A">
      <w:pPr>
        <w:divId w:val="1803840632"/>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both"/>
        <w:divId w:val="315183444"/>
        <w:rPr>
          <w:rFonts w:eastAsia="Times New Roman"/>
        </w:rPr>
      </w:pPr>
      <w:r>
        <w:rPr>
          <w:rFonts w:eastAsia="Times New Roman"/>
          <w:color w:val="000000"/>
          <w:sz w:val="20"/>
          <w:szCs w:val="20"/>
        </w:rPr>
        <w:t>detail</w:t>
      </w:r>
      <w:r>
        <w:rPr>
          <w:rFonts w:eastAsia="Times New Roman"/>
          <w:color w:val="000000"/>
          <w:sz w:val="20"/>
          <w:szCs w:val="20"/>
        </w:rPr>
        <w:t xml:space="preserve">ed business data and reduces restaurant managers’ administrative time. The system provides our restaurant managers the ability to submit orders electronically with our distribution network. The system also supplies sales, bank deposit and variance data to </w:t>
      </w:r>
      <w:r>
        <w:rPr>
          <w:rFonts w:eastAsia="Times New Roman"/>
          <w:color w:val="000000"/>
          <w:sz w:val="20"/>
          <w:szCs w:val="20"/>
        </w:rPr>
        <w:t xml:space="preserve">our accounting department on a daily basis. We use this data to generate daily sales information and weekly consolidated reports regarding sales and other key measures. </w:t>
      </w:r>
    </w:p>
    <w:p w:rsidR="00000000" w:rsidRDefault="0061405A">
      <w:pPr>
        <w:jc w:val="both"/>
        <w:divId w:val="900290447"/>
        <w:rPr>
          <w:rFonts w:eastAsia="Times New Roman"/>
        </w:rPr>
      </w:pPr>
      <w:r>
        <w:rPr>
          <w:rFonts w:eastAsia="Times New Roman"/>
          <w:color w:val="000000"/>
          <w:sz w:val="20"/>
          <w:szCs w:val="20"/>
        </w:rPr>
        <w:t>Franchisees use similar point of sale systems and are required to report sales on a da</w:t>
      </w:r>
      <w:r>
        <w:rPr>
          <w:rFonts w:eastAsia="Times New Roman"/>
          <w:color w:val="000000"/>
          <w:sz w:val="20"/>
          <w:szCs w:val="20"/>
        </w:rPr>
        <w:t>ily basis through an online reporting network and submit their restaurant-level financial statements on a quarterly and annual basis. We also offer certain restaurant technology support services to our franchisees.</w:t>
      </w:r>
    </w:p>
    <w:p w:rsidR="00000000" w:rsidRDefault="0061405A">
      <w:pPr>
        <w:jc w:val="both"/>
        <w:divId w:val="506677057"/>
        <w:rPr>
          <w:rFonts w:eastAsia="Times New Roman"/>
        </w:rPr>
      </w:pPr>
      <w:r>
        <w:rPr>
          <w:rFonts w:eastAsia="Times New Roman"/>
          <w:b/>
          <w:bCs/>
          <w:color w:val="000000"/>
          <w:sz w:val="20"/>
          <w:szCs w:val="20"/>
        </w:rPr>
        <w:t>F</w:t>
      </w:r>
      <w:r>
        <w:rPr>
          <w:rFonts w:eastAsia="Times New Roman"/>
          <w:b/>
          <w:bCs/>
          <w:color w:val="000000"/>
          <w:sz w:val="20"/>
          <w:szCs w:val="20"/>
        </w:rPr>
        <w:t>inancial Information About Segments</w:t>
      </w:r>
    </w:p>
    <w:p w:rsidR="00000000" w:rsidRDefault="0061405A">
      <w:pPr>
        <w:jc w:val="both"/>
        <w:divId w:val="647128074"/>
        <w:rPr>
          <w:rFonts w:eastAsia="Times New Roman"/>
        </w:rPr>
      </w:pPr>
      <w:r>
        <w:rPr>
          <w:rFonts w:eastAsia="Times New Roman"/>
          <w:color w:val="000000"/>
          <w:sz w:val="20"/>
          <w:szCs w:val="20"/>
        </w:rPr>
        <w:t>We operate as a single accounting segment. Financial information related to our business is included in Item 8 of this Annual Report on Form 10-K.</w:t>
      </w:r>
    </w:p>
    <w:p w:rsidR="00000000" w:rsidRDefault="0061405A">
      <w:pPr>
        <w:divId w:val="1811752208"/>
        <w:rPr>
          <w:rFonts w:eastAsia="Times New Roman"/>
        </w:rPr>
      </w:pPr>
      <w:r>
        <w:rPr>
          <w:rFonts w:eastAsia="Times New Roman"/>
          <w:b/>
          <w:bCs/>
          <w:color w:val="000000"/>
          <w:sz w:val="20"/>
          <w:szCs w:val="20"/>
        </w:rPr>
        <w:t xml:space="preserve">Available Information </w:t>
      </w:r>
    </w:p>
    <w:p w:rsidR="00000000" w:rsidRDefault="0061405A">
      <w:pPr>
        <w:jc w:val="both"/>
        <w:divId w:val="1907453671"/>
        <w:rPr>
          <w:rFonts w:eastAsia="Times New Roman"/>
        </w:rPr>
      </w:pPr>
      <w:r>
        <w:rPr>
          <w:rFonts w:eastAsia="Times New Roman"/>
          <w:color w:val="000000"/>
          <w:sz w:val="20"/>
          <w:szCs w:val="20"/>
        </w:rPr>
        <w:t xml:space="preserve">We maintain a website at </w:t>
      </w:r>
      <w:r>
        <w:rPr>
          <w:rFonts w:eastAsia="Times New Roman"/>
          <w:i/>
          <w:iCs/>
          <w:color w:val="000000"/>
          <w:sz w:val="20"/>
          <w:szCs w:val="20"/>
        </w:rPr>
        <w:t>www.noodles.com</w:t>
      </w:r>
      <w:r>
        <w:rPr>
          <w:rFonts w:eastAsia="Times New Roman"/>
          <w:color w:val="000000"/>
          <w:sz w:val="20"/>
          <w:szCs w:val="20"/>
        </w:rPr>
        <w:t>, includin</w:t>
      </w:r>
      <w:r>
        <w:rPr>
          <w:rFonts w:eastAsia="Times New Roman"/>
          <w:color w:val="000000"/>
          <w:sz w:val="20"/>
          <w:szCs w:val="20"/>
        </w:rPr>
        <w:t xml:space="preserve">g an investor relations section at </w:t>
      </w:r>
      <w:r>
        <w:rPr>
          <w:rFonts w:eastAsia="Times New Roman"/>
          <w:i/>
          <w:iCs/>
          <w:color w:val="000000"/>
          <w:sz w:val="20"/>
          <w:szCs w:val="20"/>
        </w:rPr>
        <w:t>investor.noodles.com</w:t>
      </w:r>
      <w:r>
        <w:rPr>
          <w:rFonts w:eastAsia="Times New Roman"/>
          <w:color w:val="000000"/>
          <w:sz w:val="20"/>
          <w:szCs w:val="20"/>
        </w:rPr>
        <w:t>,</w:t>
      </w:r>
      <w:r>
        <w:rPr>
          <w:rFonts w:eastAsia="Times New Roman"/>
          <w:i/>
          <w:iCs/>
          <w:color w:val="000000"/>
          <w:sz w:val="20"/>
          <w:szCs w:val="20"/>
        </w:rPr>
        <w:t xml:space="preserve"> </w:t>
      </w:r>
      <w:r>
        <w:rPr>
          <w:rFonts w:eastAsia="Times New Roman"/>
          <w:color w:val="000000"/>
          <w:sz w:val="20"/>
          <w:szCs w:val="20"/>
        </w:rPr>
        <w:t>on which we routinely post important information, such as webcasts of quarterly earnings calls, and any related materials. You may access our Annual Reports on Form 10-K, Quarterly Reports on Form 10</w:t>
      </w:r>
      <w:r>
        <w:rPr>
          <w:rFonts w:eastAsia="Times New Roman"/>
          <w:color w:val="000000"/>
          <w:sz w:val="20"/>
          <w:szCs w:val="20"/>
        </w:rPr>
        <w:t>-Q, Current Reports on Form 8-K, amendments to those reports and other reports relating to us that are filed with or furnished to the SEC, free of charge in the investor relations section of our website as soon as reasonably practicable after such material</w:t>
      </w:r>
      <w:r>
        <w:rPr>
          <w:rFonts w:eastAsia="Times New Roman"/>
          <w:color w:val="000000"/>
          <w:sz w:val="20"/>
          <w:szCs w:val="20"/>
        </w:rPr>
        <w:t xml:space="preserve"> is electronically filed with or furnished to the SEC. </w:t>
      </w:r>
    </w:p>
    <w:p w:rsidR="00000000" w:rsidRDefault="0061405A">
      <w:pPr>
        <w:jc w:val="both"/>
        <w:divId w:val="1207836216"/>
        <w:rPr>
          <w:rFonts w:eastAsia="Times New Roman"/>
        </w:rPr>
      </w:pPr>
      <w:r>
        <w:rPr>
          <w:rFonts w:eastAsia="Times New Roman"/>
          <w:color w:val="000000"/>
          <w:sz w:val="20"/>
          <w:szCs w:val="20"/>
        </w:rPr>
        <w:t>The contents of the websites mentioned above are not incorporated into and should not be considered a part of this report. The references to the URLs for these websites are intended to be inactive tex</w:t>
      </w:r>
      <w:r>
        <w:rPr>
          <w:rFonts w:eastAsia="Times New Roman"/>
          <w:color w:val="000000"/>
          <w:sz w:val="20"/>
          <w:szCs w:val="20"/>
        </w:rPr>
        <w:t>tual references only.</w:t>
      </w:r>
    </w:p>
    <w:p w:rsidR="00000000" w:rsidRDefault="0061405A">
      <w:pPr>
        <w:ind w:firstLine="720"/>
        <w:jc w:val="center"/>
        <w:divId w:val="1438712839"/>
        <w:rPr>
          <w:rFonts w:eastAsia="Times New Roman"/>
        </w:rPr>
      </w:pPr>
      <w:r>
        <w:rPr>
          <w:rFonts w:eastAsia="Times New Roman"/>
          <w:color w:val="000000"/>
          <w:sz w:val="20"/>
          <w:szCs w:val="20"/>
        </w:rPr>
        <w:t>9</w:t>
      </w:r>
    </w:p>
    <w:p w:rsidR="00000000" w:rsidRDefault="0061405A">
      <w:pPr>
        <w:rPr>
          <w:rFonts w:eastAsia="Times New Roman"/>
        </w:rPr>
      </w:pPr>
      <w:r>
        <w:rPr>
          <w:rFonts w:eastAsia="Times New Roman"/>
        </w:rPr>
        <w:pict>
          <v:rect id="_x0000_i1036" style="width:0;height:1.5pt" o:hralign="center" o:hrstd="t" o:hr="t" fillcolor="#a0a0a0" stroked="f"/>
        </w:pict>
      </w:r>
    </w:p>
    <w:p w:rsidR="00000000" w:rsidRDefault="0061405A">
      <w:pPr>
        <w:divId w:val="1811745635"/>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divId w:val="804276583"/>
        <w:rPr>
          <w:rFonts w:eastAsia="Times New Roman"/>
        </w:rPr>
      </w:pPr>
      <w:r>
        <w:rPr>
          <w:rFonts w:eastAsia="Times New Roman"/>
          <w:b/>
          <w:bCs/>
          <w:color w:val="000000"/>
          <w:sz w:val="20"/>
          <w:szCs w:val="20"/>
        </w:rPr>
        <w:t>ITEM 1A.    Risk Factors</w:t>
      </w:r>
    </w:p>
    <w:p w:rsidR="00000000" w:rsidRDefault="0061405A">
      <w:pPr>
        <w:jc w:val="both"/>
        <w:divId w:val="11534411"/>
        <w:rPr>
          <w:rFonts w:eastAsia="Times New Roman"/>
        </w:rPr>
      </w:pPr>
      <w:r>
        <w:rPr>
          <w:rFonts w:eastAsia="Times New Roman"/>
          <w:i/>
          <w:iCs/>
          <w:color w:val="000000"/>
          <w:sz w:val="20"/>
          <w:szCs w:val="20"/>
        </w:rPr>
        <w:t>Special Note Regarding Forward-Looking Statements</w:t>
      </w:r>
    </w:p>
    <w:p w:rsidR="00000000" w:rsidRDefault="0061405A">
      <w:pPr>
        <w:jc w:val="both"/>
        <w:divId w:val="1346515811"/>
        <w:rPr>
          <w:rFonts w:eastAsia="Times New Roman"/>
        </w:rPr>
      </w:pPr>
      <w:r>
        <w:rPr>
          <w:rFonts w:eastAsia="Times New Roman"/>
          <w:color w:val="000000"/>
          <w:sz w:val="20"/>
          <w:szCs w:val="20"/>
        </w:rPr>
        <w:t>This report contains forward-looking statements within the meaning of the Private Securities Litigation Reform Act of 1995 that involve risks and uncertainties, including but not limited to the risks and uncertainties discussed under this Item 1A. “Risk Fa</w:t>
      </w:r>
      <w:r>
        <w:rPr>
          <w:rFonts w:eastAsia="Times New Roman"/>
          <w:color w:val="000000"/>
          <w:sz w:val="20"/>
          <w:szCs w:val="20"/>
        </w:rPr>
        <w:t>ctors,” Item 7. “Management’s Discussion and Analysis of Financial Condition and Results of Operations” and Item 1. “Business.” In some cases, you can identify forward-looking statements by terms such as “may,” “might,” “will,” “objective,” “intend,” “shou</w:t>
      </w:r>
      <w:r>
        <w:rPr>
          <w:rFonts w:eastAsia="Times New Roman"/>
          <w:color w:val="000000"/>
          <w:sz w:val="20"/>
          <w:szCs w:val="20"/>
        </w:rPr>
        <w:t>ld,” “could,” “can,” “would,” “expect,” “believe,” “design,” “estimate,” “predict,” “potential,” “plan” or the negative of these terms and similar expressions intended to identify forward-looking statements. These statements involve known and unknown risks</w:t>
      </w:r>
      <w:r>
        <w:rPr>
          <w:rFonts w:eastAsia="Times New Roman"/>
          <w:color w:val="000000"/>
          <w:sz w:val="20"/>
          <w:szCs w:val="20"/>
        </w:rPr>
        <w:t>, uncertainties and other factors that may cause our actual results, performance or achievements to be materially different from any future results, performances or achievements expressed or implied by the forward-looking statements. We discuss these risks</w:t>
      </w:r>
      <w:r>
        <w:rPr>
          <w:rFonts w:eastAsia="Times New Roman"/>
          <w:color w:val="000000"/>
          <w:sz w:val="20"/>
          <w:szCs w:val="20"/>
        </w:rPr>
        <w:t>, uncertainties and other factors in greater detail below. These statements reflect our current views with respect to future events and are based on currently available operating, financial and competitive information. Unless required by United States fede</w:t>
      </w:r>
      <w:r>
        <w:rPr>
          <w:rFonts w:eastAsia="Times New Roman"/>
          <w:color w:val="000000"/>
          <w:sz w:val="20"/>
          <w:szCs w:val="20"/>
        </w:rPr>
        <w:t>ral securities laws, we do not intend to update any of these forward-looking statements to reflect circumstances or events that occur after the statement is made.</w:t>
      </w:r>
    </w:p>
    <w:p w:rsidR="00000000" w:rsidRDefault="0061405A">
      <w:pPr>
        <w:jc w:val="both"/>
        <w:divId w:val="2090885730"/>
        <w:rPr>
          <w:rFonts w:eastAsia="Times New Roman"/>
        </w:rPr>
      </w:pPr>
      <w:r>
        <w:rPr>
          <w:rFonts w:eastAsia="Times New Roman"/>
          <w:b/>
          <w:bCs/>
          <w:color w:val="000000"/>
          <w:sz w:val="20"/>
          <w:szCs w:val="20"/>
        </w:rPr>
        <w:t>Risks Related to th</w:t>
      </w:r>
      <w:r>
        <w:rPr>
          <w:rFonts w:eastAsia="Times New Roman"/>
          <w:b/>
          <w:bCs/>
          <w:color w:val="000000"/>
          <w:sz w:val="20"/>
          <w:szCs w:val="20"/>
          <w:shd w:val="clear" w:color="auto" w:fill="FFFFFF"/>
        </w:rPr>
        <w:t>e COVID-19 Pandemic</w:t>
      </w:r>
    </w:p>
    <w:p w:rsidR="00000000" w:rsidRDefault="0061405A">
      <w:pPr>
        <w:jc w:val="both"/>
        <w:rPr>
          <w:rFonts w:eastAsia="Times New Roman"/>
        </w:rPr>
      </w:pPr>
      <w:r>
        <w:rPr>
          <w:rFonts w:eastAsia="Times New Roman"/>
          <w:b/>
          <w:bCs/>
          <w:i/>
          <w:iCs/>
          <w:color w:val="000000"/>
          <w:sz w:val="20"/>
          <w:szCs w:val="20"/>
          <w:shd w:val="clear" w:color="auto" w:fill="FFFFFF"/>
        </w:rPr>
        <w:t>The novel coronavirus (COVID-</w:t>
      </w:r>
      <w:r>
        <w:rPr>
          <w:rFonts w:eastAsia="Times New Roman"/>
          <w:b/>
          <w:bCs/>
          <w:i/>
          <w:iCs/>
          <w:color w:val="000000"/>
          <w:sz w:val="20"/>
          <w:szCs w:val="20"/>
        </w:rPr>
        <w:t>19 pandemic) has adversel</w:t>
      </w:r>
      <w:r>
        <w:rPr>
          <w:rFonts w:eastAsia="Times New Roman"/>
          <w:b/>
          <w:bCs/>
          <w:i/>
          <w:iCs/>
          <w:color w:val="000000"/>
          <w:sz w:val="20"/>
          <w:szCs w:val="20"/>
        </w:rPr>
        <w:t xml:space="preserve">y affected and could continue to adversely affect our financial results, operations and outlook for an extended period of time. </w:t>
      </w:r>
    </w:p>
    <w:p w:rsidR="00000000" w:rsidRDefault="0061405A">
      <w:pPr>
        <w:jc w:val="both"/>
        <w:rPr>
          <w:rFonts w:eastAsia="Times New Roman"/>
        </w:rPr>
      </w:pPr>
    </w:p>
    <w:p w:rsidR="00000000" w:rsidRDefault="0061405A">
      <w:pPr>
        <w:jc w:val="both"/>
        <w:rPr>
          <w:rFonts w:eastAsia="Times New Roman"/>
        </w:rPr>
      </w:pPr>
      <w:r>
        <w:rPr>
          <w:rFonts w:eastAsia="Times New Roman"/>
          <w:color w:val="000000"/>
          <w:sz w:val="20"/>
          <w:szCs w:val="20"/>
          <w:shd w:val="clear" w:color="auto" w:fill="FFFFFF"/>
        </w:rPr>
        <w:t>The novel coronavirus (COVID-19) pandemic, and restrictions imposed by federal, state and local governments in response to the outbreak, have disrupted and is expected to continue to disrupt our business. During 2020, Centers for Disease Control (“CDC”) gu</w:t>
      </w:r>
      <w:r>
        <w:rPr>
          <w:rFonts w:eastAsia="Times New Roman"/>
          <w:color w:val="000000"/>
          <w:sz w:val="20"/>
          <w:szCs w:val="20"/>
          <w:shd w:val="clear" w:color="auto" w:fill="FFFFFF"/>
        </w:rPr>
        <w:t>idance and government imposed restrictions have required individuals located in many areas where we operate our restaurants to practice social distancing, limit gathering in groups and/or “stay home” except for “essential” purposes. In response to the COVI</w:t>
      </w:r>
      <w:r>
        <w:rPr>
          <w:rFonts w:eastAsia="Times New Roman"/>
          <w:color w:val="000000"/>
          <w:sz w:val="20"/>
          <w:szCs w:val="20"/>
          <w:shd w:val="clear" w:color="auto" w:fill="FFFFFF"/>
        </w:rPr>
        <w:t>D-19 pandemic and government restrictions, we were required to temporarily close some of our restaurants, restrict the use of many of our dining rooms while still offering takeout and delivery, and/or implement modified work hours. The mobility restriction</w:t>
      </w:r>
      <w:r>
        <w:rPr>
          <w:rFonts w:eastAsia="Times New Roman"/>
          <w:color w:val="000000"/>
          <w:sz w:val="20"/>
          <w:szCs w:val="20"/>
          <w:shd w:val="clear" w:color="auto" w:fill="FFFFFF"/>
        </w:rPr>
        <w:t>s, fear of contracting the coronavirus and the sharp increase in unemployment caused by the closure of businesses in response to the COVID-19 pandemic, have adversely affected and are expected to continue to adversely affect our guest traffic, which in tur</w:t>
      </w:r>
      <w:r>
        <w:rPr>
          <w:rFonts w:eastAsia="Times New Roman"/>
          <w:color w:val="000000"/>
          <w:sz w:val="20"/>
          <w:szCs w:val="20"/>
          <w:shd w:val="clear" w:color="auto" w:fill="FFFFFF"/>
        </w:rPr>
        <w:t>n could adversely impact our liquidity, financial condition or operating results. Even as and when the mobility restrictions are loosened or lifted, guests may still be reluctant to return to in-restaurant dining. Additionally, the impact of lost wages due</w:t>
      </w:r>
      <w:r>
        <w:rPr>
          <w:rFonts w:eastAsia="Times New Roman"/>
          <w:color w:val="000000"/>
          <w:sz w:val="20"/>
          <w:szCs w:val="20"/>
          <w:shd w:val="clear" w:color="auto" w:fill="FFFFFF"/>
        </w:rPr>
        <w:t xml:space="preserve"> to the COVID-19 pandemic related unemployment may dampen consumer spending for the foreseeable future.</w:t>
      </w:r>
    </w:p>
    <w:p w:rsidR="00000000" w:rsidRDefault="0061405A">
      <w:pPr>
        <w:jc w:val="both"/>
        <w:rPr>
          <w:rFonts w:eastAsia="Times New Roman"/>
        </w:rPr>
      </w:pPr>
    </w:p>
    <w:p w:rsidR="00000000" w:rsidRDefault="0061405A">
      <w:pPr>
        <w:jc w:val="both"/>
        <w:rPr>
          <w:rFonts w:eastAsia="Times New Roman"/>
        </w:rPr>
      </w:pPr>
      <w:r>
        <w:rPr>
          <w:rFonts w:eastAsia="Times New Roman"/>
          <w:color w:val="000000"/>
          <w:sz w:val="20"/>
          <w:szCs w:val="20"/>
        </w:rPr>
        <w:t>In response to the ongoing COVID-19 pandemic, we did the following:</w:t>
      </w:r>
    </w:p>
    <w:p w:rsidR="00000000" w:rsidRDefault="0061405A">
      <w:pPr>
        <w:ind w:hanging="360"/>
        <w:jc w:val="both"/>
        <w:rPr>
          <w:rFonts w:eastAsia="Times New Roman"/>
        </w:rPr>
      </w:pPr>
      <w:r>
        <w:rPr>
          <w:rFonts w:eastAsia="Times New Roman"/>
          <w:color w:val="000000"/>
          <w:sz w:val="20"/>
          <w:szCs w:val="20"/>
        </w:rPr>
        <w:t>•Placed further emphasis on our already in place off-premise measures, including:</w:t>
      </w:r>
    </w:p>
    <w:p w:rsidR="00000000" w:rsidRDefault="0061405A">
      <w:pPr>
        <w:ind w:hanging="360"/>
        <w:jc w:val="both"/>
        <w:rPr>
          <w:rFonts w:eastAsia="Times New Roman"/>
        </w:rPr>
      </w:pPr>
      <w:r>
        <w:rPr>
          <w:rFonts w:eastAsia="Times New Roman"/>
          <w:color w:val="000000"/>
          <w:sz w:val="20"/>
          <w:szCs w:val="20"/>
        </w:rPr>
        <w:t>◦</w:t>
      </w:r>
      <w:r>
        <w:rPr>
          <w:rFonts w:eastAsia="Times New Roman"/>
          <w:color w:val="000000"/>
          <w:sz w:val="20"/>
          <w:szCs w:val="20"/>
        </w:rPr>
        <w:t xml:space="preserve">Implementing direct delivery nationwide through the Noodles app and website; </w:t>
      </w:r>
    </w:p>
    <w:p w:rsidR="00000000" w:rsidRDefault="0061405A">
      <w:pPr>
        <w:ind w:hanging="360"/>
        <w:jc w:val="both"/>
        <w:rPr>
          <w:rFonts w:eastAsia="Times New Roman"/>
        </w:rPr>
      </w:pPr>
      <w:r>
        <w:rPr>
          <w:rFonts w:eastAsia="Times New Roman"/>
          <w:color w:val="000000"/>
          <w:sz w:val="20"/>
          <w:szCs w:val="20"/>
        </w:rPr>
        <w:t>◦</w:t>
      </w:r>
      <w:r>
        <w:rPr>
          <w:rFonts w:eastAsia="Times New Roman"/>
          <w:color w:val="000000"/>
          <w:sz w:val="20"/>
          <w:szCs w:val="20"/>
        </w:rPr>
        <w:t>Expanding our third-party delivery service; and</w:t>
      </w:r>
    </w:p>
    <w:p w:rsidR="00000000" w:rsidRDefault="0061405A">
      <w:pPr>
        <w:ind w:hanging="360"/>
        <w:jc w:val="both"/>
        <w:rPr>
          <w:rFonts w:eastAsia="Times New Roman"/>
        </w:rPr>
      </w:pPr>
      <w:r>
        <w:rPr>
          <w:rFonts w:eastAsia="Times New Roman"/>
          <w:color w:val="000000"/>
          <w:sz w:val="20"/>
          <w:szCs w:val="20"/>
        </w:rPr>
        <w:t>◦</w:t>
      </w:r>
      <w:r>
        <w:rPr>
          <w:rFonts w:eastAsia="Times New Roman"/>
          <w:color w:val="000000"/>
          <w:sz w:val="20"/>
          <w:szCs w:val="20"/>
        </w:rPr>
        <w:t>Launching curbside delivery at all of our restaurants</w:t>
      </w:r>
    </w:p>
    <w:p w:rsidR="00000000" w:rsidRDefault="0061405A">
      <w:pPr>
        <w:ind w:hanging="360"/>
        <w:jc w:val="both"/>
        <w:rPr>
          <w:rFonts w:eastAsia="Times New Roman"/>
        </w:rPr>
      </w:pPr>
      <w:r>
        <w:rPr>
          <w:rFonts w:eastAsia="Times New Roman"/>
          <w:color w:val="000000"/>
          <w:sz w:val="20"/>
          <w:szCs w:val="20"/>
        </w:rPr>
        <w:t>•Negotiated a bank amendment for covenant relief and other liquidity flex</w:t>
      </w:r>
      <w:r>
        <w:rPr>
          <w:rFonts w:eastAsia="Times New Roman"/>
          <w:color w:val="000000"/>
          <w:sz w:val="20"/>
          <w:szCs w:val="20"/>
        </w:rPr>
        <w:t>ibility;</w:t>
      </w:r>
    </w:p>
    <w:p w:rsidR="00000000" w:rsidRDefault="0061405A">
      <w:pPr>
        <w:ind w:hanging="360"/>
        <w:jc w:val="both"/>
        <w:rPr>
          <w:rFonts w:eastAsia="Times New Roman"/>
        </w:rPr>
      </w:pPr>
      <w:r>
        <w:rPr>
          <w:rFonts w:eastAsia="Times New Roman"/>
          <w:color w:val="000000"/>
          <w:sz w:val="20"/>
          <w:szCs w:val="20"/>
        </w:rPr>
        <w:t>•Implemented temporary salary reductions and furloughs at our support center and reductions in force throughout the organization;</w:t>
      </w:r>
    </w:p>
    <w:p w:rsidR="00000000" w:rsidRDefault="0061405A">
      <w:pPr>
        <w:ind w:hanging="360"/>
        <w:jc w:val="both"/>
        <w:rPr>
          <w:rFonts w:eastAsia="Times New Roman"/>
        </w:rPr>
      </w:pPr>
      <w:r>
        <w:rPr>
          <w:rFonts w:eastAsia="Times New Roman"/>
          <w:i/>
          <w:iCs/>
          <w:color w:val="000000"/>
          <w:sz w:val="20"/>
          <w:szCs w:val="20"/>
          <w:shd w:val="clear" w:color="auto" w:fill="FFFFFF"/>
        </w:rPr>
        <w:t>•</w:t>
      </w:r>
      <w:r>
        <w:rPr>
          <w:rFonts w:eastAsia="Times New Roman"/>
          <w:color w:val="000000"/>
          <w:sz w:val="20"/>
          <w:szCs w:val="20"/>
        </w:rPr>
        <w:t xml:space="preserve">Closed nearly all of our dining rooms beginning the third week of March 2020 through May 2020, limiting our service </w:t>
      </w:r>
      <w:r>
        <w:rPr>
          <w:rFonts w:eastAsia="Times New Roman"/>
          <w:color w:val="000000"/>
          <w:sz w:val="20"/>
          <w:szCs w:val="20"/>
        </w:rPr>
        <w:t xml:space="preserve">to off-premise only. We began re-opening dining rooms in May 2020 as a result of reduced restrictions by local governments. However, during the fourth quarter, </w:t>
      </w:r>
      <w:r>
        <w:rPr>
          <w:rFonts w:eastAsia="Times New Roman"/>
          <w:color w:val="000000"/>
          <w:sz w:val="20"/>
          <w:szCs w:val="20"/>
          <w:shd w:val="clear" w:color="auto" w:fill="FFFFFF"/>
        </w:rPr>
        <w:t>our business was further impacted due to a rise in hospitalizations and local restrictions and t</w:t>
      </w:r>
      <w:r>
        <w:rPr>
          <w:rFonts w:eastAsia="Times New Roman"/>
          <w:color w:val="000000"/>
          <w:sz w:val="20"/>
          <w:szCs w:val="20"/>
          <w:shd w:val="clear" w:color="auto" w:fill="FFFFFF"/>
        </w:rPr>
        <w:t xml:space="preserve">he </w:t>
      </w:r>
      <w:r>
        <w:rPr>
          <w:rFonts w:eastAsia="Times New Roman"/>
          <w:color w:val="000000"/>
          <w:sz w:val="20"/>
          <w:szCs w:val="20"/>
        </w:rPr>
        <w:t>vast majority of our dining rooms closed again. We have since reopened a majority of our dining rooms with limited capacity, and will continue to open the remaining dining rooms as appropriate.</w:t>
      </w:r>
    </w:p>
    <w:p w:rsidR="00000000" w:rsidRDefault="0061405A">
      <w:pPr>
        <w:jc w:val="both"/>
        <w:rPr>
          <w:rFonts w:eastAsia="Times New Roman"/>
        </w:rPr>
      </w:pPr>
    </w:p>
    <w:p w:rsidR="00000000" w:rsidRDefault="0061405A">
      <w:pPr>
        <w:jc w:val="both"/>
        <w:rPr>
          <w:rFonts w:eastAsia="Times New Roman"/>
        </w:rPr>
      </w:pPr>
      <w:r>
        <w:rPr>
          <w:rFonts w:eastAsia="Times New Roman"/>
          <w:color w:val="000000"/>
          <w:sz w:val="20"/>
          <w:szCs w:val="20"/>
        </w:rPr>
        <w:t>The Company has prioritized taking steps to protect the h</w:t>
      </w:r>
      <w:r>
        <w:rPr>
          <w:rFonts w:eastAsia="Times New Roman"/>
          <w:color w:val="000000"/>
          <w:sz w:val="20"/>
          <w:szCs w:val="20"/>
        </w:rPr>
        <w:t>ealth and safety of its team members and guests by doing the following:</w:t>
      </w:r>
    </w:p>
    <w:p w:rsidR="00000000" w:rsidRDefault="0061405A">
      <w:pPr>
        <w:ind w:hanging="360"/>
        <w:jc w:val="both"/>
        <w:rPr>
          <w:rFonts w:eastAsia="Times New Roman"/>
        </w:rPr>
      </w:pPr>
      <w:r>
        <w:rPr>
          <w:rFonts w:eastAsia="Times New Roman"/>
          <w:color w:val="000000"/>
          <w:sz w:val="20"/>
          <w:szCs w:val="20"/>
        </w:rPr>
        <w:t>•Increased cleaning and sanitizing protocols;</w:t>
      </w:r>
    </w:p>
    <w:p w:rsidR="00000000" w:rsidRDefault="0061405A">
      <w:pPr>
        <w:ind w:hanging="360"/>
        <w:jc w:val="both"/>
        <w:rPr>
          <w:rFonts w:eastAsia="Times New Roman"/>
        </w:rPr>
      </w:pPr>
      <w:r>
        <w:rPr>
          <w:rFonts w:eastAsia="Times New Roman"/>
          <w:color w:val="000000"/>
          <w:sz w:val="20"/>
          <w:szCs w:val="20"/>
        </w:rPr>
        <w:t>•Implemented additional training and operational manuals for its restaurant employees, as well as enhanced handwashing procedures;</w:t>
      </w:r>
    </w:p>
    <w:p w:rsidR="00000000" w:rsidRDefault="0061405A">
      <w:pPr>
        <w:ind w:hanging="360"/>
        <w:jc w:val="both"/>
        <w:rPr>
          <w:rFonts w:eastAsia="Times New Roman"/>
        </w:rPr>
      </w:pPr>
      <w:r>
        <w:rPr>
          <w:rFonts w:eastAsia="Times New Roman"/>
          <w:color w:val="000000"/>
          <w:sz w:val="20"/>
          <w:szCs w:val="20"/>
        </w:rPr>
        <w:t>•Instal</w:t>
      </w:r>
      <w:r>
        <w:rPr>
          <w:rFonts w:eastAsia="Times New Roman"/>
          <w:color w:val="000000"/>
          <w:sz w:val="20"/>
          <w:szCs w:val="20"/>
        </w:rPr>
        <w:t>lation of plexiglass at point of sale terminals;</w:t>
      </w:r>
    </w:p>
    <w:p w:rsidR="00000000" w:rsidRDefault="0061405A">
      <w:pPr>
        <w:ind w:hanging="360"/>
        <w:jc w:val="both"/>
        <w:rPr>
          <w:rFonts w:eastAsia="Times New Roman"/>
        </w:rPr>
      </w:pPr>
      <w:r>
        <w:rPr>
          <w:rFonts w:eastAsia="Times New Roman"/>
          <w:color w:val="000000"/>
          <w:sz w:val="20"/>
          <w:szCs w:val="20"/>
        </w:rPr>
        <w:t>•Requirements for wearing of masks by all team members and guests; and</w:t>
      </w:r>
    </w:p>
    <w:p w:rsidR="00000000" w:rsidRDefault="0061405A">
      <w:pPr>
        <w:ind w:hanging="360"/>
        <w:jc w:val="both"/>
        <w:rPr>
          <w:rFonts w:eastAsia="Times New Roman"/>
        </w:rPr>
      </w:pPr>
      <w:r>
        <w:rPr>
          <w:rFonts w:eastAsia="Times New Roman"/>
          <w:color w:val="000000"/>
          <w:sz w:val="20"/>
          <w:szCs w:val="20"/>
        </w:rPr>
        <w:t>•Health screening process for all team members before the start of each shift.</w:t>
      </w:r>
    </w:p>
    <w:p w:rsidR="00000000" w:rsidRDefault="0061405A">
      <w:pPr>
        <w:jc w:val="both"/>
        <w:rPr>
          <w:rFonts w:eastAsia="Times New Roman"/>
        </w:rPr>
      </w:pPr>
    </w:p>
    <w:p w:rsidR="00000000" w:rsidRDefault="0061405A">
      <w:pPr>
        <w:ind w:firstLine="720"/>
        <w:jc w:val="center"/>
        <w:divId w:val="1611231815"/>
        <w:rPr>
          <w:rFonts w:eastAsia="Times New Roman"/>
        </w:rPr>
      </w:pPr>
      <w:r>
        <w:rPr>
          <w:rFonts w:eastAsia="Times New Roman"/>
          <w:color w:val="000000"/>
          <w:sz w:val="20"/>
          <w:szCs w:val="20"/>
        </w:rPr>
        <w:t>10</w:t>
      </w:r>
    </w:p>
    <w:p w:rsidR="00000000" w:rsidRDefault="0061405A">
      <w:pPr>
        <w:rPr>
          <w:rFonts w:eastAsia="Times New Roman"/>
        </w:rPr>
      </w:pPr>
      <w:r>
        <w:rPr>
          <w:rFonts w:eastAsia="Times New Roman"/>
        </w:rPr>
        <w:pict>
          <v:rect id="_x0000_i1037" style="width:0;height:1.5pt" o:hralign="center" o:hrstd="t" o:hr="t" fillcolor="#a0a0a0" stroked="f"/>
        </w:pict>
      </w:r>
    </w:p>
    <w:p w:rsidR="00000000" w:rsidRDefault="0061405A">
      <w:pPr>
        <w:divId w:val="1009598734"/>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both"/>
        <w:rPr>
          <w:rFonts w:eastAsia="Times New Roman"/>
        </w:rPr>
      </w:pPr>
      <w:r>
        <w:rPr>
          <w:rFonts w:eastAsia="Times New Roman"/>
          <w:color w:val="000000"/>
          <w:sz w:val="20"/>
          <w:szCs w:val="20"/>
        </w:rPr>
        <w:t>Although the ultimate severity of the COVID-19 pandemic remains uncertain at this time, we expect that the pandemic may continue to adversely impact the Company's financial conditi</w:t>
      </w:r>
      <w:r>
        <w:rPr>
          <w:rFonts w:eastAsia="Times New Roman"/>
          <w:color w:val="000000"/>
          <w:sz w:val="20"/>
          <w:szCs w:val="20"/>
        </w:rPr>
        <w:t>on and results of operations, including, but not limited to:</w:t>
      </w:r>
    </w:p>
    <w:p w:rsidR="00000000" w:rsidRDefault="0061405A">
      <w:pPr>
        <w:ind w:hanging="360"/>
        <w:jc w:val="both"/>
        <w:rPr>
          <w:rFonts w:eastAsia="Times New Roman"/>
        </w:rPr>
      </w:pPr>
      <w:r>
        <w:rPr>
          <w:rFonts w:eastAsia="Times New Roman"/>
          <w:color w:val="000000"/>
          <w:sz w:val="20"/>
          <w:szCs w:val="20"/>
        </w:rPr>
        <w:t>•</w:t>
      </w:r>
      <w:r>
        <w:rPr>
          <w:rFonts w:eastAsia="Times New Roman"/>
          <w:color w:val="000000"/>
          <w:sz w:val="20"/>
          <w:szCs w:val="20"/>
        </w:rPr>
        <w:t>Reduced demand as customers may self-impose or be subject to governmental restrictions to dine at our restaurants due to illness, quarantine or limitations on social gatherings;</w:t>
      </w:r>
    </w:p>
    <w:p w:rsidR="00000000" w:rsidRDefault="0061405A">
      <w:pPr>
        <w:ind w:hanging="360"/>
        <w:jc w:val="both"/>
        <w:rPr>
          <w:rFonts w:eastAsia="Times New Roman"/>
        </w:rPr>
      </w:pPr>
      <w:r>
        <w:rPr>
          <w:rFonts w:eastAsia="Times New Roman"/>
          <w:color w:val="000000"/>
          <w:sz w:val="20"/>
          <w:szCs w:val="20"/>
        </w:rPr>
        <w:t>•Changes in consumer spending behaviors due to the COVID-19 pandemic as custom</w:t>
      </w:r>
      <w:r>
        <w:rPr>
          <w:rFonts w:eastAsia="Times New Roman"/>
          <w:color w:val="000000"/>
          <w:sz w:val="20"/>
          <w:szCs w:val="20"/>
        </w:rPr>
        <w:t>ers choose to avoid public gathering places, which may continue to impact traffic in our restaurants;</w:t>
      </w:r>
    </w:p>
    <w:p w:rsidR="00000000" w:rsidRDefault="0061405A">
      <w:pPr>
        <w:ind w:hanging="360"/>
        <w:jc w:val="both"/>
        <w:rPr>
          <w:rFonts w:eastAsia="Times New Roman"/>
        </w:rPr>
      </w:pPr>
      <w:r>
        <w:rPr>
          <w:rFonts w:eastAsia="Times New Roman"/>
          <w:color w:val="000000"/>
          <w:sz w:val="20"/>
          <w:szCs w:val="20"/>
        </w:rPr>
        <w:t>•Changes in our lunch business as it relates to guests who visit us during corporate lunch breaks, particularly if trends related to work from home contin</w:t>
      </w:r>
      <w:r>
        <w:rPr>
          <w:rFonts w:eastAsia="Times New Roman"/>
          <w:color w:val="000000"/>
          <w:sz w:val="20"/>
          <w:szCs w:val="20"/>
        </w:rPr>
        <w:t>ue;</w:t>
      </w:r>
    </w:p>
    <w:p w:rsidR="00000000" w:rsidRDefault="0061405A">
      <w:pPr>
        <w:ind w:hanging="360"/>
        <w:jc w:val="both"/>
        <w:rPr>
          <w:rFonts w:eastAsia="Times New Roman"/>
        </w:rPr>
      </w:pPr>
      <w:r>
        <w:rPr>
          <w:rFonts w:eastAsia="Times New Roman"/>
          <w:color w:val="000000"/>
          <w:sz w:val="20"/>
          <w:szCs w:val="20"/>
        </w:rPr>
        <w:t>•The ability for our franchisees to have the financial capacity to pay their franchise royalty fee obligations that we have historically received. We are working with our franchisees to support their financial liquidity during this period of uncertaint</w:t>
      </w:r>
      <w:r>
        <w:rPr>
          <w:rFonts w:eastAsia="Times New Roman"/>
          <w:color w:val="000000"/>
          <w:sz w:val="20"/>
          <w:szCs w:val="20"/>
        </w:rPr>
        <w:t>y. For a period of time, we granted deferral of certain royalties, information technology support, and marketing fees earned from franchisees;</w:t>
      </w:r>
    </w:p>
    <w:p w:rsidR="00000000" w:rsidRDefault="0061405A">
      <w:pPr>
        <w:ind w:hanging="360"/>
        <w:jc w:val="both"/>
        <w:rPr>
          <w:rFonts w:eastAsia="Times New Roman"/>
        </w:rPr>
      </w:pPr>
      <w:r>
        <w:rPr>
          <w:rFonts w:eastAsia="Times New Roman"/>
          <w:color w:val="000000"/>
          <w:sz w:val="20"/>
          <w:szCs w:val="20"/>
        </w:rPr>
        <w:t>•An impact on our liquidity, which may require us to pursue additional sources of financing to meet our financial</w:t>
      </w:r>
      <w:r>
        <w:rPr>
          <w:rFonts w:eastAsia="Times New Roman"/>
          <w:color w:val="000000"/>
          <w:sz w:val="20"/>
          <w:szCs w:val="20"/>
        </w:rPr>
        <w:t xml:space="preserve"> obligations. Obtaining such financing is not guaranteed and is largely dependent upon market conditions and other factors. Further actions may be required to improve our cash position, including but not limited to, further reductions of corporate expenses</w:t>
      </w:r>
      <w:r>
        <w:rPr>
          <w:rFonts w:eastAsia="Times New Roman"/>
          <w:color w:val="000000"/>
          <w:sz w:val="20"/>
          <w:szCs w:val="20"/>
        </w:rPr>
        <w:t xml:space="preserve"> and foregoing additional capital expenditures and other discretionary expenses;</w:t>
      </w:r>
    </w:p>
    <w:p w:rsidR="00000000" w:rsidRDefault="0061405A">
      <w:pPr>
        <w:ind w:hanging="360"/>
        <w:jc w:val="both"/>
        <w:rPr>
          <w:rFonts w:eastAsia="Times New Roman"/>
        </w:rPr>
      </w:pPr>
      <w:r>
        <w:rPr>
          <w:rFonts w:eastAsia="Times New Roman"/>
          <w:color w:val="000000"/>
          <w:sz w:val="20"/>
          <w:szCs w:val="20"/>
        </w:rPr>
        <w:t>•An increase in cyber security threats and attempts to breach our security networks as more business and activities have shifted online due to the COVID-19 pandemic restrictio</w:t>
      </w:r>
      <w:r>
        <w:rPr>
          <w:rFonts w:eastAsia="Times New Roman"/>
          <w:color w:val="000000"/>
          <w:sz w:val="20"/>
          <w:szCs w:val="20"/>
        </w:rPr>
        <w:t>ns on congregating and physical movements; and</w:t>
      </w:r>
    </w:p>
    <w:p w:rsidR="00000000" w:rsidRDefault="0061405A">
      <w:pPr>
        <w:ind w:hanging="360"/>
        <w:jc w:val="both"/>
        <w:rPr>
          <w:rFonts w:eastAsia="Times New Roman"/>
        </w:rPr>
      </w:pPr>
      <w:r>
        <w:rPr>
          <w:rFonts w:eastAsia="Times New Roman"/>
          <w:color w:val="000000"/>
          <w:sz w:val="20"/>
          <w:szCs w:val="20"/>
        </w:rPr>
        <w:t xml:space="preserve">•Uncertainty on the duration of how long the COVID-19 pandemic will last or if hospitalizations and infection rates will subside even </w:t>
      </w:r>
      <w:r>
        <w:rPr>
          <w:rFonts w:eastAsia="Times New Roman"/>
          <w:color w:val="000000"/>
          <w:sz w:val="20"/>
          <w:szCs w:val="20"/>
          <w:shd w:val="clear" w:color="auto" w:fill="FFFFFF"/>
        </w:rPr>
        <w:t>after vaccines are successfully widely administered, when government restri</w:t>
      </w:r>
      <w:r>
        <w:rPr>
          <w:rFonts w:eastAsia="Times New Roman"/>
          <w:color w:val="000000"/>
          <w:sz w:val="20"/>
          <w:szCs w:val="20"/>
          <w:shd w:val="clear" w:color="auto" w:fill="FFFFFF"/>
        </w:rPr>
        <w:t xml:space="preserve">ctions and mandates will be imposed or lifted, or the longer term impact of the COVID-19 pandemic on consumer behavior. </w:t>
      </w:r>
    </w:p>
    <w:p w:rsidR="00000000" w:rsidRDefault="0061405A">
      <w:pPr>
        <w:jc w:val="both"/>
        <w:rPr>
          <w:rFonts w:eastAsia="Times New Roman"/>
        </w:rPr>
      </w:pPr>
    </w:p>
    <w:p w:rsidR="00000000" w:rsidRDefault="0061405A">
      <w:pPr>
        <w:jc w:val="both"/>
        <w:divId w:val="1959219509"/>
        <w:rPr>
          <w:rFonts w:eastAsia="Times New Roman"/>
        </w:rPr>
      </w:pPr>
      <w:r>
        <w:rPr>
          <w:rFonts w:eastAsia="Times New Roman"/>
          <w:color w:val="000000"/>
          <w:sz w:val="20"/>
          <w:szCs w:val="20"/>
        </w:rPr>
        <w:t>The extent of the impact of the COVID-19 pandemic on the Company's operations and financial results depends on future developments an</w:t>
      </w:r>
      <w:r>
        <w:rPr>
          <w:rFonts w:eastAsia="Times New Roman"/>
          <w:color w:val="000000"/>
          <w:sz w:val="20"/>
          <w:szCs w:val="20"/>
        </w:rPr>
        <w:t>d is highly uncertain due to the unknown duration and severity of the outbreak. The situation is changing rapidly and future impacts may materialize that are not yet known.</w:t>
      </w:r>
    </w:p>
    <w:p w:rsidR="00000000" w:rsidRDefault="0061405A">
      <w:pPr>
        <w:jc w:val="both"/>
        <w:divId w:val="82728939"/>
        <w:rPr>
          <w:rFonts w:eastAsia="Times New Roman"/>
        </w:rPr>
      </w:pPr>
      <w:r>
        <w:rPr>
          <w:rFonts w:eastAsia="Times New Roman"/>
          <w:b/>
          <w:bCs/>
          <w:color w:val="000000"/>
          <w:sz w:val="20"/>
          <w:szCs w:val="20"/>
        </w:rPr>
        <w:t xml:space="preserve">Risks Related to Our Business and Industry </w:t>
      </w:r>
    </w:p>
    <w:p w:rsidR="00000000" w:rsidRDefault="0061405A">
      <w:pPr>
        <w:jc w:val="both"/>
        <w:divId w:val="1953393643"/>
        <w:rPr>
          <w:rFonts w:eastAsia="Times New Roman"/>
        </w:rPr>
      </w:pPr>
      <w:r>
        <w:rPr>
          <w:rFonts w:eastAsia="Times New Roman"/>
          <w:b/>
          <w:bCs/>
          <w:i/>
          <w:iCs/>
          <w:color w:val="000000"/>
          <w:sz w:val="20"/>
          <w:szCs w:val="20"/>
        </w:rPr>
        <w:t>We may not achieve our operational, str</w:t>
      </w:r>
      <w:r>
        <w:rPr>
          <w:rFonts w:eastAsia="Times New Roman"/>
          <w:b/>
          <w:bCs/>
          <w:i/>
          <w:iCs/>
          <w:color w:val="000000"/>
          <w:sz w:val="20"/>
          <w:szCs w:val="20"/>
        </w:rPr>
        <w:t>ategic or financial goals.</w:t>
      </w:r>
    </w:p>
    <w:p w:rsidR="00000000" w:rsidRDefault="0061405A">
      <w:pPr>
        <w:jc w:val="both"/>
        <w:divId w:val="975180040"/>
        <w:rPr>
          <w:rFonts w:eastAsia="Times New Roman"/>
        </w:rPr>
      </w:pPr>
      <w:r>
        <w:rPr>
          <w:rFonts w:eastAsia="Times New Roman"/>
          <w:color w:val="000000"/>
          <w:sz w:val="20"/>
          <w:szCs w:val="20"/>
        </w:rPr>
        <w:t>We continue to pursue a number of financial, operational and strategic goals and we may be unsuccessful in achieving some or all of them. Our strategies are designed to, among other objectives, improve restaurant operations and i</w:t>
      </w:r>
      <w:r>
        <w:rPr>
          <w:rFonts w:eastAsia="Times New Roman"/>
          <w:color w:val="000000"/>
          <w:sz w:val="20"/>
          <w:szCs w:val="20"/>
        </w:rPr>
        <w:t>ncrease our restaurant revenue, comparable restaurant sales, net income, restaurant contribution and restaurant contribution margin and adjusted EBITDA. However, these strategies may not be successful in achieving our goals in part or at all. Further, we m</w:t>
      </w:r>
      <w:r>
        <w:rPr>
          <w:rFonts w:eastAsia="Times New Roman"/>
          <w:color w:val="000000"/>
          <w:sz w:val="20"/>
          <w:szCs w:val="20"/>
        </w:rPr>
        <w:t>ay encounter difficulty in executing these strategies. Failing to execute our operational strategies could materially adversely affect our business, financial condition or results of operations.</w:t>
      </w:r>
    </w:p>
    <w:p w:rsidR="00000000" w:rsidRDefault="0061405A">
      <w:pPr>
        <w:jc w:val="both"/>
        <w:divId w:val="2062707648"/>
        <w:rPr>
          <w:rFonts w:eastAsia="Times New Roman"/>
        </w:rPr>
      </w:pPr>
      <w:r>
        <w:rPr>
          <w:rFonts w:eastAsia="Times New Roman"/>
          <w:color w:val="000000"/>
          <w:sz w:val="20"/>
          <w:szCs w:val="20"/>
        </w:rPr>
        <w:t xml:space="preserve">Our strategies include improving our menu offerings, such as </w:t>
      </w:r>
      <w:r>
        <w:rPr>
          <w:rFonts w:eastAsia="Times New Roman"/>
          <w:color w:val="000000"/>
          <w:sz w:val="20"/>
          <w:szCs w:val="20"/>
        </w:rPr>
        <w:t>through the introduction of Zoodles, Caulifloodles and Family Meals; pursuing off-premise opportunities, for example through our dedicated pick-up shelving and third-party delivery; improving efficiencies and unit level margins by simplifying operations; e</w:t>
      </w:r>
      <w:r>
        <w:rPr>
          <w:rFonts w:eastAsia="Times New Roman"/>
          <w:color w:val="000000"/>
          <w:sz w:val="20"/>
          <w:szCs w:val="20"/>
        </w:rPr>
        <w:t>nhancing our menu structure and layout; and improving manager selection, training and development of our teams. However, customers may not favor new menu offerings or may not find initiatives aimed at off-premise dining appealing, and our efforts to increa</w:t>
      </w:r>
      <w:r>
        <w:rPr>
          <w:rFonts w:eastAsia="Times New Roman"/>
          <w:color w:val="000000"/>
          <w:sz w:val="20"/>
          <w:szCs w:val="20"/>
        </w:rPr>
        <w:t>se our sales growth and improve our offerings may be unsuccessful. Additionally, our operational initiatives may be ineffective at reducing costs or may reduce the quality of the customer experience. Any failure of our new initiatives could materially adve</w:t>
      </w:r>
      <w:r>
        <w:rPr>
          <w:rFonts w:eastAsia="Times New Roman"/>
          <w:color w:val="000000"/>
          <w:sz w:val="20"/>
          <w:szCs w:val="20"/>
        </w:rPr>
        <w:t>rsely affect our business, financial condition or results of operations.</w:t>
      </w:r>
    </w:p>
    <w:p w:rsidR="00000000" w:rsidRDefault="0061405A">
      <w:pPr>
        <w:jc w:val="both"/>
        <w:divId w:val="1244798318"/>
        <w:rPr>
          <w:rFonts w:eastAsia="Times New Roman"/>
        </w:rPr>
      </w:pPr>
      <w:r>
        <w:rPr>
          <w:rFonts w:eastAsia="Times New Roman"/>
          <w:color w:val="000000"/>
          <w:sz w:val="20"/>
          <w:szCs w:val="20"/>
        </w:rPr>
        <w:t>Further, we have had, and expect to continue to have, priorities and initiatives in various stages of testing, evaluation and implementation, upon which we expect to rely to improve o</w:t>
      </w:r>
      <w:r>
        <w:rPr>
          <w:rFonts w:eastAsia="Times New Roman"/>
          <w:color w:val="000000"/>
          <w:sz w:val="20"/>
          <w:szCs w:val="20"/>
        </w:rPr>
        <w:t>ur results of operations and financial condition. Failure to achieve successful implementation of our initiatives could materially adversely affect our business, financial condition or results of operations.</w:t>
      </w:r>
    </w:p>
    <w:p w:rsidR="00000000" w:rsidRDefault="0061405A">
      <w:pPr>
        <w:jc w:val="both"/>
        <w:divId w:val="505023273"/>
        <w:rPr>
          <w:rFonts w:eastAsia="Times New Roman"/>
        </w:rPr>
      </w:pPr>
      <w:r>
        <w:rPr>
          <w:rFonts w:eastAsia="Times New Roman"/>
          <w:color w:val="000000"/>
          <w:sz w:val="20"/>
          <w:szCs w:val="20"/>
        </w:rPr>
        <w:t>We believe our culture</w:t>
      </w:r>
      <w:r>
        <w:rPr>
          <w:rFonts w:eastAsia="Times New Roman"/>
          <w:color w:val="000000"/>
        </w:rPr>
        <w:t xml:space="preserve">, </w:t>
      </w:r>
      <w:r>
        <w:rPr>
          <w:rFonts w:eastAsia="Times New Roman"/>
          <w:color w:val="000000"/>
          <w:sz w:val="20"/>
          <w:szCs w:val="20"/>
        </w:rPr>
        <w:t>from the restaurant leve</w:t>
      </w:r>
      <w:r>
        <w:rPr>
          <w:rFonts w:eastAsia="Times New Roman"/>
          <w:color w:val="000000"/>
          <w:sz w:val="20"/>
          <w:szCs w:val="20"/>
        </w:rPr>
        <w:t>l up through management</w:t>
      </w:r>
      <w:r>
        <w:rPr>
          <w:rFonts w:eastAsia="Times New Roman"/>
          <w:color w:val="000000"/>
        </w:rPr>
        <w:t xml:space="preserve">, </w:t>
      </w:r>
      <w:r>
        <w:rPr>
          <w:rFonts w:eastAsia="Times New Roman"/>
          <w:color w:val="000000"/>
          <w:sz w:val="20"/>
          <w:szCs w:val="20"/>
        </w:rPr>
        <w:t>is an important contributor to our success. As time passes, however, we may have difficulty maintaining our culture or adapting it sufficiently to meet the needs of our business. Among other important factors, our culture depends o</w:t>
      </w:r>
      <w:r>
        <w:rPr>
          <w:rFonts w:eastAsia="Times New Roman"/>
          <w:color w:val="000000"/>
          <w:sz w:val="20"/>
          <w:szCs w:val="20"/>
        </w:rPr>
        <w:t>n our ability to attract, retain and motivate employees who share our enthusiasm and dedication to our concept. Our comparable restaurant sales, and more broadly, our business, financial condition or results of operations, could be materially adversely aff</w:t>
      </w:r>
      <w:r>
        <w:rPr>
          <w:rFonts w:eastAsia="Times New Roman"/>
          <w:color w:val="000000"/>
          <w:sz w:val="20"/>
          <w:szCs w:val="20"/>
        </w:rPr>
        <w:t>ected if we do not maintain our infrastructure and culture.</w:t>
      </w:r>
    </w:p>
    <w:p w:rsidR="00000000" w:rsidRDefault="0061405A">
      <w:pPr>
        <w:ind w:firstLine="720"/>
        <w:jc w:val="center"/>
        <w:divId w:val="959529452"/>
        <w:rPr>
          <w:rFonts w:eastAsia="Times New Roman"/>
        </w:rPr>
      </w:pPr>
      <w:r>
        <w:rPr>
          <w:rFonts w:eastAsia="Times New Roman"/>
          <w:color w:val="000000"/>
          <w:sz w:val="20"/>
          <w:szCs w:val="20"/>
        </w:rPr>
        <w:t>11</w:t>
      </w:r>
    </w:p>
    <w:p w:rsidR="00000000" w:rsidRDefault="0061405A">
      <w:pPr>
        <w:rPr>
          <w:rFonts w:eastAsia="Times New Roman"/>
        </w:rPr>
      </w:pPr>
      <w:r>
        <w:rPr>
          <w:rFonts w:eastAsia="Times New Roman"/>
        </w:rPr>
        <w:pict>
          <v:rect id="_x0000_i1038" style="width:0;height:1.5pt" o:hralign="center" o:hrstd="t" o:hr="t" fillcolor="#a0a0a0" stroked="f"/>
        </w:pict>
      </w:r>
    </w:p>
    <w:p w:rsidR="00000000" w:rsidRDefault="0061405A">
      <w:pPr>
        <w:divId w:val="1263684112"/>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both"/>
        <w:divId w:val="1520239193"/>
        <w:rPr>
          <w:rFonts w:eastAsia="Times New Roman"/>
        </w:rPr>
      </w:pPr>
      <w:r>
        <w:rPr>
          <w:rFonts w:eastAsia="Times New Roman"/>
          <w:color w:val="000000"/>
          <w:sz w:val="20"/>
          <w:szCs w:val="20"/>
        </w:rPr>
        <w:t xml:space="preserve">Our strategic and operational goals are designed to improve our </w:t>
      </w:r>
      <w:r>
        <w:rPr>
          <w:rFonts w:eastAsia="Times New Roman"/>
          <w:color w:val="000000"/>
          <w:sz w:val="20"/>
          <w:szCs w:val="20"/>
        </w:rPr>
        <w:t>results of operations, including restaurant revenue and profitability. The level of comparable restaurant sales, which represent the change in year-over-year sales for restaurants open for at least 18 full periods, affects our restaurant revenue growth and</w:t>
      </w:r>
      <w:r>
        <w:rPr>
          <w:rFonts w:eastAsia="Times New Roman"/>
          <w:color w:val="000000"/>
          <w:sz w:val="20"/>
          <w:szCs w:val="20"/>
        </w:rPr>
        <w:t xml:space="preserve"> will continue to be a critical factor affecting profitability. Our ability to increase comparable restaurant sales depends in part on our ability to successfully implement our initiatives. It is possible that such initiatives will not be successful, that </w:t>
      </w:r>
      <w:r>
        <w:rPr>
          <w:rFonts w:eastAsia="Times New Roman"/>
          <w:color w:val="000000"/>
          <w:sz w:val="20"/>
          <w:szCs w:val="20"/>
        </w:rPr>
        <w:t>we will not achieve our target comparable restaurant sales growth or that the change in comparable restaurant sales could be negative, which may cause a decrease in restaurant revenue and profitability that could materially adversely affect our business, f</w:t>
      </w:r>
      <w:r>
        <w:rPr>
          <w:rFonts w:eastAsia="Times New Roman"/>
          <w:color w:val="000000"/>
          <w:sz w:val="20"/>
          <w:szCs w:val="20"/>
        </w:rPr>
        <w:t>inancial condition or results of operations.</w:t>
      </w:r>
    </w:p>
    <w:p w:rsidR="00000000" w:rsidRDefault="0061405A">
      <w:pPr>
        <w:jc w:val="both"/>
        <w:divId w:val="445580756"/>
        <w:rPr>
          <w:rFonts w:eastAsia="Times New Roman"/>
        </w:rPr>
      </w:pPr>
      <w:r>
        <w:rPr>
          <w:rFonts w:eastAsia="Times New Roman"/>
          <w:b/>
          <w:bCs/>
          <w:i/>
          <w:iCs/>
          <w:color w:val="000000"/>
          <w:sz w:val="20"/>
          <w:szCs w:val="20"/>
        </w:rPr>
        <w:t>Changes in economic conditions could materially affect our ability to maintain or increase sales at our restaurants.</w:t>
      </w:r>
    </w:p>
    <w:p w:rsidR="00000000" w:rsidRDefault="0061405A">
      <w:pPr>
        <w:jc w:val="both"/>
        <w:divId w:val="815146930"/>
        <w:rPr>
          <w:rFonts w:eastAsia="Times New Roman"/>
        </w:rPr>
      </w:pPr>
      <w:r>
        <w:rPr>
          <w:rFonts w:eastAsia="Times New Roman"/>
          <w:color w:val="000000"/>
          <w:sz w:val="20"/>
          <w:szCs w:val="20"/>
        </w:rPr>
        <w:t>The restaurant industry depends on consumer discretionary spending. The United States in gener</w:t>
      </w:r>
      <w:r>
        <w:rPr>
          <w:rFonts w:eastAsia="Times New Roman"/>
          <w:color w:val="000000"/>
          <w:sz w:val="20"/>
          <w:szCs w:val="20"/>
        </w:rPr>
        <w:t>al or the specific markets in which we operate have suffered during certain historical periods and in the future may suffer from depressed economic activity, recessionary economic cycles, low consumer confidence as a result of stock market volatility and o</w:t>
      </w:r>
      <w:r>
        <w:rPr>
          <w:rFonts w:eastAsia="Times New Roman"/>
          <w:color w:val="000000"/>
          <w:sz w:val="20"/>
          <w:szCs w:val="20"/>
        </w:rPr>
        <w:t>ther reasons, high levels of unemployment, reduced home values, increases in home foreclosures, investment losses, personal bankruptcies, reduced access to credit or other economic factors that may affect consumers’ discretionary spending. Traffic in our r</w:t>
      </w:r>
      <w:r>
        <w:rPr>
          <w:rFonts w:eastAsia="Times New Roman"/>
          <w:color w:val="000000"/>
          <w:sz w:val="20"/>
          <w:szCs w:val="20"/>
        </w:rPr>
        <w:t>estaurants could decline if consumers choose to dine out less frequently or reduce the amount they spend on meals while dining out. Negative economic conditions (including negative economic conditions resulting from war, terrorist activities, global econom</w:t>
      </w:r>
      <w:r>
        <w:rPr>
          <w:rFonts w:eastAsia="Times New Roman"/>
          <w:color w:val="000000"/>
          <w:sz w:val="20"/>
          <w:szCs w:val="20"/>
        </w:rPr>
        <w:t xml:space="preserve">ic occurrences or trends or other geo-political events) might cause consumers to make long-term changes to their discretionary spending behavior, including dining out less frequently or dining at lower priced restaurants on an extended or permanent basis. </w:t>
      </w:r>
      <w:r>
        <w:rPr>
          <w:rFonts w:eastAsia="Times New Roman"/>
          <w:color w:val="000000"/>
          <w:sz w:val="20"/>
          <w:szCs w:val="20"/>
        </w:rPr>
        <w:t>If comparable restaurant sales decrease, our profitability would decline as we spread fixed costs across a lower level of restaurant revenue. Reductions in staff levels, additional asset impairment charges and additional restaurant closures could result fr</w:t>
      </w:r>
      <w:r>
        <w:rPr>
          <w:rFonts w:eastAsia="Times New Roman"/>
          <w:color w:val="000000"/>
          <w:sz w:val="20"/>
          <w:szCs w:val="20"/>
        </w:rPr>
        <w:t>om prolonged negative comparable restaurant sales, which could materially adversely affect our business, financial condition or results of operations.</w:t>
      </w:r>
    </w:p>
    <w:p w:rsidR="00000000" w:rsidRDefault="0061405A">
      <w:pPr>
        <w:jc w:val="both"/>
        <w:divId w:val="1762870736"/>
        <w:rPr>
          <w:rFonts w:eastAsia="Times New Roman"/>
        </w:rPr>
      </w:pPr>
      <w:r>
        <w:rPr>
          <w:rFonts w:eastAsia="Times New Roman"/>
          <w:b/>
          <w:bCs/>
          <w:i/>
          <w:iCs/>
          <w:color w:val="000000"/>
          <w:sz w:val="20"/>
          <w:szCs w:val="20"/>
        </w:rPr>
        <w:t>Competition from other restaurant companies could adversely affect us.</w:t>
      </w:r>
    </w:p>
    <w:p w:rsidR="00000000" w:rsidRDefault="0061405A">
      <w:pPr>
        <w:jc w:val="both"/>
        <w:divId w:val="1776174680"/>
        <w:rPr>
          <w:rFonts w:eastAsia="Times New Roman"/>
        </w:rPr>
      </w:pPr>
      <w:r>
        <w:rPr>
          <w:rFonts w:eastAsia="Times New Roman"/>
          <w:color w:val="000000"/>
          <w:sz w:val="20"/>
          <w:szCs w:val="20"/>
        </w:rPr>
        <w:t>We face competition from the casua</w:t>
      </w:r>
      <w:r>
        <w:rPr>
          <w:rFonts w:eastAsia="Times New Roman"/>
          <w:color w:val="000000"/>
          <w:sz w:val="20"/>
          <w:szCs w:val="20"/>
        </w:rPr>
        <w:t>l dining, fast-casual and quick-service segments of the restaurant industry. These segments are highly competitive with respect to taste, price, food quality and presentation, service, location and the ambiance and condition of each restaurant, among other</w:t>
      </w:r>
      <w:r>
        <w:rPr>
          <w:rFonts w:eastAsia="Times New Roman"/>
          <w:color w:val="000000"/>
          <w:sz w:val="20"/>
          <w:szCs w:val="20"/>
        </w:rPr>
        <w:t xml:space="preserve"> things. Our competition includes a variety of locally owned restaurants and national and regional chains who offer dine-in, carry-out and delivery services. Many of our competitors have existed longer and have a more established market presence with subst</w:t>
      </w:r>
      <w:r>
        <w:rPr>
          <w:rFonts w:eastAsia="Times New Roman"/>
          <w:color w:val="000000"/>
          <w:sz w:val="20"/>
          <w:szCs w:val="20"/>
        </w:rPr>
        <w:t xml:space="preserve">antially greater financial, marketing, personnel and other resources than we have. Among our competitors are a number of multi-unit, multi-market fast-casual restaurant concepts, some of which are expanding nationally. We continually face competition from </w:t>
      </w:r>
      <w:r>
        <w:rPr>
          <w:rFonts w:eastAsia="Times New Roman"/>
          <w:color w:val="000000"/>
          <w:sz w:val="20"/>
          <w:szCs w:val="20"/>
        </w:rPr>
        <w:t>these concepts and new competitors that strive to compete with our market segments. For example, additional competitive pressures come from the deli sections and in-store cafés of grocery store chains, as well as from convenience stores and online meal pre</w:t>
      </w:r>
      <w:r>
        <w:rPr>
          <w:rFonts w:eastAsia="Times New Roman"/>
          <w:color w:val="000000"/>
          <w:sz w:val="20"/>
          <w:szCs w:val="20"/>
        </w:rPr>
        <w:t>paration sites. These competitors may have, among other things, lower operating costs, food offerings more responsive to consumer preferences, better locations and facilities, more experienced management, more effective marketing and more efficient operati</w:t>
      </w:r>
      <w:r>
        <w:rPr>
          <w:rFonts w:eastAsia="Times New Roman"/>
          <w:color w:val="000000"/>
          <w:sz w:val="20"/>
          <w:szCs w:val="20"/>
        </w:rPr>
        <w:t>ons.</w:t>
      </w:r>
    </w:p>
    <w:p w:rsidR="00000000" w:rsidRDefault="0061405A">
      <w:pPr>
        <w:jc w:val="both"/>
        <w:divId w:val="929780243"/>
        <w:rPr>
          <w:rFonts w:eastAsia="Times New Roman"/>
        </w:rPr>
      </w:pPr>
      <w:r>
        <w:rPr>
          <w:rFonts w:eastAsia="Times New Roman"/>
          <w:color w:val="000000"/>
          <w:sz w:val="20"/>
          <w:szCs w:val="20"/>
        </w:rPr>
        <w:t xml:space="preserve">Several of our competitors compete by offering menu items that are specifically identified as low in carbohydrates, gluten-free, or rich in protein. In addition, many of our competitors emphasize lower-cost value options or meal packages, or strategies we </w:t>
      </w:r>
      <w:r>
        <w:rPr>
          <w:rFonts w:eastAsia="Times New Roman"/>
          <w:color w:val="000000"/>
          <w:sz w:val="20"/>
          <w:szCs w:val="20"/>
        </w:rPr>
        <w:t>do not currently pursue. Any of these competitive factors may materially adversely affect our business, financial condition or results of operations.</w:t>
      </w:r>
    </w:p>
    <w:p w:rsidR="00000000" w:rsidRDefault="0061405A">
      <w:pPr>
        <w:divId w:val="1421951476"/>
        <w:rPr>
          <w:rFonts w:eastAsia="Times New Roman"/>
        </w:rPr>
      </w:pPr>
      <w:r>
        <w:rPr>
          <w:rFonts w:eastAsia="Times New Roman"/>
          <w:b/>
          <w:bCs/>
          <w:i/>
          <w:iCs/>
          <w:color w:val="000000"/>
          <w:sz w:val="20"/>
          <w:szCs w:val="20"/>
        </w:rPr>
        <w:t>Our marketing programs may not be successful.</w:t>
      </w:r>
    </w:p>
    <w:p w:rsidR="00000000" w:rsidRDefault="0061405A">
      <w:pPr>
        <w:jc w:val="both"/>
        <w:divId w:val="1147556218"/>
        <w:rPr>
          <w:rFonts w:eastAsia="Times New Roman"/>
        </w:rPr>
      </w:pPr>
      <w:r>
        <w:rPr>
          <w:rFonts w:eastAsia="Times New Roman"/>
          <w:color w:val="000000"/>
          <w:sz w:val="20"/>
          <w:szCs w:val="20"/>
        </w:rPr>
        <w:t>We incur costs and expend other resources in our marketing e</w:t>
      </w:r>
      <w:r>
        <w:rPr>
          <w:rFonts w:eastAsia="Times New Roman"/>
          <w:color w:val="000000"/>
          <w:sz w:val="20"/>
          <w:szCs w:val="20"/>
        </w:rPr>
        <w:t>fforts to attract and retain customers. These initiatives may not be successful, resulting in expenses incurred without the benefit of higher revenues. Additionally, many of our competitors have more marketing resources and we may not be able to successful</w:t>
      </w:r>
      <w:r>
        <w:rPr>
          <w:rFonts w:eastAsia="Times New Roman"/>
          <w:color w:val="000000"/>
          <w:sz w:val="20"/>
          <w:szCs w:val="20"/>
        </w:rPr>
        <w:t>ly compete. If our competitors increase spending on marketing, or if our marketing funds decrease for any reason, or if our advertising and promotions are less effective than those of our competitors, our financial performance could be materially affected.</w:t>
      </w:r>
    </w:p>
    <w:p w:rsidR="00000000" w:rsidRDefault="0061405A">
      <w:pPr>
        <w:jc w:val="both"/>
        <w:divId w:val="1364789648"/>
        <w:rPr>
          <w:rFonts w:eastAsia="Times New Roman"/>
        </w:rPr>
      </w:pPr>
      <w:r>
        <w:rPr>
          <w:rFonts w:eastAsia="Times New Roman"/>
          <w:color w:val="000000"/>
          <w:sz w:val="20"/>
          <w:szCs w:val="20"/>
        </w:rPr>
        <w:t>Many of our competitors are devoting increased resources to their social media marketing programs. Social media can be challenging because it reaches a broad audience with an ability to respond or react, in near real time. In addition, social media can fac</w:t>
      </w:r>
      <w:r>
        <w:rPr>
          <w:rFonts w:eastAsia="Times New Roman"/>
          <w:color w:val="000000"/>
          <w:sz w:val="20"/>
          <w:szCs w:val="20"/>
        </w:rPr>
        <w:t>ilitate the improper disclosure of proprietary information, personally identifiable information, or inaccurate information. As a result, if we do not appropriately manage our social media strategies, our marketing efforts in this area may not be successful</w:t>
      </w:r>
      <w:r>
        <w:rPr>
          <w:rFonts w:eastAsia="Times New Roman"/>
          <w:color w:val="000000"/>
          <w:sz w:val="20"/>
          <w:szCs w:val="20"/>
        </w:rPr>
        <w:t xml:space="preserve"> and could damage our reputation, negatively impacting our restaurant sales and financial performance.</w:t>
      </w:r>
    </w:p>
    <w:p w:rsidR="00000000" w:rsidRDefault="0061405A">
      <w:pPr>
        <w:ind w:firstLine="720"/>
        <w:jc w:val="center"/>
        <w:divId w:val="1982033083"/>
        <w:rPr>
          <w:rFonts w:eastAsia="Times New Roman"/>
        </w:rPr>
      </w:pPr>
      <w:r>
        <w:rPr>
          <w:rFonts w:eastAsia="Times New Roman"/>
          <w:color w:val="000000"/>
          <w:sz w:val="20"/>
          <w:szCs w:val="20"/>
        </w:rPr>
        <w:t>12</w:t>
      </w:r>
    </w:p>
    <w:p w:rsidR="00000000" w:rsidRDefault="0061405A">
      <w:pPr>
        <w:rPr>
          <w:rFonts w:eastAsia="Times New Roman"/>
        </w:rPr>
      </w:pPr>
      <w:r>
        <w:rPr>
          <w:rFonts w:eastAsia="Times New Roman"/>
        </w:rPr>
        <w:pict>
          <v:rect id="_x0000_i1039" style="width:0;height:1.5pt" o:hralign="center" o:hrstd="t" o:hr="t" fillcolor="#a0a0a0" stroked="f"/>
        </w:pict>
      </w:r>
    </w:p>
    <w:p w:rsidR="00000000" w:rsidRDefault="0061405A">
      <w:pPr>
        <w:divId w:val="737246794"/>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both"/>
        <w:divId w:val="733623505"/>
        <w:rPr>
          <w:rFonts w:eastAsia="Times New Roman"/>
        </w:rPr>
      </w:pPr>
      <w:r>
        <w:rPr>
          <w:rFonts w:eastAsia="Times New Roman"/>
          <w:b/>
          <w:bCs/>
          <w:i/>
          <w:iCs/>
          <w:color w:val="000000"/>
          <w:sz w:val="20"/>
          <w:szCs w:val="20"/>
        </w:rPr>
        <w:t>Negative publicity rel</w:t>
      </w:r>
      <w:r>
        <w:rPr>
          <w:rFonts w:eastAsia="Times New Roman"/>
          <w:b/>
          <w:bCs/>
          <w:i/>
          <w:iCs/>
          <w:color w:val="000000"/>
          <w:sz w:val="20"/>
          <w:szCs w:val="20"/>
        </w:rPr>
        <w:t>ating to one or more of our restaurants, including our franchised restaurants, could reduce sales at some or all of our other restaurants.</w:t>
      </w:r>
    </w:p>
    <w:p w:rsidR="00000000" w:rsidRDefault="0061405A">
      <w:pPr>
        <w:jc w:val="both"/>
        <w:divId w:val="1134173298"/>
        <w:rPr>
          <w:rFonts w:eastAsia="Times New Roman"/>
        </w:rPr>
      </w:pPr>
      <w:r>
        <w:rPr>
          <w:rFonts w:eastAsia="Times New Roman"/>
          <w:color w:val="000000"/>
          <w:sz w:val="20"/>
          <w:szCs w:val="20"/>
        </w:rPr>
        <w:t>Our success is dependent in part upon our ability to maintain and enhance the value of our brand, consumers’ connecti</w:t>
      </w:r>
      <w:r>
        <w:rPr>
          <w:rFonts w:eastAsia="Times New Roman"/>
          <w:color w:val="000000"/>
          <w:sz w:val="20"/>
          <w:szCs w:val="20"/>
        </w:rPr>
        <w:t>on to our brand and positive relationships with our franchisees. We may be faced with negative publicity relating to food quality, restaurant facilities, customer complaints or litigation alleging illness or injury, health inspection scores, integrity of o</w:t>
      </w:r>
      <w:r>
        <w:rPr>
          <w:rFonts w:eastAsia="Times New Roman"/>
          <w:color w:val="000000"/>
          <w:sz w:val="20"/>
          <w:szCs w:val="20"/>
        </w:rPr>
        <w:t>ur or our suppliers’ food processing, employee relationships or other matters, regardless of whether the allegations are valid or whether we are held to be responsible. The negative impact of adverse publicity relating to one restaurant may extend far beyo</w:t>
      </w:r>
      <w:r>
        <w:rPr>
          <w:rFonts w:eastAsia="Times New Roman"/>
          <w:color w:val="000000"/>
          <w:sz w:val="20"/>
          <w:szCs w:val="20"/>
        </w:rPr>
        <w:t>nd the restaurant or franchise involved to affect some or all of our other restaurants. The risk of negative publicity is particularly great with respect to our franchised restaurants because we are limited in the manner in which we can regulate them, espe</w:t>
      </w:r>
      <w:r>
        <w:rPr>
          <w:rFonts w:eastAsia="Times New Roman"/>
          <w:color w:val="000000"/>
          <w:sz w:val="20"/>
          <w:szCs w:val="20"/>
        </w:rPr>
        <w:t>cially on a real-time basis. Negative publicity generated by such incidents may be amplified by the use of social media. A similar risk exists with respect to unrelated food service businesses, if consumers associate those businesses with our own operation</w:t>
      </w:r>
      <w:r>
        <w:rPr>
          <w:rFonts w:eastAsia="Times New Roman"/>
          <w:color w:val="000000"/>
          <w:sz w:val="20"/>
          <w:szCs w:val="20"/>
        </w:rPr>
        <w:t>s or are concerned with the food safety of the broader restaurant industry.</w:t>
      </w:r>
    </w:p>
    <w:p w:rsidR="00000000" w:rsidRDefault="0061405A">
      <w:pPr>
        <w:jc w:val="both"/>
        <w:divId w:val="1413430653"/>
        <w:rPr>
          <w:rFonts w:eastAsia="Times New Roman"/>
        </w:rPr>
      </w:pPr>
      <w:r>
        <w:rPr>
          <w:rFonts w:eastAsia="Times New Roman"/>
          <w:color w:val="000000"/>
          <w:sz w:val="20"/>
          <w:szCs w:val="20"/>
        </w:rPr>
        <w:t>Additionally, employee claims against us based on, among other things, wage and hour violations, discrimination, harassment or wrongful termination may also create negative publici</w:t>
      </w:r>
      <w:r>
        <w:rPr>
          <w:rFonts w:eastAsia="Times New Roman"/>
          <w:color w:val="000000"/>
          <w:sz w:val="20"/>
          <w:szCs w:val="20"/>
        </w:rPr>
        <w:t>ty that could materially adversely affect us and divert our financial and management resources that would otherwise be used to benefit the future performance of our operations. A significant increase in the number of these claims or an increase in the numb</w:t>
      </w:r>
      <w:r>
        <w:rPr>
          <w:rFonts w:eastAsia="Times New Roman"/>
          <w:color w:val="000000"/>
          <w:sz w:val="20"/>
          <w:szCs w:val="20"/>
        </w:rPr>
        <w:t>er or scope of successful claims could materially adversely affect our business, financial condition or results of operations. Consumer demand for our products and our brand’s value could diminish significantly if any such incidents or other matters create</w:t>
      </w:r>
      <w:r>
        <w:rPr>
          <w:rFonts w:eastAsia="Times New Roman"/>
          <w:color w:val="000000"/>
          <w:sz w:val="20"/>
          <w:szCs w:val="20"/>
        </w:rPr>
        <w:t xml:space="preserve"> negative publicity or otherwise erode consumer confidence in us or our products, or in the restaurant industry as a whole, which would likely result in lower sales and could materially adversely affect our business, financial condition or results of opera</w:t>
      </w:r>
      <w:r>
        <w:rPr>
          <w:rFonts w:eastAsia="Times New Roman"/>
          <w:color w:val="000000"/>
          <w:sz w:val="20"/>
          <w:szCs w:val="20"/>
        </w:rPr>
        <w:t>tions.</w:t>
      </w:r>
    </w:p>
    <w:p w:rsidR="00000000" w:rsidRDefault="0061405A">
      <w:pPr>
        <w:jc w:val="both"/>
        <w:divId w:val="108476867"/>
        <w:rPr>
          <w:rFonts w:eastAsia="Times New Roman"/>
        </w:rPr>
      </w:pPr>
      <w:r>
        <w:rPr>
          <w:rFonts w:eastAsia="Times New Roman"/>
          <w:b/>
          <w:bCs/>
          <w:i/>
          <w:iCs/>
          <w:color w:val="000000"/>
          <w:sz w:val="20"/>
          <w:szCs w:val="20"/>
        </w:rPr>
        <w:t>Food safety and foodborne illness concerns could have an adverse effect on our business.</w:t>
      </w:r>
    </w:p>
    <w:p w:rsidR="00000000" w:rsidRDefault="0061405A">
      <w:pPr>
        <w:jc w:val="both"/>
        <w:divId w:val="2001805530"/>
        <w:rPr>
          <w:rFonts w:eastAsia="Times New Roman"/>
        </w:rPr>
      </w:pPr>
      <w:r>
        <w:rPr>
          <w:rFonts w:eastAsia="Times New Roman"/>
          <w:color w:val="000000"/>
          <w:sz w:val="20"/>
          <w:szCs w:val="20"/>
        </w:rPr>
        <w:t>We cannot guarantee that our internal controls and training will be fully effective in preventing all food safety issues at our restaurants, including any occur</w:t>
      </w:r>
      <w:r>
        <w:rPr>
          <w:rFonts w:eastAsia="Times New Roman"/>
          <w:color w:val="000000"/>
          <w:sz w:val="20"/>
          <w:szCs w:val="20"/>
        </w:rPr>
        <w:t xml:space="preserve">rences of foodborne illnesses such as E. coli, Hepatitis A, listeria, norovirus and salmonella. The risk of illnesses associated with our food might also increase in connection with the expansion of our catering and delivery businesses or other situations </w:t>
      </w:r>
      <w:r>
        <w:rPr>
          <w:rFonts w:eastAsia="Times New Roman"/>
          <w:color w:val="000000"/>
          <w:sz w:val="20"/>
          <w:szCs w:val="20"/>
        </w:rPr>
        <w:t>in which our food is served or delivered in conditions that we cannot control. Furthermore, we and our franchisees rely on third-party vendors throughout our supply chain, making it difficult to monitor food safety compliance and increasing the risk that f</w:t>
      </w:r>
      <w:r>
        <w:rPr>
          <w:rFonts w:eastAsia="Times New Roman"/>
          <w:color w:val="000000"/>
          <w:sz w:val="20"/>
          <w:szCs w:val="20"/>
        </w:rPr>
        <w:t>oodborne illness would affect multiple locations rather than a single restaurant. Some foodborne illness incidents could be caused by third-party vendors and transporters outside of our control. New illnesses resistant to our current precautions may develo</w:t>
      </w:r>
      <w:r>
        <w:rPr>
          <w:rFonts w:eastAsia="Times New Roman"/>
          <w:color w:val="000000"/>
          <w:sz w:val="20"/>
          <w:szCs w:val="20"/>
        </w:rPr>
        <w:t>p in the future, or diseases with long incubation periods could arise, that could give rise to claims or allegations on a retroactive basis. One or more instances of foodborne illness in any of our restaurants or markets or related to food products we sell</w:t>
      </w:r>
      <w:r>
        <w:rPr>
          <w:rFonts w:eastAsia="Times New Roman"/>
          <w:color w:val="000000"/>
          <w:sz w:val="20"/>
          <w:szCs w:val="20"/>
        </w:rPr>
        <w:t xml:space="preserve"> could negatively affect our restaurant sales nationwide if highly publicized on national media outlets or through social media. This risk exists even if it were later determined that the illness was wrongly attributed to us or one of our restaurants.</w:t>
      </w:r>
    </w:p>
    <w:p w:rsidR="00000000" w:rsidRDefault="0061405A">
      <w:pPr>
        <w:jc w:val="both"/>
        <w:divId w:val="1534726561"/>
        <w:rPr>
          <w:rFonts w:eastAsia="Times New Roman"/>
        </w:rPr>
      </w:pPr>
      <w:r>
        <w:rPr>
          <w:rFonts w:eastAsia="Times New Roman"/>
          <w:color w:val="000000"/>
          <w:sz w:val="20"/>
          <w:szCs w:val="20"/>
        </w:rPr>
        <w:t>A nu</w:t>
      </w:r>
      <w:r>
        <w:rPr>
          <w:rFonts w:eastAsia="Times New Roman"/>
          <w:color w:val="000000"/>
          <w:sz w:val="20"/>
          <w:szCs w:val="20"/>
        </w:rPr>
        <w:t>mber of other restaurant chains have experienced incidents related to foodborne illnesses that have had a material adverse effect on their operations, including E. coli, listeria and norovirus outbreaks at other fast-casual concepts. These incidents at oth</w:t>
      </w:r>
      <w:r>
        <w:rPr>
          <w:rFonts w:eastAsia="Times New Roman"/>
          <w:color w:val="000000"/>
          <w:sz w:val="20"/>
          <w:szCs w:val="20"/>
        </w:rPr>
        <w:t xml:space="preserve">er restaurants could cause some customers to have a negative perception of fast-casual concepts generally, which can negatively affect our restaurants. The occurrence of a similar incident at one or more of our restaurants, or negative publicity or public </w:t>
      </w:r>
      <w:r>
        <w:rPr>
          <w:rFonts w:eastAsia="Times New Roman"/>
          <w:color w:val="000000"/>
          <w:sz w:val="20"/>
          <w:szCs w:val="20"/>
        </w:rPr>
        <w:t>speculation about an incident, could materially adversely affect our business, financial condition or results of operations. </w:t>
      </w:r>
    </w:p>
    <w:p w:rsidR="00000000" w:rsidRDefault="0061405A">
      <w:pPr>
        <w:divId w:val="1770345944"/>
        <w:rPr>
          <w:rFonts w:eastAsia="Times New Roman"/>
        </w:rPr>
      </w:pPr>
      <w:r>
        <w:rPr>
          <w:rFonts w:eastAsia="Times New Roman"/>
          <w:b/>
          <w:bCs/>
          <w:i/>
          <w:iCs/>
          <w:color w:val="000000"/>
          <w:sz w:val="20"/>
          <w:szCs w:val="20"/>
        </w:rPr>
        <w:t>Adverse weather conditions could affect our sales.</w:t>
      </w:r>
    </w:p>
    <w:p w:rsidR="00000000" w:rsidRDefault="0061405A">
      <w:pPr>
        <w:divId w:val="1912423117"/>
        <w:rPr>
          <w:rFonts w:eastAsia="Times New Roman"/>
        </w:rPr>
      </w:pPr>
    </w:p>
    <w:p w:rsidR="00000000" w:rsidRDefault="0061405A">
      <w:pPr>
        <w:jc w:val="both"/>
        <w:divId w:val="1548759619"/>
        <w:rPr>
          <w:rFonts w:eastAsia="Times New Roman"/>
        </w:rPr>
      </w:pPr>
      <w:r>
        <w:rPr>
          <w:rFonts w:eastAsia="Times New Roman"/>
          <w:color w:val="000000"/>
          <w:sz w:val="20"/>
          <w:szCs w:val="20"/>
        </w:rPr>
        <w:t>Adverse weather conditions, such as regional winter storms, floods and hurric</w:t>
      </w:r>
      <w:r>
        <w:rPr>
          <w:rFonts w:eastAsia="Times New Roman"/>
          <w:color w:val="000000"/>
          <w:sz w:val="20"/>
          <w:szCs w:val="20"/>
        </w:rPr>
        <w:t>anes, could affect our sales at restaurants in locations that experience these weather conditions, which could materially adversely affect our business, financial condition or results of operations. It is possible that weather conditions may impact our bus</w:t>
      </w:r>
      <w:r>
        <w:rPr>
          <w:rFonts w:eastAsia="Times New Roman"/>
          <w:color w:val="000000"/>
          <w:sz w:val="20"/>
          <w:szCs w:val="20"/>
        </w:rPr>
        <w:t xml:space="preserve">iness more than other businesses in our industry because of the significant concentration of our restaurants in the Upper Midwest, Rocky Mountain and Mid-Atlantic states. </w:t>
      </w:r>
    </w:p>
    <w:p w:rsidR="00000000" w:rsidRDefault="0061405A">
      <w:pPr>
        <w:ind w:firstLine="720"/>
        <w:jc w:val="center"/>
        <w:divId w:val="957640517"/>
        <w:rPr>
          <w:rFonts w:eastAsia="Times New Roman"/>
        </w:rPr>
      </w:pPr>
      <w:r>
        <w:rPr>
          <w:rFonts w:eastAsia="Times New Roman"/>
          <w:color w:val="000000"/>
          <w:sz w:val="20"/>
          <w:szCs w:val="20"/>
        </w:rPr>
        <w:t>13</w:t>
      </w:r>
    </w:p>
    <w:p w:rsidR="00000000" w:rsidRDefault="0061405A">
      <w:pPr>
        <w:rPr>
          <w:rFonts w:eastAsia="Times New Roman"/>
        </w:rPr>
      </w:pPr>
      <w:r>
        <w:rPr>
          <w:rFonts w:eastAsia="Times New Roman"/>
        </w:rPr>
        <w:pict>
          <v:rect id="_x0000_i1040" style="width:0;height:1.5pt" o:hralign="center" o:hrstd="t" o:hr="t" fillcolor="#a0a0a0" stroked="f"/>
        </w:pict>
      </w:r>
    </w:p>
    <w:p w:rsidR="00000000" w:rsidRDefault="0061405A">
      <w:pPr>
        <w:divId w:val="1460491112"/>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divId w:val="2041200586"/>
        <w:rPr>
          <w:rFonts w:eastAsia="Times New Roman"/>
        </w:rPr>
      </w:pPr>
      <w:r>
        <w:rPr>
          <w:rFonts w:eastAsia="Times New Roman"/>
          <w:b/>
          <w:bCs/>
          <w:i/>
          <w:iCs/>
          <w:color w:val="000000"/>
          <w:sz w:val="20"/>
          <w:szCs w:val="20"/>
        </w:rPr>
        <w:t>We are subject to risks associated with long-term non-cancellable leases and the costs of exiting leases at restaurants we have closed or may close in the future may be greater than we estimate or could be gr</w:t>
      </w:r>
      <w:r>
        <w:rPr>
          <w:rFonts w:eastAsia="Times New Roman"/>
          <w:b/>
          <w:bCs/>
          <w:i/>
          <w:iCs/>
          <w:color w:val="000000"/>
          <w:sz w:val="20"/>
          <w:szCs w:val="20"/>
        </w:rPr>
        <w:t>eater than the funds we raise to address closure costs.</w:t>
      </w:r>
    </w:p>
    <w:p w:rsidR="00000000" w:rsidRDefault="0061405A">
      <w:pPr>
        <w:divId w:val="1421485855"/>
        <w:rPr>
          <w:rFonts w:eastAsia="Times New Roman"/>
        </w:rPr>
      </w:pPr>
    </w:p>
    <w:p w:rsidR="00000000" w:rsidRDefault="0061405A">
      <w:pPr>
        <w:jc w:val="both"/>
        <w:divId w:val="1838613880"/>
        <w:rPr>
          <w:rFonts w:eastAsia="Times New Roman"/>
        </w:rPr>
      </w:pPr>
      <w:r>
        <w:rPr>
          <w:rFonts w:eastAsia="Times New Roman"/>
          <w:color w:val="000000"/>
          <w:sz w:val="20"/>
          <w:szCs w:val="20"/>
        </w:rPr>
        <w:t>We do not own any real property. Payments under our operating leases account for a significant portion of our operating expenses and we expect the new restaurants we open in the future will similarl</w:t>
      </w:r>
      <w:r>
        <w:rPr>
          <w:rFonts w:eastAsia="Times New Roman"/>
          <w:color w:val="000000"/>
          <w:sz w:val="20"/>
          <w:szCs w:val="20"/>
        </w:rPr>
        <w:t>y be leased. Our leases generally have an initial term of ten years and generally can be extended only in five-year increments (at increased rates). All of our leases require a fixed annual rent, although some require the payment of additional rent if rest</w:t>
      </w:r>
      <w:r>
        <w:rPr>
          <w:rFonts w:eastAsia="Times New Roman"/>
          <w:color w:val="000000"/>
          <w:sz w:val="20"/>
          <w:szCs w:val="20"/>
        </w:rPr>
        <w:t>aurant sales exceed a negotiated amount. Generally, our leases are “net” leases, which require us to pay all of the cost of insurance, taxes, maintenance and utilities. We generally cannot cancel these leases. Additional sites that we lease are likely to b</w:t>
      </w:r>
      <w:r>
        <w:rPr>
          <w:rFonts w:eastAsia="Times New Roman"/>
          <w:color w:val="000000"/>
          <w:sz w:val="20"/>
          <w:szCs w:val="20"/>
        </w:rPr>
        <w:t>e subject to similar long-term non-cancelable leases. In connection with closing restaurants, we may nonetheless be committed to perform our obligations under the applicable lease including, among other things, paying the base rent for the balance of the l</w:t>
      </w:r>
      <w:r>
        <w:rPr>
          <w:rFonts w:eastAsia="Times New Roman"/>
          <w:color w:val="000000"/>
          <w:sz w:val="20"/>
          <w:szCs w:val="20"/>
        </w:rPr>
        <w:t xml:space="preserve">ease term. In addition, as each of our leases expires, we may fail to negotiate renewals, either on commercially acceptable terms or at all, which could cause us to pay increased occupancy costs or to close restaurants in desirable locations. </w:t>
      </w:r>
    </w:p>
    <w:p w:rsidR="00000000" w:rsidRDefault="0061405A">
      <w:pPr>
        <w:jc w:val="both"/>
        <w:divId w:val="1206483609"/>
        <w:rPr>
          <w:rFonts w:eastAsia="Times New Roman"/>
        </w:rPr>
      </w:pPr>
      <w:r>
        <w:rPr>
          <w:rFonts w:eastAsia="Times New Roman"/>
          <w:b/>
          <w:bCs/>
          <w:i/>
          <w:iCs/>
          <w:color w:val="000000"/>
          <w:sz w:val="20"/>
          <w:szCs w:val="20"/>
        </w:rPr>
        <w:t xml:space="preserve">Opening and </w:t>
      </w:r>
      <w:r>
        <w:rPr>
          <w:rFonts w:eastAsia="Times New Roman"/>
          <w:b/>
          <w:bCs/>
          <w:i/>
          <w:iCs/>
          <w:color w:val="000000"/>
          <w:sz w:val="20"/>
          <w:szCs w:val="20"/>
        </w:rPr>
        <w:t>operating new restaurants entails numerous risks and uncertainties.</w:t>
      </w:r>
    </w:p>
    <w:p w:rsidR="00000000" w:rsidRDefault="0061405A">
      <w:pPr>
        <w:jc w:val="both"/>
        <w:divId w:val="1657957220"/>
        <w:rPr>
          <w:rFonts w:eastAsia="Times New Roman"/>
        </w:rPr>
      </w:pPr>
      <w:r>
        <w:rPr>
          <w:rFonts w:eastAsia="Times New Roman"/>
          <w:color w:val="000000"/>
          <w:sz w:val="20"/>
          <w:szCs w:val="20"/>
          <w:shd w:val="clear" w:color="auto" w:fill="FFFFFF"/>
        </w:rPr>
        <w:t>One element of our operational strategy is the opening of new restaurants and operating those restaurants on a profitable basis. In 2020, we opened four company-owned restaurants, refranch</w:t>
      </w:r>
      <w:r>
        <w:rPr>
          <w:rFonts w:eastAsia="Times New Roman"/>
          <w:color w:val="000000"/>
          <w:sz w:val="20"/>
          <w:szCs w:val="20"/>
          <w:shd w:val="clear" w:color="auto" w:fill="FFFFFF"/>
        </w:rPr>
        <w:t xml:space="preserve">ised nine restaurants and closed six company-owned restaurants. Our franchisees did not open any restaurants and closed one restaurant. We expect to open between ten and fifteen company-wide restaurants in 2021 with such openings primarily taking place in </w:t>
      </w:r>
      <w:r>
        <w:rPr>
          <w:rFonts w:eastAsia="Times New Roman"/>
          <w:color w:val="000000"/>
          <w:sz w:val="20"/>
          <w:szCs w:val="20"/>
          <w:shd w:val="clear" w:color="auto" w:fill="FFFFFF"/>
        </w:rPr>
        <w:t xml:space="preserve">well-established existing markets. </w:t>
      </w:r>
    </w:p>
    <w:p w:rsidR="00000000" w:rsidRDefault="0061405A">
      <w:pPr>
        <w:jc w:val="both"/>
        <w:divId w:val="86537382"/>
        <w:rPr>
          <w:rFonts w:eastAsia="Times New Roman"/>
        </w:rPr>
      </w:pPr>
      <w:r>
        <w:rPr>
          <w:rFonts w:eastAsia="Times New Roman"/>
          <w:color w:val="000000"/>
          <w:sz w:val="20"/>
          <w:szCs w:val="20"/>
        </w:rPr>
        <w:t>Opening new restaurants presents numerous risks and uncertainties. We may not be able to open new restaurants as quickly as planned. In the past, we have experienced delays in opening some restaurants and that could happen again. Delays or failures in open</w:t>
      </w:r>
      <w:r>
        <w:rPr>
          <w:rFonts w:eastAsia="Times New Roman"/>
          <w:color w:val="000000"/>
          <w:sz w:val="20"/>
          <w:szCs w:val="20"/>
        </w:rPr>
        <w:t>ing new restaurants could materially adversely affect our business strategy and our expected results.</w:t>
      </w:r>
    </w:p>
    <w:p w:rsidR="00000000" w:rsidRDefault="0061405A">
      <w:pPr>
        <w:jc w:val="both"/>
        <w:divId w:val="586965310"/>
        <w:rPr>
          <w:rFonts w:eastAsia="Times New Roman"/>
        </w:rPr>
      </w:pPr>
      <w:r>
        <w:rPr>
          <w:rFonts w:eastAsia="Times New Roman"/>
          <w:color w:val="000000"/>
          <w:sz w:val="20"/>
          <w:szCs w:val="20"/>
        </w:rPr>
        <w:t>Our ability to open new restaurants also depends on other factors, including: site selection; negotiating leases with acceptable terms; identifying, hirin</w:t>
      </w:r>
      <w:r>
        <w:rPr>
          <w:rFonts w:eastAsia="Times New Roman"/>
          <w:color w:val="000000"/>
          <w:sz w:val="20"/>
          <w:szCs w:val="20"/>
        </w:rPr>
        <w:t>g and training qualified employees; the state of the labor market in each local market; timely delivery of leased premises to use; managing construction and development costs; avoiding the impact of inclement weather, natural disasters and other calamities</w:t>
      </w:r>
      <w:r>
        <w:rPr>
          <w:rFonts w:eastAsia="Times New Roman"/>
          <w:color w:val="000000"/>
          <w:sz w:val="20"/>
          <w:szCs w:val="20"/>
        </w:rPr>
        <w:t>; obtaining construction materials and labor at acceptable costs; securing required governmental approvals, permits and licenses; and accessing sufficient capital.</w:t>
      </w:r>
    </w:p>
    <w:p w:rsidR="00000000" w:rsidRDefault="0061405A">
      <w:pPr>
        <w:jc w:val="both"/>
        <w:divId w:val="876161507"/>
        <w:rPr>
          <w:rFonts w:eastAsia="Times New Roman"/>
        </w:rPr>
      </w:pPr>
      <w:r>
        <w:rPr>
          <w:rFonts w:eastAsia="Times New Roman"/>
          <w:color w:val="000000"/>
          <w:sz w:val="20"/>
          <w:szCs w:val="20"/>
        </w:rPr>
        <w:t>Our new restaurants may be smaller in terms of square footage and seating than our current r</w:t>
      </w:r>
      <w:r>
        <w:rPr>
          <w:rFonts w:eastAsia="Times New Roman"/>
          <w:color w:val="000000"/>
          <w:sz w:val="20"/>
          <w:szCs w:val="20"/>
        </w:rPr>
        <w:t>estaurants, in accordance with our increased focus on off-premise dining opportunities. Customers may react negatively to these re-designed, smaller stores, which could materially adversely affect our business, financial condition or results of operations.</w:t>
      </w:r>
    </w:p>
    <w:p w:rsidR="00000000" w:rsidRDefault="0061405A">
      <w:pPr>
        <w:jc w:val="both"/>
        <w:divId w:val="2059430907"/>
        <w:rPr>
          <w:rFonts w:eastAsia="Times New Roman"/>
        </w:rPr>
      </w:pPr>
      <w:r>
        <w:rPr>
          <w:rFonts w:eastAsia="Times New Roman"/>
          <w:b/>
          <w:bCs/>
          <w:i/>
          <w:iCs/>
          <w:color w:val="000000"/>
          <w:sz w:val="20"/>
          <w:szCs w:val="20"/>
        </w:rPr>
        <w:t>Our long-term success is partially dependent on our ability to effectively identify appropriate target markets and secure appropriate sites for new restaurants.</w:t>
      </w:r>
      <w:r>
        <w:rPr>
          <w:rFonts w:eastAsia="Times New Roman"/>
          <w:color w:val="000000"/>
          <w:sz w:val="20"/>
          <w:szCs w:val="20"/>
        </w:rPr>
        <w:t> </w:t>
      </w:r>
    </w:p>
    <w:p w:rsidR="00000000" w:rsidRDefault="0061405A">
      <w:pPr>
        <w:jc w:val="both"/>
        <w:divId w:val="649486575"/>
        <w:rPr>
          <w:rFonts w:eastAsia="Times New Roman"/>
        </w:rPr>
      </w:pPr>
      <w:r>
        <w:rPr>
          <w:rFonts w:eastAsia="Times New Roman"/>
          <w:color w:val="000000"/>
          <w:sz w:val="20"/>
          <w:szCs w:val="20"/>
        </w:rPr>
        <w:t xml:space="preserve">In order to build new restaurants, we must first identify target markets where we can expand </w:t>
      </w:r>
      <w:r>
        <w:rPr>
          <w:rFonts w:eastAsia="Times New Roman"/>
          <w:color w:val="000000"/>
          <w:sz w:val="20"/>
          <w:szCs w:val="20"/>
        </w:rPr>
        <w:t>our footprint, taking into account numerous factors, including the location of our current restaurants, local economic trends, population density, area demographics and geography. The selection of target markets for expansion is challenging. We also must l</w:t>
      </w:r>
      <w:r>
        <w:rPr>
          <w:rFonts w:eastAsia="Times New Roman"/>
          <w:color w:val="000000"/>
          <w:sz w:val="20"/>
          <w:szCs w:val="20"/>
        </w:rPr>
        <w:t>ocate and secure appropriate sites for new restaurants, which is one of our biggest challenges. There are numerous factors involved in identifying and securing an appropriate site, including, among others: identification and availability of locations; comp</w:t>
      </w:r>
      <w:r>
        <w:rPr>
          <w:rFonts w:eastAsia="Times New Roman"/>
          <w:color w:val="000000"/>
          <w:sz w:val="20"/>
          <w:szCs w:val="20"/>
        </w:rPr>
        <w:t>etition; financial conditions affecting developers and potential landlords; developers and potential landlords obtaining licenses or permits for development projects on a timely basis; proximity of potential development sites to an existing location; antic</w:t>
      </w:r>
      <w:r>
        <w:rPr>
          <w:rFonts w:eastAsia="Times New Roman"/>
          <w:color w:val="000000"/>
          <w:sz w:val="20"/>
          <w:szCs w:val="20"/>
        </w:rPr>
        <w:t>ipated development near our new restaurants; and availability of acceptable lease arrangements. If we are unable to fully implement our development plan, our business, financial condition or results of operations could be materially adversely affected.</w:t>
      </w:r>
    </w:p>
    <w:p w:rsidR="00000000" w:rsidRDefault="0061405A">
      <w:pPr>
        <w:divId w:val="1260525428"/>
        <w:rPr>
          <w:rFonts w:eastAsia="Times New Roman"/>
        </w:rPr>
      </w:pPr>
      <w:r>
        <w:rPr>
          <w:rFonts w:eastAsia="Times New Roman"/>
          <w:b/>
          <w:bCs/>
          <w:i/>
          <w:iCs/>
          <w:color w:val="000000"/>
          <w:sz w:val="20"/>
          <w:szCs w:val="20"/>
        </w:rPr>
        <w:t>New</w:t>
      </w:r>
      <w:r>
        <w:rPr>
          <w:rFonts w:eastAsia="Times New Roman"/>
          <w:b/>
          <w:bCs/>
          <w:i/>
          <w:iCs/>
          <w:color w:val="000000"/>
          <w:sz w:val="20"/>
          <w:szCs w:val="20"/>
        </w:rPr>
        <w:t xml:space="preserve"> restaurants, once opened, may not be profitable. </w:t>
      </w:r>
    </w:p>
    <w:p w:rsidR="00000000" w:rsidRDefault="0061405A">
      <w:pPr>
        <w:jc w:val="both"/>
        <w:divId w:val="1486043232"/>
        <w:rPr>
          <w:rFonts w:eastAsia="Times New Roman"/>
        </w:rPr>
      </w:pPr>
      <w:r>
        <w:rPr>
          <w:rFonts w:eastAsia="Times New Roman"/>
          <w:color w:val="000000"/>
          <w:sz w:val="20"/>
          <w:szCs w:val="20"/>
        </w:rPr>
        <w:t>New restaurants may not be profitable, and their sales performance may not follow historical patterns. In addition, our average restaurant sales and comparable restaurant sales may underperform our expectations. Our ability to operate new restaurants profi</w:t>
      </w:r>
      <w:r>
        <w:rPr>
          <w:rFonts w:eastAsia="Times New Roman"/>
          <w:color w:val="000000"/>
          <w:sz w:val="20"/>
          <w:szCs w:val="20"/>
        </w:rPr>
        <w:t xml:space="preserve">tably and increase average restaurant sales and comparable restaurant sales will depend on many factors, some of which are beyond our control, including: consumer awareness, understanding and support of our brand; general economic conditions, local </w:t>
      </w:r>
    </w:p>
    <w:p w:rsidR="00000000" w:rsidRDefault="0061405A">
      <w:pPr>
        <w:ind w:firstLine="720"/>
        <w:jc w:val="center"/>
        <w:divId w:val="1437753911"/>
        <w:rPr>
          <w:rFonts w:eastAsia="Times New Roman"/>
        </w:rPr>
      </w:pPr>
      <w:r>
        <w:rPr>
          <w:rFonts w:eastAsia="Times New Roman"/>
          <w:color w:val="000000"/>
          <w:sz w:val="20"/>
          <w:szCs w:val="20"/>
        </w:rPr>
        <w:t>14</w:t>
      </w:r>
    </w:p>
    <w:p w:rsidR="00000000" w:rsidRDefault="0061405A">
      <w:pPr>
        <w:rPr>
          <w:rFonts w:eastAsia="Times New Roman"/>
        </w:rPr>
      </w:pPr>
      <w:r>
        <w:rPr>
          <w:rFonts w:eastAsia="Times New Roman"/>
        </w:rPr>
        <w:pict>
          <v:rect id="_x0000_i1041" style="width:0;height:1.5pt" o:hralign="center" o:hrstd="t" o:hr="t" fillcolor="#a0a0a0" stroked="f"/>
        </w:pict>
      </w:r>
    </w:p>
    <w:p w:rsidR="00000000" w:rsidRDefault="0061405A">
      <w:pPr>
        <w:divId w:val="1789204292"/>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both"/>
        <w:divId w:val="441076220"/>
        <w:rPr>
          <w:rFonts w:eastAsia="Times New Roman"/>
        </w:rPr>
      </w:pPr>
      <w:r>
        <w:rPr>
          <w:rFonts w:eastAsia="Times New Roman"/>
          <w:color w:val="000000"/>
          <w:sz w:val="20"/>
          <w:szCs w:val="20"/>
        </w:rPr>
        <w:t>labor costs and prices we pay for the food products and other supplies we use; changes in consumer preferences; competition; tempo</w:t>
      </w:r>
      <w:r>
        <w:rPr>
          <w:rFonts w:eastAsia="Times New Roman"/>
          <w:color w:val="000000"/>
          <w:sz w:val="20"/>
          <w:szCs w:val="20"/>
        </w:rPr>
        <w:t xml:space="preserve">rary and permanent site characteristics of new restaurants; and changes in government regulation. </w:t>
      </w:r>
    </w:p>
    <w:p w:rsidR="00000000" w:rsidRDefault="0061405A">
      <w:pPr>
        <w:jc w:val="both"/>
        <w:divId w:val="1415589163"/>
        <w:rPr>
          <w:rFonts w:eastAsia="Times New Roman"/>
        </w:rPr>
      </w:pPr>
      <w:r>
        <w:rPr>
          <w:rFonts w:eastAsia="Times New Roman"/>
          <w:color w:val="000000"/>
          <w:sz w:val="20"/>
          <w:szCs w:val="20"/>
        </w:rPr>
        <w:t>If our new restaurants do not perform as planned, our business and future prospects could be harmed. In addition, if we are unable to achieve our expected av</w:t>
      </w:r>
      <w:r>
        <w:rPr>
          <w:rFonts w:eastAsia="Times New Roman"/>
          <w:color w:val="000000"/>
          <w:sz w:val="20"/>
          <w:szCs w:val="20"/>
        </w:rPr>
        <w:t>erage restaurant sales, our business, financial condition or results of operations could be materially adversely affected.</w:t>
      </w:r>
    </w:p>
    <w:p w:rsidR="00000000" w:rsidRDefault="0061405A">
      <w:pPr>
        <w:divId w:val="1864123268"/>
        <w:rPr>
          <w:rFonts w:eastAsia="Times New Roman"/>
        </w:rPr>
      </w:pPr>
      <w:r>
        <w:rPr>
          <w:rFonts w:eastAsia="Times New Roman"/>
          <w:b/>
          <w:bCs/>
          <w:i/>
          <w:iCs/>
          <w:color w:val="000000"/>
          <w:sz w:val="20"/>
          <w:szCs w:val="20"/>
        </w:rPr>
        <w:t xml:space="preserve">Opening new restaurants in existing markets may negatively affect sales at our existing restaurants. </w:t>
      </w:r>
    </w:p>
    <w:p w:rsidR="00000000" w:rsidRDefault="0061405A">
      <w:pPr>
        <w:jc w:val="both"/>
        <w:divId w:val="1066612020"/>
        <w:rPr>
          <w:rFonts w:eastAsia="Times New Roman"/>
        </w:rPr>
      </w:pPr>
      <w:r>
        <w:rPr>
          <w:rFonts w:eastAsia="Times New Roman"/>
          <w:color w:val="000000"/>
          <w:sz w:val="20"/>
          <w:szCs w:val="20"/>
        </w:rPr>
        <w:t>The consumer target area of our</w:t>
      </w:r>
      <w:r>
        <w:rPr>
          <w:rFonts w:eastAsia="Times New Roman"/>
          <w:color w:val="000000"/>
          <w:sz w:val="20"/>
          <w:szCs w:val="20"/>
        </w:rPr>
        <w:t xml:space="preserve"> restaurants varies by location, depending on a number of factors, including population density, other local retail and business attractions, area demographics and geography. As a result, opening a new restaurant in or near markets in which we already have</w:t>
      </w:r>
      <w:r>
        <w:rPr>
          <w:rFonts w:eastAsia="Times New Roman"/>
          <w:color w:val="000000"/>
          <w:sz w:val="20"/>
          <w:szCs w:val="20"/>
        </w:rPr>
        <w:t xml:space="preserve"> restaurants could materially adversely affect the sales of these existing restaurants. Existing restaurants could also make it more difficult to build our consumer base for a new restaurant in the same market. Our core business strategy does not entail op</w:t>
      </w:r>
      <w:r>
        <w:rPr>
          <w:rFonts w:eastAsia="Times New Roman"/>
          <w:color w:val="000000"/>
          <w:sz w:val="20"/>
          <w:szCs w:val="20"/>
        </w:rPr>
        <w:t>ening new restaurants that we believe will materially affect sales at our existing restaurants, but we may selectively open new restaurants in and around areas of existing restaurants that are operating at or near capacity to effectively serve our customer</w:t>
      </w:r>
      <w:r>
        <w:rPr>
          <w:rFonts w:eastAsia="Times New Roman"/>
          <w:color w:val="000000"/>
          <w:sz w:val="20"/>
          <w:szCs w:val="20"/>
        </w:rPr>
        <w:t xml:space="preserve">s. Sales cannibalization between our restaurants may become significant in the future as we continue to expand our operations and could affect our sales growth, which could, in turn, materially adversely affect our business, financial condition or results </w:t>
      </w:r>
      <w:r>
        <w:rPr>
          <w:rFonts w:eastAsia="Times New Roman"/>
          <w:color w:val="000000"/>
          <w:sz w:val="20"/>
          <w:szCs w:val="20"/>
        </w:rPr>
        <w:t>of operations.</w:t>
      </w:r>
    </w:p>
    <w:p w:rsidR="00000000" w:rsidRDefault="0061405A">
      <w:pPr>
        <w:jc w:val="both"/>
        <w:divId w:val="618101487"/>
        <w:rPr>
          <w:rFonts w:eastAsia="Times New Roman"/>
        </w:rPr>
      </w:pPr>
      <w:r>
        <w:rPr>
          <w:rFonts w:eastAsia="Times New Roman"/>
          <w:b/>
          <w:bCs/>
          <w:color w:val="000000"/>
          <w:sz w:val="20"/>
          <w:szCs w:val="20"/>
        </w:rPr>
        <w:t>Risks Related to Our Employees, Executives and Franchisees</w:t>
      </w:r>
    </w:p>
    <w:p w:rsidR="00000000" w:rsidRDefault="0061405A">
      <w:pPr>
        <w:jc w:val="both"/>
        <w:divId w:val="1558324126"/>
        <w:rPr>
          <w:rFonts w:eastAsia="Times New Roman"/>
        </w:rPr>
      </w:pPr>
      <w:r>
        <w:rPr>
          <w:rFonts w:eastAsia="Times New Roman"/>
          <w:b/>
          <w:bCs/>
          <w:i/>
          <w:iCs/>
          <w:color w:val="000000"/>
          <w:sz w:val="20"/>
          <w:szCs w:val="20"/>
        </w:rPr>
        <w:t>Our business could be adversely affected by difficulties in hiring and retaining top-performing employees.</w:t>
      </w:r>
    </w:p>
    <w:p w:rsidR="00000000" w:rsidRDefault="0061405A">
      <w:pPr>
        <w:jc w:val="both"/>
        <w:divId w:val="56367616"/>
        <w:rPr>
          <w:rFonts w:eastAsia="Times New Roman"/>
        </w:rPr>
      </w:pPr>
      <w:r>
        <w:rPr>
          <w:rFonts w:eastAsia="Times New Roman"/>
          <w:color w:val="000000"/>
          <w:sz w:val="20"/>
          <w:szCs w:val="20"/>
        </w:rPr>
        <w:t>Our success depends on the efforts of our employees and our ability to hire</w:t>
      </w:r>
      <w:r>
        <w:rPr>
          <w:rFonts w:eastAsia="Times New Roman"/>
          <w:color w:val="000000"/>
          <w:sz w:val="20"/>
          <w:szCs w:val="20"/>
        </w:rPr>
        <w:t xml:space="preserve">, motivate and retain qualified employees. There may be a small supply of qualified individuals in some of the communities in which we operate, and competition in these communities for qualified individuals could require us to pay higher wages and provide </w:t>
      </w:r>
      <w:r>
        <w:rPr>
          <w:rFonts w:eastAsia="Times New Roman"/>
          <w:color w:val="000000"/>
          <w:sz w:val="20"/>
          <w:szCs w:val="20"/>
        </w:rPr>
        <w:t>greater benefits. We devote significant resources to training our employees and strive to reduce turnover in order to keep top performing employees and better realize our investment in training new employees. However, turnover among our restaurant employee</w:t>
      </w:r>
      <w:r>
        <w:rPr>
          <w:rFonts w:eastAsia="Times New Roman"/>
          <w:color w:val="000000"/>
          <w:sz w:val="20"/>
          <w:szCs w:val="20"/>
        </w:rPr>
        <w:t>s may increase. Failure to hire and retain top-performing employees could impact our financial performance by increasing our training and labor costs and reducing the quality of our customers’ experiences.</w:t>
      </w:r>
    </w:p>
    <w:p w:rsidR="00000000" w:rsidRDefault="0061405A">
      <w:pPr>
        <w:jc w:val="both"/>
        <w:divId w:val="150144520"/>
        <w:rPr>
          <w:rFonts w:eastAsia="Times New Roman"/>
        </w:rPr>
      </w:pPr>
      <w:r>
        <w:rPr>
          <w:rFonts w:eastAsia="Times New Roman"/>
          <w:b/>
          <w:bCs/>
          <w:i/>
          <w:iCs/>
          <w:color w:val="000000"/>
          <w:sz w:val="20"/>
          <w:szCs w:val="20"/>
        </w:rPr>
        <w:t>If we or our franchisees face labor shortages or i</w:t>
      </w:r>
      <w:r>
        <w:rPr>
          <w:rFonts w:eastAsia="Times New Roman"/>
          <w:b/>
          <w:bCs/>
          <w:i/>
          <w:iCs/>
          <w:color w:val="000000"/>
          <w:sz w:val="20"/>
          <w:szCs w:val="20"/>
        </w:rPr>
        <w:t>ncreased labor costs, our operating results could be adversely affected.</w:t>
      </w:r>
    </w:p>
    <w:p w:rsidR="00000000" w:rsidRDefault="0061405A">
      <w:pPr>
        <w:jc w:val="both"/>
        <w:divId w:val="2029065678"/>
        <w:rPr>
          <w:rFonts w:eastAsia="Times New Roman"/>
        </w:rPr>
      </w:pPr>
      <w:r>
        <w:rPr>
          <w:rFonts w:eastAsia="Times New Roman"/>
          <w:color w:val="000000"/>
          <w:sz w:val="20"/>
          <w:szCs w:val="20"/>
        </w:rPr>
        <w:t>Labor is a primary component in the cost of operating our restaurants. If we face labor shortages or increased labor costs because of increased competition for employees, higher emplo</w:t>
      </w:r>
      <w:r>
        <w:rPr>
          <w:rFonts w:eastAsia="Times New Roman"/>
          <w:color w:val="000000"/>
          <w:sz w:val="20"/>
          <w:szCs w:val="20"/>
        </w:rPr>
        <w:t>yee turnover rates, increases in the federal, state or local minimum wage or other employee benefits costs (including costs associated with health insurance coverage), our operating expenses could increase. In addition, our success depends in part upon our</w:t>
      </w:r>
      <w:r>
        <w:rPr>
          <w:rFonts w:eastAsia="Times New Roman"/>
          <w:color w:val="000000"/>
          <w:sz w:val="20"/>
          <w:szCs w:val="20"/>
        </w:rPr>
        <w:t xml:space="preserve"> and our franchisees’ ability to attract, motivate and retain a sufficient number of well-qualified restaurant operators and management personnel, as well as a sufficient number of other qualified employees, including customer service and kitchen staff. Qu</w:t>
      </w:r>
      <w:r>
        <w:rPr>
          <w:rFonts w:eastAsia="Times New Roman"/>
          <w:color w:val="000000"/>
          <w:sz w:val="20"/>
          <w:szCs w:val="20"/>
        </w:rPr>
        <w:t>alified individuals needed to fill these positions are in short supply in some geographic areas. In addition, restaurants have traditionally experienced relatively high employee turnover rates. Our and our franchisees’ ability to recruit and retain qualifi</w:t>
      </w:r>
      <w:r>
        <w:rPr>
          <w:rFonts w:eastAsia="Times New Roman"/>
          <w:color w:val="000000"/>
          <w:sz w:val="20"/>
          <w:szCs w:val="20"/>
        </w:rPr>
        <w:t>ed individuals may delay the planned openings of new restaurants or result in higher employee turnover in existing restaurants, which could have a material adverse effect on our business, financial condition or results of operations.</w:t>
      </w:r>
    </w:p>
    <w:p w:rsidR="00000000" w:rsidRDefault="0061405A">
      <w:pPr>
        <w:jc w:val="both"/>
        <w:divId w:val="349845100"/>
        <w:rPr>
          <w:rFonts w:eastAsia="Times New Roman"/>
        </w:rPr>
      </w:pPr>
      <w:r>
        <w:rPr>
          <w:rFonts w:eastAsia="Times New Roman"/>
          <w:color w:val="000000"/>
          <w:sz w:val="20"/>
          <w:szCs w:val="20"/>
        </w:rPr>
        <w:t>If we or our franchise</w:t>
      </w:r>
      <w:r>
        <w:rPr>
          <w:rFonts w:eastAsia="Times New Roman"/>
          <w:color w:val="000000"/>
          <w:sz w:val="20"/>
          <w:szCs w:val="20"/>
        </w:rPr>
        <w:t>es are unable to continue to recruit and retain sufficiently qualified individuals at wages comparable to those we currently pay, our business could be materially adversely affected. Competition for these employees could require us or our franchisees to pa</w:t>
      </w:r>
      <w:r>
        <w:rPr>
          <w:rFonts w:eastAsia="Times New Roman"/>
          <w:color w:val="000000"/>
          <w:sz w:val="20"/>
          <w:szCs w:val="20"/>
        </w:rPr>
        <w:t>y higher wages, which could result in higher labor costs. In addition, increases in the minimum wage, which have become more common and more material in size in recent years, would increase our labor costs. Additionally, costs associated with workers’ comp</w:t>
      </w:r>
      <w:r>
        <w:rPr>
          <w:rFonts w:eastAsia="Times New Roman"/>
          <w:color w:val="000000"/>
          <w:sz w:val="20"/>
          <w:szCs w:val="20"/>
        </w:rPr>
        <w:t>ensation are rising, and these costs may continue to rise in the future. We may be unable to increase our menu prices in order to pass these increased labor costs on to consumers, in which case our margins would be negatively affected, which could material</w:t>
      </w:r>
      <w:r>
        <w:rPr>
          <w:rFonts w:eastAsia="Times New Roman"/>
          <w:color w:val="000000"/>
          <w:sz w:val="20"/>
          <w:szCs w:val="20"/>
        </w:rPr>
        <w:t>ly adversely affect our business, financial condition or results of operations.</w:t>
      </w:r>
    </w:p>
    <w:p w:rsidR="00000000" w:rsidRDefault="0061405A">
      <w:pPr>
        <w:jc w:val="both"/>
        <w:divId w:val="1613240611"/>
        <w:rPr>
          <w:rFonts w:eastAsia="Times New Roman"/>
        </w:rPr>
      </w:pPr>
      <w:r>
        <w:rPr>
          <w:rFonts w:eastAsia="Times New Roman"/>
          <w:b/>
          <w:bCs/>
          <w:i/>
          <w:iCs/>
          <w:color w:val="000000"/>
          <w:sz w:val="20"/>
          <w:szCs w:val="20"/>
        </w:rPr>
        <w:t>We may not be successful in executing our franchise strategy.</w:t>
      </w:r>
    </w:p>
    <w:p w:rsidR="00000000" w:rsidRDefault="0061405A">
      <w:pPr>
        <w:jc w:val="both"/>
        <w:divId w:val="1368872789"/>
        <w:rPr>
          <w:rFonts w:eastAsia="Times New Roman"/>
        </w:rPr>
      </w:pPr>
      <w:r>
        <w:rPr>
          <w:rFonts w:eastAsia="Times New Roman"/>
          <w:color w:val="000000"/>
          <w:sz w:val="20"/>
          <w:szCs w:val="20"/>
        </w:rPr>
        <w:t xml:space="preserve">In addition, to the extent we are able to identify franchisees for the franchising of existing restaurants or the </w:t>
      </w:r>
      <w:r>
        <w:rPr>
          <w:rFonts w:eastAsia="Times New Roman"/>
          <w:color w:val="000000"/>
          <w:sz w:val="20"/>
          <w:szCs w:val="20"/>
        </w:rPr>
        <w:t xml:space="preserve">development of new restaurants, our success is dependent on the performance of our franchisees in successfully operating the restaurants. Our </w:t>
      </w:r>
    </w:p>
    <w:p w:rsidR="00000000" w:rsidRDefault="0061405A">
      <w:pPr>
        <w:ind w:firstLine="720"/>
        <w:jc w:val="center"/>
        <w:divId w:val="1917283937"/>
        <w:rPr>
          <w:rFonts w:eastAsia="Times New Roman"/>
        </w:rPr>
      </w:pPr>
      <w:r>
        <w:rPr>
          <w:rFonts w:eastAsia="Times New Roman"/>
          <w:color w:val="000000"/>
          <w:sz w:val="20"/>
          <w:szCs w:val="20"/>
        </w:rPr>
        <w:t>15</w:t>
      </w:r>
    </w:p>
    <w:p w:rsidR="00000000" w:rsidRDefault="0061405A">
      <w:pPr>
        <w:rPr>
          <w:rFonts w:eastAsia="Times New Roman"/>
        </w:rPr>
      </w:pPr>
      <w:r>
        <w:rPr>
          <w:rFonts w:eastAsia="Times New Roman"/>
        </w:rPr>
        <w:pict>
          <v:rect id="_x0000_i1042" style="width:0;height:1.5pt" o:hralign="center" o:hrstd="t" o:hr="t" fillcolor="#a0a0a0" stroked="f"/>
        </w:pict>
      </w:r>
    </w:p>
    <w:p w:rsidR="00000000" w:rsidRDefault="0061405A">
      <w:pPr>
        <w:divId w:val="1640184404"/>
        <w:rPr>
          <w:rFonts w:eastAsia="Times New Roman"/>
        </w:rPr>
      </w:pPr>
      <w:hyperlink w:anchor="i8677812f4896441ea668decd267056f9_7" w:history="1">
        <w:r>
          <w:rPr>
            <w:rStyle w:val="a3"/>
            <w:rFonts w:eastAsia="Times New Roman"/>
            <w:sz w:val="20"/>
            <w:szCs w:val="20"/>
          </w:rPr>
          <w:t>Table of Content</w:t>
        </w:r>
        <w:r>
          <w:rPr>
            <w:rStyle w:val="a3"/>
            <w:rFonts w:eastAsia="Times New Roman"/>
            <w:sz w:val="20"/>
            <w:szCs w:val="20"/>
          </w:rPr>
          <w:t>s</w:t>
        </w:r>
      </w:hyperlink>
      <w:r>
        <w:rPr>
          <w:rFonts w:eastAsia="Times New Roman"/>
          <w:b/>
          <w:bCs/>
          <w:color w:val="000000"/>
          <w:sz w:val="20"/>
          <w:szCs w:val="20"/>
        </w:rPr>
        <w:t>                </w:t>
      </w:r>
    </w:p>
    <w:p w:rsidR="00000000" w:rsidRDefault="0061405A">
      <w:pPr>
        <w:jc w:val="both"/>
        <w:divId w:val="1486773940"/>
        <w:rPr>
          <w:rFonts w:eastAsia="Times New Roman"/>
        </w:rPr>
      </w:pPr>
      <w:r>
        <w:rPr>
          <w:rFonts w:eastAsia="Times New Roman"/>
          <w:color w:val="000000"/>
          <w:sz w:val="20"/>
          <w:szCs w:val="20"/>
        </w:rPr>
        <w:t xml:space="preserve">franchisees may not achieve financial and operational objectives, and they may close existing restaurants due to underperformance or they may ultimately be unsuccessful in developing new restaurants. We may also not be able to manage our </w:t>
      </w:r>
      <w:r>
        <w:rPr>
          <w:rFonts w:eastAsia="Times New Roman"/>
          <w:color w:val="000000"/>
          <w:sz w:val="20"/>
          <w:szCs w:val="20"/>
        </w:rPr>
        <w:t>franchise system effectively. Failure to provide our franchisees with adequate support and resources could materially adversely affect these franchisees, as well as cause disputes between us and them and potentially lead to material liabilities.</w:t>
      </w:r>
    </w:p>
    <w:p w:rsidR="00000000" w:rsidRDefault="0061405A">
      <w:pPr>
        <w:jc w:val="both"/>
        <w:divId w:val="1013414543"/>
        <w:rPr>
          <w:rFonts w:eastAsia="Times New Roman"/>
        </w:rPr>
      </w:pPr>
      <w:r>
        <w:rPr>
          <w:rFonts w:eastAsia="Times New Roman"/>
          <w:b/>
          <w:bCs/>
          <w:i/>
          <w:iCs/>
          <w:color w:val="000000"/>
          <w:sz w:val="20"/>
          <w:szCs w:val="20"/>
        </w:rPr>
        <w:t>We rely in part on our franchisees, and if our franchisees cannot develop or finance new restaurants, build them on suitable sites or open them on schedule, our success may be affected.</w:t>
      </w:r>
    </w:p>
    <w:p w:rsidR="00000000" w:rsidRDefault="0061405A">
      <w:pPr>
        <w:jc w:val="both"/>
        <w:divId w:val="1793402107"/>
        <w:rPr>
          <w:rFonts w:eastAsia="Times New Roman"/>
        </w:rPr>
      </w:pPr>
      <w:r>
        <w:rPr>
          <w:rFonts w:eastAsia="Times New Roman"/>
          <w:color w:val="000000"/>
          <w:sz w:val="20"/>
          <w:szCs w:val="20"/>
        </w:rPr>
        <w:t>We rely in part on our franchisees and the manner in which they operat</w:t>
      </w:r>
      <w:r>
        <w:rPr>
          <w:rFonts w:eastAsia="Times New Roman"/>
          <w:color w:val="000000"/>
          <w:sz w:val="20"/>
          <w:szCs w:val="20"/>
        </w:rPr>
        <w:t>e their locations to develop and promote our business. Although we have developed criteria to evaluate and screen prospective franchisees, we cannot be certain that our franchisees will have the business acumen or financial resources necessary to operate s</w:t>
      </w:r>
      <w:r>
        <w:rPr>
          <w:rFonts w:eastAsia="Times New Roman"/>
          <w:color w:val="000000"/>
          <w:sz w:val="20"/>
          <w:szCs w:val="20"/>
        </w:rPr>
        <w:t>uccessful franchises in their franchise areas and state franchise laws may limit our ability to terminate or modify these franchise arrangements. Moreover, despite our training, support and monitoring, franchisees may not successfully operate restaurants i</w:t>
      </w:r>
      <w:r>
        <w:rPr>
          <w:rFonts w:eastAsia="Times New Roman"/>
          <w:color w:val="000000"/>
          <w:sz w:val="20"/>
          <w:szCs w:val="20"/>
        </w:rPr>
        <w:t>n a manner consistent with our standards and requirements or may not hire and train qualified managers and other restaurant personnel. The failure of our franchisees to operate their franchises successfully could have a material adverse effect on us, our r</w:t>
      </w:r>
      <w:r>
        <w:rPr>
          <w:rFonts w:eastAsia="Times New Roman"/>
          <w:color w:val="000000"/>
          <w:sz w:val="20"/>
          <w:szCs w:val="20"/>
        </w:rPr>
        <w:t>eputation, our brand and our ability to attract prospective franchisees and could materially adversely affect our business, financial condition or results of operations.</w:t>
      </w:r>
    </w:p>
    <w:p w:rsidR="00000000" w:rsidRDefault="0061405A">
      <w:pPr>
        <w:jc w:val="both"/>
        <w:divId w:val="1086420836"/>
        <w:rPr>
          <w:rFonts w:eastAsia="Times New Roman"/>
        </w:rPr>
      </w:pPr>
      <w:r>
        <w:rPr>
          <w:rFonts w:eastAsia="Times New Roman"/>
          <w:color w:val="000000"/>
          <w:sz w:val="20"/>
          <w:szCs w:val="20"/>
        </w:rPr>
        <w:t>Franchisees may not have access to the financial or management resources that they nee</w:t>
      </w:r>
      <w:r>
        <w:rPr>
          <w:rFonts w:eastAsia="Times New Roman"/>
          <w:color w:val="000000"/>
          <w:sz w:val="20"/>
          <w:szCs w:val="20"/>
        </w:rPr>
        <w:t>d to open the restaurants contemplated by their agreements with us or be able to find suitable sites on which to develop them, or they may elect to cease development for other reasons. Franchisees may not be able to negotiate acceptable lease or purchase t</w:t>
      </w:r>
      <w:r>
        <w:rPr>
          <w:rFonts w:eastAsia="Times New Roman"/>
          <w:color w:val="000000"/>
          <w:sz w:val="20"/>
          <w:szCs w:val="20"/>
        </w:rPr>
        <w:t xml:space="preserve">erms for the sites, obtain the necessary permits and government approvals or meet construction schedules. Any of these problems could reduce our franchise revenues. </w:t>
      </w:r>
    </w:p>
    <w:p w:rsidR="00000000" w:rsidRDefault="0061405A">
      <w:pPr>
        <w:jc w:val="both"/>
        <w:divId w:val="1474324511"/>
        <w:rPr>
          <w:rFonts w:eastAsia="Times New Roman"/>
        </w:rPr>
      </w:pPr>
      <w:r>
        <w:rPr>
          <w:rFonts w:eastAsia="Times New Roman"/>
          <w:b/>
          <w:bCs/>
          <w:color w:val="000000"/>
          <w:sz w:val="20"/>
          <w:szCs w:val="20"/>
        </w:rPr>
        <w:t>Risks Related to Our Supply Chain and Technology</w:t>
      </w:r>
    </w:p>
    <w:p w:rsidR="00000000" w:rsidRDefault="0061405A">
      <w:pPr>
        <w:jc w:val="both"/>
        <w:divId w:val="407653441"/>
        <w:rPr>
          <w:rFonts w:eastAsia="Times New Roman"/>
        </w:rPr>
      </w:pPr>
      <w:r>
        <w:rPr>
          <w:rFonts w:eastAsia="Times New Roman"/>
          <w:b/>
          <w:bCs/>
          <w:i/>
          <w:iCs/>
          <w:color w:val="000000"/>
          <w:sz w:val="20"/>
          <w:szCs w:val="20"/>
        </w:rPr>
        <w:t>We rely heavily on information technology</w:t>
      </w:r>
      <w:r>
        <w:rPr>
          <w:rFonts w:eastAsia="Times New Roman"/>
          <w:b/>
          <w:bCs/>
          <w:i/>
          <w:iCs/>
          <w:color w:val="000000"/>
          <w:sz w:val="20"/>
          <w:szCs w:val="20"/>
        </w:rPr>
        <w:t>, and any material failure, weakness, interruption or breach of security could prevent us from effectively operating our business.</w:t>
      </w:r>
    </w:p>
    <w:p w:rsidR="00000000" w:rsidRDefault="0061405A">
      <w:pPr>
        <w:jc w:val="both"/>
        <w:divId w:val="1792170139"/>
        <w:rPr>
          <w:rFonts w:eastAsia="Times New Roman"/>
        </w:rPr>
      </w:pPr>
      <w:r>
        <w:rPr>
          <w:rFonts w:eastAsia="Times New Roman"/>
          <w:color w:val="000000"/>
          <w:sz w:val="20"/>
          <w:szCs w:val="20"/>
        </w:rPr>
        <w:t>We rely heavily on information systems, including point-of-sale processing in our restaurants, for management of our supply c</w:t>
      </w:r>
      <w:r>
        <w:rPr>
          <w:rFonts w:eastAsia="Times New Roman"/>
          <w:color w:val="000000"/>
          <w:sz w:val="20"/>
          <w:szCs w:val="20"/>
        </w:rPr>
        <w:t>hain, payment of obligations, collection of cash, credit and debit card transactions and other processes and procedures. We also rely on third-party vendors to provide information technology systems and to securely process and store related information, es</w:t>
      </w:r>
      <w:r>
        <w:rPr>
          <w:rFonts w:eastAsia="Times New Roman"/>
          <w:color w:val="000000"/>
          <w:sz w:val="20"/>
          <w:szCs w:val="20"/>
        </w:rPr>
        <w:t>pecially as it relates to credit and debit card transactions and online ordering. Our franchisees also rely on information systems and third-party vendors. Our ability to efficiently and effectively manage our business depends significantly on the reliabil</w:t>
      </w:r>
      <w:r>
        <w:rPr>
          <w:rFonts w:eastAsia="Times New Roman"/>
          <w:color w:val="000000"/>
          <w:sz w:val="20"/>
          <w:szCs w:val="20"/>
        </w:rPr>
        <w:t>ity and capacity of these systems. Our operations depend upon our and our franchisees’, and our vendors’, ability to protect computer equipment and systems against damage from physical theft, fire, power loss, telecommunications failure or other catastroph</w:t>
      </w:r>
      <w:r>
        <w:rPr>
          <w:rFonts w:eastAsia="Times New Roman"/>
          <w:color w:val="000000"/>
          <w:sz w:val="20"/>
          <w:szCs w:val="20"/>
        </w:rPr>
        <w:t>ic events, as well as from internal and external security breaches, viruses and other disruptive problems. Avoiding such incidents in the future will require us and our franchisees and vendors to continue to enhance information systems, procedures and cont</w:t>
      </w:r>
      <w:r>
        <w:rPr>
          <w:rFonts w:eastAsia="Times New Roman"/>
          <w:color w:val="000000"/>
          <w:sz w:val="20"/>
          <w:szCs w:val="20"/>
        </w:rPr>
        <w:t>rols and to hire, train and retain employees. The failure of these systems to operate effectively, maintenance problems, upgrading or transitioning to new platforms, or a breach in security of these systems could result in delays in customer service and re</w:t>
      </w:r>
      <w:r>
        <w:rPr>
          <w:rFonts w:eastAsia="Times New Roman"/>
          <w:color w:val="000000"/>
          <w:sz w:val="20"/>
          <w:szCs w:val="20"/>
        </w:rPr>
        <w:t>duce efficiency in our operations. Remediation of such problems could result in significant, unplanned capital investments and harm our business, financial condition or results of operations.</w:t>
      </w:r>
    </w:p>
    <w:p w:rsidR="00000000" w:rsidRDefault="0061405A">
      <w:pPr>
        <w:jc w:val="both"/>
        <w:rPr>
          <w:rFonts w:eastAsia="Times New Roman"/>
        </w:rPr>
      </w:pPr>
      <w:r>
        <w:rPr>
          <w:rFonts w:eastAsia="Times New Roman"/>
          <w:b/>
          <w:bCs/>
          <w:i/>
          <w:iCs/>
          <w:color w:val="000000"/>
          <w:sz w:val="20"/>
          <w:szCs w:val="20"/>
        </w:rPr>
        <w:t>We may be harmed by breaches of security of information technolo</w:t>
      </w:r>
      <w:r>
        <w:rPr>
          <w:rFonts w:eastAsia="Times New Roman"/>
          <w:b/>
          <w:bCs/>
          <w:i/>
          <w:iCs/>
          <w:color w:val="000000"/>
          <w:sz w:val="20"/>
          <w:szCs w:val="20"/>
        </w:rPr>
        <w:t>gy systems or our confidential consumer, employee, financial, or other proprietary data.</w:t>
      </w:r>
    </w:p>
    <w:p w:rsidR="00000000" w:rsidRDefault="0061405A">
      <w:pPr>
        <w:jc w:val="both"/>
        <w:rPr>
          <w:rFonts w:eastAsia="Times New Roman"/>
        </w:rPr>
      </w:pPr>
    </w:p>
    <w:p w:rsidR="00000000" w:rsidRDefault="0061405A">
      <w:pPr>
        <w:jc w:val="both"/>
        <w:rPr>
          <w:rFonts w:eastAsia="Times New Roman"/>
        </w:rPr>
      </w:pPr>
      <w:r>
        <w:rPr>
          <w:rFonts w:eastAsia="Times New Roman"/>
          <w:color w:val="000000"/>
          <w:sz w:val="20"/>
          <w:szCs w:val="20"/>
        </w:rPr>
        <w:t>We use many information technology systems throughout our operations, including systems that record and process customer sales, manage human resources and generate accounting and financial reports. For example, our restaurants use computerized management i</w:t>
      </w:r>
      <w:r>
        <w:rPr>
          <w:rFonts w:eastAsia="Times New Roman"/>
          <w:color w:val="000000"/>
          <w:sz w:val="20"/>
          <w:szCs w:val="20"/>
        </w:rPr>
        <w:t>nformation systems, including point-of-sale computers that process customer credit card, debit card and gift card payments, and in-restaurant back office computer systems designed to assist in the management of our restaurants and provide labor and food co</w:t>
      </w:r>
      <w:r>
        <w:rPr>
          <w:rFonts w:eastAsia="Times New Roman"/>
          <w:color w:val="000000"/>
          <w:sz w:val="20"/>
          <w:szCs w:val="20"/>
        </w:rPr>
        <w:t>st management tools. Our franchisees use similar point of sale systems and are required to report business and operational data through an online reporting network. Through these systems, we have access to and store a variety of consumer, employee, financi</w:t>
      </w:r>
      <w:r>
        <w:rPr>
          <w:rFonts w:eastAsia="Times New Roman"/>
          <w:color w:val="000000"/>
          <w:sz w:val="20"/>
          <w:szCs w:val="20"/>
        </w:rPr>
        <w:t>al and other types of information related to our business. We also rely on third-party vendors to provide information technology systems and to securely process and store related information. Our franchisees also use information technology systems and rely</w:t>
      </w:r>
      <w:r>
        <w:rPr>
          <w:rFonts w:eastAsia="Times New Roman"/>
          <w:color w:val="000000"/>
          <w:sz w:val="20"/>
          <w:szCs w:val="20"/>
        </w:rPr>
        <w:t xml:space="preserve"> on third-party vendors. If our technology systems, or those of third-party vendors we or our franchisees rely upon, are compromised as a result of a cyber-attack (including from circumvention of security systems, denial-of-service attacks, hacking, “phish</w:t>
      </w:r>
      <w:r>
        <w:rPr>
          <w:rFonts w:eastAsia="Times New Roman"/>
          <w:color w:val="000000"/>
          <w:sz w:val="20"/>
          <w:szCs w:val="20"/>
        </w:rPr>
        <w:t>ing” attacks, computer viruses, ransomware, malware, or social engineering) or other external or internal methods, it could materially adversely affect our reputation, business, financial condition or results of operations.</w:t>
      </w:r>
    </w:p>
    <w:p w:rsidR="00000000" w:rsidRDefault="0061405A">
      <w:pPr>
        <w:ind w:firstLine="720"/>
        <w:jc w:val="center"/>
        <w:divId w:val="1117486510"/>
        <w:rPr>
          <w:rFonts w:eastAsia="Times New Roman"/>
        </w:rPr>
      </w:pPr>
      <w:r>
        <w:rPr>
          <w:rFonts w:eastAsia="Times New Roman"/>
          <w:color w:val="000000"/>
          <w:sz w:val="20"/>
          <w:szCs w:val="20"/>
        </w:rPr>
        <w:t>16</w:t>
      </w:r>
    </w:p>
    <w:p w:rsidR="00000000" w:rsidRDefault="0061405A">
      <w:pPr>
        <w:rPr>
          <w:rFonts w:eastAsia="Times New Roman"/>
        </w:rPr>
      </w:pPr>
      <w:r>
        <w:rPr>
          <w:rFonts w:eastAsia="Times New Roman"/>
        </w:rPr>
        <w:pict>
          <v:rect id="_x0000_i1043" style="width:0;height:1.5pt" o:hralign="center" o:hrstd="t" o:hr="t" fillcolor="#a0a0a0" stroked="f"/>
        </w:pict>
      </w:r>
    </w:p>
    <w:p w:rsidR="00000000" w:rsidRDefault="0061405A">
      <w:pPr>
        <w:divId w:val="1627348479"/>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both"/>
        <w:rPr>
          <w:rFonts w:eastAsia="Times New Roman"/>
        </w:rPr>
      </w:pPr>
    </w:p>
    <w:p w:rsidR="00000000" w:rsidRDefault="0061405A">
      <w:pPr>
        <w:jc w:val="both"/>
        <w:rPr>
          <w:rFonts w:eastAsia="Times New Roman"/>
        </w:rPr>
      </w:pPr>
      <w:r>
        <w:rPr>
          <w:rFonts w:eastAsia="Times New Roman"/>
          <w:color w:val="000000"/>
          <w:sz w:val="20"/>
          <w:szCs w:val="20"/>
        </w:rPr>
        <w:t>The cyber risks we face range from cyber-attacks common to most industries to attacks that target us due to the confidential consumer information we obtai</w:t>
      </w:r>
      <w:r>
        <w:rPr>
          <w:rFonts w:eastAsia="Times New Roman"/>
          <w:color w:val="000000"/>
          <w:sz w:val="20"/>
          <w:szCs w:val="20"/>
        </w:rPr>
        <w:t xml:space="preserve">n through our electronic processing of credit and debit card transactions. Like others in our industry, we have experienced many attempts to compromise our information technology and data, and we may experience more attempts in the future. For example, in </w:t>
      </w:r>
      <w:r>
        <w:rPr>
          <w:rFonts w:eastAsia="Times New Roman"/>
          <w:color w:val="000000"/>
          <w:sz w:val="20"/>
          <w:szCs w:val="20"/>
        </w:rPr>
        <w:t>2016, we experienced a malware attack that compromised the security of the payment information of some customers who used debit or credit cards at certain locations between January 31, 2016 and June 2, 2016. We subsequently made payments of approximately $</w:t>
      </w:r>
      <w:r>
        <w:rPr>
          <w:rFonts w:eastAsia="Times New Roman"/>
          <w:color w:val="000000"/>
          <w:sz w:val="20"/>
          <w:szCs w:val="20"/>
        </w:rPr>
        <w:t>11 million to certain payment card companies for card issuer losses, card replacement costs and other charges issued by payment card companies, and incurred additional fees and costs associated with the malware attack, including legal fees, investigative f</w:t>
      </w:r>
      <w:r>
        <w:rPr>
          <w:rFonts w:eastAsia="Times New Roman"/>
          <w:color w:val="000000"/>
          <w:sz w:val="20"/>
          <w:szCs w:val="20"/>
        </w:rPr>
        <w:t>ees, other professional fees, costs of communications with customers and capital investments for remediation activities. In addition to property and casualty insurance, which may cover restoration of data, certain physical damage or third-party injuries, w</w:t>
      </w:r>
      <w:r>
        <w:rPr>
          <w:rFonts w:eastAsia="Times New Roman"/>
          <w:color w:val="000000"/>
          <w:sz w:val="20"/>
          <w:szCs w:val="20"/>
        </w:rPr>
        <w:t>e have cybersecurity insurance related to a breach event. However, damage and claims arising from such incidents may not be covered or may exceed the amount of any available insurance.</w:t>
      </w:r>
    </w:p>
    <w:p w:rsidR="00000000" w:rsidRDefault="0061405A">
      <w:pPr>
        <w:jc w:val="both"/>
        <w:rPr>
          <w:rFonts w:eastAsia="Times New Roman"/>
        </w:rPr>
      </w:pPr>
    </w:p>
    <w:p w:rsidR="00000000" w:rsidRDefault="0061405A">
      <w:pPr>
        <w:jc w:val="both"/>
        <w:rPr>
          <w:rFonts w:eastAsia="Times New Roman"/>
        </w:rPr>
      </w:pPr>
      <w:r>
        <w:rPr>
          <w:rFonts w:eastAsia="Times New Roman"/>
          <w:color w:val="000000"/>
          <w:sz w:val="20"/>
          <w:szCs w:val="20"/>
        </w:rPr>
        <w:t>Because cyber-attacks take many forms, change frequently, are becomin</w:t>
      </w:r>
      <w:r>
        <w:rPr>
          <w:rFonts w:eastAsia="Times New Roman"/>
          <w:color w:val="000000"/>
          <w:sz w:val="20"/>
          <w:szCs w:val="20"/>
        </w:rPr>
        <w:t>g increasingly sophisticated, and may be difficult to detect for significant periods of time, we may not be able to respond adequately or timely to future cyber-attacks. If we or our franchisees, or third-party vendors, were to experience a material breach</w:t>
      </w:r>
      <w:r>
        <w:rPr>
          <w:rFonts w:eastAsia="Times New Roman"/>
          <w:color w:val="000000"/>
          <w:sz w:val="20"/>
          <w:szCs w:val="20"/>
        </w:rPr>
        <w:t xml:space="preserve"> resulting in the unauthorized access, use, or destruction of our information technology systems or confidential consumer, employee, financial, or other proprietary data, it could negatively impact our reputation, reduce our ability to attract and retain c</w:t>
      </w:r>
      <w:r>
        <w:rPr>
          <w:rFonts w:eastAsia="Times New Roman"/>
          <w:color w:val="000000"/>
          <w:sz w:val="20"/>
          <w:szCs w:val="20"/>
        </w:rPr>
        <w:t>ustomers and employees and disrupt the implementation and execution of our strategic goals. Moreover, such breaches could result in a violation of various privacy-related laws and subject us to investigations or private litigation, which, in turn, could ex</w:t>
      </w:r>
      <w:r>
        <w:rPr>
          <w:rFonts w:eastAsia="Times New Roman"/>
          <w:color w:val="000000"/>
          <w:sz w:val="20"/>
          <w:szCs w:val="20"/>
        </w:rPr>
        <w:t>pose us to civil or criminal liability, fines and penalties imposed by state and federal regulators, claims for purportedly fraudulent transactions arising out of the actual or alleged theft of credit or debit card information, compromised security and inf</w:t>
      </w:r>
      <w:r>
        <w:rPr>
          <w:rFonts w:eastAsia="Times New Roman"/>
          <w:color w:val="000000"/>
          <w:sz w:val="20"/>
          <w:szCs w:val="20"/>
        </w:rPr>
        <w:t>ormation systems, failure of our employees to comply with applicable laws, the unauthorized acquisition or use of such information by third parties, or other similar claims, and various costs associated with such matters.</w:t>
      </w:r>
    </w:p>
    <w:p w:rsidR="00000000" w:rsidRDefault="0061405A">
      <w:pPr>
        <w:jc w:val="both"/>
        <w:rPr>
          <w:rFonts w:eastAsia="Times New Roman"/>
        </w:rPr>
      </w:pPr>
    </w:p>
    <w:p w:rsidR="00000000" w:rsidRDefault="0061405A">
      <w:pPr>
        <w:jc w:val="both"/>
        <w:divId w:val="416756023"/>
        <w:rPr>
          <w:rFonts w:eastAsia="Times New Roman"/>
        </w:rPr>
      </w:pPr>
      <w:r>
        <w:rPr>
          <w:rFonts w:eastAsia="Times New Roman"/>
          <w:b/>
          <w:bCs/>
          <w:i/>
          <w:iCs/>
          <w:color w:val="000000"/>
          <w:sz w:val="20"/>
          <w:szCs w:val="20"/>
        </w:rPr>
        <w:t>We rely heavily on certain vendo</w:t>
      </w:r>
      <w:r>
        <w:rPr>
          <w:rFonts w:eastAsia="Times New Roman"/>
          <w:b/>
          <w:bCs/>
          <w:i/>
          <w:iCs/>
          <w:color w:val="000000"/>
          <w:sz w:val="20"/>
          <w:szCs w:val="20"/>
        </w:rPr>
        <w:t>rs, suppliers and distributors, which could adversely affect our business.</w:t>
      </w:r>
    </w:p>
    <w:p w:rsidR="00000000" w:rsidRDefault="0061405A">
      <w:pPr>
        <w:jc w:val="both"/>
        <w:divId w:val="272446581"/>
        <w:rPr>
          <w:rFonts w:eastAsia="Times New Roman"/>
        </w:rPr>
      </w:pPr>
      <w:r>
        <w:rPr>
          <w:rFonts w:eastAsia="Times New Roman"/>
          <w:color w:val="000000"/>
          <w:sz w:val="20"/>
          <w:szCs w:val="20"/>
        </w:rPr>
        <w:t>Our ability to maintain consistent price, quality and safety throughout our restaurants depends in part upon our ability to acquire specified food products and supplies in sufficien</w:t>
      </w:r>
      <w:r>
        <w:rPr>
          <w:rFonts w:eastAsia="Times New Roman"/>
          <w:color w:val="000000"/>
          <w:sz w:val="20"/>
          <w:szCs w:val="20"/>
        </w:rPr>
        <w:t>t quantities from third-party vendors, suppliers and distributors at a reasonable cost. We do not control the businesses of our vendors, suppliers and distributors and our efforts to specify and monitor the standards under which they perform may not be suc</w:t>
      </w:r>
      <w:r>
        <w:rPr>
          <w:rFonts w:eastAsia="Times New Roman"/>
          <w:color w:val="000000"/>
          <w:sz w:val="20"/>
          <w:szCs w:val="20"/>
        </w:rPr>
        <w:t xml:space="preserve">cessful. Furthermore, certain food items are perishable, and we have limited control over whether these items will be delivered to us in appropriate condition for use in our restaurants. If any of our distributors or suppliers perform inadequately, or our </w:t>
      </w:r>
      <w:r>
        <w:rPr>
          <w:rFonts w:eastAsia="Times New Roman"/>
          <w:color w:val="000000"/>
          <w:sz w:val="20"/>
          <w:szCs w:val="20"/>
        </w:rPr>
        <w:t>distribution or supply relationships are disrupted for any reason, our business, financial condition, results of operations or cash flows could be materially adversely affected. If we cannot replace or engage distributors or suppliers who meet our specific</w:t>
      </w:r>
      <w:r>
        <w:rPr>
          <w:rFonts w:eastAsia="Times New Roman"/>
          <w:color w:val="000000"/>
          <w:sz w:val="20"/>
          <w:szCs w:val="20"/>
        </w:rPr>
        <w:t xml:space="preserve">ations in a short period of time, including any suppliers who are a sole source of supply of a particular ingredient, that could increase our expenses and cause shortages of food and other items at our restaurants, which could cause a restaurant to remove </w:t>
      </w:r>
      <w:r>
        <w:rPr>
          <w:rFonts w:eastAsia="Times New Roman"/>
          <w:color w:val="000000"/>
          <w:sz w:val="20"/>
          <w:szCs w:val="20"/>
        </w:rPr>
        <w:t>items from its menu. If that were to happen, affected restaurants could experience significant reductions in sales during the shortage or thereafter, especially if customers change their dining habits as a result. Our focus on a limited menu would make the</w:t>
      </w:r>
      <w:r>
        <w:rPr>
          <w:rFonts w:eastAsia="Times New Roman"/>
          <w:color w:val="000000"/>
          <w:sz w:val="20"/>
          <w:szCs w:val="20"/>
        </w:rPr>
        <w:t xml:space="preserve"> consequences of a shortage of a key ingredient more severe. In addition, because we provide moderately priced food, we may choose not to, or may be unable to, pass along commodity price increases to consumers. These potential changes in food and supply co</w:t>
      </w:r>
      <w:r>
        <w:rPr>
          <w:rFonts w:eastAsia="Times New Roman"/>
          <w:color w:val="000000"/>
          <w:sz w:val="20"/>
          <w:szCs w:val="20"/>
        </w:rPr>
        <w:t>sts could materially adversely affect our business, financial condition or results of operations.</w:t>
      </w:r>
    </w:p>
    <w:p w:rsidR="00000000" w:rsidRDefault="0061405A">
      <w:pPr>
        <w:jc w:val="both"/>
        <w:divId w:val="2042510742"/>
        <w:rPr>
          <w:rFonts w:eastAsia="Times New Roman"/>
        </w:rPr>
      </w:pPr>
      <w:r>
        <w:rPr>
          <w:rFonts w:eastAsia="Times New Roman"/>
          <w:color w:val="000000"/>
          <w:sz w:val="20"/>
          <w:szCs w:val="20"/>
        </w:rPr>
        <w:t>In addition, we use various third-party vendors to provide, support and maintain most of our management information systems. We also outsource certain account</w:t>
      </w:r>
      <w:r>
        <w:rPr>
          <w:rFonts w:eastAsia="Times New Roman"/>
          <w:color w:val="000000"/>
          <w:sz w:val="20"/>
          <w:szCs w:val="20"/>
        </w:rPr>
        <w:t>ing, payroll and human resource functions to business process service providers. The failure of such vendors to fulfill their obligations could disrupt our operations. Additionally, any changes we may make to the services we obtain from our vendors, or new</w:t>
      </w:r>
      <w:r>
        <w:rPr>
          <w:rFonts w:eastAsia="Times New Roman"/>
          <w:color w:val="000000"/>
          <w:sz w:val="20"/>
          <w:szCs w:val="20"/>
        </w:rPr>
        <w:t xml:space="preserve"> vendors we employ, may disrupt our operations. These disruptions could materially adversely affect our business, financial condition or results of operations.</w:t>
      </w:r>
    </w:p>
    <w:p w:rsidR="00000000" w:rsidRDefault="0061405A">
      <w:pPr>
        <w:jc w:val="both"/>
        <w:divId w:val="724110391"/>
        <w:rPr>
          <w:rFonts w:eastAsia="Times New Roman"/>
        </w:rPr>
      </w:pPr>
      <w:r>
        <w:rPr>
          <w:rFonts w:eastAsia="Times New Roman"/>
          <w:color w:val="000000"/>
          <w:sz w:val="20"/>
          <w:szCs w:val="20"/>
        </w:rPr>
        <w:t>We also partner with various third-party vendors to deliver our food. If any of our delivery ven</w:t>
      </w:r>
      <w:r>
        <w:rPr>
          <w:rFonts w:eastAsia="Times New Roman"/>
          <w:color w:val="000000"/>
          <w:sz w:val="20"/>
          <w:szCs w:val="20"/>
        </w:rPr>
        <w:t>dors perform inadequately, or our delivery relationships are disrupted for any reason, our business, financial condition or results of operations could be materially adversely affected.</w:t>
      </w:r>
    </w:p>
    <w:p w:rsidR="00000000" w:rsidRDefault="0061405A">
      <w:pPr>
        <w:jc w:val="both"/>
        <w:divId w:val="706222354"/>
        <w:rPr>
          <w:rFonts w:eastAsia="Times New Roman"/>
        </w:rPr>
      </w:pPr>
      <w:r>
        <w:rPr>
          <w:rFonts w:eastAsia="Times New Roman"/>
          <w:b/>
          <w:bCs/>
          <w:i/>
          <w:iCs/>
          <w:color w:val="000000"/>
          <w:sz w:val="20"/>
          <w:szCs w:val="20"/>
        </w:rPr>
        <w:t>Our ability to continue to expand our digital business, delivery order</w:t>
      </w:r>
      <w:r>
        <w:rPr>
          <w:rFonts w:eastAsia="Times New Roman"/>
          <w:b/>
          <w:bCs/>
          <w:i/>
          <w:iCs/>
          <w:color w:val="000000"/>
          <w:sz w:val="20"/>
          <w:szCs w:val="20"/>
        </w:rPr>
        <w:t>s and catering is uncertain, and these business lines are subject to risks.</w:t>
      </w:r>
    </w:p>
    <w:p w:rsidR="00000000" w:rsidRDefault="0061405A">
      <w:pPr>
        <w:ind w:firstLine="720"/>
        <w:jc w:val="center"/>
        <w:divId w:val="1210995251"/>
        <w:rPr>
          <w:rFonts w:eastAsia="Times New Roman"/>
        </w:rPr>
      </w:pPr>
      <w:r>
        <w:rPr>
          <w:rFonts w:eastAsia="Times New Roman"/>
          <w:color w:val="000000"/>
          <w:sz w:val="20"/>
          <w:szCs w:val="20"/>
        </w:rPr>
        <w:t>17</w:t>
      </w:r>
    </w:p>
    <w:p w:rsidR="00000000" w:rsidRDefault="0061405A">
      <w:pPr>
        <w:rPr>
          <w:rFonts w:eastAsia="Times New Roman"/>
        </w:rPr>
      </w:pPr>
      <w:r>
        <w:rPr>
          <w:rFonts w:eastAsia="Times New Roman"/>
        </w:rPr>
        <w:pict>
          <v:rect id="_x0000_i1044" style="width:0;height:1.5pt" o:hralign="center" o:hrstd="t" o:hr="t" fillcolor="#a0a0a0" stroked="f"/>
        </w:pict>
      </w:r>
    </w:p>
    <w:p w:rsidR="00000000" w:rsidRDefault="0061405A">
      <w:pPr>
        <w:divId w:val="1488282599"/>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both"/>
        <w:divId w:val="52431940"/>
        <w:rPr>
          <w:rFonts w:eastAsia="Times New Roman"/>
        </w:rPr>
      </w:pPr>
      <w:r>
        <w:rPr>
          <w:rFonts w:eastAsia="Times New Roman"/>
          <w:color w:val="000000"/>
          <w:sz w:val="20"/>
          <w:szCs w:val="20"/>
        </w:rPr>
        <w:t>Our revenue from digital orders has increased si</w:t>
      </w:r>
      <w:r>
        <w:rPr>
          <w:rFonts w:eastAsia="Times New Roman"/>
          <w:color w:val="000000"/>
          <w:sz w:val="20"/>
          <w:szCs w:val="20"/>
        </w:rPr>
        <w:t>gnificantly from prior years. This growth rate may not be sustainable, and if our digital business does not continue to expand it may be difficult for us to achieve our planned sales growth. We have also increased our efforts to promote delivery orders, wh</w:t>
      </w:r>
      <w:r>
        <w:rPr>
          <w:rFonts w:eastAsia="Times New Roman"/>
          <w:color w:val="000000"/>
          <w:sz w:val="20"/>
          <w:szCs w:val="20"/>
        </w:rPr>
        <w:t>ich have also grown considerably. We rely on third-party providers to fulfill delivery orders, and the ordering and payment platforms used by these third parties, or our mobile app or online ordering system, could be damaged or interrupted by technological</w:t>
      </w:r>
      <w:r>
        <w:rPr>
          <w:rFonts w:eastAsia="Times New Roman"/>
          <w:color w:val="000000"/>
          <w:sz w:val="20"/>
          <w:szCs w:val="20"/>
        </w:rPr>
        <w:t xml:space="preserve"> failures, user errors, cyber-attacks or other factors, which may materially adversely impact our sales through these channels and could negatively impact our brand. Additionally, our delivery partners are responsible for order fulfillment and may make err</w:t>
      </w:r>
      <w:r>
        <w:rPr>
          <w:rFonts w:eastAsia="Times New Roman"/>
          <w:color w:val="000000"/>
          <w:sz w:val="20"/>
          <w:szCs w:val="20"/>
        </w:rPr>
        <w:t>ors or fail to make timely deliveries, leading to customer disappointment that may negatively impact our brand. We also incur additional costs associated with using third-party service providers to fulfill these digital orders and the costs of delivering m</w:t>
      </w:r>
      <w:r>
        <w:rPr>
          <w:rFonts w:eastAsia="Times New Roman"/>
          <w:color w:val="000000"/>
          <w:sz w:val="20"/>
          <w:szCs w:val="20"/>
        </w:rPr>
        <w:t>ay have a material adverse impact on restaurant level margins. Moreover, the third-party restaurant delivery business is intensely competitive, with a number of players competing for market share, online traffic, capital, and delivery drivers and other peo</w:t>
      </w:r>
      <w:r>
        <w:rPr>
          <w:rFonts w:eastAsia="Times New Roman"/>
          <w:color w:val="000000"/>
          <w:sz w:val="20"/>
          <w:szCs w:val="20"/>
        </w:rPr>
        <w:t>ple resources. The third-party delivery services with which we work may struggle to compete effectively, and if they were to cease or curtail operations, or fail to provide timely delivery services in a cost-effective manner, or if they give greater priori</w:t>
      </w:r>
      <w:r>
        <w:rPr>
          <w:rFonts w:eastAsia="Times New Roman"/>
          <w:color w:val="000000"/>
          <w:sz w:val="20"/>
          <w:szCs w:val="20"/>
        </w:rPr>
        <w:t>ty on their platforms to our competitors, our delivery business may be negatively impacted. We have also introduced catering offerings on both a pick-up and delivery basis, and customers may choose our competitors’ catering offerings over ours, be disappoi</w:t>
      </w:r>
      <w:r>
        <w:rPr>
          <w:rFonts w:eastAsia="Times New Roman"/>
          <w:color w:val="000000"/>
          <w:sz w:val="20"/>
          <w:szCs w:val="20"/>
        </w:rPr>
        <w:t>nted with their experience with our catering, or experience food safety problems if they do not serve our food in a safe manner, which may negatively impact us. Such delivery and catering offerings also increase the risk of illnesses associated with our fo</w:t>
      </w:r>
      <w:r>
        <w:rPr>
          <w:rFonts w:eastAsia="Times New Roman"/>
          <w:color w:val="000000"/>
          <w:sz w:val="20"/>
          <w:szCs w:val="20"/>
        </w:rPr>
        <w:t>od because the food is transported and/or served by third parties in conditions we cannot control.</w:t>
      </w:r>
    </w:p>
    <w:p w:rsidR="00000000" w:rsidRDefault="0061405A">
      <w:pPr>
        <w:jc w:val="both"/>
        <w:divId w:val="530067287"/>
        <w:rPr>
          <w:rFonts w:eastAsia="Times New Roman"/>
        </w:rPr>
      </w:pPr>
      <w:r>
        <w:rPr>
          <w:rFonts w:eastAsia="Times New Roman"/>
          <w:color w:val="000000"/>
          <w:sz w:val="20"/>
          <w:szCs w:val="20"/>
        </w:rPr>
        <w:t xml:space="preserve">Because all of these offerings are relatively new, it is difficult for us to anticipate the level of sales they may generate. That may result in operational </w:t>
      </w:r>
      <w:r>
        <w:rPr>
          <w:rFonts w:eastAsia="Times New Roman"/>
          <w:color w:val="000000"/>
          <w:sz w:val="20"/>
          <w:szCs w:val="20"/>
        </w:rPr>
        <w:t>challenges, both in fulfilling orders made through these channels and in operating our restaurants as we balance fulfillment of these orders with service of our traditional in-restaurant guests as well. Any such operational challenges may negatively impact</w:t>
      </w:r>
      <w:r>
        <w:rPr>
          <w:rFonts w:eastAsia="Times New Roman"/>
          <w:color w:val="000000"/>
          <w:sz w:val="20"/>
          <w:szCs w:val="20"/>
        </w:rPr>
        <w:t xml:space="preserve"> the customer experience associated with our digital, delivery or catering orders, the guest experience for our traditional in-restaurant business, or both. These factors may materially adversely impact our sales and our brand reputation.</w:t>
      </w:r>
    </w:p>
    <w:p w:rsidR="00000000" w:rsidRDefault="0061405A">
      <w:pPr>
        <w:jc w:val="both"/>
        <w:divId w:val="839662883"/>
        <w:rPr>
          <w:rFonts w:eastAsia="Times New Roman"/>
        </w:rPr>
      </w:pPr>
      <w:r>
        <w:rPr>
          <w:rFonts w:eastAsia="Times New Roman"/>
          <w:b/>
          <w:bCs/>
          <w:i/>
          <w:iCs/>
          <w:color w:val="000000"/>
          <w:sz w:val="20"/>
          <w:szCs w:val="20"/>
        </w:rPr>
        <w:t>Changes in food a</w:t>
      </w:r>
      <w:r>
        <w:rPr>
          <w:rFonts w:eastAsia="Times New Roman"/>
          <w:b/>
          <w:bCs/>
          <w:i/>
          <w:iCs/>
          <w:color w:val="000000"/>
          <w:sz w:val="20"/>
          <w:szCs w:val="20"/>
        </w:rPr>
        <w:t>nd supply costs could adversely affect our results of operations.</w:t>
      </w:r>
    </w:p>
    <w:p w:rsidR="00000000" w:rsidRDefault="0061405A">
      <w:pPr>
        <w:jc w:val="both"/>
        <w:divId w:val="38281314"/>
        <w:rPr>
          <w:rFonts w:eastAsia="Times New Roman"/>
        </w:rPr>
      </w:pPr>
      <w:r>
        <w:rPr>
          <w:rFonts w:eastAsia="Times New Roman"/>
          <w:color w:val="000000"/>
          <w:sz w:val="20"/>
          <w:szCs w:val="20"/>
        </w:rPr>
        <w:t>Our profitability depends in part on our ability to anticipate and react to changes in food and supply costs. Shortages or interruptions in the availability of certain supplies caused by sea</w:t>
      </w:r>
      <w:r>
        <w:rPr>
          <w:rFonts w:eastAsia="Times New Roman"/>
          <w:color w:val="000000"/>
          <w:sz w:val="20"/>
          <w:szCs w:val="20"/>
        </w:rPr>
        <w:t>sonal fluctuations, unanticipated demand, problems in production or distribution, food contamination, product recalls, government regulations, inclement weather or other conditions could materially adversely affect the availability, quality and cost of our</w:t>
      </w:r>
      <w:r>
        <w:rPr>
          <w:rFonts w:eastAsia="Times New Roman"/>
          <w:color w:val="000000"/>
          <w:sz w:val="20"/>
          <w:szCs w:val="20"/>
        </w:rPr>
        <w:t xml:space="preserve"> ingredients, which could harm our operations. Weather related issues, such as freezes, heavy rains or drought, may also lead to temporary spikes in the prices of some ingredients such as produce or meats. Increasing weather volatility or other long-term c</w:t>
      </w:r>
      <w:r>
        <w:rPr>
          <w:rFonts w:eastAsia="Times New Roman"/>
          <w:color w:val="000000"/>
          <w:sz w:val="20"/>
          <w:szCs w:val="20"/>
        </w:rPr>
        <w:t>hanges in global weather patterns, including any changes associated with global climate change, could have a significant impact on the price, availability and timing of delivery of some of our ingredients. In addition, at certain times of the year a substa</w:t>
      </w:r>
      <w:r>
        <w:rPr>
          <w:rFonts w:eastAsia="Times New Roman"/>
          <w:color w:val="000000"/>
          <w:sz w:val="20"/>
          <w:szCs w:val="20"/>
        </w:rPr>
        <w:t>ntial volume of our produce items is imported from Mexico and other countries. Any new or increased import duties, tariffs or taxes, or other changes in U.S. trade or tax policy, could result in higher food and supply costs. Any increase in the prices of t</w:t>
      </w:r>
      <w:r>
        <w:rPr>
          <w:rFonts w:eastAsia="Times New Roman"/>
          <w:color w:val="000000"/>
          <w:sz w:val="20"/>
          <w:szCs w:val="20"/>
        </w:rPr>
        <w:t>he food products most critical to our menu, such as pasta, beef, chicken, wheat flour, cheese and other dairy products, tofu and vegetables, could materially adversely affect our operating results. Although we try to manage the impact that these fluctuatio</w:t>
      </w:r>
      <w:r>
        <w:rPr>
          <w:rFonts w:eastAsia="Times New Roman"/>
          <w:color w:val="000000"/>
          <w:sz w:val="20"/>
          <w:szCs w:val="20"/>
        </w:rPr>
        <w:t>ns have on our operating results, we remain susceptible to increases in food costs as a result of factors beyond our control, such as general economic conditions, seasonal fluctuations, weather conditions, demand, food safety concerns, generalized infectio</w:t>
      </w:r>
      <w:r>
        <w:rPr>
          <w:rFonts w:eastAsia="Times New Roman"/>
          <w:color w:val="000000"/>
          <w:sz w:val="20"/>
          <w:szCs w:val="20"/>
        </w:rPr>
        <w:t>us diseases, product recalls and government regulations.</w:t>
      </w:r>
    </w:p>
    <w:p w:rsidR="00000000" w:rsidRDefault="0061405A">
      <w:pPr>
        <w:jc w:val="both"/>
        <w:divId w:val="1561481978"/>
        <w:rPr>
          <w:rFonts w:eastAsia="Times New Roman"/>
        </w:rPr>
      </w:pPr>
      <w:r>
        <w:rPr>
          <w:rFonts w:eastAsia="Times New Roman"/>
          <w:b/>
          <w:bCs/>
          <w:i/>
          <w:iCs/>
          <w:color w:val="000000"/>
          <w:sz w:val="20"/>
          <w:szCs w:val="20"/>
        </w:rPr>
        <w:t>Our inability or failure to recognize, respond to and effectively manage the accelerated impact of social media could have an adverse effect on our business.</w:t>
      </w:r>
    </w:p>
    <w:p w:rsidR="00000000" w:rsidRDefault="0061405A">
      <w:pPr>
        <w:jc w:val="both"/>
        <w:divId w:val="1716078811"/>
        <w:rPr>
          <w:rFonts w:eastAsia="Times New Roman"/>
        </w:rPr>
      </w:pPr>
      <w:r>
        <w:rPr>
          <w:rFonts w:eastAsia="Times New Roman"/>
          <w:color w:val="000000"/>
          <w:sz w:val="20"/>
          <w:szCs w:val="20"/>
        </w:rPr>
        <w:t>There has been a widespread and dramatic increase in the use of social media platforms that allow users to access a broad audience of consumers and other interested persons.  The availability of information on social media can be virtually immediate, as ca</w:t>
      </w:r>
      <w:r>
        <w:rPr>
          <w:rFonts w:eastAsia="Times New Roman"/>
          <w:color w:val="000000"/>
          <w:sz w:val="20"/>
          <w:szCs w:val="20"/>
        </w:rPr>
        <w:t>n its impact, and users of many social media platforms can post information without filters or checks on the accuracy of the content posted.  Adverse information concerning our restaurants or brand, including user reviews, whether accurate or inaccurate, m</w:t>
      </w:r>
      <w:r>
        <w:rPr>
          <w:rFonts w:eastAsia="Times New Roman"/>
          <w:color w:val="000000"/>
          <w:sz w:val="20"/>
          <w:szCs w:val="20"/>
        </w:rPr>
        <w:t>ay be posted on such platforms at any time and can quickly reach a wide audience.  The resulting harm to our reputation may be immediate, without affording us an opportunity to correct or otherwise respond to the information, and it is challenging to monit</w:t>
      </w:r>
      <w:r>
        <w:rPr>
          <w:rFonts w:eastAsia="Times New Roman"/>
          <w:color w:val="000000"/>
          <w:sz w:val="20"/>
          <w:szCs w:val="20"/>
        </w:rPr>
        <w:t>or and anticipate developments on social media in order to respond in an effective and timely manner.  </w:t>
      </w:r>
    </w:p>
    <w:p w:rsidR="00000000" w:rsidRDefault="0061405A">
      <w:pPr>
        <w:jc w:val="both"/>
        <w:divId w:val="253709733"/>
        <w:rPr>
          <w:rFonts w:eastAsia="Times New Roman"/>
        </w:rPr>
      </w:pPr>
      <w:r>
        <w:rPr>
          <w:rFonts w:eastAsia="Times New Roman"/>
          <w:color w:val="000000"/>
          <w:sz w:val="20"/>
          <w:szCs w:val="20"/>
        </w:rPr>
        <w:t>In addition, although search engine marketing, social media and other new technological platforms offer great opportunities to increase awareness of and</w:t>
      </w:r>
      <w:r>
        <w:rPr>
          <w:rFonts w:eastAsia="Times New Roman"/>
          <w:color w:val="000000"/>
          <w:sz w:val="20"/>
          <w:szCs w:val="20"/>
        </w:rPr>
        <w:t xml:space="preserve"> engagement with our restaurants and brand, our failure to use social media effectively in our marketing efforts may further expose us to the risks associated with the accelerated impact of social media. Many of our competitors are </w:t>
      </w:r>
    </w:p>
    <w:p w:rsidR="00000000" w:rsidRDefault="0061405A">
      <w:pPr>
        <w:ind w:firstLine="720"/>
        <w:jc w:val="center"/>
        <w:divId w:val="1357734112"/>
        <w:rPr>
          <w:rFonts w:eastAsia="Times New Roman"/>
        </w:rPr>
      </w:pPr>
      <w:r>
        <w:rPr>
          <w:rFonts w:eastAsia="Times New Roman"/>
          <w:color w:val="000000"/>
          <w:sz w:val="20"/>
          <w:szCs w:val="20"/>
        </w:rPr>
        <w:t>18</w:t>
      </w:r>
    </w:p>
    <w:p w:rsidR="00000000" w:rsidRDefault="0061405A">
      <w:pPr>
        <w:rPr>
          <w:rFonts w:eastAsia="Times New Roman"/>
        </w:rPr>
      </w:pPr>
      <w:r>
        <w:rPr>
          <w:rFonts w:eastAsia="Times New Roman"/>
        </w:rPr>
        <w:pict>
          <v:rect id="_x0000_i1045" style="width:0;height:1.5pt" o:hralign="center" o:hrstd="t" o:hr="t" fillcolor="#a0a0a0" stroked="f"/>
        </w:pict>
      </w:r>
    </w:p>
    <w:p w:rsidR="00000000" w:rsidRDefault="0061405A">
      <w:pPr>
        <w:divId w:val="1561558568"/>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both"/>
        <w:divId w:val="145511634"/>
        <w:rPr>
          <w:rFonts w:eastAsia="Times New Roman"/>
        </w:rPr>
      </w:pPr>
      <w:r>
        <w:rPr>
          <w:rFonts w:eastAsia="Times New Roman"/>
          <w:color w:val="000000"/>
          <w:sz w:val="20"/>
          <w:szCs w:val="20"/>
        </w:rPr>
        <w:t>expanding their use of social media and the social media landscape is rapidly evolving, potentially making more traditional social media platforms obsolete. As a result, we need to continuously innovate and develop our social media strategies in order to m</w:t>
      </w:r>
      <w:r>
        <w:rPr>
          <w:rFonts w:eastAsia="Times New Roman"/>
          <w:color w:val="000000"/>
          <w:sz w:val="20"/>
          <w:szCs w:val="20"/>
        </w:rPr>
        <w:t>aintain broad appeal with guests and brand relevance, and we may not do so effectively.  A variety of additional risks associated with our use of social media include the possibility of improper disclosure of proprietary information, exposure of personally</w:t>
      </w:r>
      <w:r>
        <w:rPr>
          <w:rFonts w:eastAsia="Times New Roman"/>
          <w:color w:val="000000"/>
          <w:sz w:val="20"/>
          <w:szCs w:val="20"/>
        </w:rPr>
        <w:t xml:space="preserve"> identifiable information of our employees or guests, fraud, or the publication of out-of-date information, any of which may result in material liabilities or reputational damage. Furthermore, any inappropriate use of social media platforms by our employee</w:t>
      </w:r>
      <w:r>
        <w:rPr>
          <w:rFonts w:eastAsia="Times New Roman"/>
          <w:color w:val="000000"/>
          <w:sz w:val="20"/>
          <w:szCs w:val="20"/>
        </w:rPr>
        <w:t>s could also result in negative publicity that could materially damage our reputation or lead to litigation that materially increases our costs.</w:t>
      </w:r>
    </w:p>
    <w:p w:rsidR="00000000" w:rsidRDefault="0061405A">
      <w:pPr>
        <w:divId w:val="804860531"/>
        <w:rPr>
          <w:rFonts w:eastAsia="Times New Roman"/>
        </w:rPr>
      </w:pPr>
      <w:r>
        <w:rPr>
          <w:rFonts w:eastAsia="Times New Roman"/>
          <w:b/>
          <w:bCs/>
          <w:i/>
          <w:iCs/>
          <w:color w:val="000000"/>
          <w:sz w:val="20"/>
          <w:szCs w:val="20"/>
        </w:rPr>
        <w:t xml:space="preserve">New technologies or changes in consumer behavior facilitated by these technologies could negatively affect our </w:t>
      </w:r>
      <w:r>
        <w:rPr>
          <w:rFonts w:eastAsia="Times New Roman"/>
          <w:b/>
          <w:bCs/>
          <w:i/>
          <w:iCs/>
          <w:color w:val="000000"/>
          <w:sz w:val="20"/>
          <w:szCs w:val="20"/>
        </w:rPr>
        <w:t xml:space="preserve">business. </w:t>
      </w:r>
    </w:p>
    <w:p w:rsidR="00000000" w:rsidRDefault="0061405A">
      <w:pPr>
        <w:jc w:val="both"/>
        <w:divId w:val="29654536"/>
        <w:rPr>
          <w:rFonts w:eastAsia="Times New Roman"/>
        </w:rPr>
      </w:pPr>
      <w:r>
        <w:rPr>
          <w:rFonts w:eastAsia="Times New Roman"/>
          <w:color w:val="000000"/>
          <w:sz w:val="20"/>
          <w:szCs w:val="20"/>
        </w:rPr>
        <w:t>Advances in technologies or certain changes in consumer behavior driven by such technologies could impact the manner in which meals are marketed, prepared, ordered and delivered. We may pursue certain of those technologies, but consumers may not</w:t>
      </w:r>
      <w:r>
        <w:rPr>
          <w:rFonts w:eastAsia="Times New Roman"/>
          <w:color w:val="000000"/>
          <w:sz w:val="20"/>
          <w:szCs w:val="20"/>
        </w:rPr>
        <w:t xml:space="preserve"> accept them, or we may fail to successfully integrate them into our operations, thereby harming our financial performance. In addition, our competitors, some of whom have more resources than us, may be more effective at responding to such advances in tech</w:t>
      </w:r>
      <w:r>
        <w:rPr>
          <w:rFonts w:eastAsia="Times New Roman"/>
          <w:color w:val="000000"/>
          <w:sz w:val="20"/>
          <w:szCs w:val="20"/>
        </w:rPr>
        <w:t>nologies and erode our competitive position.</w:t>
      </w:r>
    </w:p>
    <w:p w:rsidR="00000000" w:rsidRDefault="0061405A">
      <w:pPr>
        <w:jc w:val="both"/>
        <w:divId w:val="498470738"/>
        <w:rPr>
          <w:rFonts w:eastAsia="Times New Roman"/>
        </w:rPr>
      </w:pPr>
      <w:r>
        <w:rPr>
          <w:rFonts w:eastAsia="Times New Roman"/>
          <w:b/>
          <w:bCs/>
          <w:color w:val="000000"/>
          <w:sz w:val="20"/>
          <w:szCs w:val="20"/>
        </w:rPr>
        <w:t>Legal, Accounting, and Regulatory Risks</w:t>
      </w:r>
    </w:p>
    <w:p w:rsidR="00000000" w:rsidRDefault="0061405A">
      <w:pPr>
        <w:jc w:val="both"/>
        <w:divId w:val="1213812191"/>
        <w:rPr>
          <w:rFonts w:eastAsia="Times New Roman"/>
        </w:rPr>
      </w:pPr>
      <w:r>
        <w:rPr>
          <w:rFonts w:eastAsia="Times New Roman"/>
          <w:b/>
          <w:bCs/>
          <w:i/>
          <w:iCs/>
          <w:color w:val="000000"/>
          <w:sz w:val="20"/>
          <w:szCs w:val="20"/>
        </w:rPr>
        <w:t>Changes to estimates related to our property, fixtures and equipment or operating results that are lower than our current estimates at certain restaurant locations may cau</w:t>
      </w:r>
      <w:r>
        <w:rPr>
          <w:rFonts w:eastAsia="Times New Roman"/>
          <w:b/>
          <w:bCs/>
          <w:i/>
          <w:iCs/>
          <w:color w:val="000000"/>
          <w:sz w:val="20"/>
          <w:szCs w:val="20"/>
        </w:rPr>
        <w:t xml:space="preserve">se us to incur impairment charges on certain long-lived assets, which may materially adversely affect our results of operations. </w:t>
      </w:r>
    </w:p>
    <w:p w:rsidR="00000000" w:rsidRDefault="0061405A">
      <w:pPr>
        <w:jc w:val="both"/>
        <w:divId w:val="96103619"/>
        <w:rPr>
          <w:rFonts w:eastAsia="Times New Roman"/>
        </w:rPr>
      </w:pPr>
      <w:r>
        <w:rPr>
          <w:rFonts w:eastAsia="Times New Roman"/>
          <w:color w:val="000000"/>
          <w:sz w:val="20"/>
          <w:szCs w:val="20"/>
        </w:rPr>
        <w:t>In accordance with accounting guidance as it relates to the impairment of long-lived assets, we make certain estimates and pro</w:t>
      </w:r>
      <w:r>
        <w:rPr>
          <w:rFonts w:eastAsia="Times New Roman"/>
          <w:color w:val="000000"/>
          <w:sz w:val="20"/>
          <w:szCs w:val="20"/>
        </w:rPr>
        <w:t>jections with regard to individual restaurant operations, as well as our overall performance, in connection with our impairment analyses for long-lived assets. When impairment triggers are deemed to exist for any location, the estimated undiscounted future</w:t>
      </w:r>
      <w:r>
        <w:rPr>
          <w:rFonts w:eastAsia="Times New Roman"/>
          <w:color w:val="000000"/>
          <w:sz w:val="20"/>
          <w:szCs w:val="20"/>
        </w:rPr>
        <w:t xml:space="preserve"> cash flows are compared to its carrying value. If the carrying value exceeds the undiscounted cash flows, an impairment charge equal to the difference between the carrying value and the fair value is recorded. The projections of future cash flows used in </w:t>
      </w:r>
      <w:r>
        <w:rPr>
          <w:rFonts w:eastAsia="Times New Roman"/>
          <w:color w:val="000000"/>
          <w:sz w:val="20"/>
          <w:szCs w:val="20"/>
        </w:rPr>
        <w:t>these analyses require the use of judgment and a number of estimates and projections of future operating results. If actual results differ from our estimates, additional charges for asset impairments may be required in the future. Over the past several yea</w:t>
      </w:r>
      <w:r>
        <w:rPr>
          <w:rFonts w:eastAsia="Times New Roman"/>
          <w:color w:val="000000"/>
          <w:sz w:val="20"/>
          <w:szCs w:val="20"/>
        </w:rPr>
        <w:t xml:space="preserve">rs we have recognized significant impairment charges and if future impairment charges continue to be significant, this could have a material adverse effect on our business or results of operations. </w:t>
      </w:r>
    </w:p>
    <w:p w:rsidR="00000000" w:rsidRDefault="0061405A">
      <w:pPr>
        <w:jc w:val="both"/>
        <w:divId w:val="233666821"/>
        <w:rPr>
          <w:rFonts w:eastAsia="Times New Roman"/>
        </w:rPr>
      </w:pPr>
      <w:r>
        <w:rPr>
          <w:rFonts w:eastAsia="Times New Roman"/>
          <w:b/>
          <w:bCs/>
          <w:i/>
          <w:iCs/>
          <w:color w:val="000000"/>
          <w:sz w:val="20"/>
          <w:szCs w:val="20"/>
        </w:rPr>
        <w:t xml:space="preserve">Failure of our internal control over financial reporting </w:t>
      </w:r>
      <w:r>
        <w:rPr>
          <w:rFonts w:eastAsia="Times New Roman"/>
          <w:b/>
          <w:bCs/>
          <w:i/>
          <w:iCs/>
          <w:color w:val="000000"/>
          <w:sz w:val="20"/>
          <w:szCs w:val="20"/>
        </w:rPr>
        <w:t>could adversely affect our business and financial results.</w:t>
      </w:r>
    </w:p>
    <w:p w:rsidR="00000000" w:rsidRDefault="0061405A">
      <w:pPr>
        <w:jc w:val="both"/>
        <w:divId w:val="1619918964"/>
        <w:rPr>
          <w:rFonts w:eastAsia="Times New Roman"/>
        </w:rPr>
      </w:pPr>
      <w:r>
        <w:rPr>
          <w:rFonts w:eastAsia="Times New Roman"/>
          <w:color w:val="000000"/>
          <w:sz w:val="20"/>
          <w:szCs w:val="20"/>
        </w:rPr>
        <w:t>Our management is responsible for establishing and maintaining effective internal control over financial reporting under Section 404 of the Sarbanes-Oxley Act of 2002. Internal control over financi</w:t>
      </w:r>
      <w:r>
        <w:rPr>
          <w:rFonts w:eastAsia="Times New Roman"/>
          <w:color w:val="000000"/>
          <w:sz w:val="20"/>
          <w:szCs w:val="20"/>
        </w:rPr>
        <w:t>al reporting is a process to provide reasonable assurance regarding the reliability of financial reporting for external purposes in accordance with accounting principles generally accepted in the United States of America (“GAAP”). Because of its inherent l</w:t>
      </w:r>
      <w:r>
        <w:rPr>
          <w:rFonts w:eastAsia="Times New Roman"/>
          <w:color w:val="000000"/>
          <w:sz w:val="20"/>
          <w:szCs w:val="20"/>
        </w:rPr>
        <w:t>imitations, internal control over financial reporting is not intended to provide absolute assurance that we would prevent or detect a misstatement of our financial statements or fraud. Any failure to maintain an effective system of internal control over fi</w:t>
      </w:r>
      <w:r>
        <w:rPr>
          <w:rFonts w:eastAsia="Times New Roman"/>
          <w:color w:val="000000"/>
          <w:sz w:val="20"/>
          <w:szCs w:val="20"/>
        </w:rPr>
        <w:t>nancial reporting could limit our ability to report our financial results accurately and timely or to detect and prevent fraud. The identification of a material weakness could indicate a lack of controls adequate to generate accurate financial statements t</w:t>
      </w:r>
      <w:r>
        <w:rPr>
          <w:rFonts w:eastAsia="Times New Roman"/>
          <w:color w:val="000000"/>
          <w:sz w:val="20"/>
          <w:szCs w:val="20"/>
        </w:rPr>
        <w:t>hat, in turn, could cause a loss of investor confidence and decline in the market price of our common stock. We may not be able to timely remediate any material weaknesses that may be identified in future periods or maintain all of the controls necessary f</w:t>
      </w:r>
      <w:r>
        <w:rPr>
          <w:rFonts w:eastAsia="Times New Roman"/>
          <w:color w:val="000000"/>
          <w:sz w:val="20"/>
          <w:szCs w:val="20"/>
        </w:rPr>
        <w:t>or continued compliance. Likewise, we cannot assure you that we will be able to retain sufficient skilled finance and accounting personnel, especially in light of the increased demand for such personnel among publicly traded companies.</w:t>
      </w:r>
    </w:p>
    <w:p w:rsidR="00000000" w:rsidRDefault="0061405A">
      <w:pPr>
        <w:ind w:firstLine="720"/>
        <w:jc w:val="center"/>
        <w:divId w:val="1460220903"/>
        <w:rPr>
          <w:rFonts w:eastAsia="Times New Roman"/>
        </w:rPr>
      </w:pPr>
      <w:r>
        <w:rPr>
          <w:rFonts w:eastAsia="Times New Roman"/>
          <w:color w:val="000000"/>
          <w:sz w:val="20"/>
          <w:szCs w:val="20"/>
        </w:rPr>
        <w:t>19</w:t>
      </w:r>
    </w:p>
    <w:p w:rsidR="00000000" w:rsidRDefault="0061405A">
      <w:pPr>
        <w:rPr>
          <w:rFonts w:eastAsia="Times New Roman"/>
        </w:rPr>
      </w:pPr>
      <w:r>
        <w:rPr>
          <w:rFonts w:eastAsia="Times New Roman"/>
        </w:rPr>
        <w:pict>
          <v:rect id="_x0000_i1046" style="width:0;height:1.5pt" o:hralign="center" o:hrstd="t" o:hr="t" fillcolor="#a0a0a0" stroked="f"/>
        </w:pict>
      </w:r>
    </w:p>
    <w:p w:rsidR="00000000" w:rsidRDefault="0061405A">
      <w:pPr>
        <w:divId w:val="2033719781"/>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both"/>
        <w:divId w:val="1733385457"/>
        <w:rPr>
          <w:rFonts w:eastAsia="Times New Roman"/>
        </w:rPr>
      </w:pPr>
      <w:r>
        <w:rPr>
          <w:rFonts w:eastAsia="Times New Roman"/>
          <w:b/>
          <w:bCs/>
          <w:i/>
          <w:iCs/>
          <w:color w:val="000000"/>
          <w:sz w:val="20"/>
          <w:szCs w:val="20"/>
        </w:rPr>
        <w:t>Governmental regulation may adversely affect our ability to open new restaurants or otherwise adversely affect our business, financial condition</w:t>
      </w:r>
      <w:r>
        <w:rPr>
          <w:rFonts w:eastAsia="Times New Roman"/>
          <w:b/>
          <w:bCs/>
          <w:i/>
          <w:iCs/>
          <w:color w:val="000000"/>
          <w:sz w:val="20"/>
          <w:szCs w:val="20"/>
        </w:rPr>
        <w:t xml:space="preserve"> or results of operations.</w:t>
      </w:r>
    </w:p>
    <w:p w:rsidR="00000000" w:rsidRDefault="0061405A">
      <w:pPr>
        <w:jc w:val="both"/>
        <w:divId w:val="810681274"/>
        <w:rPr>
          <w:rFonts w:eastAsia="Times New Roman"/>
        </w:rPr>
      </w:pPr>
      <w:r>
        <w:rPr>
          <w:rFonts w:eastAsia="Times New Roman"/>
          <w:color w:val="000000"/>
          <w:sz w:val="20"/>
          <w:szCs w:val="20"/>
          <w:shd w:val="clear" w:color="auto" w:fill="FFFFFF"/>
        </w:rPr>
        <w:t>We are subject to various federal, state and local regulations, including those relating to building and zoning requirements and those relating to the preparation and sale of food. Our restaurants are also subject to state and lo</w:t>
      </w:r>
      <w:r>
        <w:rPr>
          <w:rFonts w:eastAsia="Times New Roman"/>
          <w:color w:val="000000"/>
          <w:sz w:val="20"/>
          <w:szCs w:val="20"/>
          <w:shd w:val="clear" w:color="auto" w:fill="FFFFFF"/>
        </w:rPr>
        <w:t>cal licensing and regulation by health, sanitation, food and occupational safety and other agencies. We may experience material difficulties or failures in obtaining the necessary licenses, approvals or permits for our restaurants, which could delay planne</w:t>
      </w:r>
      <w:r>
        <w:rPr>
          <w:rFonts w:eastAsia="Times New Roman"/>
          <w:color w:val="000000"/>
          <w:sz w:val="20"/>
          <w:szCs w:val="20"/>
          <w:shd w:val="clear" w:color="auto" w:fill="FFFFFF"/>
        </w:rPr>
        <w:t xml:space="preserve">d restaurant openings or affect the operations at our existing restaurants. In addition, stringent and varied requirements of local regulators with respect to zoning, land use and environmental factors could delay or prevent development of new restaurants </w:t>
      </w:r>
      <w:r>
        <w:rPr>
          <w:rFonts w:eastAsia="Times New Roman"/>
          <w:color w:val="000000"/>
          <w:sz w:val="20"/>
          <w:szCs w:val="20"/>
          <w:shd w:val="clear" w:color="auto" w:fill="FFFFFF"/>
        </w:rPr>
        <w:t>in particular locations. Due to the COVID-19 pandemic, there could be additional governmental regulations that arise that could impact our business.</w:t>
      </w:r>
    </w:p>
    <w:p w:rsidR="00000000" w:rsidRDefault="0061405A">
      <w:pPr>
        <w:jc w:val="both"/>
        <w:divId w:val="145978244"/>
        <w:rPr>
          <w:rFonts w:eastAsia="Times New Roman"/>
        </w:rPr>
      </w:pPr>
      <w:r>
        <w:rPr>
          <w:rFonts w:eastAsia="Times New Roman"/>
          <w:color w:val="000000"/>
          <w:sz w:val="20"/>
          <w:szCs w:val="20"/>
        </w:rPr>
        <w:t>We are subject to the ADA and similar state laws that give civil rights protections to individuals with dis</w:t>
      </w:r>
      <w:r>
        <w:rPr>
          <w:rFonts w:eastAsia="Times New Roman"/>
          <w:color w:val="000000"/>
          <w:sz w:val="20"/>
          <w:szCs w:val="20"/>
        </w:rPr>
        <w:t>abilities in the context of employment, public accommodations and other areas, including our restaurants. We may in the future have to modify restaurants, for example, by adding access ramps or redesigning certain architectural fixtures, to provide service</w:t>
      </w:r>
      <w:r>
        <w:rPr>
          <w:rFonts w:eastAsia="Times New Roman"/>
          <w:color w:val="000000"/>
          <w:sz w:val="20"/>
          <w:szCs w:val="20"/>
        </w:rPr>
        <w:t xml:space="preserve"> to or make reasonable accommodations for disabled persons. The expenses associated with these modifications could be material.</w:t>
      </w:r>
    </w:p>
    <w:p w:rsidR="00000000" w:rsidRDefault="0061405A">
      <w:pPr>
        <w:jc w:val="both"/>
        <w:divId w:val="1001784215"/>
        <w:rPr>
          <w:rFonts w:eastAsia="Times New Roman"/>
        </w:rPr>
      </w:pPr>
      <w:r>
        <w:rPr>
          <w:rFonts w:eastAsia="Times New Roman"/>
          <w:color w:val="000000"/>
          <w:sz w:val="20"/>
          <w:szCs w:val="20"/>
        </w:rPr>
        <w:t>Our operations are also subject to the U.S. Occupational Safety and Health Act, which governs worker health and safety, the U.S.</w:t>
      </w:r>
      <w:r>
        <w:rPr>
          <w:rFonts w:eastAsia="Times New Roman"/>
          <w:color w:val="000000"/>
          <w:sz w:val="20"/>
          <w:szCs w:val="20"/>
        </w:rPr>
        <w:t xml:space="preserve"> Fair Labor Standards Act, which governs such matters as minimum wages and overtime and a variety of similar federal, state and local laws that govern these and other employment law matters. In addition, federal, state and local proposals have been made re</w:t>
      </w:r>
      <w:r>
        <w:rPr>
          <w:rFonts w:eastAsia="Times New Roman"/>
          <w:color w:val="000000"/>
          <w:sz w:val="20"/>
          <w:szCs w:val="20"/>
        </w:rPr>
        <w:t>lated to paid sick leave and similar matters. Changes in these laws or implementation of new proposals could materially adversely affect our business, financial condition or results of operations.</w:t>
      </w:r>
    </w:p>
    <w:p w:rsidR="00000000" w:rsidRDefault="0061405A">
      <w:pPr>
        <w:jc w:val="both"/>
        <w:divId w:val="820072910"/>
        <w:rPr>
          <w:rFonts w:eastAsia="Times New Roman"/>
        </w:rPr>
      </w:pPr>
      <w:r>
        <w:rPr>
          <w:rFonts w:eastAsia="Times New Roman"/>
          <w:b/>
          <w:bCs/>
          <w:i/>
          <w:iCs/>
          <w:color w:val="000000"/>
          <w:sz w:val="20"/>
          <w:szCs w:val="20"/>
        </w:rPr>
        <w:t>Changes in employment laws may adversely affect our busines</w:t>
      </w:r>
      <w:r>
        <w:rPr>
          <w:rFonts w:eastAsia="Times New Roman"/>
          <w:b/>
          <w:bCs/>
          <w:i/>
          <w:iCs/>
          <w:color w:val="000000"/>
          <w:sz w:val="20"/>
          <w:szCs w:val="20"/>
        </w:rPr>
        <w:t>s.</w:t>
      </w:r>
    </w:p>
    <w:p w:rsidR="00000000" w:rsidRDefault="0061405A">
      <w:pPr>
        <w:jc w:val="both"/>
        <w:divId w:val="1698770560"/>
        <w:rPr>
          <w:rFonts w:eastAsia="Times New Roman"/>
        </w:rPr>
      </w:pPr>
      <w:r>
        <w:rPr>
          <w:rFonts w:eastAsia="Times New Roman"/>
          <w:color w:val="000000"/>
          <w:sz w:val="20"/>
          <w:szCs w:val="20"/>
        </w:rPr>
        <w:t>Various federal and state labor laws govern the relationship with our employees and affect operating costs. These laws include employee classification as exempt/non-exempt for overtime and other purposes, minimum wage requirements, unemployment tax rate</w:t>
      </w:r>
      <w:r>
        <w:rPr>
          <w:rFonts w:eastAsia="Times New Roman"/>
          <w:color w:val="000000"/>
          <w:sz w:val="20"/>
          <w:szCs w:val="20"/>
        </w:rPr>
        <w:t xml:space="preserve">s, workers’ compensation rates, mandatory health benefits, immigration status and other wage and benefit requirements. Some jurisdictions, including some of those in which we operate, have recently increased their minimum wage by a significant amount, and </w:t>
      </w:r>
      <w:r>
        <w:rPr>
          <w:rFonts w:eastAsia="Times New Roman"/>
          <w:color w:val="000000"/>
          <w:sz w:val="20"/>
          <w:szCs w:val="20"/>
        </w:rPr>
        <w:t>other jurisdictions are considering similar actions, which may increase our labor costs. Significant additional government-imposed increases in the following areas could materially affect our business, financial condition, operating results or cash flow: o</w:t>
      </w:r>
      <w:r>
        <w:rPr>
          <w:rFonts w:eastAsia="Times New Roman"/>
          <w:color w:val="000000"/>
          <w:sz w:val="20"/>
          <w:szCs w:val="20"/>
        </w:rPr>
        <w:t>vertime rules; mandatory health benefits; vacation accruals; paid leaves of absence, including paid sick leave; and tax reporting.</w:t>
      </w:r>
    </w:p>
    <w:p w:rsidR="00000000" w:rsidRDefault="0061405A">
      <w:pPr>
        <w:jc w:val="both"/>
        <w:divId w:val="22480712"/>
        <w:rPr>
          <w:rFonts w:eastAsia="Times New Roman"/>
        </w:rPr>
      </w:pPr>
      <w:r>
        <w:rPr>
          <w:rFonts w:eastAsia="Times New Roman"/>
          <w:color w:val="000000"/>
          <w:sz w:val="20"/>
          <w:szCs w:val="20"/>
        </w:rPr>
        <w:t>Immigration laws have recently been an area of considerable focus by the Department of Homeland Security, with enforcement operations taking place across the country, resulting in arrests, detentions and deportation of unauthorized workers. Some of these c</w:t>
      </w:r>
      <w:r>
        <w:rPr>
          <w:rFonts w:eastAsia="Times New Roman"/>
          <w:color w:val="000000"/>
          <w:sz w:val="20"/>
          <w:szCs w:val="20"/>
        </w:rPr>
        <w:t>hanges and enforcement programs may increase our obligations for compliance and oversight, which could subject us to additional costs and make our hiring process more cumbersome or reduce the availability of potential employees. Although we require all wor</w:t>
      </w:r>
      <w:r>
        <w:rPr>
          <w:rFonts w:eastAsia="Times New Roman"/>
          <w:color w:val="000000"/>
          <w:sz w:val="20"/>
          <w:szCs w:val="20"/>
        </w:rPr>
        <w:t>kers to provide us with government-specified documentation evidencing their employment eligibility, some of our employees may, without our knowledge, be unauthorized workers. Unauthorized workers are subject to deportation and may subject us to fines or pe</w:t>
      </w:r>
      <w:r>
        <w:rPr>
          <w:rFonts w:eastAsia="Times New Roman"/>
          <w:color w:val="000000"/>
          <w:sz w:val="20"/>
          <w:szCs w:val="20"/>
        </w:rPr>
        <w:t>nalties, and if any of our workers are found to be unauthorized we could experience adverse publicity that negatively impacts our brand and may make it more difficult to hire and keep qualified employees. Termination of a significant number of employees wh</w:t>
      </w:r>
      <w:r>
        <w:rPr>
          <w:rFonts w:eastAsia="Times New Roman"/>
          <w:color w:val="000000"/>
          <w:sz w:val="20"/>
          <w:szCs w:val="20"/>
        </w:rPr>
        <w:t xml:space="preserve">o were unauthorized employees may disrupt our operations, cause temporary increases in our labor costs as we train new employees and result in additional adverse publicity. We could also become subject to fines, penalties and other costs related to claims </w:t>
      </w:r>
      <w:r>
        <w:rPr>
          <w:rFonts w:eastAsia="Times New Roman"/>
          <w:color w:val="000000"/>
          <w:sz w:val="20"/>
          <w:szCs w:val="20"/>
        </w:rPr>
        <w:t>that we did not fully comply with all recordkeeping obligations of federal and state immigration compliance laws. These factors could materially adversely affect our business, financial condition or results of operations.</w:t>
      </w:r>
    </w:p>
    <w:p w:rsidR="00000000" w:rsidRDefault="0061405A">
      <w:pPr>
        <w:ind w:firstLine="720"/>
        <w:jc w:val="center"/>
        <w:divId w:val="1386294347"/>
        <w:rPr>
          <w:rFonts w:eastAsia="Times New Roman"/>
        </w:rPr>
      </w:pPr>
      <w:r>
        <w:rPr>
          <w:rFonts w:eastAsia="Times New Roman"/>
          <w:color w:val="000000"/>
          <w:sz w:val="20"/>
          <w:szCs w:val="20"/>
        </w:rPr>
        <w:t>20</w:t>
      </w:r>
    </w:p>
    <w:p w:rsidR="00000000" w:rsidRDefault="0061405A">
      <w:pPr>
        <w:rPr>
          <w:rFonts w:eastAsia="Times New Roman"/>
        </w:rPr>
      </w:pPr>
      <w:r>
        <w:rPr>
          <w:rFonts w:eastAsia="Times New Roman"/>
        </w:rPr>
        <w:pict>
          <v:rect id="_x0000_i1047" style="width:0;height:1.5pt" o:hralign="center" o:hrstd="t" o:hr="t" fillcolor="#a0a0a0" stroked="f"/>
        </w:pict>
      </w:r>
    </w:p>
    <w:p w:rsidR="00000000" w:rsidRDefault="0061405A">
      <w:pPr>
        <w:divId w:val="47655607"/>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both"/>
        <w:divId w:val="278612874"/>
        <w:rPr>
          <w:rFonts w:eastAsia="Times New Roman"/>
        </w:rPr>
      </w:pPr>
      <w:r>
        <w:rPr>
          <w:rFonts w:eastAsia="Times New Roman"/>
          <w:b/>
          <w:bCs/>
          <w:i/>
          <w:iCs/>
          <w:color w:val="000000"/>
          <w:sz w:val="20"/>
          <w:szCs w:val="20"/>
        </w:rPr>
        <w:t>The effect of changes to healthcare laws in the United States may increase the number of employees who elect to participate in our healthcare plans, which may</w:t>
      </w:r>
      <w:r>
        <w:rPr>
          <w:rFonts w:eastAsia="Times New Roman"/>
          <w:b/>
          <w:bCs/>
          <w:i/>
          <w:iCs/>
          <w:color w:val="000000"/>
          <w:sz w:val="20"/>
          <w:szCs w:val="20"/>
        </w:rPr>
        <w:t xml:space="preserve"> increase our healthcare costs and further changes, or the repeal of existing healthcare laws may further significantly increase our healthcare costs and negatively impact our financial results in future periods.</w:t>
      </w:r>
    </w:p>
    <w:p w:rsidR="00000000" w:rsidRDefault="0061405A">
      <w:pPr>
        <w:jc w:val="both"/>
        <w:divId w:val="311297358"/>
        <w:rPr>
          <w:rFonts w:eastAsia="Times New Roman"/>
        </w:rPr>
      </w:pPr>
      <w:r>
        <w:rPr>
          <w:rFonts w:eastAsia="Times New Roman"/>
          <w:color w:val="000000"/>
          <w:sz w:val="20"/>
          <w:szCs w:val="20"/>
        </w:rPr>
        <w:t xml:space="preserve">The Patient Protection and Affordable Care </w:t>
      </w:r>
      <w:r>
        <w:rPr>
          <w:rFonts w:eastAsia="Times New Roman"/>
          <w:color w:val="000000"/>
          <w:sz w:val="20"/>
          <w:szCs w:val="20"/>
        </w:rPr>
        <w:t>Act of 2010 (the “PPACA”) requires health care coverage for many previously uninsured individuals and expands coverage for those already insured. We began offering such benefits in July 2015, and as a consequence we are incurring additional expenses for em</w:t>
      </w:r>
      <w:r>
        <w:rPr>
          <w:rFonts w:eastAsia="Times New Roman"/>
          <w:color w:val="000000"/>
          <w:sz w:val="20"/>
          <w:szCs w:val="20"/>
        </w:rPr>
        <w:t>ployee healthcare. If we fail to continue to offer such benefits, or the benefits we elect to offer do not meet the applicable requirements, we may incur penalties. It is also possible that by making changes or failing to make changes in the healthcare pla</w:t>
      </w:r>
      <w:r>
        <w:rPr>
          <w:rFonts w:eastAsia="Times New Roman"/>
          <w:color w:val="000000"/>
          <w:sz w:val="20"/>
          <w:szCs w:val="20"/>
        </w:rPr>
        <w:t>ns we offer, we will become less competitive in the market for our labor. Finally, continuing to implement the requirements of the PPACA is likely to impose additional administrative costs. The future costs and other effects of these new healthcare require</w:t>
      </w:r>
      <w:r>
        <w:rPr>
          <w:rFonts w:eastAsia="Times New Roman"/>
          <w:color w:val="000000"/>
          <w:sz w:val="20"/>
          <w:szCs w:val="20"/>
        </w:rPr>
        <w:t>ments cannot be determined with certainty, but they may continue to significantly increase our healthcare coverage costs and could materially adversely affect our, business, financial condition or results of operations.</w:t>
      </w:r>
    </w:p>
    <w:p w:rsidR="00000000" w:rsidRDefault="0061405A">
      <w:pPr>
        <w:jc w:val="both"/>
        <w:divId w:val="145098852"/>
        <w:rPr>
          <w:rFonts w:eastAsia="Times New Roman"/>
        </w:rPr>
      </w:pPr>
      <w:r>
        <w:rPr>
          <w:rFonts w:eastAsia="Times New Roman"/>
          <w:color w:val="000000"/>
          <w:sz w:val="20"/>
          <w:szCs w:val="20"/>
        </w:rPr>
        <w:t xml:space="preserve">In addition to changes to the PPACA </w:t>
      </w:r>
      <w:r>
        <w:rPr>
          <w:rFonts w:eastAsia="Times New Roman"/>
          <w:color w:val="000000"/>
          <w:sz w:val="20"/>
          <w:szCs w:val="20"/>
        </w:rPr>
        <w:t>that have been implemented recently, it is possible that additional legislation will be passed by Congress and signed into law that further repeals the PPACA, in whole or in part, and/or introduces a new form of health care reform. It is unclear at this po</w:t>
      </w:r>
      <w:r>
        <w:rPr>
          <w:rFonts w:eastAsia="Times New Roman"/>
          <w:color w:val="000000"/>
          <w:sz w:val="20"/>
          <w:szCs w:val="20"/>
        </w:rPr>
        <w:t xml:space="preserve">int what the scope of such legislation would be and when it would become effective. Because of the uncertainty surrounding possible replacement health care reform legislation, we cannot predict with any certainty the likely impact of the PPACA’s repeal or </w:t>
      </w:r>
      <w:r>
        <w:rPr>
          <w:rFonts w:eastAsia="Times New Roman"/>
          <w:color w:val="000000"/>
          <w:sz w:val="20"/>
          <w:szCs w:val="20"/>
        </w:rPr>
        <w:t>the adoption of any other health care reform legislation on our business, financial condition or results of operations. Whether or not there is alternative health care legislation enacted in the U.S., there is likely to be significant disruption to the hea</w:t>
      </w:r>
      <w:r>
        <w:rPr>
          <w:rFonts w:eastAsia="Times New Roman"/>
          <w:color w:val="000000"/>
          <w:sz w:val="20"/>
          <w:szCs w:val="20"/>
        </w:rPr>
        <w:t>lth care market in the coming months and years and the costs of the Company’s health care expenditures may increase.</w:t>
      </w:r>
    </w:p>
    <w:p w:rsidR="00000000" w:rsidRDefault="0061405A">
      <w:pPr>
        <w:jc w:val="both"/>
        <w:divId w:val="1912419734"/>
        <w:rPr>
          <w:rFonts w:eastAsia="Times New Roman"/>
        </w:rPr>
      </w:pPr>
      <w:r>
        <w:rPr>
          <w:rFonts w:eastAsia="Times New Roman"/>
          <w:b/>
          <w:bCs/>
          <w:i/>
          <w:iCs/>
          <w:color w:val="000000"/>
          <w:sz w:val="20"/>
          <w:szCs w:val="20"/>
        </w:rPr>
        <w:t>New information or attitudes regarding diet and health could result in changes in regulations and consumer consumption habits that could ad</w:t>
      </w:r>
      <w:r>
        <w:rPr>
          <w:rFonts w:eastAsia="Times New Roman"/>
          <w:b/>
          <w:bCs/>
          <w:i/>
          <w:iCs/>
          <w:color w:val="000000"/>
          <w:sz w:val="20"/>
          <w:szCs w:val="20"/>
        </w:rPr>
        <w:t>versely affect our results of operations.</w:t>
      </w:r>
    </w:p>
    <w:p w:rsidR="00000000" w:rsidRDefault="0061405A">
      <w:pPr>
        <w:jc w:val="both"/>
        <w:divId w:val="1273047648"/>
        <w:rPr>
          <w:rFonts w:eastAsia="Times New Roman"/>
        </w:rPr>
      </w:pPr>
      <w:r>
        <w:rPr>
          <w:rFonts w:eastAsia="Times New Roman"/>
          <w:color w:val="000000"/>
          <w:sz w:val="20"/>
          <w:szCs w:val="20"/>
        </w:rPr>
        <w:t>Regulations and consumer eating habits may change as a result of new information or attitudes regarding diet, health and safety. Such changes may include federal, state and local regulations and recommendations fro</w:t>
      </w:r>
      <w:r>
        <w:rPr>
          <w:rFonts w:eastAsia="Times New Roman"/>
          <w:color w:val="000000"/>
          <w:sz w:val="20"/>
          <w:szCs w:val="20"/>
        </w:rPr>
        <w:t>m medical and diet professionals pertaining to the ingredients and nutritional content of the food and beverages we offer. The success of our restaurant operations is dependent, in part, upon our ability to effectively respond to changes in any consumer he</w:t>
      </w:r>
      <w:r>
        <w:rPr>
          <w:rFonts w:eastAsia="Times New Roman"/>
          <w:color w:val="000000"/>
          <w:sz w:val="20"/>
          <w:szCs w:val="20"/>
        </w:rPr>
        <w:t xml:space="preserve">alth regulations and our ability to adapt our menu offerings to trends in food consumption. If consumer health regulations or consumer eating habits change significantly, we may choose or be required to modify or remove certain menu items, which may cause </w:t>
      </w:r>
      <w:r>
        <w:rPr>
          <w:rFonts w:eastAsia="Times New Roman"/>
          <w:color w:val="000000"/>
          <w:sz w:val="20"/>
          <w:szCs w:val="20"/>
        </w:rPr>
        <w:t>us to incur costs to implement those changes and may materially adversely affect the appeal of our menu to new or returning customers. To the extent we are unwilling or unable to respond with appropriate changes to our menu offerings, it could materially a</w:t>
      </w:r>
      <w:r>
        <w:rPr>
          <w:rFonts w:eastAsia="Times New Roman"/>
          <w:color w:val="000000"/>
          <w:sz w:val="20"/>
          <w:szCs w:val="20"/>
        </w:rPr>
        <w:t>ffect consumer demand and could have a material adverse impact on our business, financial condition or results of operations.</w:t>
      </w:r>
    </w:p>
    <w:p w:rsidR="00000000" w:rsidRDefault="0061405A">
      <w:pPr>
        <w:jc w:val="both"/>
        <w:divId w:val="1055667015"/>
        <w:rPr>
          <w:rFonts w:eastAsia="Times New Roman"/>
        </w:rPr>
      </w:pPr>
      <w:r>
        <w:rPr>
          <w:rFonts w:eastAsia="Times New Roman"/>
          <w:color w:val="000000"/>
          <w:sz w:val="20"/>
          <w:szCs w:val="20"/>
        </w:rPr>
        <w:t>Government regulation and consumer eating habits may impact our business as a result of changes in attitudes regarding diet and health or new information regarding the adverse health effects of consuming certain menu offerings. As discussed in Part I, “Bus</w:t>
      </w:r>
      <w:r>
        <w:rPr>
          <w:rFonts w:eastAsia="Times New Roman"/>
          <w:color w:val="000000"/>
          <w:sz w:val="20"/>
          <w:szCs w:val="20"/>
        </w:rPr>
        <w:t>iness-Governmental Regulation and Environmental Matters” of this 10-K, these changes have resulted in, and may continue to result in, laws and regulations requiring us to disclose the nutritional content of our food offerings, and they have resulted, and m</w:t>
      </w:r>
      <w:r>
        <w:rPr>
          <w:rFonts w:eastAsia="Times New Roman"/>
          <w:color w:val="000000"/>
          <w:sz w:val="20"/>
          <w:szCs w:val="20"/>
        </w:rPr>
        <w:t>ay continue to result in, laws and regulations affecting permissible ingredients and menu offerings. Inconsistencies among state laws with respect to presentation of nutritional content could be challenging for us to comply with in an efficient manner. The</w:t>
      </w:r>
      <w:r>
        <w:rPr>
          <w:rFonts w:eastAsia="Times New Roman"/>
          <w:color w:val="000000"/>
          <w:sz w:val="20"/>
          <w:szCs w:val="20"/>
        </w:rPr>
        <w:t xml:space="preserve"> PPACA also requires covered restaurants to provide to consumers, upon request, a written summary of detailed nutritional information for each standard menu item, and to provide a statement on menus and menu boards about the availability of this informatio</w:t>
      </w:r>
      <w:r>
        <w:rPr>
          <w:rFonts w:eastAsia="Times New Roman"/>
          <w:color w:val="000000"/>
          <w:sz w:val="20"/>
          <w:szCs w:val="20"/>
        </w:rPr>
        <w:t>n upon request. An unfavorable report on, or reaction to, our menu ingredients, the size of our portions or the nutritional content of our menu items could negatively influence the demand for our offerings.</w:t>
      </w:r>
    </w:p>
    <w:p w:rsidR="00000000" w:rsidRDefault="0061405A">
      <w:pPr>
        <w:jc w:val="both"/>
        <w:divId w:val="1224490271"/>
        <w:rPr>
          <w:rFonts w:eastAsia="Times New Roman"/>
        </w:rPr>
      </w:pPr>
      <w:r>
        <w:rPr>
          <w:rFonts w:eastAsia="Times New Roman"/>
          <w:color w:val="000000"/>
          <w:sz w:val="20"/>
          <w:szCs w:val="20"/>
        </w:rPr>
        <w:t>Compliance with current and future laws and regul</w:t>
      </w:r>
      <w:r>
        <w:rPr>
          <w:rFonts w:eastAsia="Times New Roman"/>
          <w:color w:val="000000"/>
          <w:sz w:val="20"/>
          <w:szCs w:val="20"/>
        </w:rPr>
        <w:t>ations regarding the ingredients and nutritional content of our menu items may be costly and time-consuming. The risks and costs associated with nutritional disclosures on our menus could also impact our operations, particularly given differences among app</w:t>
      </w:r>
      <w:r>
        <w:rPr>
          <w:rFonts w:eastAsia="Times New Roman"/>
          <w:color w:val="000000"/>
          <w:sz w:val="20"/>
          <w:szCs w:val="20"/>
        </w:rPr>
        <w:t>licable legal requirements and practices within the restaurant industry with respect to testing and disclosure, ordinary variations in food preparation among our own restaurants and the need to rely on the accuracy and completeness of nutritional informati</w:t>
      </w:r>
      <w:r>
        <w:rPr>
          <w:rFonts w:eastAsia="Times New Roman"/>
          <w:color w:val="000000"/>
          <w:sz w:val="20"/>
          <w:szCs w:val="20"/>
        </w:rPr>
        <w:t>on obtained from third-party suppliers.</w:t>
      </w:r>
    </w:p>
    <w:p w:rsidR="00000000" w:rsidRDefault="0061405A">
      <w:pPr>
        <w:jc w:val="both"/>
        <w:divId w:val="2062551727"/>
        <w:rPr>
          <w:rFonts w:eastAsia="Times New Roman"/>
        </w:rPr>
      </w:pPr>
      <w:r>
        <w:rPr>
          <w:rFonts w:eastAsia="Times New Roman"/>
          <w:color w:val="000000"/>
          <w:sz w:val="20"/>
          <w:szCs w:val="20"/>
        </w:rPr>
        <w:t>We may not be able to effectively respond to changes in consumer health and safety perceptions or to successfully implement the nutrient content disclosure requirements and adapt our menu offerings to trends in eatin</w:t>
      </w:r>
      <w:r>
        <w:rPr>
          <w:rFonts w:eastAsia="Times New Roman"/>
          <w:color w:val="000000"/>
          <w:sz w:val="20"/>
          <w:szCs w:val="20"/>
        </w:rPr>
        <w:t xml:space="preserve">g habits. The imposition of additional menu labeling laws could materially adversely affect our business, financial condition or results of operations, as well as our </w:t>
      </w:r>
    </w:p>
    <w:p w:rsidR="00000000" w:rsidRDefault="0061405A">
      <w:pPr>
        <w:ind w:firstLine="720"/>
        <w:jc w:val="center"/>
        <w:divId w:val="1952979835"/>
        <w:rPr>
          <w:rFonts w:eastAsia="Times New Roman"/>
        </w:rPr>
      </w:pPr>
      <w:r>
        <w:rPr>
          <w:rFonts w:eastAsia="Times New Roman"/>
          <w:color w:val="000000"/>
          <w:sz w:val="20"/>
          <w:szCs w:val="20"/>
        </w:rPr>
        <w:t>21</w:t>
      </w:r>
    </w:p>
    <w:p w:rsidR="00000000" w:rsidRDefault="0061405A">
      <w:pPr>
        <w:rPr>
          <w:rFonts w:eastAsia="Times New Roman"/>
        </w:rPr>
      </w:pPr>
      <w:r>
        <w:rPr>
          <w:rFonts w:eastAsia="Times New Roman"/>
        </w:rPr>
        <w:pict>
          <v:rect id="_x0000_i1048" style="width:0;height:1.5pt" o:hralign="center" o:hrstd="t" o:hr="t" fillcolor="#a0a0a0" stroked="f"/>
        </w:pict>
      </w:r>
    </w:p>
    <w:p w:rsidR="00000000" w:rsidRDefault="0061405A">
      <w:pPr>
        <w:divId w:val="1188175153"/>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both"/>
        <w:divId w:val="218128151"/>
        <w:rPr>
          <w:rFonts w:eastAsia="Times New Roman"/>
        </w:rPr>
      </w:pPr>
      <w:r>
        <w:rPr>
          <w:rFonts w:eastAsia="Times New Roman"/>
          <w:color w:val="000000"/>
          <w:sz w:val="20"/>
          <w:szCs w:val="20"/>
        </w:rPr>
        <w:t>position within the restaurant industry in general.</w:t>
      </w:r>
    </w:p>
    <w:p w:rsidR="00000000" w:rsidRDefault="0061405A">
      <w:pPr>
        <w:jc w:val="both"/>
        <w:divId w:val="280692349"/>
        <w:rPr>
          <w:rFonts w:eastAsia="Times New Roman"/>
        </w:rPr>
      </w:pPr>
      <w:r>
        <w:rPr>
          <w:rFonts w:eastAsia="Times New Roman"/>
          <w:b/>
          <w:bCs/>
          <w:i/>
          <w:iCs/>
          <w:color w:val="000000"/>
          <w:sz w:val="20"/>
          <w:szCs w:val="20"/>
        </w:rPr>
        <w:t>We may not be able to adequately protect our intellectual property, which could harm the value of our brand and could adversely affect our business.</w:t>
      </w:r>
    </w:p>
    <w:p w:rsidR="00000000" w:rsidRDefault="0061405A">
      <w:pPr>
        <w:jc w:val="both"/>
        <w:divId w:val="1667434868"/>
        <w:rPr>
          <w:rFonts w:eastAsia="Times New Roman"/>
        </w:rPr>
      </w:pPr>
      <w:r>
        <w:rPr>
          <w:rFonts w:eastAsia="Times New Roman"/>
          <w:color w:val="000000"/>
          <w:sz w:val="20"/>
          <w:szCs w:val="20"/>
        </w:rPr>
        <w:t>Our intelle</w:t>
      </w:r>
      <w:r>
        <w:rPr>
          <w:rFonts w:eastAsia="Times New Roman"/>
          <w:color w:val="000000"/>
          <w:sz w:val="20"/>
          <w:szCs w:val="20"/>
        </w:rPr>
        <w:t xml:space="preserve">ctual property is material to the conduct of our business and our marketing efforts. Our ability to implement our business plan successfully depends in part on our ability to further build brand recognition using our trademarks, service marks, trade dress </w:t>
      </w:r>
      <w:r>
        <w:rPr>
          <w:rFonts w:eastAsia="Times New Roman"/>
          <w:color w:val="000000"/>
          <w:sz w:val="20"/>
          <w:szCs w:val="20"/>
        </w:rPr>
        <w:t xml:space="preserve">and other proprietary intellectual property, including our name and logos and the unique ambiance of our restaurants. While it is our policy to protect and defend vigorously our rights to our intellectual property, we cannot predict whether steps taken by </w:t>
      </w:r>
      <w:r>
        <w:rPr>
          <w:rFonts w:eastAsia="Times New Roman"/>
          <w:color w:val="000000"/>
          <w:sz w:val="20"/>
          <w:szCs w:val="20"/>
        </w:rPr>
        <w:t>us to protect our intellectual property rights will be adequate to prevent misappropriation of these rights or the use by others of restaurant features based upon, or otherwise similar to, our concept. It may be difficult for us to prevent others from copy</w:t>
      </w:r>
      <w:r>
        <w:rPr>
          <w:rFonts w:eastAsia="Times New Roman"/>
          <w:color w:val="000000"/>
          <w:sz w:val="20"/>
          <w:szCs w:val="20"/>
        </w:rPr>
        <w:t>ing elements of our concept and any litigation to enforce our rights will likely be costly and may not be successful. Although we believe that we have sufficient rights to all of our trademarks and service marks, we may face claims of infringement that cou</w:t>
      </w:r>
      <w:r>
        <w:rPr>
          <w:rFonts w:eastAsia="Times New Roman"/>
          <w:color w:val="000000"/>
          <w:sz w:val="20"/>
          <w:szCs w:val="20"/>
        </w:rPr>
        <w:t>ld interfere with our ability to market our restaurants and promote our brand. Any such litigation may be costly and divert resources from our business. Moreover, if we are unable to successfully defend against such claims, we may be prevented from using o</w:t>
      </w:r>
      <w:r>
        <w:rPr>
          <w:rFonts w:eastAsia="Times New Roman"/>
          <w:color w:val="000000"/>
          <w:sz w:val="20"/>
          <w:szCs w:val="20"/>
        </w:rPr>
        <w:t>ur trademarks or service marks in the future, may be liable for damages and may have to change our marketing efforts, which in turn could materially adversely affect our business, financial condition or results of operations.</w:t>
      </w:r>
    </w:p>
    <w:p w:rsidR="00000000" w:rsidRDefault="0061405A">
      <w:pPr>
        <w:jc w:val="both"/>
        <w:divId w:val="860049028"/>
        <w:rPr>
          <w:rFonts w:eastAsia="Times New Roman"/>
        </w:rPr>
      </w:pPr>
      <w:r>
        <w:rPr>
          <w:rFonts w:eastAsia="Times New Roman"/>
          <w:b/>
          <w:bCs/>
          <w:i/>
          <w:iCs/>
          <w:color w:val="000000"/>
          <w:sz w:val="20"/>
          <w:szCs w:val="20"/>
        </w:rPr>
        <w:t>We could be party to litigatio</w:t>
      </w:r>
      <w:r>
        <w:rPr>
          <w:rFonts w:eastAsia="Times New Roman"/>
          <w:b/>
          <w:bCs/>
          <w:i/>
          <w:iCs/>
          <w:color w:val="000000"/>
          <w:sz w:val="20"/>
          <w:szCs w:val="20"/>
        </w:rPr>
        <w:t>n that could adversely affect us by distracting management, increasing our expenses or subjecting us to material money damages and other remedies.</w:t>
      </w:r>
    </w:p>
    <w:p w:rsidR="00000000" w:rsidRDefault="0061405A">
      <w:pPr>
        <w:jc w:val="both"/>
        <w:divId w:val="1008871361"/>
        <w:rPr>
          <w:rFonts w:eastAsia="Times New Roman"/>
        </w:rPr>
      </w:pPr>
      <w:r>
        <w:rPr>
          <w:rFonts w:eastAsia="Times New Roman"/>
          <w:color w:val="000000"/>
          <w:sz w:val="20"/>
          <w:szCs w:val="20"/>
        </w:rPr>
        <w:t>Our customers occasionally file complaints or lawsuits against us alleging we caused an illness or injury the</w:t>
      </w:r>
      <w:r>
        <w:rPr>
          <w:rFonts w:eastAsia="Times New Roman"/>
          <w:color w:val="000000"/>
          <w:sz w:val="20"/>
          <w:szCs w:val="20"/>
        </w:rPr>
        <w:t>y suffered at or after a visit to our restaurants, or that we have problems with food quality or operations. These kinds of complaints or lawsuits may be more common in a period in which the public is focused on health safety issues, or may attract more at</w:t>
      </w:r>
      <w:r>
        <w:rPr>
          <w:rFonts w:eastAsia="Times New Roman"/>
          <w:color w:val="000000"/>
          <w:sz w:val="20"/>
          <w:szCs w:val="20"/>
        </w:rPr>
        <w:t>tention due to publication on various social media outlets. We are also subject to a variety of other claims arising in the ordinary course of our business, including personal injury claims, contract claims and claims alleging violations of federal and sta</w:t>
      </w:r>
      <w:r>
        <w:rPr>
          <w:rFonts w:eastAsia="Times New Roman"/>
          <w:color w:val="000000"/>
          <w:sz w:val="20"/>
          <w:szCs w:val="20"/>
        </w:rPr>
        <w:t>te law regarding workplace and employment matters, equal opportunity, discrimination and similar matters and we could become subject to class action or other lawsuits related to these or different matters in the future. In addition, the restaurant industry</w:t>
      </w:r>
      <w:r>
        <w:rPr>
          <w:rFonts w:eastAsia="Times New Roman"/>
          <w:color w:val="000000"/>
          <w:sz w:val="20"/>
          <w:szCs w:val="20"/>
        </w:rPr>
        <w:t xml:space="preserve"> has from time to time been subject to claims based on the nutritional content of food products sold and disclosure and advertising practices. We may also become subject to various employee and workplace litigation, including claims related to discriminati</w:t>
      </w:r>
      <w:r>
        <w:rPr>
          <w:rFonts w:eastAsia="Times New Roman"/>
          <w:color w:val="000000"/>
          <w:sz w:val="20"/>
          <w:szCs w:val="20"/>
        </w:rPr>
        <w:t>on, harassment, workplace safety, medical and family leave, and wage-and-hour issues, which risk has been heightened by the COVID-19 pandemic as discussed above.</w:t>
      </w:r>
    </w:p>
    <w:p w:rsidR="00000000" w:rsidRDefault="0061405A">
      <w:pPr>
        <w:jc w:val="both"/>
        <w:divId w:val="1018626758"/>
        <w:rPr>
          <w:rFonts w:eastAsia="Times New Roman"/>
        </w:rPr>
      </w:pPr>
      <w:r>
        <w:rPr>
          <w:rFonts w:eastAsia="Times New Roman"/>
          <w:color w:val="000000"/>
          <w:sz w:val="20"/>
          <w:szCs w:val="20"/>
        </w:rPr>
        <w:t>Regardless of whether any claims against us are valid, or whether we are ultimately held liabl</w:t>
      </w:r>
      <w:r>
        <w:rPr>
          <w:rFonts w:eastAsia="Times New Roman"/>
          <w:color w:val="000000"/>
          <w:sz w:val="20"/>
          <w:szCs w:val="20"/>
        </w:rPr>
        <w:t>e, claims may be expensive to defend and may divert time and money away from our operations and hurt our performance. A judgment in excess of our insurance coverage for any claims could materially adversely affect our financial condition or results of oper</w:t>
      </w:r>
      <w:r>
        <w:rPr>
          <w:rFonts w:eastAsia="Times New Roman"/>
          <w:color w:val="000000"/>
          <w:sz w:val="20"/>
          <w:szCs w:val="20"/>
        </w:rPr>
        <w:t>ations. Any adverse publicity resulting from these allegations, even if proven to be false, may also materially adversely affect our reputation or prospects, which in turn could materially adversely affect our business, financial condition or results of op</w:t>
      </w:r>
      <w:r>
        <w:rPr>
          <w:rFonts w:eastAsia="Times New Roman"/>
          <w:color w:val="000000"/>
          <w:sz w:val="20"/>
          <w:szCs w:val="20"/>
        </w:rPr>
        <w:t xml:space="preserve">erations. </w:t>
      </w:r>
    </w:p>
    <w:p w:rsidR="00000000" w:rsidRDefault="0061405A">
      <w:pPr>
        <w:jc w:val="both"/>
        <w:divId w:val="1728912863"/>
        <w:rPr>
          <w:rFonts w:eastAsia="Times New Roman"/>
        </w:rPr>
      </w:pPr>
      <w:r>
        <w:rPr>
          <w:rFonts w:eastAsia="Times New Roman"/>
          <w:b/>
          <w:bCs/>
          <w:color w:val="000000"/>
          <w:sz w:val="20"/>
          <w:szCs w:val="20"/>
        </w:rPr>
        <w:t>Risks Related to Our Common Stock and Debt Financing</w:t>
      </w:r>
    </w:p>
    <w:p w:rsidR="00000000" w:rsidRDefault="0061405A">
      <w:pPr>
        <w:jc w:val="both"/>
        <w:divId w:val="2143189451"/>
        <w:rPr>
          <w:rFonts w:eastAsia="Times New Roman"/>
        </w:rPr>
      </w:pPr>
      <w:r>
        <w:rPr>
          <w:rFonts w:eastAsia="Times New Roman"/>
          <w:b/>
          <w:bCs/>
          <w:i/>
          <w:iCs/>
          <w:color w:val="000000"/>
          <w:sz w:val="20"/>
          <w:szCs w:val="20"/>
        </w:rPr>
        <w:t>Our quarterly operating results may fluctuate significantly and could fall below the expectations of securities analysts and investors due to seasonality and other factors, some of which are b</w:t>
      </w:r>
      <w:r>
        <w:rPr>
          <w:rFonts w:eastAsia="Times New Roman"/>
          <w:b/>
          <w:bCs/>
          <w:i/>
          <w:iCs/>
          <w:color w:val="000000"/>
          <w:sz w:val="20"/>
          <w:szCs w:val="20"/>
        </w:rPr>
        <w:t>eyond our control, resulting in a decline in our stock price.</w:t>
      </w:r>
    </w:p>
    <w:p w:rsidR="00000000" w:rsidRDefault="0061405A">
      <w:pPr>
        <w:jc w:val="both"/>
        <w:divId w:val="469834258"/>
        <w:rPr>
          <w:rFonts w:eastAsia="Times New Roman"/>
        </w:rPr>
      </w:pPr>
      <w:r>
        <w:rPr>
          <w:rFonts w:eastAsia="Times New Roman"/>
          <w:color w:val="000000"/>
          <w:sz w:val="20"/>
          <w:szCs w:val="20"/>
        </w:rPr>
        <w:t>Our quarterly operating results may fluctuate significantly because of several factors, including but not limited to: increases and decreases in AUVs and comparable restaurant sales; profitabili</w:t>
      </w:r>
      <w:r>
        <w:rPr>
          <w:rFonts w:eastAsia="Times New Roman"/>
          <w:color w:val="000000"/>
          <w:sz w:val="20"/>
          <w:szCs w:val="20"/>
        </w:rPr>
        <w:t>ty of our restaurants; labor availability and costs for hourly and management personnel; changes in interest rates; macroeconomic conditions, both nationally and locally; negative publicity relating to the consumption of products we serve; changes in consu</w:t>
      </w:r>
      <w:r>
        <w:rPr>
          <w:rFonts w:eastAsia="Times New Roman"/>
          <w:color w:val="000000"/>
          <w:sz w:val="20"/>
          <w:szCs w:val="20"/>
        </w:rPr>
        <w:t xml:space="preserve">mer preferences and competitive conditions; impairment of long-lived assets and any loss on and exit costs associated with restaurant closures; expansion to new markets; the timing of new restaurant openings and related expense; restaurant operating costs </w:t>
      </w:r>
      <w:r>
        <w:rPr>
          <w:rFonts w:eastAsia="Times New Roman"/>
          <w:color w:val="000000"/>
          <w:sz w:val="20"/>
          <w:szCs w:val="20"/>
        </w:rPr>
        <w:t>for our newly-opened restaurants; increases in infrastructure costs; and fluctuations in commodity prices.</w:t>
      </w:r>
    </w:p>
    <w:p w:rsidR="00000000" w:rsidRDefault="0061405A">
      <w:pPr>
        <w:jc w:val="both"/>
        <w:divId w:val="598827894"/>
        <w:rPr>
          <w:rFonts w:eastAsia="Times New Roman"/>
        </w:rPr>
      </w:pPr>
      <w:r>
        <w:rPr>
          <w:rFonts w:eastAsia="Times New Roman"/>
          <w:color w:val="000000"/>
          <w:sz w:val="20"/>
          <w:szCs w:val="20"/>
        </w:rPr>
        <w:t>Seasonal factors, particularly weather disruptions, and the timing of holidays also cause our revenue to fluctuate from quarter to quarter. Our reven</w:t>
      </w:r>
      <w:r>
        <w:rPr>
          <w:rFonts w:eastAsia="Times New Roman"/>
          <w:color w:val="000000"/>
          <w:sz w:val="20"/>
          <w:szCs w:val="20"/>
        </w:rPr>
        <w:t xml:space="preserve">ue per restaurant is typically lower in the first and fourth quarters due to reduced winter and holiday traffic and higher in the second and third quarters. As a result of these factors, our quarterly and annual operating results and comparable restaurant </w:t>
      </w:r>
      <w:r>
        <w:rPr>
          <w:rFonts w:eastAsia="Times New Roman"/>
          <w:color w:val="000000"/>
          <w:sz w:val="20"/>
          <w:szCs w:val="20"/>
        </w:rPr>
        <w:t xml:space="preserve">sales may fluctuate significantly. Accordingly, results for any one quarter are not necessarily indicative of results to be </w:t>
      </w:r>
    </w:p>
    <w:p w:rsidR="00000000" w:rsidRDefault="0061405A">
      <w:pPr>
        <w:ind w:firstLine="720"/>
        <w:jc w:val="center"/>
        <w:divId w:val="958221902"/>
        <w:rPr>
          <w:rFonts w:eastAsia="Times New Roman"/>
        </w:rPr>
      </w:pPr>
      <w:r>
        <w:rPr>
          <w:rFonts w:eastAsia="Times New Roman"/>
          <w:color w:val="000000"/>
          <w:sz w:val="20"/>
          <w:szCs w:val="20"/>
        </w:rPr>
        <w:t>22</w:t>
      </w:r>
    </w:p>
    <w:p w:rsidR="00000000" w:rsidRDefault="0061405A">
      <w:pPr>
        <w:rPr>
          <w:rFonts w:eastAsia="Times New Roman"/>
        </w:rPr>
      </w:pPr>
      <w:r>
        <w:rPr>
          <w:rFonts w:eastAsia="Times New Roman"/>
        </w:rPr>
        <w:pict>
          <v:rect id="_x0000_i1049" style="width:0;height:1.5pt" o:hralign="center" o:hrstd="t" o:hr="t" fillcolor="#a0a0a0" stroked="f"/>
        </w:pict>
      </w:r>
    </w:p>
    <w:p w:rsidR="00000000" w:rsidRDefault="0061405A">
      <w:pPr>
        <w:divId w:val="128058695"/>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both"/>
        <w:divId w:val="2014063722"/>
        <w:rPr>
          <w:rFonts w:eastAsia="Times New Roman"/>
        </w:rPr>
      </w:pPr>
      <w:r>
        <w:rPr>
          <w:rFonts w:eastAsia="Times New Roman"/>
          <w:color w:val="000000"/>
          <w:sz w:val="20"/>
          <w:szCs w:val="20"/>
        </w:rPr>
        <w:t>expected for any other quarter or for any year and comparable restaurant sales for any particular future period may decrease. In</w:t>
      </w:r>
      <w:r>
        <w:rPr>
          <w:rFonts w:eastAsia="Times New Roman"/>
          <w:color w:val="000000"/>
          <w:sz w:val="20"/>
          <w:szCs w:val="20"/>
        </w:rPr>
        <w:t xml:space="preserve"> the future, operating results may fall below the expectations of securities analysts and investors. In that event, the price of our common stock would likely decrease.</w:t>
      </w:r>
    </w:p>
    <w:p w:rsidR="00000000" w:rsidRDefault="0061405A">
      <w:pPr>
        <w:jc w:val="both"/>
        <w:divId w:val="1775980554"/>
        <w:rPr>
          <w:rFonts w:eastAsia="Times New Roman"/>
        </w:rPr>
      </w:pPr>
      <w:r>
        <w:rPr>
          <w:rFonts w:eastAsia="Times New Roman"/>
          <w:b/>
          <w:bCs/>
          <w:i/>
          <w:iCs/>
          <w:color w:val="000000"/>
          <w:sz w:val="20"/>
          <w:szCs w:val="20"/>
        </w:rPr>
        <w:t>Future sales of our common stock, or the perception that such sales may occur, could de</w:t>
      </w:r>
      <w:r>
        <w:rPr>
          <w:rFonts w:eastAsia="Times New Roman"/>
          <w:b/>
          <w:bCs/>
          <w:i/>
          <w:iCs/>
          <w:color w:val="000000"/>
          <w:sz w:val="20"/>
          <w:szCs w:val="20"/>
        </w:rPr>
        <w:t>press our common stock price.</w:t>
      </w:r>
    </w:p>
    <w:p w:rsidR="00000000" w:rsidRDefault="0061405A">
      <w:pPr>
        <w:jc w:val="both"/>
        <w:divId w:val="912545315"/>
        <w:rPr>
          <w:rFonts w:eastAsia="Times New Roman"/>
        </w:rPr>
      </w:pPr>
      <w:r>
        <w:rPr>
          <w:rFonts w:eastAsia="Times New Roman"/>
          <w:color w:val="000000"/>
          <w:sz w:val="20"/>
          <w:szCs w:val="20"/>
        </w:rPr>
        <w:t>Sales of a substantial number of shares of our common stock in the public market, or the perception that such sales may occur, could depress the market price of our common stock. Our amended and restated certificate of incorpo</w:t>
      </w:r>
      <w:r>
        <w:rPr>
          <w:rFonts w:eastAsia="Times New Roman"/>
          <w:color w:val="000000"/>
          <w:sz w:val="20"/>
          <w:szCs w:val="20"/>
        </w:rPr>
        <w:t xml:space="preserve">ration authorizes us to issue up to 180,000,000 shares of Class A common stock and Class B common stock. As of December 29, 2020, we have 44,383,716 outstanding shares of Class A common stock and no outstanding shares of Class B common stock. In addition, </w:t>
      </w:r>
      <w:r>
        <w:rPr>
          <w:rFonts w:eastAsia="Times New Roman"/>
          <w:color w:val="000000"/>
          <w:sz w:val="20"/>
          <w:szCs w:val="20"/>
        </w:rPr>
        <w:t>as of such date, approximately 2,094,679 shares of Class A common stock are issuable upon the exercise of outstanding stock options and the vesting of restricted stock units, and</w:t>
      </w:r>
      <w:r>
        <w:rPr>
          <w:rFonts w:eastAsia="Times New Roman"/>
          <w:color w:val="000000"/>
          <w:sz w:val="20"/>
          <w:szCs w:val="20"/>
          <w:shd w:val="clear" w:color="auto" w:fill="FFFFFF"/>
        </w:rPr>
        <w:t xml:space="preserve"> 1,913,793 shares of Class A common stock and 28,850 shares of Class B common </w:t>
      </w:r>
      <w:r>
        <w:rPr>
          <w:rFonts w:eastAsia="Times New Roman"/>
          <w:color w:val="000000"/>
          <w:sz w:val="20"/>
          <w:szCs w:val="20"/>
          <w:shd w:val="clear" w:color="auto" w:fill="FFFFFF"/>
        </w:rPr>
        <w:t>stock are issuable upon the exercise of war</w:t>
      </w:r>
      <w:r>
        <w:rPr>
          <w:rFonts w:eastAsia="Times New Roman"/>
          <w:color w:val="000000"/>
          <w:sz w:val="20"/>
          <w:szCs w:val="20"/>
        </w:rPr>
        <w:t>rants. Moreover, as of that date, approximately 3.6 million shares of our common stock are available for future grants under our stock incentive plan and for future purchase under our employee stock purchase plan.</w:t>
      </w:r>
    </w:p>
    <w:p w:rsidR="00000000" w:rsidRDefault="0061405A">
      <w:pPr>
        <w:jc w:val="both"/>
        <w:divId w:val="450901864"/>
        <w:rPr>
          <w:rFonts w:eastAsia="Times New Roman"/>
        </w:rPr>
      </w:pPr>
      <w:r>
        <w:rPr>
          <w:rFonts w:eastAsia="Times New Roman"/>
          <w:b/>
          <w:bCs/>
          <w:i/>
          <w:iCs/>
          <w:color w:val="000000"/>
          <w:sz w:val="20"/>
          <w:szCs w:val="20"/>
        </w:rPr>
        <w:t>Provisions in our organizational documents and Delaware law may delay or prevent our acquisition by a third party.</w:t>
      </w:r>
    </w:p>
    <w:p w:rsidR="00000000" w:rsidRDefault="0061405A">
      <w:pPr>
        <w:jc w:val="both"/>
        <w:divId w:val="797604879"/>
        <w:rPr>
          <w:rFonts w:eastAsia="Times New Roman"/>
        </w:rPr>
      </w:pPr>
      <w:r>
        <w:rPr>
          <w:rFonts w:eastAsia="Times New Roman"/>
          <w:color w:val="000000"/>
          <w:sz w:val="20"/>
          <w:szCs w:val="20"/>
        </w:rPr>
        <w:t>Our amended and restated certificate of incorporation, our second amended and restated bylaws and Delaware law each contain several provisio</w:t>
      </w:r>
      <w:r>
        <w:rPr>
          <w:rFonts w:eastAsia="Times New Roman"/>
          <w:color w:val="000000"/>
          <w:sz w:val="20"/>
          <w:szCs w:val="20"/>
        </w:rPr>
        <w:t>ns that may make it more difficult for a third party to acquire control of us without the approval of our Board of Directors. For example, we have a classified Board of Directors with three-year staggered terms, which could delay the ability of stockholder</w:t>
      </w:r>
      <w:r>
        <w:rPr>
          <w:rFonts w:eastAsia="Times New Roman"/>
          <w:color w:val="000000"/>
          <w:sz w:val="20"/>
          <w:szCs w:val="20"/>
        </w:rPr>
        <w:t xml:space="preserve">s to change the membership of a majority of our Board of Directors. Additionally, the terms of outstanding warrants contain change of control provisions which, in the event of a potential change of control transaction, may require the payment of a premium </w:t>
      </w:r>
      <w:r>
        <w:rPr>
          <w:rFonts w:eastAsia="Times New Roman"/>
          <w:color w:val="000000"/>
          <w:sz w:val="20"/>
          <w:szCs w:val="20"/>
        </w:rPr>
        <w:t xml:space="preserve">to holders of such warrants. These provisions may make it more difficult or expensive for a third party to acquire a majority of our outstanding equity interests. These provisions also may delay, prevent or deter a merger, acquisition, tender offer, proxy </w:t>
      </w:r>
      <w:r>
        <w:rPr>
          <w:rFonts w:eastAsia="Times New Roman"/>
          <w:color w:val="000000"/>
          <w:sz w:val="20"/>
          <w:szCs w:val="20"/>
        </w:rPr>
        <w:t>contest or other transaction that might otherwise result in our stockholders receiving a premium over the market price for their common stock.</w:t>
      </w:r>
    </w:p>
    <w:p w:rsidR="00000000" w:rsidRDefault="0061405A">
      <w:pPr>
        <w:jc w:val="both"/>
        <w:divId w:val="2015109527"/>
        <w:rPr>
          <w:rFonts w:eastAsia="Times New Roman"/>
        </w:rPr>
      </w:pPr>
      <w:r>
        <w:rPr>
          <w:rFonts w:eastAsia="Times New Roman"/>
          <w:b/>
          <w:bCs/>
          <w:i/>
          <w:iCs/>
          <w:color w:val="000000"/>
          <w:sz w:val="20"/>
          <w:szCs w:val="20"/>
        </w:rPr>
        <w:t>We may be unable to negotiate favorable borrowing terms, and any additional capital we may require could be senio</w:t>
      </w:r>
      <w:r>
        <w:rPr>
          <w:rFonts w:eastAsia="Times New Roman"/>
          <w:b/>
          <w:bCs/>
          <w:i/>
          <w:iCs/>
          <w:color w:val="000000"/>
          <w:sz w:val="20"/>
          <w:szCs w:val="20"/>
        </w:rPr>
        <w:t>r to existing equity holders, dilute existing equity holders or include unfavorable restrictions.</w:t>
      </w:r>
    </w:p>
    <w:p w:rsidR="00000000" w:rsidRDefault="0061405A">
      <w:pPr>
        <w:jc w:val="both"/>
        <w:divId w:val="1025642950"/>
        <w:rPr>
          <w:rFonts w:eastAsia="Times New Roman"/>
        </w:rPr>
      </w:pPr>
      <w:r>
        <w:rPr>
          <w:rFonts w:eastAsia="Times New Roman"/>
          <w:color w:val="000000"/>
          <w:sz w:val="20"/>
          <w:szCs w:val="20"/>
        </w:rPr>
        <w:t>As a general matter, operating and developing our business requires significant capital. Our credit agreement ends in 2024 and securing access to credit on re</w:t>
      </w:r>
      <w:r>
        <w:rPr>
          <w:rFonts w:eastAsia="Times New Roman"/>
          <w:color w:val="000000"/>
          <w:sz w:val="20"/>
          <w:szCs w:val="20"/>
        </w:rPr>
        <w:t>asonable terms thereafter will require us to extend or refinance such agreement. In addition, in order to pursue our business and operational strategies, we may need additional sources of liquidity in the future and it may be difficult or impossible at suc</w:t>
      </w:r>
      <w:r>
        <w:rPr>
          <w:rFonts w:eastAsia="Times New Roman"/>
          <w:color w:val="000000"/>
          <w:sz w:val="20"/>
          <w:szCs w:val="20"/>
        </w:rPr>
        <w:t>h time to increase our liquidity. Our lenders may not agree to amend our credit agreement at such time to increase our borrowing capacity. Further, our requirements for additional liquidity may coincide with periods during which we are not in compliance wi</w:t>
      </w:r>
      <w:r>
        <w:rPr>
          <w:rFonts w:eastAsia="Times New Roman"/>
          <w:color w:val="000000"/>
          <w:sz w:val="20"/>
          <w:szCs w:val="20"/>
        </w:rPr>
        <w:t>th covenants under our credit agreement and our lenders may not agree to further amend our credit agreement to accommodate such non-compliance. Even if we are able to access additional liquidity, agreements governing any borrowing arrangement could contain</w:t>
      </w:r>
      <w:r>
        <w:rPr>
          <w:rFonts w:eastAsia="Times New Roman"/>
          <w:color w:val="000000"/>
          <w:sz w:val="20"/>
          <w:szCs w:val="20"/>
        </w:rPr>
        <w:t xml:space="preserve"> covenants restricting our operations. If we raise additional funds through future issuances of equity or convertible debt securities, our existing stockholders could suffer significant dilution, and any new equity securities we issue could have rights, pr</w:t>
      </w:r>
      <w:r>
        <w:rPr>
          <w:rFonts w:eastAsia="Times New Roman"/>
          <w:color w:val="000000"/>
          <w:sz w:val="20"/>
          <w:szCs w:val="20"/>
        </w:rPr>
        <w:t>eferences and privileges superior to those of holders of our common stock. Any debt financing we secure in the future could involve restrictive covenants relating to our capital-raising activities and other financial and operational matters, which might ma</w:t>
      </w:r>
      <w:r>
        <w:rPr>
          <w:rFonts w:eastAsia="Times New Roman"/>
          <w:color w:val="000000"/>
          <w:sz w:val="20"/>
          <w:szCs w:val="20"/>
        </w:rPr>
        <w:t>ke it more difficult for us to obtain additional capital and to pursue business opportunities. Moreover, if we issue new debt securities, the debt holders would have rights senior to common stockholders to make claims on our assets. In addition, variable-r</w:t>
      </w:r>
      <w:r>
        <w:rPr>
          <w:rFonts w:eastAsia="Times New Roman"/>
          <w:color w:val="000000"/>
          <w:sz w:val="20"/>
          <w:szCs w:val="20"/>
        </w:rPr>
        <w:t>ate borrowings under our credit agreement typically use LIBOR as a benchmark for establishing the rate of interest. LIBOR is the subject of recent national and international regulatory scrutiny which may result in changes that cause LIBOR to disappear enti</w:t>
      </w:r>
      <w:r>
        <w:rPr>
          <w:rFonts w:eastAsia="Times New Roman"/>
          <w:color w:val="000000"/>
          <w:sz w:val="20"/>
          <w:szCs w:val="20"/>
        </w:rPr>
        <w:t>rely after 2021 or to cause it to perform differently than in the past. The consequences of these LIBOR developments on our variable-rate borrowings, including the possible transition to other rates such as the Secured Overnight Financing Rate (“SOFR”), ca</w:t>
      </w:r>
      <w:r>
        <w:rPr>
          <w:rFonts w:eastAsia="Times New Roman"/>
          <w:color w:val="000000"/>
          <w:sz w:val="20"/>
          <w:szCs w:val="20"/>
        </w:rPr>
        <w:t>nnot be predicted at this time, but could include an increase in the cost of our variable-rate borrowings and volatility in our earnings.</w:t>
      </w:r>
    </w:p>
    <w:p w:rsidR="00000000" w:rsidRDefault="0061405A">
      <w:pPr>
        <w:divId w:val="1742872064"/>
        <w:rPr>
          <w:rFonts w:eastAsia="Times New Roman"/>
        </w:rPr>
      </w:pPr>
    </w:p>
    <w:p w:rsidR="00000000" w:rsidRDefault="0061405A">
      <w:pPr>
        <w:divId w:val="125586365"/>
        <w:rPr>
          <w:rFonts w:eastAsia="Times New Roman"/>
        </w:rPr>
      </w:pPr>
      <w:r>
        <w:rPr>
          <w:rFonts w:eastAsia="Times New Roman"/>
          <w:b/>
          <w:bCs/>
          <w:color w:val="000000"/>
          <w:sz w:val="20"/>
          <w:szCs w:val="20"/>
        </w:rPr>
        <w:t>ITEM 1B.    Unresolved Staff Comments</w:t>
      </w:r>
    </w:p>
    <w:p w:rsidR="00000000" w:rsidRDefault="0061405A">
      <w:pPr>
        <w:divId w:val="524828493"/>
        <w:rPr>
          <w:rFonts w:eastAsia="Times New Roman"/>
        </w:rPr>
      </w:pPr>
      <w:r>
        <w:rPr>
          <w:rFonts w:eastAsia="Times New Roman"/>
          <w:color w:val="000000"/>
          <w:sz w:val="20"/>
          <w:szCs w:val="20"/>
        </w:rPr>
        <w:t>None.</w:t>
      </w:r>
    </w:p>
    <w:p w:rsidR="00000000" w:rsidRDefault="0061405A">
      <w:pPr>
        <w:ind w:firstLine="720"/>
        <w:jc w:val="center"/>
        <w:divId w:val="3172733"/>
        <w:rPr>
          <w:rFonts w:eastAsia="Times New Roman"/>
        </w:rPr>
      </w:pPr>
      <w:r>
        <w:rPr>
          <w:rFonts w:eastAsia="Times New Roman"/>
          <w:color w:val="000000"/>
          <w:sz w:val="20"/>
          <w:szCs w:val="20"/>
        </w:rPr>
        <w:t>23</w:t>
      </w:r>
    </w:p>
    <w:p w:rsidR="00000000" w:rsidRDefault="0061405A">
      <w:pPr>
        <w:rPr>
          <w:rFonts w:eastAsia="Times New Roman"/>
        </w:rPr>
      </w:pPr>
      <w:r>
        <w:rPr>
          <w:rFonts w:eastAsia="Times New Roman"/>
        </w:rPr>
        <w:pict>
          <v:rect id="_x0000_i1050" style="width:0;height:1.5pt" o:hralign="center" o:hrstd="t" o:hr="t" fillcolor="#a0a0a0" stroked="f"/>
        </w:pict>
      </w:r>
    </w:p>
    <w:p w:rsidR="00000000" w:rsidRDefault="0061405A">
      <w:pPr>
        <w:divId w:val="693460405"/>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both"/>
        <w:divId w:val="936015287"/>
        <w:rPr>
          <w:rFonts w:eastAsia="Times New Roman"/>
        </w:rPr>
      </w:pPr>
      <w:r>
        <w:rPr>
          <w:rFonts w:eastAsia="Times New Roman"/>
          <w:b/>
          <w:bCs/>
          <w:color w:val="000000"/>
          <w:sz w:val="20"/>
          <w:szCs w:val="20"/>
        </w:rPr>
        <w:t>ITEM 2.    Properties</w:t>
      </w:r>
    </w:p>
    <w:p w:rsidR="00000000" w:rsidRDefault="0061405A">
      <w:pPr>
        <w:jc w:val="both"/>
        <w:rPr>
          <w:rFonts w:eastAsia="Times New Roman"/>
        </w:rPr>
      </w:pPr>
      <w:r>
        <w:rPr>
          <w:rFonts w:eastAsia="Times New Roman"/>
          <w:color w:val="000000"/>
          <w:sz w:val="20"/>
          <w:szCs w:val="20"/>
        </w:rPr>
        <w:t>As of December 29, 2020, we and our franchisees operated 454 restaurants in 29 states. Our restaurants are</w:t>
      </w:r>
      <w:r>
        <w:rPr>
          <w:rFonts w:eastAsia="Times New Roman"/>
          <w:color w:val="000000"/>
          <w:sz w:val="20"/>
          <w:szCs w:val="20"/>
        </w:rPr>
        <w:t xml:space="preserve"> typically approximately 2,600 square feet and are located in a variety of suburban and urban markets. We lease the property for our central support office and all of the properties on which we operate restaurants. The chart below shows the locations of ou</w:t>
      </w:r>
      <w:r>
        <w:rPr>
          <w:rFonts w:eastAsia="Times New Roman"/>
          <w:color w:val="000000"/>
          <w:sz w:val="20"/>
          <w:szCs w:val="20"/>
        </w:rPr>
        <w:t>r company-owned and franchised restaurants as of December 29, 2020.</w:t>
      </w:r>
    </w:p>
    <w:tbl>
      <w:tblPr>
        <w:tblW w:w="5000" w:type="pct"/>
        <w:tblCellMar>
          <w:top w:w="15" w:type="dxa"/>
          <w:left w:w="15" w:type="dxa"/>
          <w:bottom w:w="15" w:type="dxa"/>
          <w:right w:w="15" w:type="dxa"/>
        </w:tblCellMar>
        <w:tblLook w:val="04A0" w:firstRow="1" w:lastRow="0" w:firstColumn="1" w:lastColumn="0" w:noHBand="0" w:noVBand="1"/>
      </w:tblPr>
      <w:tblGrid>
        <w:gridCol w:w="57"/>
        <w:gridCol w:w="4898"/>
        <w:gridCol w:w="37"/>
        <w:gridCol w:w="36"/>
        <w:gridCol w:w="36"/>
        <w:gridCol w:w="36"/>
        <w:gridCol w:w="76"/>
        <w:gridCol w:w="884"/>
        <w:gridCol w:w="36"/>
        <w:gridCol w:w="36"/>
        <w:gridCol w:w="36"/>
        <w:gridCol w:w="36"/>
        <w:gridCol w:w="80"/>
        <w:gridCol w:w="909"/>
        <w:gridCol w:w="36"/>
        <w:gridCol w:w="36"/>
        <w:gridCol w:w="36"/>
        <w:gridCol w:w="36"/>
        <w:gridCol w:w="40"/>
        <w:gridCol w:w="893"/>
        <w:gridCol w:w="36"/>
      </w:tblGrid>
      <w:tr w:rsidR="00000000">
        <w:trPr>
          <w:divId w:val="1952517038"/>
        </w:trPr>
        <w:tc>
          <w:tcPr>
            <w:tcW w:w="50" w:type="pct"/>
            <w:vAlign w:val="center"/>
            <w:hideMark/>
          </w:tcPr>
          <w:p w:rsidR="00000000" w:rsidRDefault="0061405A">
            <w:pPr>
              <w:jc w:val="both"/>
              <w:rPr>
                <w:rFonts w:eastAsia="Times New Roman"/>
              </w:rPr>
            </w:pPr>
          </w:p>
        </w:tc>
        <w:tc>
          <w:tcPr>
            <w:tcW w:w="2962"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7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7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7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1952517038"/>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20"/>
                <w:szCs w:val="20"/>
                <w:u w:val="single"/>
              </w:rPr>
              <w:t>State</w:t>
            </w:r>
          </w:p>
        </w:tc>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20"/>
                <w:szCs w:val="20"/>
              </w:rPr>
              <w:t>Company-</w:t>
            </w:r>
            <w:r>
              <w:rPr>
                <w:rFonts w:eastAsia="Times New Roman"/>
                <w:b/>
                <w:bCs/>
                <w:color w:val="000000"/>
                <w:sz w:val="20"/>
                <w:szCs w:val="20"/>
              </w:rPr>
              <w:br/>
              <w:t>owned</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20"/>
                <w:szCs w:val="20"/>
              </w:rPr>
              <w:t>Franchised</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20"/>
                <w:szCs w:val="20"/>
              </w:rPr>
              <w:t>Total</w:t>
            </w:r>
          </w:p>
        </w:tc>
      </w:tr>
      <w:tr w:rsidR="00000000">
        <w:trPr>
          <w:divId w:val="1952517038"/>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Arizona</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952517038"/>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California</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952517038"/>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Colorado</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59 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59 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952517038"/>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Connecticut</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952517038"/>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Florida</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952517038"/>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Idaho</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952517038"/>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Illinois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49 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54 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952517038"/>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Indiana</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952517038"/>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Iowa</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952517038"/>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Kansas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952517038"/>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Kentucky</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952517038"/>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Maryland</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952517038"/>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Michigan</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952517038"/>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Minnesota</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952517038"/>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Missouri</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952517038"/>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Montana</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952517038"/>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Nebraska</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952517038"/>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New York</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952517038"/>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North Carolina</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952517038"/>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North Dakota</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952517038"/>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Ohio</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952517038"/>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Oregon</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952517038"/>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Pennsylvania</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952517038"/>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South Dakota</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952517038"/>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Tennessee</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952517038"/>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Utah</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952517038"/>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Virginia</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952517038"/>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Washington</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952517038"/>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Wisconsin</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952517038"/>
        </w:trPr>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b/>
                <w:bCs/>
                <w:color w:val="000000"/>
                <w:sz w:val="20"/>
                <w:szCs w:val="20"/>
              </w:rPr>
              <w:t>378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b/>
                <w:bCs/>
                <w:color w:val="000000"/>
                <w:sz w:val="20"/>
                <w:szCs w:val="20"/>
              </w:rPr>
              <w:t>76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b/>
                <w:bCs/>
                <w:color w:val="000000"/>
                <w:sz w:val="20"/>
                <w:szCs w:val="20"/>
              </w:rPr>
              <w:t>454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bl>
    <w:p w:rsidR="00000000" w:rsidRDefault="0061405A">
      <w:pPr>
        <w:jc w:val="both"/>
        <w:divId w:val="549925114"/>
        <w:rPr>
          <w:rFonts w:eastAsia="Times New Roman"/>
        </w:rPr>
      </w:pPr>
      <w:r>
        <w:rPr>
          <w:rFonts w:eastAsia="Times New Roman"/>
          <w:color w:val="000000"/>
          <w:sz w:val="20"/>
          <w:szCs w:val="20"/>
        </w:rPr>
        <w:t xml:space="preserve">We are obligated under non-cancelable leases for our restaurants and our central support office. Our restaurant leases generally have initial terms of 10 years with two or more five-year renewal options. Our restaurant </w:t>
      </w:r>
      <w:r>
        <w:rPr>
          <w:rFonts w:eastAsia="Times New Roman"/>
          <w:color w:val="000000"/>
          <w:sz w:val="20"/>
          <w:szCs w:val="20"/>
        </w:rPr>
        <w:t xml:space="preserve">leases may require us to pay a proportionate share of real estate taxes, insurance, common area maintenance charges and other operating costs. </w:t>
      </w:r>
    </w:p>
    <w:p w:rsidR="00000000" w:rsidRDefault="0061405A">
      <w:pPr>
        <w:jc w:val="both"/>
        <w:divId w:val="2044134496"/>
        <w:rPr>
          <w:rFonts w:eastAsia="Times New Roman"/>
        </w:rPr>
      </w:pPr>
    </w:p>
    <w:p w:rsidR="00000000" w:rsidRDefault="0061405A">
      <w:pPr>
        <w:jc w:val="center"/>
        <w:divId w:val="1782601322"/>
        <w:rPr>
          <w:rFonts w:eastAsia="Times New Roman"/>
        </w:rPr>
      </w:pPr>
      <w:r>
        <w:rPr>
          <w:rFonts w:eastAsia="Times New Roman"/>
          <w:color w:val="000000"/>
          <w:sz w:val="20"/>
          <w:szCs w:val="20"/>
        </w:rPr>
        <w:t>24</w:t>
      </w:r>
    </w:p>
    <w:p w:rsidR="00000000" w:rsidRDefault="0061405A">
      <w:pPr>
        <w:jc w:val="center"/>
        <w:divId w:val="1782601322"/>
        <w:rPr>
          <w:rFonts w:eastAsia="Times New Roman"/>
        </w:rPr>
      </w:pPr>
    </w:p>
    <w:p w:rsidR="00000000" w:rsidRDefault="0061405A">
      <w:pPr>
        <w:rPr>
          <w:rFonts w:eastAsia="Times New Roman"/>
        </w:rPr>
      </w:pPr>
      <w:r>
        <w:rPr>
          <w:rFonts w:eastAsia="Times New Roman"/>
        </w:rPr>
        <w:pict>
          <v:rect id="_x0000_i1051" style="width:0;height:1.5pt" o:hralign="center" o:hrstd="t" o:hr="t" fillcolor="#a0a0a0" stroked="f"/>
        </w:pict>
      </w:r>
    </w:p>
    <w:p w:rsidR="00000000" w:rsidRDefault="0061405A">
      <w:pPr>
        <w:divId w:val="1184588298"/>
        <w:rPr>
          <w:rFonts w:eastAsia="Times New Roman"/>
        </w:rPr>
      </w:pPr>
      <w:hyperlink w:anchor="i8677812f4896441ea668decd267056f9_7" w:history="1">
        <w:r>
          <w:rPr>
            <w:rStyle w:val="a3"/>
            <w:rFonts w:eastAsia="Times New Roman"/>
            <w:sz w:val="20"/>
            <w:szCs w:val="20"/>
          </w:rPr>
          <w:t>Table of C</w:t>
        </w:r>
        <w:r>
          <w:rPr>
            <w:rStyle w:val="a3"/>
            <w:rFonts w:eastAsia="Times New Roman"/>
            <w:sz w:val="20"/>
            <w:szCs w:val="20"/>
          </w:rPr>
          <w:t>ontents</w:t>
        </w:r>
      </w:hyperlink>
      <w:r>
        <w:rPr>
          <w:rFonts w:eastAsia="Times New Roman"/>
          <w:b/>
          <w:bCs/>
          <w:color w:val="000000"/>
          <w:sz w:val="20"/>
          <w:szCs w:val="20"/>
        </w:rPr>
        <w:t>                </w:t>
      </w:r>
    </w:p>
    <w:p w:rsidR="00000000" w:rsidRDefault="0061405A">
      <w:pPr>
        <w:divId w:val="1610234868"/>
        <w:rPr>
          <w:rFonts w:eastAsia="Times New Roman"/>
        </w:rPr>
      </w:pPr>
      <w:r>
        <w:rPr>
          <w:rFonts w:eastAsia="Times New Roman"/>
          <w:b/>
          <w:bCs/>
          <w:color w:val="000000"/>
          <w:sz w:val="20"/>
          <w:szCs w:val="20"/>
        </w:rPr>
        <w:t>ITEM 3.    Legal Proceedings</w:t>
      </w:r>
    </w:p>
    <w:p w:rsidR="00000000" w:rsidRDefault="0061405A">
      <w:pPr>
        <w:jc w:val="both"/>
        <w:divId w:val="217086139"/>
        <w:rPr>
          <w:rFonts w:eastAsia="Times New Roman"/>
        </w:rPr>
      </w:pPr>
      <w:r>
        <w:rPr>
          <w:rFonts w:eastAsia="Times New Roman"/>
          <w:color w:val="000000"/>
          <w:sz w:val="20"/>
          <w:szCs w:val="20"/>
          <w:u w:val="single"/>
        </w:rPr>
        <w:t>Other Matters</w:t>
      </w:r>
    </w:p>
    <w:p w:rsidR="00000000" w:rsidRDefault="0061405A">
      <w:pPr>
        <w:jc w:val="both"/>
        <w:divId w:val="1033457322"/>
        <w:rPr>
          <w:rFonts w:eastAsia="Times New Roman"/>
        </w:rPr>
      </w:pPr>
      <w:r>
        <w:rPr>
          <w:rFonts w:eastAsia="Times New Roman"/>
          <w:color w:val="000000"/>
          <w:sz w:val="20"/>
          <w:szCs w:val="20"/>
        </w:rPr>
        <w:t>In the normal course of business, the Company is subject to other proceedings, lawsuits and claims. Such matters are subject to many uncertainties, and outcomes are not predictable with ass</w:t>
      </w:r>
      <w:r>
        <w:rPr>
          <w:rFonts w:eastAsia="Times New Roman"/>
          <w:color w:val="000000"/>
          <w:sz w:val="20"/>
          <w:szCs w:val="20"/>
        </w:rPr>
        <w:t>urance. Consequently, the Company is unable to ascertain the ultimate aggregate amount of monetary liability or financial impact with respect to these matters as of December 29, 2020. These matters could affect the operating results of any one financial re</w:t>
      </w:r>
      <w:r>
        <w:rPr>
          <w:rFonts w:eastAsia="Times New Roman"/>
          <w:color w:val="000000"/>
          <w:sz w:val="20"/>
          <w:szCs w:val="20"/>
        </w:rPr>
        <w:t>porting period when resolved in future periods. The Company believes that an unfavorable outcome with respect to these matters is remote or a potential range of loss is not material to its consolidated financial statements. Significant increases in the num</w:t>
      </w:r>
      <w:r>
        <w:rPr>
          <w:rFonts w:eastAsia="Times New Roman"/>
          <w:color w:val="000000"/>
          <w:sz w:val="20"/>
          <w:szCs w:val="20"/>
        </w:rPr>
        <w:t>ber of these claims, or one or more successful claims that result in greater liabilities than the Company currently anticipates, could materially and adversely affect its business, financial condition, results of operations or cash flows.</w:t>
      </w:r>
    </w:p>
    <w:p w:rsidR="00000000" w:rsidRDefault="0061405A">
      <w:pPr>
        <w:jc w:val="both"/>
        <w:divId w:val="2053531780"/>
        <w:rPr>
          <w:rFonts w:eastAsia="Times New Roman"/>
        </w:rPr>
      </w:pPr>
    </w:p>
    <w:p w:rsidR="00000000" w:rsidRDefault="0061405A">
      <w:pPr>
        <w:divId w:val="1057709383"/>
        <w:rPr>
          <w:rFonts w:eastAsia="Times New Roman"/>
        </w:rPr>
      </w:pPr>
      <w:r>
        <w:rPr>
          <w:rFonts w:eastAsia="Times New Roman"/>
          <w:b/>
          <w:bCs/>
          <w:color w:val="000000"/>
          <w:sz w:val="20"/>
          <w:szCs w:val="20"/>
        </w:rPr>
        <w:t>ITEM 4.    Mine</w:t>
      </w:r>
      <w:r>
        <w:rPr>
          <w:rFonts w:eastAsia="Times New Roman"/>
          <w:b/>
          <w:bCs/>
          <w:color w:val="000000"/>
          <w:sz w:val="20"/>
          <w:szCs w:val="20"/>
        </w:rPr>
        <w:t xml:space="preserve"> Safety Disclosures</w:t>
      </w:r>
    </w:p>
    <w:p w:rsidR="00000000" w:rsidRDefault="0061405A">
      <w:pPr>
        <w:divId w:val="87888395"/>
        <w:rPr>
          <w:rFonts w:eastAsia="Times New Roman"/>
        </w:rPr>
      </w:pPr>
    </w:p>
    <w:p w:rsidR="00000000" w:rsidRDefault="0061405A">
      <w:pPr>
        <w:divId w:val="1110589212"/>
        <w:rPr>
          <w:rFonts w:eastAsia="Times New Roman"/>
        </w:rPr>
      </w:pPr>
      <w:r>
        <w:rPr>
          <w:rFonts w:eastAsia="Times New Roman"/>
          <w:color w:val="000000"/>
          <w:sz w:val="20"/>
          <w:szCs w:val="20"/>
        </w:rPr>
        <w:t>Not applicable.</w:t>
      </w:r>
    </w:p>
    <w:p w:rsidR="00000000" w:rsidRDefault="0061405A">
      <w:pPr>
        <w:jc w:val="center"/>
        <w:divId w:val="483011878"/>
        <w:rPr>
          <w:rFonts w:eastAsia="Times New Roman"/>
        </w:rPr>
      </w:pPr>
      <w:r>
        <w:rPr>
          <w:rFonts w:eastAsia="Times New Roman"/>
          <w:color w:val="000000"/>
          <w:sz w:val="20"/>
          <w:szCs w:val="20"/>
        </w:rPr>
        <w:t>25</w:t>
      </w:r>
    </w:p>
    <w:p w:rsidR="00000000" w:rsidRDefault="0061405A">
      <w:pPr>
        <w:jc w:val="center"/>
        <w:divId w:val="483011878"/>
        <w:rPr>
          <w:rFonts w:eastAsia="Times New Roman"/>
        </w:rPr>
      </w:pPr>
    </w:p>
    <w:p w:rsidR="00000000" w:rsidRDefault="0061405A">
      <w:pPr>
        <w:rPr>
          <w:rFonts w:eastAsia="Times New Roman"/>
        </w:rPr>
      </w:pPr>
      <w:r>
        <w:rPr>
          <w:rFonts w:eastAsia="Times New Roman"/>
        </w:rPr>
        <w:pict>
          <v:rect id="_x0000_i1052" style="width:0;height:1.5pt" o:hralign="center" o:hrstd="t" o:hr="t" fillcolor="#a0a0a0" stroked="f"/>
        </w:pict>
      </w:r>
    </w:p>
    <w:p w:rsidR="00000000" w:rsidRDefault="0061405A">
      <w:pPr>
        <w:divId w:val="618224473"/>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divId w:val="1269966050"/>
        <w:rPr>
          <w:rFonts w:eastAsia="Times New Roman"/>
        </w:rPr>
      </w:pPr>
    </w:p>
    <w:p w:rsidR="00000000" w:rsidRDefault="0061405A">
      <w:pPr>
        <w:jc w:val="center"/>
        <w:rPr>
          <w:rFonts w:eastAsia="Times New Roman"/>
        </w:rPr>
      </w:pPr>
      <w:r>
        <w:rPr>
          <w:rFonts w:eastAsia="Times New Roman"/>
          <w:b/>
          <w:bCs/>
          <w:color w:val="000000"/>
          <w:sz w:val="20"/>
          <w:szCs w:val="20"/>
        </w:rPr>
        <w:t>PART II</w:t>
      </w:r>
    </w:p>
    <w:p w:rsidR="00000000" w:rsidRDefault="0061405A">
      <w:pPr>
        <w:jc w:val="center"/>
        <w:rPr>
          <w:rFonts w:eastAsia="Times New Roman"/>
        </w:rPr>
      </w:pPr>
    </w:p>
    <w:p w:rsidR="00000000" w:rsidRDefault="0061405A">
      <w:pPr>
        <w:ind w:hanging="990"/>
        <w:divId w:val="2064599636"/>
        <w:rPr>
          <w:rFonts w:eastAsia="Times New Roman"/>
        </w:rPr>
      </w:pPr>
      <w:r>
        <w:rPr>
          <w:rFonts w:eastAsia="Times New Roman"/>
          <w:b/>
          <w:bCs/>
          <w:color w:val="000000"/>
          <w:sz w:val="20"/>
          <w:szCs w:val="20"/>
        </w:rPr>
        <w:t>ITEM 5.    Market for the Registrant’s Common Equity, Related Stockholde</w:t>
      </w:r>
      <w:r>
        <w:rPr>
          <w:rFonts w:eastAsia="Times New Roman"/>
          <w:b/>
          <w:bCs/>
          <w:color w:val="000000"/>
          <w:sz w:val="20"/>
          <w:szCs w:val="20"/>
        </w:rPr>
        <w:t>r Matters and Issuer Purchases of Equity Securities</w:t>
      </w:r>
    </w:p>
    <w:p w:rsidR="00000000" w:rsidRDefault="0061405A">
      <w:pPr>
        <w:ind w:hanging="990"/>
        <w:divId w:val="171604285"/>
        <w:rPr>
          <w:rFonts w:eastAsia="Times New Roman"/>
        </w:rPr>
      </w:pPr>
    </w:p>
    <w:p w:rsidR="00000000" w:rsidRDefault="0061405A">
      <w:pPr>
        <w:divId w:val="855002381"/>
        <w:rPr>
          <w:rFonts w:eastAsia="Times New Roman"/>
        </w:rPr>
      </w:pPr>
      <w:r>
        <w:rPr>
          <w:rFonts w:eastAsia="Times New Roman"/>
          <w:color w:val="0A2972"/>
          <w:sz w:val="2"/>
          <w:szCs w:val="2"/>
        </w:rPr>
        <w:t> </w:t>
      </w:r>
    </w:p>
    <w:p w:rsidR="00000000" w:rsidRDefault="0061405A">
      <w:pPr>
        <w:jc w:val="both"/>
        <w:divId w:val="2108889733"/>
        <w:rPr>
          <w:rFonts w:eastAsia="Times New Roman"/>
        </w:rPr>
      </w:pPr>
      <w:r>
        <w:rPr>
          <w:rFonts w:eastAsia="Times New Roman"/>
          <w:color w:val="000000"/>
          <w:sz w:val="20"/>
          <w:szCs w:val="20"/>
        </w:rPr>
        <w:t>Our Class A common stock has traded on the Nasdaq Global Select Market under the symbol NDLS since it began trading on June 28, 2013, the date of our initial public offering (“IPO”). As</w:t>
      </w:r>
      <w:r>
        <w:rPr>
          <w:rFonts w:eastAsia="Times New Roman"/>
          <w:color w:val="000000"/>
          <w:sz w:val="20"/>
          <w:szCs w:val="20"/>
          <w:shd w:val="clear" w:color="auto" w:fill="FFFFFF"/>
        </w:rPr>
        <w:t xml:space="preserve"> of February 22, 2021, there were approximately 30 ho</w:t>
      </w:r>
      <w:r>
        <w:rPr>
          <w:rFonts w:eastAsia="Times New Roman"/>
          <w:color w:val="000000"/>
          <w:sz w:val="20"/>
          <w:szCs w:val="20"/>
        </w:rPr>
        <w:t>lders of record of our common stock. The number of holders of record is based upon the actual numbers of holders registered at such date and does not include holders of shares in “street name” or persons, partnerships, associates, corporations or other ent</w:t>
      </w:r>
      <w:r>
        <w:rPr>
          <w:rFonts w:eastAsia="Times New Roman"/>
          <w:color w:val="000000"/>
          <w:sz w:val="20"/>
          <w:szCs w:val="20"/>
        </w:rPr>
        <w:t>ities in security position listings maintained by depositories.</w:t>
      </w:r>
    </w:p>
    <w:p w:rsidR="00000000" w:rsidRDefault="0061405A">
      <w:pPr>
        <w:jc w:val="both"/>
        <w:divId w:val="2031564891"/>
        <w:rPr>
          <w:rFonts w:eastAsia="Times New Roman"/>
        </w:rPr>
      </w:pPr>
      <w:r>
        <w:rPr>
          <w:rFonts w:eastAsia="Times New Roman"/>
          <w:b/>
          <w:bCs/>
          <w:color w:val="000000"/>
          <w:sz w:val="20"/>
          <w:szCs w:val="20"/>
        </w:rPr>
        <w:t>Purchases of Equity Securities by the Issuer</w:t>
      </w:r>
    </w:p>
    <w:p w:rsidR="00000000" w:rsidRDefault="0061405A">
      <w:pPr>
        <w:jc w:val="both"/>
        <w:divId w:val="332883222"/>
        <w:rPr>
          <w:rFonts w:eastAsia="Times New Roman"/>
        </w:rPr>
      </w:pPr>
      <w:r>
        <w:rPr>
          <w:rFonts w:eastAsia="Times New Roman"/>
          <w:color w:val="000000"/>
          <w:sz w:val="20"/>
          <w:szCs w:val="20"/>
        </w:rPr>
        <w:t xml:space="preserve">We had no share repurchases during the fourth quarter of 2020. </w:t>
      </w:r>
    </w:p>
    <w:p w:rsidR="00000000" w:rsidRDefault="0061405A">
      <w:pPr>
        <w:jc w:val="both"/>
        <w:divId w:val="715276096"/>
        <w:rPr>
          <w:rFonts w:eastAsia="Times New Roman"/>
        </w:rPr>
      </w:pPr>
      <w:r>
        <w:rPr>
          <w:rFonts w:eastAsia="Times New Roman"/>
          <w:b/>
          <w:bCs/>
          <w:color w:val="000000"/>
          <w:sz w:val="20"/>
          <w:szCs w:val="20"/>
        </w:rPr>
        <w:t>Sales of Unregistered Securities by the Issuer</w:t>
      </w:r>
    </w:p>
    <w:p w:rsidR="00000000" w:rsidRDefault="0061405A">
      <w:pPr>
        <w:jc w:val="both"/>
        <w:divId w:val="435029039"/>
        <w:rPr>
          <w:rFonts w:eastAsia="Times New Roman"/>
        </w:rPr>
      </w:pPr>
      <w:r>
        <w:rPr>
          <w:rFonts w:eastAsia="Times New Roman"/>
          <w:color w:val="000000"/>
          <w:sz w:val="20"/>
          <w:szCs w:val="20"/>
        </w:rPr>
        <w:t>We sold no unregistered securities t</w:t>
      </w:r>
      <w:r>
        <w:rPr>
          <w:rFonts w:eastAsia="Times New Roman"/>
          <w:color w:val="000000"/>
          <w:sz w:val="20"/>
          <w:szCs w:val="20"/>
        </w:rPr>
        <w:t>hat have not been previously included in a Quarterly Report on Form 10-Q or in a Current Report on Form 8-K.</w:t>
      </w:r>
    </w:p>
    <w:p w:rsidR="00000000" w:rsidRDefault="0061405A">
      <w:pPr>
        <w:jc w:val="both"/>
        <w:divId w:val="395518286"/>
        <w:rPr>
          <w:rFonts w:eastAsia="Times New Roman"/>
        </w:rPr>
      </w:pPr>
      <w:r>
        <w:rPr>
          <w:rFonts w:eastAsia="Times New Roman"/>
          <w:b/>
          <w:bCs/>
          <w:color w:val="000000"/>
          <w:sz w:val="20"/>
          <w:szCs w:val="20"/>
        </w:rPr>
        <w:t>Dividends</w:t>
      </w:r>
    </w:p>
    <w:p w:rsidR="00000000" w:rsidRDefault="0061405A">
      <w:pPr>
        <w:jc w:val="both"/>
        <w:divId w:val="779951722"/>
        <w:rPr>
          <w:rFonts w:eastAsia="Times New Roman"/>
        </w:rPr>
      </w:pPr>
      <w:r>
        <w:rPr>
          <w:rFonts w:eastAsia="Times New Roman"/>
          <w:color w:val="000000"/>
          <w:sz w:val="20"/>
          <w:szCs w:val="20"/>
        </w:rPr>
        <w:t>No dividends have been declared or paid on our shares of common stock. We do not anticipate paying any cash dividends on any of our share</w:t>
      </w:r>
      <w:r>
        <w:rPr>
          <w:rFonts w:eastAsia="Times New Roman"/>
          <w:color w:val="000000"/>
          <w:sz w:val="20"/>
          <w:szCs w:val="20"/>
        </w:rPr>
        <w:t>s of common stock in the foreseeable future. We currently intend to retain any earnings to finance the development and expansion of our business. Any future determination to pay dividends will be at the discretion of our Board of Directors and will be depe</w:t>
      </w:r>
      <w:r>
        <w:rPr>
          <w:rFonts w:eastAsia="Times New Roman"/>
          <w:color w:val="000000"/>
          <w:sz w:val="20"/>
          <w:szCs w:val="20"/>
        </w:rPr>
        <w:t>ndent upon then-existing conditions, including our earnings, capital requirements, results of operations, financial condition, business prospects and other factors that our Board of Directors considers relevant. Further, the Company’s credit facility and w</w:t>
      </w:r>
      <w:r>
        <w:rPr>
          <w:rFonts w:eastAsia="Times New Roman"/>
          <w:color w:val="000000"/>
          <w:sz w:val="20"/>
          <w:szCs w:val="20"/>
        </w:rPr>
        <w:t>arrants each contain provisions that limit its ability to pay dividends on its common stock. See “Management’s Discussion and Analysis of Financial Condition and Results of Operations” and “Certain Relationships and Related Transactions, and Director Indep</w:t>
      </w:r>
      <w:r>
        <w:rPr>
          <w:rFonts w:eastAsia="Times New Roman"/>
          <w:color w:val="000000"/>
          <w:sz w:val="20"/>
          <w:szCs w:val="20"/>
        </w:rPr>
        <w:t>endence” for additional information regarding our financial condition.</w:t>
      </w:r>
    </w:p>
    <w:p w:rsidR="00000000" w:rsidRDefault="0061405A">
      <w:pPr>
        <w:jc w:val="center"/>
        <w:divId w:val="1769424654"/>
        <w:rPr>
          <w:rFonts w:eastAsia="Times New Roman"/>
        </w:rPr>
      </w:pPr>
      <w:r>
        <w:rPr>
          <w:rFonts w:eastAsia="Times New Roman"/>
          <w:color w:val="000000"/>
          <w:sz w:val="20"/>
          <w:szCs w:val="20"/>
        </w:rPr>
        <w:t>26</w:t>
      </w:r>
    </w:p>
    <w:p w:rsidR="00000000" w:rsidRDefault="0061405A">
      <w:pPr>
        <w:jc w:val="center"/>
        <w:divId w:val="1769424654"/>
        <w:rPr>
          <w:rFonts w:eastAsia="Times New Roman"/>
        </w:rPr>
      </w:pPr>
    </w:p>
    <w:p w:rsidR="00000000" w:rsidRDefault="0061405A">
      <w:pPr>
        <w:rPr>
          <w:rFonts w:eastAsia="Times New Roman"/>
        </w:rPr>
      </w:pPr>
      <w:r>
        <w:rPr>
          <w:rFonts w:eastAsia="Times New Roman"/>
        </w:rPr>
        <w:pict>
          <v:rect id="_x0000_i1053" style="width:0;height:1.5pt" o:hralign="center" o:hrstd="t" o:hr="t" fillcolor="#a0a0a0" stroked="f"/>
        </w:pict>
      </w:r>
    </w:p>
    <w:p w:rsidR="00000000" w:rsidRDefault="0061405A">
      <w:pPr>
        <w:divId w:val="1291937804"/>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divId w:val="2102138968"/>
        <w:rPr>
          <w:rFonts w:eastAsia="Times New Roman"/>
        </w:rPr>
      </w:pPr>
      <w:r>
        <w:rPr>
          <w:rFonts w:eastAsia="Times New Roman"/>
          <w:b/>
          <w:bCs/>
          <w:color w:val="000000"/>
          <w:sz w:val="20"/>
          <w:szCs w:val="20"/>
        </w:rPr>
        <w:t>ITEM 6.    Selected Financial Data</w:t>
      </w:r>
    </w:p>
    <w:p w:rsidR="00000000" w:rsidRDefault="0061405A">
      <w:pPr>
        <w:jc w:val="both"/>
        <w:divId w:val="1902403803"/>
        <w:rPr>
          <w:rFonts w:eastAsia="Times New Roman"/>
        </w:rPr>
      </w:pPr>
      <w:r>
        <w:rPr>
          <w:rFonts w:eastAsia="Times New Roman"/>
          <w:color w:val="000000"/>
          <w:sz w:val="20"/>
          <w:szCs w:val="20"/>
        </w:rPr>
        <w:t>The following tab</w:t>
      </w:r>
      <w:r>
        <w:rPr>
          <w:rFonts w:eastAsia="Times New Roman"/>
          <w:color w:val="000000"/>
          <w:sz w:val="20"/>
          <w:szCs w:val="20"/>
        </w:rPr>
        <w:t>le summarizes the consolidated historical financial and operating data for the periods indicated. The statements of operations data for the fiscal years ended December 29, 2020, December 31, 2019 and January 1, 2019, and the balance sheet data as of Decemb</w:t>
      </w:r>
      <w:r>
        <w:rPr>
          <w:rFonts w:eastAsia="Times New Roman"/>
          <w:color w:val="000000"/>
          <w:sz w:val="20"/>
          <w:szCs w:val="20"/>
        </w:rPr>
        <w:t xml:space="preserve">er 29, 2020 and December 31, 2019 have been derived from our audited consolidated financial statements included in Item 8. “Financial Statements and Supplementary Data,” and the statements of operations data from the fiscal years ended January 2, 2018 and </w:t>
      </w:r>
      <w:r>
        <w:rPr>
          <w:rFonts w:eastAsia="Times New Roman"/>
          <w:color w:val="000000"/>
          <w:sz w:val="20"/>
          <w:szCs w:val="20"/>
        </w:rPr>
        <w:t>January 3, 2017, and the balance sheet data as of January 1, 2019, January 2, 2018 and January 3, 2017 have been derived from our audited consolidated financial statements not included in this report.</w:t>
      </w:r>
    </w:p>
    <w:p w:rsidR="00000000" w:rsidRDefault="0061405A">
      <w:pPr>
        <w:jc w:val="both"/>
        <w:divId w:val="1323120315"/>
        <w:rPr>
          <w:rFonts w:eastAsia="Times New Roman"/>
        </w:rPr>
      </w:pPr>
      <w:r>
        <w:rPr>
          <w:rFonts w:eastAsia="Times New Roman"/>
          <w:color w:val="000000"/>
          <w:sz w:val="20"/>
          <w:szCs w:val="20"/>
        </w:rPr>
        <w:t>The historical results presented below are not necessar</w:t>
      </w:r>
      <w:r>
        <w:rPr>
          <w:rFonts w:eastAsia="Times New Roman"/>
          <w:color w:val="000000"/>
          <w:sz w:val="20"/>
          <w:szCs w:val="20"/>
        </w:rPr>
        <w:t>ily indicative of the results to be expected for any future period. This information should be read in conjunction with “Risk Factors,” “Management’s Discussion and Analysis of Financial Condition and Results of Operations” and our audited consolidated fin</w:t>
      </w:r>
      <w:r>
        <w:rPr>
          <w:rFonts w:eastAsia="Times New Roman"/>
          <w:color w:val="000000"/>
          <w:sz w:val="20"/>
          <w:szCs w:val="20"/>
        </w:rPr>
        <w:t>ancial statements and the related notes included elsewhere in this report.</w:t>
      </w:r>
    </w:p>
    <w:p w:rsidR="00000000" w:rsidRDefault="0061405A">
      <w:pPr>
        <w:jc w:val="both"/>
        <w:rPr>
          <w:rFonts w:eastAsia="Times New Roman"/>
        </w:rPr>
      </w:pPr>
      <w:r>
        <w:rPr>
          <w:rFonts w:eastAsia="Times New Roman"/>
          <w:color w:val="000000"/>
          <w:sz w:val="20"/>
          <w:szCs w:val="20"/>
        </w:rPr>
        <w:t>We operate on a 52- or 53-week fiscal year ending on the Tuesday closest to December 31. Fiscal year 2016, which ended on January 3, 2017, contained 53 weeks, and all other fiscal y</w:t>
      </w:r>
      <w:r>
        <w:rPr>
          <w:rFonts w:eastAsia="Times New Roman"/>
          <w:color w:val="000000"/>
          <w:sz w:val="20"/>
          <w:szCs w:val="20"/>
        </w:rPr>
        <w:t>ears presented below contained 52 weeks. We refer to our fiscal years as 2020, 2019, 2018, 2017 and 2016. Our fiscal quarters each contain thirteen weeks, with the exception of the fourth quarter of a 53-week fiscal year, which contains fourteen weeks.</w:t>
      </w:r>
    </w:p>
    <w:tbl>
      <w:tblPr>
        <w:tblW w:w="4985" w:type="pct"/>
        <w:tblCellMar>
          <w:top w:w="15" w:type="dxa"/>
          <w:left w:w="15" w:type="dxa"/>
          <w:bottom w:w="15" w:type="dxa"/>
          <w:right w:w="15" w:type="dxa"/>
        </w:tblCellMar>
        <w:tblLook w:val="04A0" w:firstRow="1" w:lastRow="0" w:firstColumn="1" w:lastColumn="0" w:noHBand="0" w:noVBand="1"/>
      </w:tblPr>
      <w:tblGrid>
        <w:gridCol w:w="43"/>
        <w:gridCol w:w="3797"/>
        <w:gridCol w:w="38"/>
        <w:gridCol w:w="36"/>
        <w:gridCol w:w="36"/>
        <w:gridCol w:w="36"/>
        <w:gridCol w:w="90"/>
        <w:gridCol w:w="646"/>
        <w:gridCol w:w="36"/>
        <w:gridCol w:w="36"/>
        <w:gridCol w:w="36"/>
        <w:gridCol w:w="36"/>
        <w:gridCol w:w="90"/>
        <w:gridCol w:w="646"/>
        <w:gridCol w:w="36"/>
        <w:gridCol w:w="36"/>
        <w:gridCol w:w="36"/>
        <w:gridCol w:w="36"/>
        <w:gridCol w:w="90"/>
        <w:gridCol w:w="646"/>
        <w:gridCol w:w="36"/>
        <w:gridCol w:w="36"/>
        <w:gridCol w:w="36"/>
        <w:gridCol w:w="36"/>
        <w:gridCol w:w="90"/>
        <w:gridCol w:w="646"/>
        <w:gridCol w:w="36"/>
        <w:gridCol w:w="36"/>
        <w:gridCol w:w="36"/>
        <w:gridCol w:w="36"/>
        <w:gridCol w:w="90"/>
        <w:gridCol w:w="649"/>
        <w:gridCol w:w="36"/>
      </w:tblGrid>
      <w:tr w:rsidR="00000000">
        <w:trPr>
          <w:divId w:val="1170485461"/>
        </w:trPr>
        <w:tc>
          <w:tcPr>
            <w:tcW w:w="50" w:type="pct"/>
            <w:vAlign w:val="center"/>
            <w:hideMark/>
          </w:tcPr>
          <w:p w:rsidR="00000000" w:rsidRDefault="0061405A">
            <w:pPr>
              <w:jc w:val="both"/>
              <w:rPr>
                <w:rFonts w:eastAsia="Times New Roman"/>
              </w:rPr>
            </w:pPr>
          </w:p>
        </w:tc>
        <w:tc>
          <w:tcPr>
            <w:tcW w:w="231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6"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434"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6"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434"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6"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434"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6"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434"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6"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43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1170485461"/>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27"/>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Fiscal Year</w:t>
            </w:r>
          </w:p>
        </w:tc>
      </w:tr>
      <w:tr w:rsidR="00000000">
        <w:trPr>
          <w:divId w:val="1170485461"/>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2018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2017</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2016</w:t>
            </w:r>
          </w:p>
        </w:tc>
      </w:tr>
      <w:tr w:rsidR="00000000">
        <w:trPr>
          <w:divId w:val="1170485461"/>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(in thousands)</w:t>
            </w:r>
          </w:p>
        </w:tc>
      </w:tr>
      <w:tr w:rsidR="00000000">
        <w:trPr>
          <w:divId w:val="1170485461"/>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i/>
                <w:iCs/>
                <w:color w:val="000000"/>
                <w:sz w:val="14"/>
                <w:szCs w:val="14"/>
              </w:rPr>
              <w:t>Revenue:</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 </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 </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 </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 </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 </w:t>
            </w:r>
          </w:p>
        </w:tc>
      </w:tr>
      <w:tr w:rsidR="00000000">
        <w:trPr>
          <w:divId w:val="1170485461"/>
        </w:trPr>
        <w:tc>
          <w:tcPr>
            <w:tcW w:w="0" w:type="auto"/>
            <w:gridSpan w:val="3"/>
            <w:shd w:val="clear" w:color="auto" w:fill="FFFF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4"/>
                <w:szCs w:val="14"/>
              </w:rPr>
              <w:t>Restaurant revenue</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388,480 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456,671 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453,671 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451,599 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482,544 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70485461"/>
        </w:trPr>
        <w:tc>
          <w:tcPr>
            <w:tcW w:w="0" w:type="auto"/>
            <w:gridSpan w:val="3"/>
            <w:shd w:val="clear" w:color="auto" w:fill="CCEE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4"/>
                <w:szCs w:val="14"/>
              </w:rPr>
              <w:t>Franchising royalties and fees, and other</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5,175 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5,740 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4,170 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4,893 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4,930 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70485461"/>
        </w:trPr>
        <w:tc>
          <w:tcPr>
            <w:tcW w:w="0" w:type="auto"/>
            <w:gridSpan w:val="3"/>
            <w:shd w:val="clear" w:color="auto" w:fill="FFFFFF"/>
            <w:tcMar>
              <w:top w:w="30" w:type="dxa"/>
              <w:left w:w="515" w:type="dxa"/>
              <w:bottom w:w="30" w:type="dxa"/>
              <w:right w:w="20" w:type="dxa"/>
            </w:tcMar>
            <w:vAlign w:val="bottom"/>
            <w:hideMark/>
          </w:tcPr>
          <w:p w:rsidR="00000000" w:rsidRDefault="0061405A">
            <w:pPr>
              <w:rPr>
                <w:rFonts w:eastAsia="Times New Roman"/>
              </w:rPr>
            </w:pPr>
            <w:r>
              <w:rPr>
                <w:rFonts w:eastAsia="Times New Roman"/>
                <w:color w:val="000000"/>
                <w:sz w:val="14"/>
                <w:szCs w:val="14"/>
              </w:rPr>
              <w:t>Total revenue</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393,655 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462,411 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457,841 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456,492 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487,474 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70485461"/>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i/>
                <w:iCs/>
                <w:color w:val="000000"/>
                <w:sz w:val="14"/>
                <w:szCs w:val="14"/>
              </w:rPr>
              <w:t>Costs and Expenses: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 </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 </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 </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 </w:t>
            </w:r>
          </w:p>
        </w:tc>
      </w:tr>
      <w:tr w:rsidR="00000000">
        <w:trPr>
          <w:divId w:val="1170485461"/>
        </w:trPr>
        <w:tc>
          <w:tcPr>
            <w:tcW w:w="0" w:type="auto"/>
            <w:gridSpan w:val="3"/>
            <w:shd w:val="clear" w:color="auto" w:fill="FFFFFF"/>
            <w:tcMar>
              <w:top w:w="30" w:type="dxa"/>
              <w:left w:w="20" w:type="dxa"/>
              <w:bottom w:w="30" w:type="dxa"/>
              <w:right w:w="20" w:type="dxa"/>
            </w:tcMar>
            <w:vAlign w:val="bottom"/>
            <w:hideMark/>
          </w:tcPr>
          <w:p w:rsidR="00000000" w:rsidRDefault="0061405A">
            <w:pPr>
              <w:ind w:hanging="270"/>
              <w:divId w:val="697049802"/>
              <w:rPr>
                <w:rFonts w:eastAsia="Times New Roman"/>
              </w:rPr>
            </w:pPr>
            <w:r>
              <w:rPr>
                <w:rFonts w:eastAsia="Times New Roman"/>
                <w:color w:val="000000"/>
                <w:sz w:val="14"/>
                <w:szCs w:val="14"/>
              </w:rPr>
              <w:t>Restaurant operating costs (exclusive of depreciation and amortization, shown separately below):</w:t>
            </w:r>
          </w:p>
        </w:tc>
        <w:tc>
          <w:tcPr>
            <w:tcW w:w="0" w:type="auto"/>
            <w:gridSpan w:val="3"/>
            <w:shd w:val="clear" w:color="auto" w:fill="FFFFFF"/>
            <w:tcMar>
              <w:top w:w="0" w:type="dxa"/>
              <w:left w:w="20" w:type="dxa"/>
              <w:bottom w:w="0" w:type="dxa"/>
              <w:right w:w="20" w:type="dxa"/>
            </w:tcMar>
            <w:vAlign w:val="center"/>
            <w:hideMark/>
          </w:tcPr>
          <w:p w:rsidR="00000000" w:rsidRDefault="0061405A">
            <w:pPr>
              <w:ind w:hanging="27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 </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 </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 </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 </w:t>
            </w:r>
          </w:p>
        </w:tc>
      </w:tr>
      <w:tr w:rsidR="00000000">
        <w:trPr>
          <w:divId w:val="1170485461"/>
        </w:trPr>
        <w:tc>
          <w:tcPr>
            <w:tcW w:w="0" w:type="auto"/>
            <w:gridSpan w:val="3"/>
            <w:shd w:val="clear" w:color="auto" w:fill="CCEEFF"/>
            <w:tcMar>
              <w:top w:w="30" w:type="dxa"/>
              <w:left w:w="515" w:type="dxa"/>
              <w:bottom w:w="30" w:type="dxa"/>
              <w:right w:w="20" w:type="dxa"/>
            </w:tcMar>
            <w:vAlign w:val="bottom"/>
            <w:hideMark/>
          </w:tcPr>
          <w:p w:rsidR="00000000" w:rsidRDefault="0061405A">
            <w:pPr>
              <w:rPr>
                <w:rFonts w:eastAsia="Times New Roman"/>
              </w:rPr>
            </w:pPr>
            <w:r>
              <w:rPr>
                <w:rFonts w:eastAsia="Times New Roman"/>
                <w:color w:val="000000"/>
                <w:sz w:val="14"/>
                <w:szCs w:val="14"/>
              </w:rPr>
              <w:t>Cost of sales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97,697 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117,179 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121,102 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121,473 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130,630 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70485461"/>
        </w:trPr>
        <w:tc>
          <w:tcPr>
            <w:tcW w:w="0" w:type="auto"/>
            <w:gridSpan w:val="3"/>
            <w:shd w:val="clear" w:color="auto" w:fill="FFFFFF"/>
            <w:tcMar>
              <w:top w:w="30" w:type="dxa"/>
              <w:left w:w="515" w:type="dxa"/>
              <w:bottom w:w="30" w:type="dxa"/>
              <w:right w:w="20" w:type="dxa"/>
            </w:tcMar>
            <w:vAlign w:val="bottom"/>
            <w:hideMark/>
          </w:tcPr>
          <w:p w:rsidR="00000000" w:rsidRDefault="0061405A">
            <w:pPr>
              <w:rPr>
                <w:rFonts w:eastAsia="Times New Roman"/>
              </w:rPr>
            </w:pPr>
            <w:r>
              <w:rPr>
                <w:rFonts w:eastAsia="Times New Roman"/>
                <w:color w:val="000000"/>
                <w:sz w:val="14"/>
                <w:szCs w:val="14"/>
              </w:rPr>
              <w:t>Labor</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126,424 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150,565 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149,746 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150,161 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161,219 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70485461"/>
        </w:trPr>
        <w:tc>
          <w:tcPr>
            <w:tcW w:w="0" w:type="auto"/>
            <w:gridSpan w:val="3"/>
            <w:shd w:val="clear" w:color="auto" w:fill="CCEEFF"/>
            <w:tcMar>
              <w:top w:w="30" w:type="dxa"/>
              <w:left w:w="515" w:type="dxa"/>
              <w:bottom w:w="30" w:type="dxa"/>
              <w:right w:w="20" w:type="dxa"/>
            </w:tcMar>
            <w:vAlign w:val="bottom"/>
            <w:hideMark/>
          </w:tcPr>
          <w:p w:rsidR="00000000" w:rsidRDefault="0061405A">
            <w:pPr>
              <w:rPr>
                <w:rFonts w:eastAsia="Times New Roman"/>
              </w:rPr>
            </w:pPr>
            <w:r>
              <w:rPr>
                <w:rFonts w:eastAsia="Times New Roman"/>
                <w:color w:val="000000"/>
                <w:sz w:val="14"/>
                <w:szCs w:val="14"/>
              </w:rPr>
              <w:t>Occupancy</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46,787 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48,863 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49,020 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51,877 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55,912 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70485461"/>
        </w:trPr>
        <w:tc>
          <w:tcPr>
            <w:tcW w:w="0" w:type="auto"/>
            <w:gridSpan w:val="3"/>
            <w:shd w:val="clear" w:color="auto" w:fill="FFFFFF"/>
            <w:tcMar>
              <w:top w:w="30" w:type="dxa"/>
              <w:left w:w="515" w:type="dxa"/>
              <w:bottom w:w="30" w:type="dxa"/>
              <w:right w:w="20" w:type="dxa"/>
            </w:tcMar>
            <w:vAlign w:val="bottom"/>
            <w:hideMark/>
          </w:tcPr>
          <w:p w:rsidR="00000000" w:rsidRDefault="0061405A">
            <w:pPr>
              <w:rPr>
                <w:rFonts w:eastAsia="Times New Roman"/>
              </w:rPr>
            </w:pPr>
            <w:r>
              <w:rPr>
                <w:rFonts w:eastAsia="Times New Roman"/>
                <w:color w:val="000000"/>
                <w:sz w:val="14"/>
                <w:szCs w:val="14"/>
              </w:rPr>
              <w:t>Other restaurant operating costs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71,208 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66,684 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65,575 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64,091 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73,011 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70485461"/>
        </w:trPr>
        <w:tc>
          <w:tcPr>
            <w:tcW w:w="0" w:type="auto"/>
            <w:gridSpan w:val="3"/>
            <w:shd w:val="clear" w:color="auto" w:fill="CCEEFF"/>
            <w:tcMar>
              <w:top w:w="30" w:type="dxa"/>
              <w:left w:w="20" w:type="dxa"/>
              <w:bottom w:w="30" w:type="dxa"/>
              <w:right w:w="20" w:type="dxa"/>
            </w:tcMar>
            <w:vAlign w:val="bottom"/>
            <w:hideMark/>
          </w:tcPr>
          <w:p w:rsidR="00000000" w:rsidRDefault="0061405A">
            <w:pPr>
              <w:ind w:hanging="270"/>
              <w:divId w:val="549807436"/>
              <w:rPr>
                <w:rFonts w:eastAsia="Times New Roman"/>
              </w:rPr>
            </w:pPr>
            <w:r>
              <w:rPr>
                <w:rFonts w:eastAsia="Times New Roman"/>
                <w:color w:val="000000"/>
                <w:sz w:val="14"/>
                <w:szCs w:val="14"/>
              </w:rPr>
              <w:t>General and administrativ</w:t>
            </w:r>
            <w:r>
              <w:rPr>
                <w:rFonts w:eastAsia="Times New Roman"/>
                <w:color w:val="000000"/>
                <w:sz w:val="14"/>
                <w:szCs w:val="14"/>
              </w:rPr>
              <w:t>e</w:t>
            </w:r>
            <w:r>
              <w:rPr>
                <w:rFonts w:eastAsia="Times New Roman"/>
                <w:color w:val="000000"/>
                <w:sz w:val="9"/>
                <w:szCs w:val="9"/>
              </w:rPr>
              <w:t>(1)(2</w:t>
            </w:r>
            <w:r>
              <w:rPr>
                <w:rFonts w:eastAsia="Times New Roman"/>
                <w:color w:val="000000"/>
                <w:sz w:val="9"/>
                <w:szCs w:val="9"/>
              </w:rPr>
              <w:t>)</w:t>
            </w:r>
          </w:p>
        </w:tc>
        <w:tc>
          <w:tcPr>
            <w:tcW w:w="0" w:type="auto"/>
            <w:gridSpan w:val="3"/>
            <w:shd w:val="clear" w:color="auto" w:fill="CCEEFF"/>
            <w:tcMar>
              <w:top w:w="0" w:type="dxa"/>
              <w:left w:w="20" w:type="dxa"/>
              <w:bottom w:w="0" w:type="dxa"/>
              <w:right w:w="20" w:type="dxa"/>
            </w:tcMar>
            <w:vAlign w:val="center"/>
            <w:hideMark/>
          </w:tcPr>
          <w:p w:rsidR="00000000" w:rsidRDefault="0061405A">
            <w:pPr>
              <w:ind w:hanging="27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42,876 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43,446 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46,092 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39,746 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55,654 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70485461"/>
        </w:trPr>
        <w:tc>
          <w:tcPr>
            <w:tcW w:w="0" w:type="auto"/>
            <w:gridSpan w:val="3"/>
            <w:shd w:val="clear" w:color="auto" w:fill="FFFF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4"/>
                <w:szCs w:val="14"/>
              </w:rPr>
              <w:t>Depreciation and amortization</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21,709 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22,086 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22,872 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24,613 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28,134 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70485461"/>
        </w:trPr>
        <w:tc>
          <w:tcPr>
            <w:tcW w:w="0" w:type="auto"/>
            <w:gridSpan w:val="3"/>
            <w:shd w:val="clear" w:color="auto" w:fill="CCEE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4"/>
                <w:szCs w:val="14"/>
              </w:rPr>
              <w:t>Pre-opening</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443 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402 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50 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935 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3,131 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70485461"/>
        </w:trPr>
        <w:tc>
          <w:tcPr>
            <w:tcW w:w="0" w:type="auto"/>
            <w:gridSpan w:val="3"/>
            <w:shd w:val="clear" w:color="auto" w:fill="FFFFFF"/>
            <w:tcMar>
              <w:top w:w="30" w:type="dxa"/>
              <w:left w:w="20" w:type="dxa"/>
              <w:bottom w:w="30" w:type="dxa"/>
              <w:right w:w="20" w:type="dxa"/>
            </w:tcMar>
            <w:vAlign w:val="bottom"/>
            <w:hideMark/>
          </w:tcPr>
          <w:p w:rsidR="00000000" w:rsidRDefault="0061405A">
            <w:pPr>
              <w:divId w:val="1283415956"/>
              <w:rPr>
                <w:rFonts w:eastAsia="Times New Roman"/>
              </w:rPr>
            </w:pPr>
            <w:r>
              <w:rPr>
                <w:rFonts w:eastAsia="Times New Roman"/>
                <w:color w:val="000000"/>
                <w:sz w:val="14"/>
                <w:szCs w:val="14"/>
              </w:rPr>
              <w:t>Restaurant impairments, closure costs and asset disposal</w:t>
            </w:r>
            <w:r>
              <w:rPr>
                <w:rFonts w:eastAsia="Times New Roman"/>
                <w:color w:val="000000"/>
                <w:sz w:val="14"/>
                <w:szCs w:val="14"/>
              </w:rPr>
              <w:t>s</w:t>
            </w:r>
            <w:r>
              <w:rPr>
                <w:rFonts w:eastAsia="Times New Roman"/>
                <w:color w:val="000000"/>
                <w:sz w:val="9"/>
                <w:szCs w:val="9"/>
              </w:rPr>
              <w:t>(3</w:t>
            </w:r>
            <w:r>
              <w:rPr>
                <w:rFonts w:eastAsia="Times New Roman"/>
                <w:color w:val="000000"/>
                <w:sz w:val="9"/>
                <w:szCs w:val="9"/>
              </w:rPr>
              <w:t>)</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6,540 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7,747 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7,142 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37,446 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47,311 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70485461"/>
        </w:trPr>
        <w:tc>
          <w:tcPr>
            <w:tcW w:w="0" w:type="auto"/>
            <w:gridSpan w:val="3"/>
            <w:shd w:val="clear" w:color="auto" w:fill="CCEEFF"/>
            <w:tcMar>
              <w:top w:w="30" w:type="dxa"/>
              <w:left w:w="515" w:type="dxa"/>
              <w:bottom w:w="30" w:type="dxa"/>
              <w:right w:w="20" w:type="dxa"/>
            </w:tcMar>
            <w:vAlign w:val="bottom"/>
            <w:hideMark/>
          </w:tcPr>
          <w:p w:rsidR="00000000" w:rsidRDefault="0061405A">
            <w:pPr>
              <w:rPr>
                <w:rFonts w:eastAsia="Times New Roman"/>
              </w:rPr>
            </w:pPr>
            <w:r>
              <w:rPr>
                <w:rFonts w:eastAsia="Times New Roman"/>
                <w:color w:val="000000"/>
                <w:sz w:val="14"/>
                <w:szCs w:val="14"/>
              </w:rPr>
              <w:t>Total costs and expenses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413,684 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456,972 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461,599 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490,342 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555,002 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70485461"/>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(Loss) income from operations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(20,029)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5,439 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(3,758)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(33,850)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(67,528)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70485461"/>
        </w:trPr>
        <w:tc>
          <w:tcPr>
            <w:tcW w:w="0" w:type="auto"/>
            <w:gridSpan w:val="3"/>
            <w:shd w:val="clear" w:color="auto" w:fill="CCEE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4"/>
                <w:szCs w:val="14"/>
              </w:rPr>
              <w:t>Loss on extinguishment of debt</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746 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626 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61405A">
            <w:pPr>
              <w:jc w:val="right"/>
              <w:rPr>
                <w:rFonts w:eastAsia="Times New Roman"/>
              </w:rPr>
            </w:pPr>
            <w:r>
              <w:rPr>
                <w:rFonts w:eastAsia="Times New Roman"/>
                <w:color w:val="000000"/>
                <w:sz w:val="14"/>
                <w:szCs w:val="14"/>
              </w:rPr>
              <w:t>—</w:t>
            </w:r>
          </w:p>
        </w:tc>
      </w:tr>
      <w:tr w:rsidR="00000000">
        <w:trPr>
          <w:divId w:val="1170485461"/>
        </w:trPr>
        <w:tc>
          <w:tcPr>
            <w:tcW w:w="0" w:type="auto"/>
            <w:gridSpan w:val="3"/>
            <w:shd w:val="clear" w:color="auto" w:fill="FFFF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4"/>
                <w:szCs w:val="14"/>
              </w:rPr>
              <w:t>Interest expense, net</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3,146 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2,942 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4,305 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3,839 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2,916 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70485461"/>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(Loss) income before income taxes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(23,175)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1,751 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(8,689)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(37,689)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(70,444)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70485461"/>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Provision (benefit) for income taxes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84 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104 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(248)</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(207)</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1,233 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70485461"/>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Net (loss) income</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(23,259)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1,647 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(8,441)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(37,482)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(71,677)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70485461"/>
        </w:trPr>
        <w:tc>
          <w:tcPr>
            <w:tcW w:w="0" w:type="auto"/>
            <w:gridSpan w:val="3"/>
            <w:shd w:val="clear" w:color="auto" w:fill="FFFFFF"/>
            <w:tcMar>
              <w:top w:w="30" w:type="dxa"/>
              <w:left w:w="20" w:type="dxa"/>
              <w:bottom w:w="30" w:type="dxa"/>
              <w:right w:w="20" w:type="dxa"/>
            </w:tcMar>
            <w:vAlign w:val="bottom"/>
            <w:hideMark/>
          </w:tcPr>
          <w:p w:rsidR="00000000" w:rsidRDefault="0061405A">
            <w:pPr>
              <w:divId w:val="1663311085"/>
              <w:rPr>
                <w:rFonts w:eastAsia="Times New Roman"/>
              </w:rPr>
            </w:pPr>
            <w:r>
              <w:rPr>
                <w:rFonts w:eastAsia="Times New Roman"/>
                <w:color w:val="000000"/>
                <w:sz w:val="14"/>
                <w:szCs w:val="14"/>
              </w:rPr>
              <w:t>Accretion of preferred stock to redemption valu</w:t>
            </w:r>
            <w:r>
              <w:rPr>
                <w:rFonts w:eastAsia="Times New Roman"/>
                <w:color w:val="000000"/>
                <w:sz w:val="14"/>
                <w:szCs w:val="14"/>
              </w:rPr>
              <w:t>e</w:t>
            </w:r>
            <w:r>
              <w:rPr>
                <w:rFonts w:eastAsia="Times New Roman"/>
                <w:color w:val="000000"/>
                <w:sz w:val="9"/>
                <w:szCs w:val="9"/>
              </w:rPr>
              <w:t>(4</w:t>
            </w:r>
            <w:r>
              <w:rPr>
                <w:rFonts w:eastAsia="Times New Roman"/>
                <w:color w:val="000000"/>
                <w:sz w:val="9"/>
                <w:szCs w:val="9"/>
              </w:rPr>
              <w:t>)</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(7,967)</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70485461"/>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Net (loss) income attributable to common stockholders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(23,259)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1,647 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(8,441)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(45,449)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(71,677)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bl>
    <w:p w:rsidR="00000000" w:rsidRDefault="0061405A">
      <w:pPr>
        <w:ind w:hanging="720"/>
        <w:divId w:val="1861048395"/>
        <w:rPr>
          <w:rFonts w:eastAsia="Times New Roman"/>
        </w:rPr>
      </w:pPr>
      <w:r>
        <w:rPr>
          <w:rFonts w:eastAsia="Times New Roman"/>
          <w:color w:val="000000"/>
          <w:sz w:val="16"/>
          <w:szCs w:val="16"/>
        </w:rPr>
        <w:t>_____________</w:t>
      </w:r>
    </w:p>
    <w:p w:rsidR="00000000" w:rsidRDefault="0061405A">
      <w:pPr>
        <w:ind w:hanging="720"/>
        <w:jc w:val="both"/>
        <w:divId w:val="1494485644"/>
        <w:rPr>
          <w:rFonts w:eastAsia="Times New Roman"/>
        </w:rPr>
      </w:pPr>
      <w:r>
        <w:rPr>
          <w:rFonts w:eastAsia="Times New Roman"/>
          <w:color w:val="000000"/>
          <w:sz w:val="14"/>
          <w:szCs w:val="14"/>
        </w:rPr>
        <w:t>(1)General and administrative expenses in 2016 include a $10.6 million charge for estimated losses ass</w:t>
      </w:r>
      <w:r>
        <w:rPr>
          <w:rFonts w:eastAsia="Times New Roman"/>
          <w:color w:val="000000"/>
          <w:sz w:val="14"/>
          <w:szCs w:val="14"/>
        </w:rPr>
        <w:t>ociated with claims and anticipated claims by payment card companies from our 2016 data security incident, a $2.7 million charge for severance expenses and a $3.0 million charge for an employment-related litigation settlement.</w:t>
      </w:r>
    </w:p>
    <w:p w:rsidR="00000000" w:rsidRDefault="0061405A">
      <w:pPr>
        <w:ind w:hanging="720"/>
        <w:jc w:val="both"/>
        <w:divId w:val="841628122"/>
        <w:rPr>
          <w:rFonts w:eastAsia="Times New Roman"/>
        </w:rPr>
      </w:pPr>
      <w:r>
        <w:rPr>
          <w:rFonts w:eastAsia="Times New Roman"/>
          <w:color w:val="000000"/>
          <w:sz w:val="14"/>
          <w:szCs w:val="14"/>
          <w:shd w:val="clear" w:color="auto" w:fill="FFFFFF"/>
        </w:rPr>
        <w:t>(2)</w:t>
      </w:r>
      <w:r>
        <w:rPr>
          <w:rFonts w:eastAsia="Times New Roman"/>
          <w:color w:val="000000"/>
          <w:sz w:val="14"/>
          <w:szCs w:val="14"/>
          <w:shd w:val="clear" w:color="auto" w:fill="FFFFFF"/>
        </w:rPr>
        <w:t xml:space="preserve">General and administrative expenses in 2018 include a charge of $3.4 million for the final assessment related to data breach liabilities, and a $0.3 million charge for a litigation settlement related to a Delaware gift card matter. </w:t>
      </w:r>
    </w:p>
    <w:p w:rsidR="00000000" w:rsidRDefault="0061405A">
      <w:pPr>
        <w:jc w:val="center"/>
        <w:divId w:val="2024477240"/>
        <w:rPr>
          <w:rFonts w:eastAsia="Times New Roman"/>
        </w:rPr>
      </w:pPr>
      <w:r>
        <w:rPr>
          <w:rFonts w:eastAsia="Times New Roman"/>
          <w:color w:val="000000"/>
          <w:sz w:val="20"/>
          <w:szCs w:val="20"/>
        </w:rPr>
        <w:t>27</w:t>
      </w:r>
    </w:p>
    <w:p w:rsidR="00000000" w:rsidRDefault="0061405A">
      <w:pPr>
        <w:jc w:val="center"/>
        <w:divId w:val="2024477240"/>
        <w:rPr>
          <w:rFonts w:eastAsia="Times New Roman"/>
        </w:rPr>
      </w:pPr>
    </w:p>
    <w:p w:rsidR="00000000" w:rsidRDefault="0061405A">
      <w:pPr>
        <w:rPr>
          <w:rFonts w:eastAsia="Times New Roman"/>
        </w:rPr>
      </w:pPr>
      <w:r>
        <w:rPr>
          <w:rFonts w:eastAsia="Times New Roman"/>
        </w:rPr>
        <w:pict>
          <v:rect id="_x0000_i1054" style="width:0;height:1.5pt" o:hralign="center" o:hrstd="t" o:hr="t" fillcolor="#a0a0a0" stroked="f"/>
        </w:pict>
      </w:r>
    </w:p>
    <w:p w:rsidR="00000000" w:rsidRDefault="0061405A">
      <w:pPr>
        <w:divId w:val="82919781"/>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ind w:hanging="720"/>
        <w:jc w:val="both"/>
        <w:divId w:val="2011371981"/>
        <w:rPr>
          <w:rFonts w:eastAsia="Times New Roman"/>
        </w:rPr>
      </w:pPr>
      <w:r>
        <w:rPr>
          <w:rFonts w:eastAsia="Times New Roman"/>
          <w:color w:val="000000"/>
          <w:sz w:val="14"/>
          <w:szCs w:val="14"/>
          <w:shd w:val="clear" w:color="auto" w:fill="FFFFFF"/>
        </w:rPr>
        <w:t xml:space="preserve">(3)Restaurant impairments, closure costs and asset disposals include $4.1 million, $2.6 million, $1.5 million, $16.2 million and $41.6 million of </w:t>
      </w:r>
      <w:r>
        <w:rPr>
          <w:rFonts w:eastAsia="Times New Roman"/>
          <w:color w:val="000000"/>
          <w:sz w:val="14"/>
          <w:szCs w:val="14"/>
          <w:shd w:val="clear" w:color="auto" w:fill="FFFFFF"/>
        </w:rPr>
        <w:t xml:space="preserve">charges in 2020, 2019, 2018, 2017 and 2016. Fiscal 2019 includes the write down of assets related to the sale of nine company-owned restaurants to a franchisee that was completed in January of 2020. Included in the impairment charges are eight restaurants </w:t>
      </w:r>
      <w:r>
        <w:rPr>
          <w:rFonts w:eastAsia="Times New Roman"/>
          <w:color w:val="000000"/>
          <w:sz w:val="14"/>
          <w:szCs w:val="14"/>
          <w:shd w:val="clear" w:color="auto" w:fill="FFFFFF"/>
        </w:rPr>
        <w:t>in 2020, two restaurants in 2019, one restaurant in 2018, 34 restaurants in 2017 and 54 restaurants in 2016 that were identified as impaired. Additionally, we recognized $1.1 million, $0.4 million, $4.1 million, $20.1 million, and $2.3 million in 2020, 201</w:t>
      </w:r>
      <w:r>
        <w:rPr>
          <w:rFonts w:eastAsia="Times New Roman"/>
          <w:color w:val="000000"/>
          <w:sz w:val="14"/>
          <w:szCs w:val="14"/>
          <w:shd w:val="clear" w:color="auto" w:fill="FFFFFF"/>
        </w:rPr>
        <w:t>9, 2018, 2017 and 2016, respectively, of closure costs which are also included in restaurant impairments, closure costs and asset disposals. The closure costs recognized during 2020, 2019 and 2018 include closure costs of six, five and 19 restaurants close</w:t>
      </w:r>
      <w:r>
        <w:rPr>
          <w:rFonts w:eastAsia="Times New Roman"/>
          <w:color w:val="000000"/>
          <w:sz w:val="14"/>
          <w:szCs w:val="14"/>
          <w:shd w:val="clear" w:color="auto" w:fill="FFFFFF"/>
        </w:rPr>
        <w:t xml:space="preserve">d throughout 2020, 2019 and 2018, most of which were at or approaching the expiration of their leases, and 2017 includes closure costs of 55 restaurants closed during the first quarter of 2017. Closure costs in 2020 and 2019 were partially offset by gains </w:t>
      </w:r>
      <w:r>
        <w:rPr>
          <w:rFonts w:eastAsia="Times New Roman"/>
          <w:color w:val="000000"/>
          <w:sz w:val="14"/>
          <w:szCs w:val="14"/>
        </w:rPr>
        <w:t>of $0.6 million and $0.4 million, respectively, resu</w:t>
      </w:r>
      <w:r>
        <w:rPr>
          <w:rFonts w:eastAsia="Times New Roman"/>
          <w:color w:val="000000"/>
          <w:sz w:val="14"/>
          <w:szCs w:val="14"/>
          <w:shd w:val="clear" w:color="auto" w:fill="FFFFFF"/>
        </w:rPr>
        <w:t>lting from the adjustments to liabilities as lease terminations occur. Restaurant impairments and closure costs in all periods presented above include amounts related to restaurants previously impaired or</w:t>
      </w:r>
      <w:r>
        <w:rPr>
          <w:rFonts w:eastAsia="Times New Roman"/>
          <w:color w:val="000000"/>
          <w:sz w:val="14"/>
          <w:szCs w:val="14"/>
          <w:shd w:val="clear" w:color="auto" w:fill="FFFFFF"/>
        </w:rPr>
        <w:t xml:space="preserve"> closed. </w:t>
      </w:r>
    </w:p>
    <w:p w:rsidR="00000000" w:rsidRDefault="0061405A">
      <w:pPr>
        <w:ind w:hanging="720"/>
        <w:jc w:val="both"/>
        <w:divId w:val="1407220823"/>
        <w:rPr>
          <w:rFonts w:eastAsia="Times New Roman"/>
        </w:rPr>
      </w:pPr>
      <w:r>
        <w:rPr>
          <w:rFonts w:eastAsia="Times New Roman"/>
          <w:color w:val="000000"/>
          <w:sz w:val="14"/>
          <w:szCs w:val="14"/>
        </w:rPr>
        <w:t xml:space="preserve">(4)Represents the accretion of the preferred stock issued to </w:t>
      </w:r>
      <w:r>
        <w:rPr>
          <w:rFonts w:eastAsia="Times New Roman"/>
          <w:i/>
          <w:iCs/>
          <w:color w:val="000000"/>
          <w:sz w:val="14"/>
          <w:szCs w:val="14"/>
        </w:rPr>
        <w:t>L</w:t>
      </w:r>
      <w:r>
        <w:rPr>
          <w:rFonts w:eastAsia="Times New Roman"/>
          <w:color w:val="000000"/>
          <w:sz w:val="14"/>
          <w:szCs w:val="14"/>
        </w:rPr>
        <w:t xml:space="preserve"> Catterton to its full redemption value. </w:t>
      </w:r>
    </w:p>
    <w:tbl>
      <w:tblPr>
        <w:tblW w:w="4985" w:type="pct"/>
        <w:tblCellMar>
          <w:top w:w="15" w:type="dxa"/>
          <w:left w:w="15" w:type="dxa"/>
          <w:bottom w:w="15" w:type="dxa"/>
          <w:right w:w="15" w:type="dxa"/>
        </w:tblCellMar>
        <w:tblLook w:val="04A0" w:firstRow="1" w:lastRow="0" w:firstColumn="1" w:lastColumn="0" w:noHBand="0" w:noVBand="1"/>
      </w:tblPr>
      <w:tblGrid>
        <w:gridCol w:w="39"/>
        <w:gridCol w:w="3454"/>
        <w:gridCol w:w="38"/>
        <w:gridCol w:w="36"/>
        <w:gridCol w:w="36"/>
        <w:gridCol w:w="36"/>
        <w:gridCol w:w="91"/>
        <w:gridCol w:w="614"/>
        <w:gridCol w:w="137"/>
        <w:gridCol w:w="36"/>
        <w:gridCol w:w="36"/>
        <w:gridCol w:w="36"/>
        <w:gridCol w:w="91"/>
        <w:gridCol w:w="614"/>
        <w:gridCol w:w="137"/>
        <w:gridCol w:w="36"/>
        <w:gridCol w:w="36"/>
        <w:gridCol w:w="36"/>
        <w:gridCol w:w="91"/>
        <w:gridCol w:w="614"/>
        <w:gridCol w:w="137"/>
        <w:gridCol w:w="36"/>
        <w:gridCol w:w="36"/>
        <w:gridCol w:w="36"/>
        <w:gridCol w:w="91"/>
        <w:gridCol w:w="614"/>
        <w:gridCol w:w="137"/>
        <w:gridCol w:w="36"/>
        <w:gridCol w:w="36"/>
        <w:gridCol w:w="36"/>
        <w:gridCol w:w="91"/>
        <w:gridCol w:w="614"/>
        <w:gridCol w:w="137"/>
      </w:tblGrid>
      <w:tr w:rsidR="00000000">
        <w:trPr>
          <w:divId w:val="2088073835"/>
        </w:trPr>
        <w:tc>
          <w:tcPr>
            <w:tcW w:w="50" w:type="pct"/>
            <w:vAlign w:val="center"/>
            <w:hideMark/>
          </w:tcPr>
          <w:p w:rsidR="00000000" w:rsidRDefault="0061405A">
            <w:pPr>
              <w:ind w:hanging="720"/>
              <w:jc w:val="both"/>
              <w:rPr>
                <w:rFonts w:eastAsia="Times New Roman"/>
              </w:rPr>
            </w:pPr>
          </w:p>
        </w:tc>
        <w:tc>
          <w:tcPr>
            <w:tcW w:w="231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6"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434"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6"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434"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6"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434"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6"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434"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6"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43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2088073835"/>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27"/>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Fiscal Year</w:t>
            </w:r>
          </w:p>
        </w:tc>
      </w:tr>
      <w:tr w:rsidR="00000000">
        <w:trPr>
          <w:divId w:val="2088073835"/>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2018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2017</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2016</w:t>
            </w:r>
          </w:p>
        </w:tc>
      </w:tr>
      <w:tr w:rsidR="00000000">
        <w:trPr>
          <w:divId w:val="2088073835"/>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(in thousands, except share and per share data and restaurants)</w:t>
            </w:r>
          </w:p>
        </w:tc>
      </w:tr>
      <w:tr w:rsidR="00000000">
        <w:trPr>
          <w:divId w:val="2088073835"/>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(Loss) earnings per Class A and Class B common share, combined:</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 </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 </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 </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 </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 </w:t>
            </w:r>
          </w:p>
        </w:tc>
      </w:tr>
      <w:tr w:rsidR="00000000">
        <w:trPr>
          <w:divId w:val="2088073835"/>
        </w:trPr>
        <w:tc>
          <w:tcPr>
            <w:tcW w:w="0" w:type="auto"/>
            <w:gridSpan w:val="3"/>
            <w:shd w:val="clear" w:color="auto" w:fill="CCEE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4"/>
                <w:szCs w:val="14"/>
              </w:rPr>
              <w:t>Basic</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(0.53)</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0.04 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(0.20)</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(1.20)</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(2.58)</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88073835"/>
        </w:trPr>
        <w:tc>
          <w:tcPr>
            <w:tcW w:w="0" w:type="auto"/>
            <w:gridSpan w:val="3"/>
            <w:shd w:val="clear" w:color="auto" w:fill="FFFF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4"/>
                <w:szCs w:val="14"/>
              </w:rPr>
              <w:t>Diluted</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(0.53)</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0.04 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(0.20)</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(1.20)</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(2.58)</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88073835"/>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Weighted average Class A and Class B common shares outstanding, combined:</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 </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 </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 </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 </w:t>
            </w:r>
          </w:p>
        </w:tc>
      </w:tr>
      <w:tr w:rsidR="00000000">
        <w:trPr>
          <w:divId w:val="2088073835"/>
        </w:trPr>
        <w:tc>
          <w:tcPr>
            <w:tcW w:w="0" w:type="auto"/>
            <w:gridSpan w:val="3"/>
            <w:shd w:val="clear" w:color="auto" w:fill="FFFF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4"/>
                <w:szCs w:val="14"/>
              </w:rPr>
              <w:t>Basic</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44,272,474 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44,036,947 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42,329,556 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37,759,497 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27,808,708 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88073835"/>
        </w:trPr>
        <w:tc>
          <w:tcPr>
            <w:tcW w:w="0" w:type="auto"/>
            <w:gridSpan w:val="3"/>
            <w:shd w:val="clear" w:color="auto" w:fill="CCEE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4"/>
                <w:szCs w:val="14"/>
              </w:rPr>
              <w:t>Diluted</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44,272,474 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44,976,436 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42,329,556 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37,759,497 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27,808,708 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88073835"/>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14"/>
                <w:szCs w:val="14"/>
              </w:rPr>
              <w:t>Selected Operating Data:</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 </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 </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 </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 </w:t>
            </w:r>
          </w:p>
        </w:tc>
      </w:tr>
      <w:tr w:rsidR="00000000">
        <w:trPr>
          <w:divId w:val="2088073835"/>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Company-owned restaurants at end of period</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378 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389 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394 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412 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457 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88073835"/>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Franchise-owned restaurants at end of period</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76 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68 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65 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66 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75 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88073835"/>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Company-owned:</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 </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 </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 </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 </w:t>
            </w:r>
          </w:p>
        </w:tc>
      </w:tr>
      <w:tr w:rsidR="00000000">
        <w:trPr>
          <w:divId w:val="2088073835"/>
        </w:trPr>
        <w:tc>
          <w:tcPr>
            <w:tcW w:w="0" w:type="auto"/>
            <w:gridSpan w:val="3"/>
            <w:shd w:val="clear" w:color="auto" w:fill="FFFFFF"/>
            <w:tcMar>
              <w:top w:w="30" w:type="dxa"/>
              <w:left w:w="20" w:type="dxa"/>
              <w:bottom w:w="30" w:type="dxa"/>
              <w:right w:w="20" w:type="dxa"/>
            </w:tcMar>
            <w:vAlign w:val="bottom"/>
            <w:hideMark/>
          </w:tcPr>
          <w:p w:rsidR="00000000" w:rsidRDefault="0061405A">
            <w:pPr>
              <w:ind w:firstLine="135"/>
              <w:divId w:val="1384716416"/>
              <w:rPr>
                <w:rFonts w:eastAsia="Times New Roman"/>
              </w:rPr>
            </w:pPr>
            <w:r>
              <w:rPr>
                <w:rFonts w:eastAsia="Times New Roman"/>
                <w:color w:val="000000"/>
                <w:sz w:val="14"/>
                <w:szCs w:val="14"/>
              </w:rPr>
              <w:t>Average unit volumes</w:t>
            </w:r>
            <w:r>
              <w:rPr>
                <w:rFonts w:eastAsia="Times New Roman"/>
                <w:color w:val="000000"/>
                <w:sz w:val="14"/>
                <w:szCs w:val="14"/>
              </w:rPr>
              <w:t xml:space="preserve"> </w:t>
            </w:r>
            <w:r>
              <w:rPr>
                <w:rFonts w:eastAsia="Times New Roman"/>
                <w:color w:val="000000"/>
                <w:sz w:val="9"/>
                <w:szCs w:val="9"/>
              </w:rPr>
              <w:t>(1</w:t>
            </w:r>
            <w:r>
              <w:rPr>
                <w:rFonts w:eastAsia="Times New Roman"/>
                <w:color w:val="000000"/>
                <w:sz w:val="9"/>
                <w:szCs w:val="9"/>
              </w:rPr>
              <w:t>)</w:t>
            </w:r>
          </w:p>
        </w:tc>
        <w:tc>
          <w:tcPr>
            <w:tcW w:w="0" w:type="auto"/>
            <w:gridSpan w:val="3"/>
            <w:shd w:val="clear" w:color="auto" w:fill="FFFFFF"/>
            <w:tcMar>
              <w:top w:w="0" w:type="dxa"/>
              <w:left w:w="20" w:type="dxa"/>
              <w:bottom w:w="0" w:type="dxa"/>
              <w:right w:w="20" w:type="dxa"/>
            </w:tcMar>
            <w:vAlign w:val="center"/>
            <w:hideMark/>
          </w:tcPr>
          <w:p w:rsidR="00000000" w:rsidRDefault="0061405A">
            <w:pPr>
              <w:ind w:firstLine="135"/>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1,064 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1,168 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1,119 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1,072 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1,075 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88073835"/>
        </w:trPr>
        <w:tc>
          <w:tcPr>
            <w:tcW w:w="0" w:type="auto"/>
            <w:gridSpan w:val="3"/>
            <w:shd w:val="clear" w:color="auto" w:fill="CCEEFF"/>
            <w:tcMar>
              <w:top w:w="30" w:type="dxa"/>
              <w:left w:w="20" w:type="dxa"/>
              <w:bottom w:w="30" w:type="dxa"/>
              <w:right w:w="20" w:type="dxa"/>
            </w:tcMar>
            <w:vAlign w:val="bottom"/>
            <w:hideMark/>
          </w:tcPr>
          <w:p w:rsidR="00000000" w:rsidRDefault="0061405A">
            <w:pPr>
              <w:ind w:firstLine="135"/>
              <w:divId w:val="1749112623"/>
              <w:rPr>
                <w:rFonts w:eastAsia="Times New Roman"/>
              </w:rPr>
            </w:pPr>
            <w:r>
              <w:rPr>
                <w:rFonts w:eastAsia="Times New Roman"/>
                <w:color w:val="000000"/>
                <w:sz w:val="14"/>
                <w:szCs w:val="14"/>
              </w:rPr>
              <w:t>Comparable restaurant sales</w:t>
            </w:r>
            <w:r>
              <w:rPr>
                <w:rFonts w:eastAsia="Times New Roman"/>
                <w:color w:val="000000"/>
                <w:sz w:val="14"/>
                <w:szCs w:val="14"/>
              </w:rPr>
              <w:t xml:space="preserve"> </w:t>
            </w:r>
            <w:r>
              <w:rPr>
                <w:rFonts w:eastAsia="Times New Roman"/>
                <w:color w:val="000000"/>
                <w:sz w:val="9"/>
                <w:szCs w:val="9"/>
              </w:rPr>
              <w:t>(2</w:t>
            </w:r>
            <w:r>
              <w:rPr>
                <w:rFonts w:eastAsia="Times New Roman"/>
                <w:color w:val="000000"/>
                <w:sz w:val="9"/>
                <w:szCs w:val="9"/>
              </w:rPr>
              <w:t>)</w:t>
            </w:r>
          </w:p>
        </w:tc>
        <w:tc>
          <w:tcPr>
            <w:tcW w:w="0" w:type="auto"/>
            <w:gridSpan w:val="3"/>
            <w:shd w:val="clear" w:color="auto" w:fill="CCEEFF"/>
            <w:tcMar>
              <w:top w:w="0" w:type="dxa"/>
              <w:left w:w="20" w:type="dxa"/>
              <w:bottom w:w="0" w:type="dxa"/>
              <w:right w:w="20" w:type="dxa"/>
            </w:tcMar>
            <w:vAlign w:val="center"/>
            <w:hideMark/>
          </w:tcPr>
          <w:p w:rsidR="00000000" w:rsidRDefault="0061405A">
            <w:pPr>
              <w:ind w:firstLine="135"/>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(11.6)</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2.9 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3.4 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(2.7)</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(0.9)</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14"/>
                <w:szCs w:val="14"/>
              </w:rPr>
              <w:t>%</w:t>
            </w:r>
          </w:p>
        </w:tc>
      </w:tr>
      <w:tr w:rsidR="00000000">
        <w:trPr>
          <w:divId w:val="2088073835"/>
        </w:trPr>
        <w:tc>
          <w:tcPr>
            <w:tcW w:w="0" w:type="auto"/>
            <w:gridSpan w:val="3"/>
            <w:shd w:val="clear" w:color="auto" w:fill="FFFFFF"/>
            <w:tcMar>
              <w:top w:w="30" w:type="dxa"/>
              <w:left w:w="20" w:type="dxa"/>
              <w:bottom w:w="30" w:type="dxa"/>
              <w:right w:w="20" w:type="dxa"/>
            </w:tcMar>
            <w:vAlign w:val="bottom"/>
            <w:hideMark/>
          </w:tcPr>
          <w:p w:rsidR="00000000" w:rsidRDefault="0061405A">
            <w:pPr>
              <w:divId w:val="1144470849"/>
              <w:rPr>
                <w:rFonts w:eastAsia="Times New Roman"/>
              </w:rPr>
            </w:pPr>
            <w:r>
              <w:rPr>
                <w:rFonts w:eastAsia="Times New Roman"/>
                <w:color w:val="000000"/>
                <w:sz w:val="14"/>
                <w:szCs w:val="14"/>
              </w:rPr>
              <w:t>Restaurant contribution</w:t>
            </w:r>
            <w:r>
              <w:rPr>
                <w:rFonts w:eastAsia="Times New Roman"/>
                <w:color w:val="000000"/>
                <w:sz w:val="14"/>
                <w:szCs w:val="14"/>
              </w:rPr>
              <w:t xml:space="preserve"> </w:t>
            </w:r>
            <w:r>
              <w:rPr>
                <w:rFonts w:eastAsia="Times New Roman"/>
                <w:color w:val="000000"/>
                <w:sz w:val="9"/>
                <w:szCs w:val="9"/>
              </w:rPr>
              <w:t>(3</w:t>
            </w:r>
            <w:r>
              <w:rPr>
                <w:rFonts w:eastAsia="Times New Roman"/>
                <w:color w:val="000000"/>
                <w:sz w:val="9"/>
                <w:szCs w:val="9"/>
              </w:rPr>
              <w:t>)</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46,364 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73,380 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68,228 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63,997 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61,772 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88073835"/>
        </w:trPr>
        <w:tc>
          <w:tcPr>
            <w:tcW w:w="0" w:type="auto"/>
            <w:gridSpan w:val="3"/>
            <w:shd w:val="clear" w:color="auto" w:fill="CCEEFF"/>
            <w:tcMar>
              <w:top w:w="30" w:type="dxa"/>
              <w:left w:w="20" w:type="dxa"/>
              <w:bottom w:w="30" w:type="dxa"/>
              <w:right w:w="20" w:type="dxa"/>
            </w:tcMar>
            <w:vAlign w:val="bottom"/>
            <w:hideMark/>
          </w:tcPr>
          <w:p w:rsidR="00000000" w:rsidRDefault="0061405A">
            <w:pPr>
              <w:divId w:val="224804992"/>
              <w:rPr>
                <w:rFonts w:eastAsia="Times New Roman"/>
              </w:rPr>
            </w:pPr>
            <w:r>
              <w:rPr>
                <w:rFonts w:eastAsia="Times New Roman"/>
                <w:color w:val="000000"/>
                <w:sz w:val="14"/>
                <w:szCs w:val="14"/>
              </w:rPr>
              <w:t>Restaurant contribution margin</w:t>
            </w:r>
            <w:r>
              <w:rPr>
                <w:rFonts w:eastAsia="Times New Roman"/>
                <w:color w:val="000000"/>
                <w:sz w:val="14"/>
                <w:szCs w:val="14"/>
              </w:rPr>
              <w:t xml:space="preserve"> </w:t>
            </w:r>
            <w:r>
              <w:rPr>
                <w:rFonts w:eastAsia="Times New Roman"/>
                <w:color w:val="000000"/>
                <w:sz w:val="9"/>
                <w:szCs w:val="9"/>
              </w:rPr>
              <w:t>(3</w:t>
            </w:r>
            <w:r>
              <w:rPr>
                <w:rFonts w:eastAsia="Times New Roman"/>
                <w:color w:val="000000"/>
                <w:sz w:val="9"/>
                <w:szCs w:val="9"/>
              </w:rPr>
              <w:t>)</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11.9 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16.1 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15.0 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14.2 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12.8 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14"/>
                <w:szCs w:val="14"/>
              </w:rPr>
              <w:t>%</w:t>
            </w:r>
          </w:p>
        </w:tc>
      </w:tr>
    </w:tbl>
    <w:p w:rsidR="00000000" w:rsidRDefault="0061405A">
      <w:pPr>
        <w:divId w:val="378165317"/>
        <w:rPr>
          <w:rFonts w:eastAsia="Times New Roman"/>
        </w:rPr>
      </w:pPr>
      <w:r>
        <w:rPr>
          <w:rFonts w:eastAsia="Times New Roman"/>
          <w:color w:val="000000"/>
          <w:sz w:val="16"/>
          <w:szCs w:val="16"/>
        </w:rPr>
        <w:t> _______________</w:t>
      </w:r>
    </w:p>
    <w:p w:rsidR="00000000" w:rsidRDefault="0061405A">
      <w:pPr>
        <w:ind w:hanging="720"/>
        <w:jc w:val="both"/>
        <w:divId w:val="1962764060"/>
        <w:rPr>
          <w:rFonts w:eastAsia="Times New Roman"/>
        </w:rPr>
      </w:pPr>
      <w:r>
        <w:rPr>
          <w:rFonts w:eastAsia="Times New Roman"/>
          <w:color w:val="000000"/>
          <w:sz w:val="14"/>
          <w:szCs w:val="14"/>
        </w:rPr>
        <w:t>(1)Averag</w:t>
      </w:r>
      <w:r>
        <w:rPr>
          <w:rFonts w:eastAsia="Times New Roman"/>
          <w:color w:val="000000"/>
          <w:sz w:val="14"/>
          <w:szCs w:val="14"/>
        </w:rPr>
        <w:t>e unit volumes (“AUVs”) consist of average annualized sales of all company-owned restaurants for a given time period.</w:t>
      </w:r>
    </w:p>
    <w:p w:rsidR="00000000" w:rsidRDefault="0061405A">
      <w:pPr>
        <w:ind w:hanging="720"/>
        <w:jc w:val="both"/>
        <w:divId w:val="941183022"/>
        <w:rPr>
          <w:rFonts w:eastAsia="Times New Roman"/>
        </w:rPr>
      </w:pPr>
      <w:r>
        <w:rPr>
          <w:rFonts w:eastAsia="Times New Roman"/>
          <w:color w:val="000000"/>
          <w:sz w:val="14"/>
          <w:szCs w:val="14"/>
        </w:rPr>
        <w:t>(2)Comparable restaurant sales represent year-over-year sales for restaurants open for at least 18 full periods. For fiscal year 2020, res</w:t>
      </w:r>
      <w:r>
        <w:rPr>
          <w:rFonts w:eastAsia="Times New Roman"/>
          <w:color w:val="000000"/>
          <w:sz w:val="14"/>
          <w:szCs w:val="14"/>
        </w:rPr>
        <w:t xml:space="preserve">taurants that were temporarily closed or operating at reduced hours and dining capacity due to the COVID-19 pandemic remained in comparable restaurant sales. </w:t>
      </w:r>
    </w:p>
    <w:p w:rsidR="00000000" w:rsidRDefault="0061405A">
      <w:pPr>
        <w:ind w:hanging="720"/>
        <w:jc w:val="both"/>
        <w:divId w:val="98990511"/>
        <w:rPr>
          <w:rFonts w:eastAsia="Times New Roman"/>
        </w:rPr>
      </w:pPr>
      <w:r>
        <w:rPr>
          <w:rFonts w:eastAsia="Times New Roman"/>
          <w:color w:val="000000"/>
          <w:sz w:val="14"/>
          <w:szCs w:val="14"/>
        </w:rPr>
        <w:t>(3)Restaurant contribution represents restaurant revenue less restaurant operating costs, which a</w:t>
      </w:r>
      <w:r>
        <w:rPr>
          <w:rFonts w:eastAsia="Times New Roman"/>
          <w:color w:val="000000"/>
          <w:sz w:val="14"/>
          <w:szCs w:val="14"/>
        </w:rPr>
        <w:t>re the cost of sales, labor, occupancy and other operating items. Restaurant contribution margin represents restaurant contribution as a percentage of restaurant revenue. Restaurant contribution and restaurant contribution margin are non-GAAP measures that</w:t>
      </w:r>
      <w:r>
        <w:rPr>
          <w:rFonts w:eastAsia="Times New Roman"/>
          <w:color w:val="000000"/>
          <w:sz w:val="14"/>
          <w:szCs w:val="14"/>
        </w:rPr>
        <w:t xml:space="preserve"> are neither required by, nor presented in accordance with accounting principles generally accepted in the United States of America (“GAAP”), and the calculations thereof may not be comparable to similar measures reported by other companies. These measures</w:t>
      </w:r>
      <w:r>
        <w:rPr>
          <w:rFonts w:eastAsia="Times New Roman"/>
          <w:color w:val="000000"/>
          <w:sz w:val="14"/>
          <w:szCs w:val="14"/>
        </w:rPr>
        <w:t xml:space="preserve"> are supplemental measures of the operating performance of our restaurants and are not reflective of the underlying performance of our business because corporate-level expenses are excluded from these measures.</w:t>
      </w:r>
    </w:p>
    <w:p w:rsidR="00000000" w:rsidRDefault="0061405A">
      <w:pPr>
        <w:jc w:val="both"/>
        <w:divId w:val="1722753072"/>
        <w:rPr>
          <w:rFonts w:eastAsia="Times New Roman"/>
        </w:rPr>
      </w:pPr>
      <w:r>
        <w:rPr>
          <w:rFonts w:eastAsia="Times New Roman"/>
          <w:color w:val="000000"/>
          <w:sz w:val="14"/>
          <w:szCs w:val="14"/>
        </w:rPr>
        <w:t>Restaurant contribution and restaurant contri</w:t>
      </w:r>
      <w:r>
        <w:rPr>
          <w:rFonts w:eastAsia="Times New Roman"/>
          <w:color w:val="000000"/>
          <w:sz w:val="14"/>
          <w:szCs w:val="14"/>
        </w:rPr>
        <w:t>bution margin have limitations as analytical tools, and should not be considered in isolation or as substitutes for analysis of our results as reported under GAAP. Management does not consider these measures in isolation or as alternatives to financial mea</w:t>
      </w:r>
      <w:r>
        <w:rPr>
          <w:rFonts w:eastAsia="Times New Roman"/>
          <w:color w:val="000000"/>
          <w:sz w:val="14"/>
          <w:szCs w:val="14"/>
        </w:rPr>
        <w:t>sures determined in accordance with GAAP. However, management believes that restaurant contribution and restaurant contribution margin are important tools for investors and other interested parties because they are widely-used metrics within the restaurant</w:t>
      </w:r>
      <w:r>
        <w:rPr>
          <w:rFonts w:eastAsia="Times New Roman"/>
          <w:color w:val="000000"/>
          <w:sz w:val="14"/>
          <w:szCs w:val="14"/>
        </w:rPr>
        <w:t xml:space="preserve"> industry to evaluate restaurant-level productivity, efficiency and performance. Management also uses these measures as metrics to evaluate the profitability of incremental sales at our restaurants, restaurant performance across periods and restaurant fina</w:t>
      </w:r>
      <w:r>
        <w:rPr>
          <w:rFonts w:eastAsia="Times New Roman"/>
          <w:color w:val="000000"/>
          <w:sz w:val="14"/>
          <w:szCs w:val="14"/>
        </w:rPr>
        <w:t>ncial performance compared with competitors. See Item 7. “Management’s Discussion and Analysis of Financial Condition and Results of Operations” included elsewhere in this annual report on Form 10-K for a discussion of restaurant contribution, restaurant c</w:t>
      </w:r>
      <w:r>
        <w:rPr>
          <w:rFonts w:eastAsia="Times New Roman"/>
          <w:color w:val="000000"/>
          <w:sz w:val="14"/>
          <w:szCs w:val="14"/>
        </w:rPr>
        <w:t>ontribution margin and other key performance indicators.</w:t>
      </w:r>
    </w:p>
    <w:p w:rsidR="00000000" w:rsidRDefault="0061405A">
      <w:pPr>
        <w:jc w:val="both"/>
        <w:rPr>
          <w:rFonts w:eastAsia="Times New Roman"/>
        </w:rPr>
      </w:pPr>
    </w:p>
    <w:p w:rsidR="00000000" w:rsidRDefault="0061405A">
      <w:pPr>
        <w:jc w:val="both"/>
        <w:rPr>
          <w:rFonts w:eastAsia="Times New Roman"/>
        </w:rPr>
      </w:pPr>
      <w:r>
        <w:rPr>
          <w:rFonts w:eastAsia="Times New Roman"/>
          <w:color w:val="000000"/>
          <w:sz w:val="20"/>
          <w:szCs w:val="20"/>
        </w:rPr>
        <w:t>A reconciliation of (loss) income from operations to restaurant contribution is presented below:</w:t>
      </w:r>
    </w:p>
    <w:tbl>
      <w:tblPr>
        <w:tblW w:w="4985" w:type="pct"/>
        <w:jc w:val="center"/>
        <w:tblCellMar>
          <w:top w:w="15" w:type="dxa"/>
          <w:left w:w="15" w:type="dxa"/>
          <w:bottom w:w="15" w:type="dxa"/>
          <w:right w:w="15" w:type="dxa"/>
        </w:tblCellMar>
        <w:tblLook w:val="04A0" w:firstRow="1" w:lastRow="0" w:firstColumn="1" w:lastColumn="0" w:noHBand="0" w:noVBand="1"/>
      </w:tblPr>
      <w:tblGrid>
        <w:gridCol w:w="43"/>
        <w:gridCol w:w="3797"/>
        <w:gridCol w:w="39"/>
        <w:gridCol w:w="36"/>
        <w:gridCol w:w="36"/>
        <w:gridCol w:w="36"/>
        <w:gridCol w:w="90"/>
        <w:gridCol w:w="646"/>
        <w:gridCol w:w="36"/>
        <w:gridCol w:w="36"/>
        <w:gridCol w:w="36"/>
        <w:gridCol w:w="36"/>
        <w:gridCol w:w="90"/>
        <w:gridCol w:w="646"/>
        <w:gridCol w:w="36"/>
        <w:gridCol w:w="36"/>
        <w:gridCol w:w="36"/>
        <w:gridCol w:w="36"/>
        <w:gridCol w:w="90"/>
        <w:gridCol w:w="646"/>
        <w:gridCol w:w="36"/>
        <w:gridCol w:w="36"/>
        <w:gridCol w:w="36"/>
        <w:gridCol w:w="36"/>
        <w:gridCol w:w="90"/>
        <w:gridCol w:w="646"/>
        <w:gridCol w:w="36"/>
        <w:gridCol w:w="36"/>
        <w:gridCol w:w="36"/>
        <w:gridCol w:w="36"/>
        <w:gridCol w:w="90"/>
        <w:gridCol w:w="648"/>
        <w:gridCol w:w="36"/>
      </w:tblGrid>
      <w:tr w:rsidR="00000000">
        <w:trPr>
          <w:divId w:val="48186470"/>
          <w:jc w:val="center"/>
        </w:trPr>
        <w:tc>
          <w:tcPr>
            <w:tcW w:w="50" w:type="pct"/>
            <w:vAlign w:val="center"/>
            <w:hideMark/>
          </w:tcPr>
          <w:p w:rsidR="00000000" w:rsidRDefault="0061405A">
            <w:pPr>
              <w:jc w:val="both"/>
              <w:rPr>
                <w:rFonts w:eastAsia="Times New Roman"/>
              </w:rPr>
            </w:pPr>
          </w:p>
        </w:tc>
        <w:tc>
          <w:tcPr>
            <w:tcW w:w="231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6"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434"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6"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434"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6"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434"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6"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434"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6"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43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48186470"/>
          <w:jc w:val="center"/>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27"/>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Fiscal Year</w:t>
            </w:r>
          </w:p>
        </w:tc>
      </w:tr>
      <w:tr w:rsidR="00000000">
        <w:trPr>
          <w:divId w:val="48186470"/>
          <w:jc w:val="center"/>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2020</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2018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2017</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2016</w:t>
            </w:r>
          </w:p>
        </w:tc>
      </w:tr>
      <w:tr w:rsidR="00000000">
        <w:trPr>
          <w:divId w:val="48186470"/>
          <w:jc w:val="center"/>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(in thousands)</w:t>
            </w:r>
          </w:p>
        </w:tc>
      </w:tr>
      <w:tr w:rsidR="00000000">
        <w:trPr>
          <w:divId w:val="48186470"/>
          <w:jc w:val="center"/>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(Loss) income from operations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(20,029)</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5,439 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(3,758)</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(33,850)</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(67,528)</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48186470"/>
          <w:jc w:val="center"/>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Less: Franchising royalties and fees, and other</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5,175 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5,740 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4,170 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4,893 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4,930 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48186470"/>
          <w:jc w:val="center"/>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Add: General and administrative</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42,876 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43,446 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46,092 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39,746 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55,654 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48186470"/>
          <w:jc w:val="center"/>
        </w:trPr>
        <w:tc>
          <w:tcPr>
            <w:tcW w:w="0" w:type="auto"/>
            <w:gridSpan w:val="3"/>
            <w:shd w:val="clear" w:color="auto" w:fill="FFFFFF"/>
            <w:tcMar>
              <w:top w:w="30" w:type="dxa"/>
              <w:left w:w="380" w:type="dxa"/>
              <w:bottom w:w="30" w:type="dxa"/>
              <w:right w:w="20" w:type="dxa"/>
            </w:tcMar>
            <w:vAlign w:val="bottom"/>
            <w:hideMark/>
          </w:tcPr>
          <w:p w:rsidR="00000000" w:rsidRDefault="0061405A">
            <w:pPr>
              <w:rPr>
                <w:rFonts w:eastAsia="Times New Roman"/>
              </w:rPr>
            </w:pPr>
            <w:r>
              <w:rPr>
                <w:rFonts w:eastAsia="Times New Roman"/>
                <w:color w:val="000000"/>
                <w:sz w:val="14"/>
                <w:szCs w:val="14"/>
              </w:rPr>
              <w:t>Depreciation and amortization</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21,709 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22,086 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22,872 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24,613 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28,134 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48186470"/>
          <w:jc w:val="center"/>
        </w:trPr>
        <w:tc>
          <w:tcPr>
            <w:tcW w:w="0" w:type="auto"/>
            <w:gridSpan w:val="3"/>
            <w:shd w:val="clear" w:color="auto" w:fill="CCEEFF"/>
            <w:tcMar>
              <w:top w:w="30" w:type="dxa"/>
              <w:left w:w="380" w:type="dxa"/>
              <w:bottom w:w="30" w:type="dxa"/>
              <w:right w:w="20" w:type="dxa"/>
            </w:tcMar>
            <w:vAlign w:val="bottom"/>
            <w:hideMark/>
          </w:tcPr>
          <w:p w:rsidR="00000000" w:rsidRDefault="0061405A">
            <w:pPr>
              <w:rPr>
                <w:rFonts w:eastAsia="Times New Roman"/>
              </w:rPr>
            </w:pPr>
            <w:r>
              <w:rPr>
                <w:rFonts w:eastAsia="Times New Roman"/>
                <w:color w:val="000000"/>
                <w:sz w:val="14"/>
                <w:szCs w:val="14"/>
              </w:rPr>
              <w:t>Pre-opening</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443 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402 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50 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935 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3,131 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48186470"/>
          <w:jc w:val="center"/>
        </w:trPr>
        <w:tc>
          <w:tcPr>
            <w:tcW w:w="0" w:type="auto"/>
            <w:gridSpan w:val="3"/>
            <w:shd w:val="clear" w:color="auto" w:fill="FFFFFF"/>
            <w:tcMar>
              <w:top w:w="30" w:type="dxa"/>
              <w:left w:w="380" w:type="dxa"/>
              <w:bottom w:w="30" w:type="dxa"/>
              <w:right w:w="20" w:type="dxa"/>
            </w:tcMar>
            <w:vAlign w:val="bottom"/>
            <w:hideMark/>
          </w:tcPr>
          <w:p w:rsidR="00000000" w:rsidRDefault="0061405A">
            <w:pPr>
              <w:rPr>
                <w:rFonts w:eastAsia="Times New Roman"/>
              </w:rPr>
            </w:pPr>
            <w:r>
              <w:rPr>
                <w:rFonts w:eastAsia="Times New Roman"/>
                <w:color w:val="000000"/>
                <w:sz w:val="14"/>
                <w:szCs w:val="14"/>
              </w:rPr>
              <w:t xml:space="preserve">Restaurant impairments, closure costs and asset disposals </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6,540 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7,747 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7,142 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37,446 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47,311 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48186470"/>
          <w:jc w:val="center"/>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Restaurant contribution</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46,364 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73,380 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68,228 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63,997 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61,772 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bl>
    <w:p w:rsidR="00000000" w:rsidRDefault="0061405A">
      <w:pPr>
        <w:jc w:val="center"/>
        <w:divId w:val="347371160"/>
        <w:rPr>
          <w:rFonts w:eastAsia="Times New Roman"/>
        </w:rPr>
      </w:pPr>
      <w:r>
        <w:rPr>
          <w:rFonts w:eastAsia="Times New Roman"/>
          <w:color w:val="000000"/>
          <w:sz w:val="20"/>
          <w:szCs w:val="20"/>
        </w:rPr>
        <w:t>28</w:t>
      </w:r>
    </w:p>
    <w:p w:rsidR="00000000" w:rsidRDefault="0061405A">
      <w:pPr>
        <w:jc w:val="center"/>
        <w:divId w:val="347371160"/>
        <w:rPr>
          <w:rFonts w:eastAsia="Times New Roman"/>
        </w:rPr>
      </w:pPr>
    </w:p>
    <w:p w:rsidR="00000000" w:rsidRDefault="0061405A">
      <w:pPr>
        <w:rPr>
          <w:rFonts w:eastAsia="Times New Roman"/>
        </w:rPr>
      </w:pPr>
      <w:r>
        <w:rPr>
          <w:rFonts w:eastAsia="Times New Roman"/>
        </w:rPr>
        <w:pict>
          <v:rect id="_x0000_i1055" style="width:0;height:1.5pt" o:hralign="center" o:hrstd="t" o:hr="t" fillcolor="#a0a0a0" stroked="f"/>
        </w:pict>
      </w:r>
    </w:p>
    <w:p w:rsidR="00000000" w:rsidRDefault="0061405A">
      <w:pPr>
        <w:divId w:val="1791901842"/>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tbl>
      <w:tblPr>
        <w:tblW w:w="4985" w:type="pct"/>
        <w:tblCellMar>
          <w:top w:w="15" w:type="dxa"/>
          <w:left w:w="15" w:type="dxa"/>
          <w:bottom w:w="15" w:type="dxa"/>
          <w:right w:w="15" w:type="dxa"/>
        </w:tblCellMar>
        <w:tblLook w:val="04A0" w:firstRow="1" w:lastRow="0" w:firstColumn="1" w:lastColumn="0" w:noHBand="0" w:noVBand="1"/>
      </w:tblPr>
      <w:tblGrid>
        <w:gridCol w:w="43"/>
        <w:gridCol w:w="3797"/>
        <w:gridCol w:w="37"/>
        <w:gridCol w:w="36"/>
        <w:gridCol w:w="36"/>
        <w:gridCol w:w="36"/>
        <w:gridCol w:w="91"/>
        <w:gridCol w:w="646"/>
        <w:gridCol w:w="36"/>
        <w:gridCol w:w="36"/>
        <w:gridCol w:w="36"/>
        <w:gridCol w:w="36"/>
        <w:gridCol w:w="91"/>
        <w:gridCol w:w="646"/>
        <w:gridCol w:w="36"/>
        <w:gridCol w:w="36"/>
        <w:gridCol w:w="36"/>
        <w:gridCol w:w="36"/>
        <w:gridCol w:w="90"/>
        <w:gridCol w:w="646"/>
        <w:gridCol w:w="36"/>
        <w:gridCol w:w="36"/>
        <w:gridCol w:w="36"/>
        <w:gridCol w:w="36"/>
        <w:gridCol w:w="90"/>
        <w:gridCol w:w="646"/>
        <w:gridCol w:w="36"/>
        <w:gridCol w:w="36"/>
        <w:gridCol w:w="36"/>
        <w:gridCol w:w="36"/>
        <w:gridCol w:w="90"/>
        <w:gridCol w:w="648"/>
        <w:gridCol w:w="36"/>
      </w:tblGrid>
      <w:tr w:rsidR="00000000">
        <w:trPr>
          <w:divId w:val="1808742163"/>
        </w:trPr>
        <w:tc>
          <w:tcPr>
            <w:tcW w:w="50" w:type="pct"/>
            <w:vAlign w:val="center"/>
            <w:hideMark/>
          </w:tcPr>
          <w:p w:rsidR="00000000" w:rsidRDefault="0061405A">
            <w:pPr>
              <w:rPr>
                <w:rFonts w:eastAsia="Times New Roman"/>
              </w:rPr>
            </w:pPr>
          </w:p>
        </w:tc>
        <w:tc>
          <w:tcPr>
            <w:tcW w:w="231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6"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434"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6"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434"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6"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434"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6"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434"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6"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43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1808742163"/>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27"/>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As of</w:t>
            </w:r>
          </w:p>
        </w:tc>
      </w:tr>
      <w:tr w:rsidR="00000000">
        <w:trPr>
          <w:divId w:val="1808742163"/>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December 29,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December 31, 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January 1, 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January 2, 2018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January 3, 2017</w:t>
            </w:r>
          </w:p>
        </w:tc>
      </w:tr>
      <w:tr w:rsidR="00000000">
        <w:trPr>
          <w:divId w:val="1808742163"/>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(in thousands)</w:t>
            </w:r>
          </w:p>
        </w:tc>
      </w:tr>
      <w:tr w:rsidR="00000000">
        <w:trPr>
          <w:divId w:val="1808742163"/>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14"/>
                <w:szCs w:val="14"/>
              </w:rPr>
              <w:t>Balance Sheet Data:</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 </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 </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 </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 </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 </w:t>
            </w:r>
          </w:p>
        </w:tc>
      </w:tr>
      <w:tr w:rsidR="00000000">
        <w:trPr>
          <w:divId w:val="1808742163"/>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Total current assets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23,714 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29,322 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23,351 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22,058 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25,788 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808742163"/>
        </w:trPr>
        <w:tc>
          <w:tcPr>
            <w:tcW w:w="0" w:type="auto"/>
            <w:gridSpan w:val="3"/>
            <w:shd w:val="clear" w:color="auto" w:fill="CCEEFF"/>
            <w:tcMar>
              <w:top w:w="30" w:type="dxa"/>
              <w:left w:w="20" w:type="dxa"/>
              <w:bottom w:w="30" w:type="dxa"/>
              <w:right w:w="20" w:type="dxa"/>
            </w:tcMar>
            <w:vAlign w:val="bottom"/>
            <w:hideMark/>
          </w:tcPr>
          <w:p w:rsidR="00000000" w:rsidRDefault="0061405A">
            <w:pPr>
              <w:divId w:val="1895197633"/>
              <w:rPr>
                <w:rFonts w:eastAsia="Times New Roman"/>
              </w:rPr>
            </w:pPr>
            <w:r>
              <w:rPr>
                <w:rFonts w:eastAsia="Times New Roman"/>
                <w:color w:val="000000"/>
                <w:sz w:val="14"/>
                <w:szCs w:val="14"/>
              </w:rPr>
              <w:t>Total assets</w:t>
            </w:r>
            <w:r>
              <w:rPr>
                <w:rFonts w:eastAsia="Times New Roman"/>
                <w:color w:val="000000"/>
                <w:sz w:val="14"/>
                <w:szCs w:val="14"/>
              </w:rPr>
              <w:t xml:space="preserve"> </w:t>
            </w:r>
            <w:r>
              <w:rPr>
                <w:rFonts w:eastAsia="Times New Roman"/>
                <w:color w:val="000000"/>
                <w:sz w:val="9"/>
                <w:szCs w:val="9"/>
              </w:rPr>
              <w:t>(4</w:t>
            </w:r>
            <w:r>
              <w:rPr>
                <w:rFonts w:eastAsia="Times New Roman"/>
                <w:color w:val="000000"/>
                <w:sz w:val="9"/>
                <w:szCs w:val="9"/>
              </w:rPr>
              <w:t>)</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353,631 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378,519 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172,032 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185,233 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209,461 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808742163"/>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Total current liabilities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58,129 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58,034 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33,147 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43,869 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49,033 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808742163"/>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Total long-term debt</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40,949 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40,497 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44,183 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57,624 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84,676 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808742163"/>
        </w:trPr>
        <w:tc>
          <w:tcPr>
            <w:tcW w:w="0" w:type="auto"/>
            <w:gridSpan w:val="3"/>
            <w:shd w:val="clear" w:color="auto" w:fill="FFFFFF"/>
            <w:tcMar>
              <w:top w:w="30" w:type="dxa"/>
              <w:left w:w="20" w:type="dxa"/>
              <w:bottom w:w="30" w:type="dxa"/>
              <w:right w:w="20" w:type="dxa"/>
            </w:tcMar>
            <w:vAlign w:val="bottom"/>
            <w:hideMark/>
          </w:tcPr>
          <w:p w:rsidR="00000000" w:rsidRDefault="0061405A">
            <w:pPr>
              <w:divId w:val="1822651348"/>
              <w:rPr>
                <w:rFonts w:eastAsia="Times New Roman"/>
              </w:rPr>
            </w:pPr>
            <w:r>
              <w:rPr>
                <w:rFonts w:eastAsia="Times New Roman"/>
                <w:color w:val="000000"/>
                <w:sz w:val="14"/>
                <w:szCs w:val="14"/>
              </w:rPr>
              <w:t>Total liabilitie</w:t>
            </w:r>
            <w:r>
              <w:rPr>
                <w:rFonts w:eastAsia="Times New Roman"/>
                <w:color w:val="000000"/>
                <w:sz w:val="14"/>
                <w:szCs w:val="14"/>
              </w:rPr>
              <w:t>s</w:t>
            </w:r>
            <w:r>
              <w:rPr>
                <w:rFonts w:eastAsia="Times New Roman"/>
                <w:color w:val="000000"/>
                <w:sz w:val="9"/>
                <w:szCs w:val="9"/>
              </w:rPr>
              <w:t xml:space="preserve"> (4</w:t>
            </w:r>
            <w:r>
              <w:rPr>
                <w:rFonts w:eastAsia="Times New Roman"/>
                <w:color w:val="000000"/>
                <w:sz w:val="9"/>
                <w:szCs w:val="9"/>
              </w:rPr>
              <w:t>)</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323,932 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327,948 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119,351 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149,372 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183,643 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808742163"/>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Total stockholders' equity</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29,699 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50,571 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52,681 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35,861 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25,818 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bl>
    <w:p w:rsidR="00000000" w:rsidRDefault="0061405A">
      <w:pPr>
        <w:ind w:hanging="720"/>
        <w:divId w:val="1508212494"/>
        <w:rPr>
          <w:rFonts w:eastAsia="Times New Roman"/>
        </w:rPr>
      </w:pPr>
      <w:r>
        <w:rPr>
          <w:rFonts w:eastAsia="Times New Roman"/>
          <w:color w:val="000000"/>
          <w:sz w:val="16"/>
          <w:szCs w:val="16"/>
        </w:rPr>
        <w:t>_____________</w:t>
      </w:r>
    </w:p>
    <w:p w:rsidR="00000000" w:rsidRDefault="0061405A">
      <w:pPr>
        <w:ind w:hanging="720"/>
        <w:divId w:val="1733845133"/>
        <w:rPr>
          <w:rFonts w:eastAsia="Times New Roman"/>
        </w:rPr>
      </w:pPr>
      <w:r>
        <w:rPr>
          <w:rFonts w:eastAsia="Times New Roman"/>
          <w:color w:val="000000"/>
          <w:sz w:val="14"/>
          <w:szCs w:val="14"/>
        </w:rPr>
        <w:t xml:space="preserve">(4)     Beginning in fiscal 2019, total assets and total liabilities include the adoption of ASU 2016-02. </w:t>
      </w:r>
    </w:p>
    <w:p w:rsidR="00000000" w:rsidRDefault="0061405A">
      <w:pPr>
        <w:jc w:val="center"/>
        <w:divId w:val="503325569"/>
        <w:rPr>
          <w:rFonts w:eastAsia="Times New Roman"/>
        </w:rPr>
      </w:pPr>
      <w:r>
        <w:rPr>
          <w:rFonts w:eastAsia="Times New Roman"/>
          <w:color w:val="000000"/>
          <w:sz w:val="20"/>
          <w:szCs w:val="20"/>
        </w:rPr>
        <w:t>29</w:t>
      </w:r>
    </w:p>
    <w:p w:rsidR="00000000" w:rsidRDefault="0061405A">
      <w:pPr>
        <w:jc w:val="center"/>
        <w:divId w:val="503325569"/>
        <w:rPr>
          <w:rFonts w:eastAsia="Times New Roman"/>
        </w:rPr>
      </w:pPr>
    </w:p>
    <w:p w:rsidR="00000000" w:rsidRDefault="0061405A">
      <w:pPr>
        <w:rPr>
          <w:rFonts w:eastAsia="Times New Roman"/>
        </w:rPr>
      </w:pPr>
      <w:r>
        <w:rPr>
          <w:rFonts w:eastAsia="Times New Roman"/>
        </w:rPr>
        <w:pict>
          <v:rect id="_x0000_i1056" style="width:0;height:1.5pt" o:hralign="center" o:hrstd="t" o:hr="t" fillcolor="#a0a0a0" stroked="f"/>
        </w:pict>
      </w:r>
    </w:p>
    <w:p w:rsidR="00000000" w:rsidRDefault="0061405A">
      <w:pPr>
        <w:divId w:val="1454985043"/>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divId w:val="1704400332"/>
        <w:rPr>
          <w:rFonts w:eastAsia="Times New Roman"/>
        </w:rPr>
      </w:pPr>
      <w:r>
        <w:rPr>
          <w:rFonts w:eastAsia="Times New Roman"/>
          <w:b/>
          <w:bCs/>
          <w:color w:val="000000"/>
          <w:sz w:val="20"/>
          <w:szCs w:val="20"/>
        </w:rPr>
        <w:t>ITEM 7.    Management’s Discussion and Analysis of Financial Condition and Results of Operations</w:t>
      </w:r>
    </w:p>
    <w:p w:rsidR="00000000" w:rsidRDefault="0061405A">
      <w:pPr>
        <w:jc w:val="both"/>
        <w:divId w:val="1357972188"/>
        <w:rPr>
          <w:rFonts w:eastAsia="Times New Roman"/>
        </w:rPr>
      </w:pPr>
      <w:r>
        <w:rPr>
          <w:rFonts w:eastAsia="Times New Roman"/>
          <w:i/>
          <w:iCs/>
          <w:color w:val="000000"/>
          <w:sz w:val="20"/>
          <w:szCs w:val="20"/>
        </w:rPr>
        <w:t xml:space="preserve">The following discussion and analysis of </w:t>
      </w:r>
      <w:r>
        <w:rPr>
          <w:rFonts w:eastAsia="Times New Roman"/>
          <w:i/>
          <w:iCs/>
          <w:color w:val="000000"/>
          <w:sz w:val="20"/>
          <w:szCs w:val="20"/>
        </w:rPr>
        <w:t>our financial condition and results of operations should be read in conjunction with Item 6. “Selected Financial Data” and our consolidated financial statements and related notes included in Item 8. “Financial Statements and Supplementary Data.” This secti</w:t>
      </w:r>
      <w:r>
        <w:rPr>
          <w:rFonts w:eastAsia="Times New Roman"/>
          <w:i/>
          <w:iCs/>
          <w:color w:val="000000"/>
          <w:sz w:val="20"/>
          <w:szCs w:val="20"/>
        </w:rPr>
        <w:t>on of the Form 10-K generally discusses 2020 and 2019 items and year-to-year comparisons of 2020 to 2019. Discussions of 2018 items and year-to-year comparisons of 2019 and 2018 that are not included in this Form 10-K can be found in “Management’s Discussi</w:t>
      </w:r>
      <w:r>
        <w:rPr>
          <w:rFonts w:eastAsia="Times New Roman"/>
          <w:i/>
          <w:iCs/>
          <w:color w:val="000000"/>
          <w:sz w:val="20"/>
          <w:szCs w:val="20"/>
        </w:rPr>
        <w:t>on and Analysis of Financial Condition and Results of Operations” in Part II, Item 7 on our Annual Report on Form 10-K for the year ended December 31, 2019. In addition to historical information, this discussion and analysis contains forward-looking statem</w:t>
      </w:r>
      <w:r>
        <w:rPr>
          <w:rFonts w:eastAsia="Times New Roman"/>
          <w:i/>
          <w:iCs/>
          <w:color w:val="000000"/>
          <w:sz w:val="20"/>
          <w:szCs w:val="20"/>
        </w:rPr>
        <w:t>ents that involve risks and uncertainties. Our actual results may differ materially from those anticipated in these forward-looking statements as a result of certain factors including, but not limited to, those discussed in Item 1A. “Risk Factors” and else</w:t>
      </w:r>
      <w:r>
        <w:rPr>
          <w:rFonts w:eastAsia="Times New Roman"/>
          <w:i/>
          <w:iCs/>
          <w:color w:val="000000"/>
          <w:sz w:val="20"/>
          <w:szCs w:val="20"/>
        </w:rPr>
        <w:t>where in this report.</w:t>
      </w:r>
    </w:p>
    <w:p w:rsidR="00000000" w:rsidRDefault="0061405A">
      <w:pPr>
        <w:jc w:val="both"/>
        <w:divId w:val="942684604"/>
        <w:rPr>
          <w:rFonts w:eastAsia="Times New Roman"/>
        </w:rPr>
      </w:pPr>
      <w:r>
        <w:rPr>
          <w:rFonts w:eastAsia="Times New Roman"/>
          <w:i/>
          <w:iCs/>
          <w:color w:val="000000"/>
          <w:sz w:val="20"/>
          <w:szCs w:val="20"/>
        </w:rPr>
        <w:t>We operate on a 52- or 53-week fiscal year ending on the Tuesday closest to December </w:t>
      </w:r>
      <w:r>
        <w:rPr>
          <w:rFonts w:eastAsia="Times New Roman"/>
          <w:i/>
          <w:iCs/>
          <w:color w:val="000000"/>
          <w:sz w:val="20"/>
          <w:szCs w:val="20"/>
        </w:rPr>
        <w:t xml:space="preserve">31. Fiscal years 2020 and 2019, which ended on December 29, 2020 and December 31, 2019, respectively, contained 52 weeks. We refer to our fiscal years as 2020 and 2019. Our fiscal quarters each contained 13 operating weeks. </w:t>
      </w:r>
    </w:p>
    <w:p w:rsidR="00000000" w:rsidRDefault="0061405A">
      <w:pPr>
        <w:jc w:val="both"/>
        <w:divId w:val="1959412216"/>
        <w:rPr>
          <w:rFonts w:eastAsia="Times New Roman"/>
        </w:rPr>
      </w:pPr>
      <w:r>
        <w:rPr>
          <w:rFonts w:eastAsia="Times New Roman"/>
          <w:b/>
          <w:bCs/>
          <w:color w:val="000000"/>
          <w:sz w:val="20"/>
          <w:szCs w:val="20"/>
        </w:rPr>
        <w:t>Overview</w:t>
      </w:r>
    </w:p>
    <w:p w:rsidR="00000000" w:rsidRDefault="0061405A">
      <w:pPr>
        <w:jc w:val="both"/>
        <w:divId w:val="1740051565"/>
        <w:rPr>
          <w:rFonts w:eastAsia="Times New Roman"/>
        </w:rPr>
      </w:pPr>
      <w:r>
        <w:rPr>
          <w:rFonts w:eastAsia="Times New Roman"/>
          <w:color w:val="000000"/>
          <w:sz w:val="20"/>
          <w:szCs w:val="20"/>
        </w:rPr>
        <w:t>Noodles &amp; Company is a</w:t>
      </w:r>
      <w:r>
        <w:rPr>
          <w:rFonts w:eastAsia="Times New Roman"/>
          <w:color w:val="000000"/>
          <w:sz w:val="20"/>
          <w:szCs w:val="20"/>
        </w:rPr>
        <w:t xml:space="preserve"> restaurant concept offering lunch and dinner within the fast-casual segment of the restaurant industry. We opened our first location in 1995, offering noodle and pasta dishes, staples of many different cuisines, with the goal of delivering fresh ingredien</w:t>
      </w:r>
      <w:r>
        <w:rPr>
          <w:rFonts w:eastAsia="Times New Roman"/>
          <w:color w:val="000000"/>
          <w:sz w:val="20"/>
          <w:szCs w:val="20"/>
        </w:rPr>
        <w:t xml:space="preserve">ts and flavors from around the world under one roof. Today, our globally-inspired menu includes a wide variety of high quality, cooked-to-order dishes, including noodles and pasta, soups, salads and appetizers. We believe we offer our customers value with </w:t>
      </w:r>
      <w:r>
        <w:rPr>
          <w:rFonts w:eastAsia="Times New Roman"/>
          <w:color w:val="000000"/>
          <w:sz w:val="20"/>
          <w:szCs w:val="20"/>
        </w:rPr>
        <w:t>per person spend of approximately $10.12 in 2020.</w:t>
      </w:r>
    </w:p>
    <w:p w:rsidR="00000000" w:rsidRDefault="0061405A">
      <w:pPr>
        <w:jc w:val="both"/>
        <w:divId w:val="766541257"/>
        <w:rPr>
          <w:rFonts w:eastAsia="Times New Roman"/>
        </w:rPr>
      </w:pPr>
      <w:r>
        <w:rPr>
          <w:rFonts w:eastAsia="Times New Roman"/>
          <w:b/>
          <w:bCs/>
          <w:color w:val="000000"/>
          <w:sz w:val="20"/>
          <w:szCs w:val="20"/>
        </w:rPr>
        <w:t>Impact of COVID-19 Pandemic on Our Business</w:t>
      </w:r>
    </w:p>
    <w:p w:rsidR="00000000" w:rsidRDefault="0061405A">
      <w:pPr>
        <w:jc w:val="both"/>
        <w:rPr>
          <w:rFonts w:eastAsia="Times New Roman"/>
        </w:rPr>
      </w:pPr>
      <w:r>
        <w:rPr>
          <w:rFonts w:eastAsia="Times New Roman"/>
          <w:color w:val="000000"/>
          <w:sz w:val="20"/>
          <w:szCs w:val="20"/>
          <w:shd w:val="clear" w:color="auto" w:fill="FFFFFF"/>
        </w:rPr>
        <w:t>The onset of the COVID-19 pandemic resulted in significant disruption to the restaurant industry and adversely affected our business. The greatest impact to our s</w:t>
      </w:r>
      <w:r>
        <w:rPr>
          <w:rFonts w:eastAsia="Times New Roman"/>
          <w:color w:val="000000"/>
          <w:sz w:val="20"/>
          <w:szCs w:val="20"/>
          <w:shd w:val="clear" w:color="auto" w:fill="FFFFFF"/>
        </w:rPr>
        <w:t>ales and overall financial results was during the initial stages of the pandemic, beginning the third week of March 2020 through the end of May 2020. During this period, we temporarily closed nearly all of our dining rooms and migrated to a nearly entire o</w:t>
      </w:r>
      <w:r>
        <w:rPr>
          <w:rFonts w:eastAsia="Times New Roman"/>
          <w:color w:val="000000"/>
          <w:sz w:val="20"/>
          <w:szCs w:val="20"/>
          <w:shd w:val="clear" w:color="auto" w:fill="FFFFFF"/>
        </w:rPr>
        <w:t xml:space="preserve">ff-premise model, driven by local government imposed restrictions in areas where we operate our restaurants. </w:t>
      </w:r>
    </w:p>
    <w:p w:rsidR="00000000" w:rsidRDefault="0061405A">
      <w:pPr>
        <w:jc w:val="both"/>
        <w:rPr>
          <w:rFonts w:eastAsia="Times New Roman"/>
        </w:rPr>
      </w:pPr>
    </w:p>
    <w:p w:rsidR="00000000" w:rsidRDefault="0061405A">
      <w:pPr>
        <w:jc w:val="both"/>
        <w:rPr>
          <w:rFonts w:eastAsia="Times New Roman"/>
        </w:rPr>
      </w:pPr>
      <w:r>
        <w:rPr>
          <w:rFonts w:eastAsia="Times New Roman"/>
          <w:color w:val="000000"/>
          <w:sz w:val="20"/>
          <w:szCs w:val="20"/>
          <w:shd w:val="clear" w:color="auto" w:fill="FFFFFF"/>
        </w:rPr>
        <w:t>COVID-19 related disruption mitigated somewhat during the summer in 2020, due to more relaxed government restrictions in certain markets and sea</w:t>
      </w:r>
      <w:r>
        <w:rPr>
          <w:rFonts w:eastAsia="Times New Roman"/>
          <w:color w:val="000000"/>
          <w:sz w:val="20"/>
          <w:szCs w:val="20"/>
          <w:shd w:val="clear" w:color="auto" w:fill="FFFFFF"/>
        </w:rPr>
        <w:t xml:space="preserve">sonal weather which allowed for outdoor gatherings. </w:t>
      </w:r>
      <w:r>
        <w:rPr>
          <w:rFonts w:eastAsia="Times New Roman"/>
          <w:color w:val="000000"/>
          <w:sz w:val="20"/>
          <w:szCs w:val="20"/>
        </w:rPr>
        <w:t xml:space="preserve">Comparable sales meaningfully and progressively improved during this time compared to the initial disruption at the beginning of the COVID-19 pandemic. However, during the fourth quarter, </w:t>
      </w:r>
      <w:r>
        <w:rPr>
          <w:rFonts w:eastAsia="Times New Roman"/>
          <w:color w:val="000000"/>
          <w:sz w:val="20"/>
          <w:szCs w:val="20"/>
          <w:shd w:val="clear" w:color="auto" w:fill="FFFFFF"/>
        </w:rPr>
        <w:t>our business was</w:t>
      </w:r>
      <w:r>
        <w:rPr>
          <w:rFonts w:eastAsia="Times New Roman"/>
          <w:color w:val="000000"/>
          <w:sz w:val="20"/>
          <w:szCs w:val="20"/>
          <w:shd w:val="clear" w:color="auto" w:fill="FFFFFF"/>
        </w:rPr>
        <w:t xml:space="preserve"> further impacted due to a rise in hospitalizations and local restrictions. During this more recent period, we did not see the same level of volatility in our sales or overall financial results compared to the initial stages of the pandemic, driven in part</w:t>
      </w:r>
      <w:r>
        <w:rPr>
          <w:rFonts w:eastAsia="Times New Roman"/>
          <w:color w:val="000000"/>
          <w:sz w:val="20"/>
          <w:szCs w:val="20"/>
          <w:shd w:val="clear" w:color="auto" w:fill="FFFFFF"/>
        </w:rPr>
        <w:t xml:space="preserve"> by our investment in our off-premise model and continued safety protocols.</w:t>
      </w:r>
    </w:p>
    <w:p w:rsidR="00000000" w:rsidRDefault="0061405A">
      <w:pPr>
        <w:jc w:val="both"/>
        <w:rPr>
          <w:rFonts w:eastAsia="Times New Roman"/>
        </w:rPr>
      </w:pPr>
    </w:p>
    <w:p w:rsidR="00000000" w:rsidRDefault="0061405A">
      <w:pPr>
        <w:jc w:val="both"/>
        <w:rPr>
          <w:rFonts w:eastAsia="Times New Roman"/>
        </w:rPr>
      </w:pPr>
      <w:r>
        <w:rPr>
          <w:rFonts w:eastAsia="Times New Roman"/>
          <w:color w:val="000000"/>
          <w:sz w:val="20"/>
          <w:szCs w:val="20"/>
          <w:shd w:val="clear" w:color="auto" w:fill="FFFFFF"/>
        </w:rPr>
        <w:t>The health and well-being of our employees and guests was and continues to remain our top priority. We invested in safety standards and restaurant supplies to enforce a high leve</w:t>
      </w:r>
      <w:r>
        <w:rPr>
          <w:rFonts w:eastAsia="Times New Roman"/>
          <w:color w:val="000000"/>
          <w:sz w:val="20"/>
          <w:szCs w:val="20"/>
          <w:shd w:val="clear" w:color="auto" w:fill="FFFFFF"/>
        </w:rPr>
        <w:t>l of cleanliness by providing sanitizers throughout the restaurants, reinforcing wellness protocols and requiring frequent handwashing. In addition, we closely followed recommendations from the Centers for Disease Control and local health departments and i</w:t>
      </w:r>
      <w:r>
        <w:rPr>
          <w:rFonts w:eastAsia="Times New Roman"/>
          <w:color w:val="000000"/>
          <w:sz w:val="20"/>
          <w:szCs w:val="20"/>
          <w:shd w:val="clear" w:color="auto" w:fill="FFFFFF"/>
        </w:rPr>
        <w:t>mplemented social distancing restrictions, face mask requirements, enhanced cleaning processes and enhanced sanitizing in our high-traffic areas. Collectively, these efforts give our employees and guests confidence that we remain dedicated to our commitmen</w:t>
      </w:r>
      <w:r>
        <w:rPr>
          <w:rFonts w:eastAsia="Times New Roman"/>
          <w:color w:val="000000"/>
          <w:sz w:val="20"/>
          <w:szCs w:val="20"/>
          <w:shd w:val="clear" w:color="auto" w:fill="FFFFFF"/>
        </w:rPr>
        <w:t>t to keep them safe.</w:t>
      </w:r>
    </w:p>
    <w:p w:rsidR="00000000" w:rsidRDefault="0061405A">
      <w:pPr>
        <w:jc w:val="both"/>
        <w:rPr>
          <w:rFonts w:eastAsia="Times New Roman"/>
        </w:rPr>
      </w:pPr>
    </w:p>
    <w:p w:rsidR="00000000" w:rsidRDefault="0061405A">
      <w:pPr>
        <w:jc w:val="both"/>
        <w:rPr>
          <w:rFonts w:eastAsia="Times New Roman"/>
        </w:rPr>
      </w:pPr>
      <w:r>
        <w:rPr>
          <w:rFonts w:eastAsia="Times New Roman"/>
          <w:color w:val="000000"/>
          <w:sz w:val="20"/>
          <w:szCs w:val="20"/>
        </w:rPr>
        <w:t>Our business was well-positioned for the transition to largely off-premise dining. We</w:t>
      </w:r>
      <w:r>
        <w:rPr>
          <w:rFonts w:eastAsia="Times New Roman"/>
          <w:color w:val="000000"/>
          <w:sz w:val="20"/>
          <w:szCs w:val="20"/>
          <w:shd w:val="clear" w:color="auto" w:fill="FFFFFF"/>
        </w:rPr>
        <w:t xml:space="preserve"> </w:t>
      </w:r>
      <w:r>
        <w:rPr>
          <w:rFonts w:eastAsia="Times New Roman"/>
          <w:color w:val="000000"/>
          <w:sz w:val="20"/>
          <w:szCs w:val="20"/>
          <w:shd w:val="clear" w:color="auto" w:fill="FFFFFF"/>
        </w:rPr>
        <w:t>continued our investment in digital technology to promote our off-premise channel, including implementing direct delivery nationwide through the Noodles app and website, expanding our third party delivery services, and launching curbside delivery at all of</w:t>
      </w:r>
      <w:r>
        <w:rPr>
          <w:rFonts w:eastAsia="Times New Roman"/>
          <w:color w:val="000000"/>
          <w:sz w:val="20"/>
          <w:szCs w:val="20"/>
          <w:shd w:val="clear" w:color="auto" w:fill="FFFFFF"/>
        </w:rPr>
        <w:t xml:space="preserve"> our restaurants. </w:t>
      </w:r>
      <w:r>
        <w:rPr>
          <w:rFonts w:eastAsia="Times New Roman"/>
          <w:color w:val="000000"/>
          <w:sz w:val="20"/>
          <w:szCs w:val="20"/>
        </w:rPr>
        <w:t>The shifting demand pattern towards our off-premise offerings, including delivery, has caused a reduction in our restaurant level margins due primarily to higher delivery fees, partially offset by improved efficiencies throughout the bala</w:t>
      </w:r>
      <w:r>
        <w:rPr>
          <w:rFonts w:eastAsia="Times New Roman"/>
          <w:color w:val="000000"/>
          <w:sz w:val="20"/>
          <w:szCs w:val="20"/>
        </w:rPr>
        <w:t xml:space="preserve">nce of our expense profile, most notably in our labor model. </w:t>
      </w:r>
    </w:p>
    <w:p w:rsidR="00000000" w:rsidRDefault="0061405A">
      <w:pPr>
        <w:jc w:val="both"/>
        <w:rPr>
          <w:rFonts w:eastAsia="Times New Roman"/>
        </w:rPr>
      </w:pPr>
    </w:p>
    <w:p w:rsidR="00000000" w:rsidRDefault="0061405A">
      <w:pPr>
        <w:jc w:val="both"/>
        <w:rPr>
          <w:rFonts w:eastAsia="Times New Roman"/>
        </w:rPr>
      </w:pPr>
      <w:r>
        <w:rPr>
          <w:rFonts w:eastAsia="Times New Roman"/>
          <w:color w:val="000000"/>
          <w:sz w:val="20"/>
          <w:szCs w:val="20"/>
          <w:shd w:val="clear" w:color="auto" w:fill="FFFFFF"/>
        </w:rPr>
        <w:t xml:space="preserve">The ongoing impact of the COVID-19 pandemic on our longer-term operational and financial performance will depend on future developments, including the availability and widespread distribution </w:t>
      </w:r>
      <w:r>
        <w:rPr>
          <w:rFonts w:eastAsia="Times New Roman"/>
          <w:color w:val="000000"/>
          <w:sz w:val="20"/>
          <w:szCs w:val="20"/>
          <w:shd w:val="clear" w:color="auto" w:fill="FFFFFF"/>
        </w:rPr>
        <w:t xml:space="preserve">of safe and effective COVID-19 vaccines. Many of these future developments are outside of our control and all are highly uncertain and cannot be predicted. </w:t>
      </w:r>
      <w:r>
        <w:rPr>
          <w:rFonts w:eastAsia="Times New Roman"/>
          <w:color w:val="000000"/>
          <w:sz w:val="20"/>
          <w:szCs w:val="20"/>
        </w:rPr>
        <w:t xml:space="preserve">As of the date of this filing, </w:t>
      </w:r>
    </w:p>
    <w:p w:rsidR="00000000" w:rsidRDefault="0061405A">
      <w:pPr>
        <w:jc w:val="center"/>
        <w:divId w:val="720977924"/>
        <w:rPr>
          <w:rFonts w:eastAsia="Times New Roman"/>
        </w:rPr>
      </w:pPr>
      <w:r>
        <w:rPr>
          <w:rFonts w:eastAsia="Times New Roman"/>
          <w:color w:val="000000"/>
          <w:sz w:val="20"/>
          <w:szCs w:val="20"/>
        </w:rPr>
        <w:t>30</w:t>
      </w:r>
    </w:p>
    <w:p w:rsidR="00000000" w:rsidRDefault="0061405A">
      <w:pPr>
        <w:rPr>
          <w:rFonts w:eastAsia="Times New Roman"/>
        </w:rPr>
      </w:pPr>
      <w:r>
        <w:rPr>
          <w:rFonts w:eastAsia="Times New Roman"/>
        </w:rPr>
        <w:pict>
          <v:rect id="_x0000_i1057" style="width:0;height:1.5pt" o:hralign="center" o:hrstd="t" o:hr="t" fillcolor="#a0a0a0" stroked="f"/>
        </w:pict>
      </w:r>
    </w:p>
    <w:p w:rsidR="00000000" w:rsidRDefault="0061405A">
      <w:pPr>
        <w:divId w:val="936060444"/>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both"/>
        <w:rPr>
          <w:rFonts w:eastAsia="Times New Roman"/>
        </w:rPr>
      </w:pPr>
      <w:r>
        <w:rPr>
          <w:rFonts w:eastAsia="Times New Roman"/>
          <w:color w:val="000000"/>
          <w:sz w:val="20"/>
          <w:szCs w:val="20"/>
        </w:rPr>
        <w:t>significant uncertainty continues to exist concerning the magnitude of the impact and the duration of the COVID-19 pandemic. As of the date of this filing, substantially all of our restaurants</w:t>
      </w:r>
      <w:r>
        <w:rPr>
          <w:rFonts w:eastAsia="Times New Roman"/>
          <w:color w:val="000000"/>
          <w:sz w:val="20"/>
          <w:szCs w:val="20"/>
        </w:rPr>
        <w:t xml:space="preserve"> continue to operate, and dining rooms are open in over 90% of our company-owned locations. While we cannot predict the extent to which the COVID-19 pandemic will impact our business, we intend to continue to actively monitor the evolving situation and may</w:t>
      </w:r>
      <w:r>
        <w:rPr>
          <w:rFonts w:eastAsia="Times New Roman"/>
          <w:color w:val="000000"/>
          <w:sz w:val="20"/>
          <w:szCs w:val="20"/>
        </w:rPr>
        <w:t xml:space="preserve"> take further actions that alter our business operations as may be required by federal, state or local authorities or that we determine are in the best interests of our team members, customers, suppliers and shareholders. For a further discussion of the im</w:t>
      </w:r>
      <w:r>
        <w:rPr>
          <w:rFonts w:eastAsia="Times New Roman"/>
          <w:color w:val="000000"/>
          <w:sz w:val="20"/>
          <w:szCs w:val="20"/>
        </w:rPr>
        <w:t xml:space="preserve">pacts that the COVID-19 pandemic has had on our financial results refer to the “Results of Operations.” </w:t>
      </w:r>
    </w:p>
    <w:p w:rsidR="00000000" w:rsidRDefault="0061405A">
      <w:pPr>
        <w:divId w:val="140197749"/>
        <w:rPr>
          <w:rFonts w:eastAsia="Times New Roman"/>
        </w:rPr>
      </w:pPr>
    </w:p>
    <w:p w:rsidR="00000000" w:rsidRDefault="0061405A">
      <w:pPr>
        <w:divId w:val="29115598"/>
        <w:rPr>
          <w:rFonts w:eastAsia="Times New Roman"/>
        </w:rPr>
      </w:pPr>
      <w:r>
        <w:rPr>
          <w:rFonts w:eastAsia="Times New Roman"/>
          <w:b/>
          <w:bCs/>
          <w:color w:val="000000"/>
          <w:sz w:val="20"/>
          <w:szCs w:val="20"/>
        </w:rPr>
        <w:t>Recent Trends, Risks and Uncertainties</w:t>
      </w:r>
    </w:p>
    <w:p w:rsidR="00000000" w:rsidRDefault="0061405A">
      <w:pPr>
        <w:jc w:val="both"/>
        <w:divId w:val="548343299"/>
        <w:rPr>
          <w:rFonts w:eastAsia="Times New Roman"/>
        </w:rPr>
      </w:pPr>
      <w:r>
        <w:rPr>
          <w:rFonts w:eastAsia="Times New Roman"/>
          <w:i/>
          <w:iCs/>
          <w:color w:val="000000"/>
          <w:sz w:val="20"/>
          <w:szCs w:val="20"/>
        </w:rPr>
        <w:t>Comparable Restaurant Sales.</w:t>
      </w:r>
      <w:r>
        <w:rPr>
          <w:rFonts w:eastAsia="Times New Roman"/>
          <w:color w:val="000000"/>
          <w:sz w:val="20"/>
          <w:szCs w:val="20"/>
        </w:rPr>
        <w:t xml:space="preserve"> In fiscal 2020, system-wide comparable restaurant sales decreased 12.0%, comprise</w:t>
      </w:r>
      <w:r>
        <w:rPr>
          <w:rFonts w:eastAsia="Times New Roman"/>
          <w:color w:val="000000"/>
          <w:sz w:val="20"/>
          <w:szCs w:val="20"/>
        </w:rPr>
        <w:t>d of an 11.6% decrease for company-owned restaurants and a 14.5% decrease for franchise restaurants primarily due to the impact of the COVID-19 pandemic, including temporary closures of restaurants. Comparable restaurant sales</w:t>
      </w:r>
      <w:r>
        <w:rPr>
          <w:rFonts w:eastAsia="Times New Roman"/>
          <w:b/>
          <w:bCs/>
          <w:color w:val="000000"/>
          <w:sz w:val="20"/>
          <w:szCs w:val="20"/>
        </w:rPr>
        <w:t xml:space="preserve"> </w:t>
      </w:r>
      <w:r>
        <w:rPr>
          <w:rFonts w:eastAsia="Times New Roman"/>
          <w:color w:val="000000"/>
          <w:sz w:val="20"/>
          <w:szCs w:val="20"/>
        </w:rPr>
        <w:t>represent year-over-year sale</w:t>
      </w:r>
      <w:r>
        <w:rPr>
          <w:rFonts w:eastAsia="Times New Roman"/>
          <w:color w:val="000000"/>
          <w:sz w:val="20"/>
          <w:szCs w:val="20"/>
        </w:rPr>
        <w:t>s comparisons for restaurants open for at least 18 full periods.</w:t>
      </w:r>
      <w:r>
        <w:rPr>
          <w:rFonts w:eastAsia="Times New Roman"/>
          <w:color w:val="000000"/>
          <w:sz w:val="20"/>
          <w:szCs w:val="20"/>
          <w:shd w:val="clear" w:color="auto" w:fill="FFFFFF"/>
        </w:rPr>
        <w:t xml:space="preserve"> For fiscal year 2020, restaurants that were temporarily closed or operating at reduced hours and dining capacity due to the COVID-19 pandemic remained in comparable restaurant sales. </w:t>
      </w:r>
    </w:p>
    <w:p w:rsidR="00000000" w:rsidRDefault="0061405A">
      <w:pPr>
        <w:jc w:val="both"/>
        <w:divId w:val="477458374"/>
        <w:rPr>
          <w:rFonts w:eastAsia="Times New Roman"/>
        </w:rPr>
      </w:pPr>
      <w:r>
        <w:rPr>
          <w:rFonts w:eastAsia="Times New Roman"/>
          <w:color w:val="000000"/>
          <w:sz w:val="20"/>
          <w:szCs w:val="20"/>
        </w:rPr>
        <w:t>Our ful</w:t>
      </w:r>
      <w:r>
        <w:rPr>
          <w:rFonts w:eastAsia="Times New Roman"/>
          <w:color w:val="000000"/>
          <w:sz w:val="20"/>
          <w:szCs w:val="20"/>
        </w:rPr>
        <w:t xml:space="preserve">l year comparable sales results were impacted by volatility related to the COVID-19 pandemic. However, we believe that the volatility in our sales performance was offset by our strong brand positioning and ability to meet the needs of today's consumer for </w:t>
      </w:r>
      <w:r>
        <w:rPr>
          <w:rFonts w:eastAsia="Times New Roman"/>
          <w:color w:val="000000"/>
          <w:sz w:val="20"/>
          <w:szCs w:val="20"/>
        </w:rPr>
        <w:t xml:space="preserve">great tasting healthy food served conveniently where and when guests want it. Our ability to return to positive comparable sales depends, </w:t>
      </w:r>
      <w:r>
        <w:rPr>
          <w:rFonts w:eastAsia="Times New Roman"/>
          <w:color w:val="212529"/>
          <w:sz w:val="20"/>
          <w:szCs w:val="20"/>
        </w:rPr>
        <w:t xml:space="preserve">among </w:t>
      </w:r>
      <w:r>
        <w:rPr>
          <w:rFonts w:eastAsia="Times New Roman"/>
          <w:color w:val="000000"/>
          <w:sz w:val="20"/>
          <w:szCs w:val="20"/>
        </w:rPr>
        <w:t>other reasons, on (i) the duration of the COVID-19 pandemic, (ii) limitations imposed by federal, state and loca</w:t>
      </w:r>
      <w:r>
        <w:rPr>
          <w:rFonts w:eastAsia="Times New Roman"/>
          <w:color w:val="000000"/>
          <w:sz w:val="20"/>
          <w:szCs w:val="20"/>
        </w:rPr>
        <w:t>l governments with respect to reduced seating capacity in our restaurants and other social distancing measures, (iii) our customers’ future willingness to eat at restaurants and (iv) macroeconomic conditions and the length of time required for the national</w:t>
      </w:r>
      <w:r>
        <w:rPr>
          <w:rFonts w:eastAsia="Times New Roman"/>
          <w:color w:val="000000"/>
          <w:sz w:val="20"/>
          <w:szCs w:val="20"/>
        </w:rPr>
        <w:t xml:space="preserve"> and local economies to achieve economic recovery following the crisis.</w:t>
      </w:r>
    </w:p>
    <w:p w:rsidR="00000000" w:rsidRDefault="0061405A">
      <w:pPr>
        <w:jc w:val="both"/>
        <w:divId w:val="722945943"/>
        <w:rPr>
          <w:rFonts w:eastAsia="Times New Roman"/>
        </w:rPr>
      </w:pPr>
      <w:r>
        <w:rPr>
          <w:rFonts w:eastAsia="Times New Roman"/>
          <w:i/>
          <w:iCs/>
          <w:color w:val="000000"/>
          <w:sz w:val="20"/>
          <w:szCs w:val="20"/>
        </w:rPr>
        <w:t xml:space="preserve">Cost of Sales. </w:t>
      </w:r>
      <w:r>
        <w:rPr>
          <w:rFonts w:eastAsia="Times New Roman"/>
          <w:color w:val="000000"/>
          <w:sz w:val="20"/>
          <w:szCs w:val="20"/>
        </w:rPr>
        <w:t>As a result of the COVID-19 pandemic, we have and expect to continue to incur incremental costs of sales, including the use of additional packaging supplies to support t</w:t>
      </w:r>
      <w:r>
        <w:rPr>
          <w:rFonts w:eastAsia="Times New Roman"/>
          <w:color w:val="000000"/>
          <w:sz w:val="20"/>
          <w:szCs w:val="20"/>
        </w:rPr>
        <w:t xml:space="preserve">he continued increase in to-go and off-premise orders. Despite the increased packaging costs, we have continued to work with our suppliers for ongoing supply chain savings resulting in lower cost of sales. To date, there has been minimal disruption to our </w:t>
      </w:r>
      <w:r>
        <w:rPr>
          <w:rFonts w:eastAsia="Times New Roman"/>
          <w:color w:val="000000"/>
          <w:sz w:val="20"/>
          <w:szCs w:val="20"/>
        </w:rPr>
        <w:t>supply chain network, including the supply of our ingredients, packaging or other sourced materials, though it is possible that more significant disruptions could occur if the COVID-19 pandemic continues to impact the markets in which we operate. We are wo</w:t>
      </w:r>
      <w:r>
        <w:rPr>
          <w:rFonts w:eastAsia="Times New Roman"/>
          <w:color w:val="000000"/>
          <w:sz w:val="20"/>
          <w:szCs w:val="20"/>
        </w:rPr>
        <w:t xml:space="preserve">rking closely with our distributors and contract manufacturers as the situation evolves. We intend to continue to actively monitor the situation, including the status of our supply chain, to determine the appropriate actions to minimize any interruptions. </w:t>
      </w:r>
    </w:p>
    <w:p w:rsidR="00000000" w:rsidRDefault="0061405A">
      <w:pPr>
        <w:jc w:val="both"/>
        <w:divId w:val="457339961"/>
        <w:rPr>
          <w:rFonts w:eastAsia="Times New Roman"/>
        </w:rPr>
      </w:pPr>
      <w:r>
        <w:rPr>
          <w:rFonts w:eastAsia="Times New Roman"/>
          <w:i/>
          <w:iCs/>
          <w:color w:val="000000"/>
          <w:sz w:val="20"/>
          <w:szCs w:val="20"/>
        </w:rPr>
        <w:t>Labor Costs.</w:t>
      </w:r>
      <w:r>
        <w:rPr>
          <w:rFonts w:eastAsia="Times New Roman"/>
          <w:color w:val="000000"/>
          <w:sz w:val="20"/>
          <w:szCs w:val="20"/>
        </w:rPr>
        <w:t xml:space="preserve"> </w:t>
      </w:r>
      <w:r>
        <w:rPr>
          <w:rFonts w:eastAsia="Times New Roman"/>
          <w:color w:val="000000"/>
          <w:sz w:val="20"/>
          <w:szCs w:val="20"/>
        </w:rPr>
        <w:t>Similar to much of the restaurant industry, our base labor costs have risen in recent periods. In 2020, we were able to offset the impact of increased base labor costs through labor efficiencies such as our procedures around optimizing food preparation tim</w:t>
      </w:r>
      <w:r>
        <w:rPr>
          <w:rFonts w:eastAsia="Times New Roman"/>
          <w:color w:val="000000"/>
          <w:sz w:val="20"/>
          <w:szCs w:val="20"/>
        </w:rPr>
        <w:t>es. Additionally, with the increased adoption of digital ordering from our customers, we modified our labor model to reduce the number of front of house labor hours in our restaurants. Some jurisdictions in which we operate have recently increased their mi</w:t>
      </w:r>
      <w:r>
        <w:rPr>
          <w:rFonts w:eastAsia="Times New Roman"/>
          <w:color w:val="000000"/>
          <w:sz w:val="20"/>
          <w:szCs w:val="20"/>
        </w:rPr>
        <w:t xml:space="preserve">nimum wage and other jurisdictions are considering similar actions. Significant additional government-imposed increases could materially affect our labor costs. </w:t>
      </w:r>
    </w:p>
    <w:p w:rsidR="00000000" w:rsidRDefault="0061405A">
      <w:pPr>
        <w:jc w:val="both"/>
        <w:divId w:val="1613125126"/>
        <w:rPr>
          <w:rFonts w:eastAsia="Times New Roman"/>
        </w:rPr>
      </w:pPr>
      <w:r>
        <w:rPr>
          <w:rFonts w:eastAsia="Times New Roman"/>
          <w:i/>
          <w:iCs/>
          <w:color w:val="000000"/>
          <w:sz w:val="20"/>
          <w:szCs w:val="20"/>
          <w:shd w:val="clear" w:color="auto" w:fill="FFFFFF"/>
        </w:rPr>
        <w:t xml:space="preserve">Other Restaurant Operating Costs. </w:t>
      </w:r>
      <w:r>
        <w:rPr>
          <w:rFonts w:eastAsia="Times New Roman"/>
          <w:color w:val="000000"/>
          <w:sz w:val="20"/>
          <w:szCs w:val="20"/>
          <w:shd w:val="clear" w:color="auto" w:fill="FFFFFF"/>
        </w:rPr>
        <w:t>We have and expect to continue to incur additional third-par</w:t>
      </w:r>
      <w:r>
        <w:rPr>
          <w:rFonts w:eastAsia="Times New Roman"/>
          <w:color w:val="000000"/>
          <w:sz w:val="20"/>
          <w:szCs w:val="20"/>
          <w:shd w:val="clear" w:color="auto" w:fill="FFFFFF"/>
        </w:rPr>
        <w:t>ty delivery fees resulting from a significant expansion of our use of third-party delivery services due to the COVID-19 pandemic.</w:t>
      </w:r>
    </w:p>
    <w:p w:rsidR="00000000" w:rsidRDefault="0061405A">
      <w:pPr>
        <w:jc w:val="both"/>
        <w:divId w:val="1209145869"/>
        <w:rPr>
          <w:rFonts w:eastAsia="Times New Roman"/>
        </w:rPr>
      </w:pPr>
      <w:r>
        <w:rPr>
          <w:rFonts w:eastAsia="Times New Roman"/>
          <w:i/>
          <w:iCs/>
          <w:color w:val="000000"/>
          <w:sz w:val="20"/>
          <w:szCs w:val="20"/>
        </w:rPr>
        <w:t xml:space="preserve">Restaurant Development. </w:t>
      </w:r>
      <w:r>
        <w:rPr>
          <w:rFonts w:eastAsia="Times New Roman"/>
          <w:color w:val="000000"/>
          <w:sz w:val="20"/>
          <w:szCs w:val="20"/>
        </w:rPr>
        <w:t>Given an anticipated increase in favorable real estate availability, we expect to incorporate increase</w:t>
      </w:r>
      <w:r>
        <w:rPr>
          <w:rFonts w:eastAsia="Times New Roman"/>
          <w:color w:val="000000"/>
          <w:sz w:val="20"/>
          <w:szCs w:val="20"/>
        </w:rPr>
        <w:t>d unit development into our strategic growth plan for 2021 and beyond. In 2021, we plan to open b</w:t>
      </w:r>
      <w:r>
        <w:rPr>
          <w:rFonts w:eastAsia="Times New Roman"/>
          <w:color w:val="000000"/>
          <w:sz w:val="20"/>
          <w:szCs w:val="20"/>
          <w:shd w:val="clear" w:color="auto" w:fill="FFFFFF"/>
        </w:rPr>
        <w:t>etween ten and fifteen r</w:t>
      </w:r>
      <w:r>
        <w:rPr>
          <w:rFonts w:eastAsia="Times New Roman"/>
          <w:color w:val="000000"/>
          <w:sz w:val="20"/>
          <w:szCs w:val="20"/>
        </w:rPr>
        <w:t>estaurants system-wide and develop a pipeline to suppo</w:t>
      </w:r>
      <w:r>
        <w:rPr>
          <w:rFonts w:eastAsia="Times New Roman"/>
          <w:color w:val="000000"/>
          <w:sz w:val="20"/>
          <w:szCs w:val="20"/>
          <w:shd w:val="clear" w:color="auto" w:fill="FFFFFF"/>
        </w:rPr>
        <w:t>rt a 7% to 10% unit growth rate beginning in 2022.</w:t>
      </w:r>
    </w:p>
    <w:p w:rsidR="00000000" w:rsidRDefault="0061405A">
      <w:pPr>
        <w:jc w:val="both"/>
        <w:divId w:val="1931310034"/>
        <w:rPr>
          <w:rFonts w:eastAsia="Times New Roman"/>
        </w:rPr>
      </w:pPr>
      <w:r>
        <w:rPr>
          <w:rFonts w:eastAsia="Times New Roman"/>
          <w:color w:val="000000"/>
          <w:sz w:val="20"/>
          <w:szCs w:val="20"/>
        </w:rPr>
        <w:t>In 2020, we opened four compan</w:t>
      </w:r>
      <w:r>
        <w:rPr>
          <w:rFonts w:eastAsia="Times New Roman"/>
          <w:color w:val="000000"/>
          <w:sz w:val="20"/>
          <w:szCs w:val="20"/>
        </w:rPr>
        <w:t>y-owned restaura</w:t>
      </w:r>
      <w:r>
        <w:rPr>
          <w:rFonts w:eastAsia="Times New Roman"/>
          <w:color w:val="000000"/>
          <w:sz w:val="20"/>
          <w:szCs w:val="20"/>
          <w:shd w:val="clear" w:color="auto" w:fill="FFFFFF"/>
        </w:rPr>
        <w:t>nts, refranchised nine restaurants and closed six company-owned restaurants, while our franchisees closed one restaurant and did not open any restaurants in 2020. As of December 29, 2020, we had 378 company-owned restaurants and 76 franchis</w:t>
      </w:r>
      <w:r>
        <w:rPr>
          <w:rFonts w:eastAsia="Times New Roman"/>
          <w:color w:val="000000"/>
          <w:sz w:val="20"/>
          <w:szCs w:val="20"/>
          <w:shd w:val="clear" w:color="auto" w:fill="FFFFFF"/>
        </w:rPr>
        <w:t xml:space="preserve">e restaurants in 29 states. </w:t>
      </w:r>
    </w:p>
    <w:p w:rsidR="00000000" w:rsidRDefault="0061405A">
      <w:pPr>
        <w:jc w:val="both"/>
        <w:divId w:val="1749615025"/>
        <w:rPr>
          <w:rFonts w:eastAsia="Times New Roman"/>
        </w:rPr>
      </w:pPr>
      <w:r>
        <w:rPr>
          <w:rFonts w:eastAsia="Times New Roman"/>
          <w:i/>
          <w:iCs/>
          <w:color w:val="000000"/>
          <w:sz w:val="20"/>
          <w:szCs w:val="20"/>
        </w:rPr>
        <w:t xml:space="preserve">Certain Restaurant Closures. </w:t>
      </w:r>
      <w:r>
        <w:rPr>
          <w:rFonts w:eastAsia="Times New Roman"/>
          <w:color w:val="000000"/>
          <w:sz w:val="20"/>
          <w:szCs w:val="20"/>
        </w:rPr>
        <w:t>We closed six and five company-owned restaurants in 2020 and 2019, respectively, most of which were at or approaching the expiration of their leases. We currently do not anticipate significant resta</w:t>
      </w:r>
      <w:r>
        <w:rPr>
          <w:rFonts w:eastAsia="Times New Roman"/>
          <w:color w:val="000000"/>
          <w:sz w:val="20"/>
          <w:szCs w:val="20"/>
        </w:rPr>
        <w:t xml:space="preserve">urant closures for the foreseeable future; however, we may from time to time close certain restaurants, including closures at, or near, the expiration of their leases. </w:t>
      </w:r>
    </w:p>
    <w:p w:rsidR="00000000" w:rsidRDefault="0061405A">
      <w:pPr>
        <w:jc w:val="center"/>
        <w:divId w:val="1949122635"/>
        <w:rPr>
          <w:rFonts w:eastAsia="Times New Roman"/>
        </w:rPr>
      </w:pPr>
      <w:r>
        <w:rPr>
          <w:rFonts w:eastAsia="Times New Roman"/>
          <w:color w:val="000000"/>
          <w:sz w:val="20"/>
          <w:szCs w:val="20"/>
        </w:rPr>
        <w:t>31</w:t>
      </w:r>
    </w:p>
    <w:p w:rsidR="00000000" w:rsidRDefault="0061405A">
      <w:pPr>
        <w:rPr>
          <w:rFonts w:eastAsia="Times New Roman"/>
        </w:rPr>
      </w:pPr>
      <w:r>
        <w:rPr>
          <w:rFonts w:eastAsia="Times New Roman"/>
        </w:rPr>
        <w:pict>
          <v:rect id="_x0000_i1058" style="width:0;height:1.5pt" o:hralign="center" o:hrstd="t" o:hr="t" fillcolor="#a0a0a0" stroked="f"/>
        </w:pict>
      </w:r>
    </w:p>
    <w:p w:rsidR="00000000" w:rsidRDefault="0061405A">
      <w:pPr>
        <w:divId w:val="388722722"/>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both"/>
        <w:rPr>
          <w:rFonts w:eastAsia="Times New Roman"/>
        </w:rPr>
      </w:pPr>
      <w:r>
        <w:rPr>
          <w:rFonts w:eastAsia="Times New Roman"/>
          <w:i/>
          <w:iCs/>
          <w:color w:val="000000"/>
          <w:sz w:val="20"/>
          <w:szCs w:val="20"/>
        </w:rPr>
        <w:t xml:space="preserve">Impairment of Long-lived Assets. </w:t>
      </w:r>
      <w:r>
        <w:rPr>
          <w:rFonts w:eastAsia="Times New Roman"/>
          <w:color w:val="000000"/>
          <w:sz w:val="20"/>
          <w:szCs w:val="20"/>
        </w:rPr>
        <w:t>We impaired</w:t>
      </w:r>
      <w:r>
        <w:rPr>
          <w:rFonts w:eastAsia="Times New Roman"/>
          <w:color w:val="000000"/>
          <w:sz w:val="20"/>
          <w:szCs w:val="20"/>
          <w:shd w:val="clear" w:color="auto" w:fill="FFFFFF"/>
        </w:rPr>
        <w:t xml:space="preserve"> eight </w:t>
      </w:r>
      <w:r>
        <w:rPr>
          <w:rFonts w:eastAsia="Times New Roman"/>
          <w:color w:val="000000"/>
          <w:sz w:val="20"/>
          <w:szCs w:val="20"/>
        </w:rPr>
        <w:t>restaurants in 2020 and</w:t>
      </w:r>
      <w:r>
        <w:rPr>
          <w:rFonts w:eastAsia="Times New Roman"/>
          <w:color w:val="000000"/>
          <w:sz w:val="20"/>
          <w:szCs w:val="20"/>
          <w:shd w:val="clear" w:color="auto" w:fill="FFFFFF"/>
        </w:rPr>
        <w:t xml:space="preserve"> two restaurants in 2019 and wrote down the assets related to the sale of nine company-owned restaurants to a franchisee that closed in Ja</w:t>
      </w:r>
      <w:r>
        <w:rPr>
          <w:rFonts w:eastAsia="Times New Roman"/>
          <w:color w:val="000000"/>
          <w:sz w:val="20"/>
          <w:szCs w:val="20"/>
          <w:shd w:val="clear" w:color="auto" w:fill="FFFFFF"/>
        </w:rPr>
        <w:t xml:space="preserve">nuary of 2020. </w:t>
      </w:r>
    </w:p>
    <w:p w:rsidR="00000000" w:rsidRDefault="0061405A">
      <w:pPr>
        <w:divId w:val="7025561"/>
        <w:rPr>
          <w:rFonts w:eastAsia="Times New Roman"/>
        </w:rPr>
      </w:pPr>
    </w:p>
    <w:p w:rsidR="00000000" w:rsidRDefault="0061405A">
      <w:pPr>
        <w:jc w:val="both"/>
        <w:rPr>
          <w:rFonts w:eastAsia="Times New Roman"/>
        </w:rPr>
      </w:pPr>
      <w:r>
        <w:rPr>
          <w:rFonts w:eastAsia="Times New Roman"/>
          <w:color w:val="000000"/>
          <w:sz w:val="20"/>
          <w:szCs w:val="20"/>
        </w:rPr>
        <w:t>Impairment is based on our cu</w:t>
      </w:r>
      <w:r>
        <w:rPr>
          <w:rFonts w:eastAsia="Times New Roman"/>
          <w:color w:val="000000"/>
          <w:sz w:val="20"/>
          <w:szCs w:val="20"/>
          <w:shd w:val="clear" w:color="auto" w:fill="FFFFFF"/>
        </w:rPr>
        <w:t>rrent assessment of the expected future cash flows of various restaurants based on recent results and other specific market factors. Many of these restaurants we had opened in the last three to four years in n</w:t>
      </w:r>
      <w:r>
        <w:rPr>
          <w:rFonts w:eastAsia="Times New Roman"/>
          <w:color w:val="000000"/>
          <w:sz w:val="20"/>
          <w:szCs w:val="20"/>
          <w:shd w:val="clear" w:color="auto" w:fill="FFFFFF"/>
        </w:rPr>
        <w:t xml:space="preserve">ewer markets where brand awareness of our restaurants was not as strong and where it had been more difficult to adequately staff our restaurants. </w:t>
      </w:r>
      <w:r>
        <w:rPr>
          <w:rFonts w:eastAsia="Times New Roman"/>
          <w:color w:val="000000"/>
          <w:sz w:val="20"/>
          <w:szCs w:val="20"/>
        </w:rPr>
        <w:t xml:space="preserve">Although impairment charges have meaningfully declined since 2017, we may recognize impairment charges in the </w:t>
      </w:r>
      <w:r>
        <w:rPr>
          <w:rFonts w:eastAsia="Times New Roman"/>
          <w:color w:val="000000"/>
          <w:sz w:val="20"/>
          <w:szCs w:val="20"/>
        </w:rPr>
        <w:t>future.</w:t>
      </w:r>
    </w:p>
    <w:p w:rsidR="00000000" w:rsidRDefault="0061405A">
      <w:pPr>
        <w:jc w:val="both"/>
        <w:rPr>
          <w:rFonts w:eastAsia="Times New Roman"/>
        </w:rPr>
      </w:pPr>
    </w:p>
    <w:p w:rsidR="00000000" w:rsidRDefault="0061405A">
      <w:pPr>
        <w:jc w:val="both"/>
        <w:rPr>
          <w:rFonts w:eastAsia="Times New Roman"/>
        </w:rPr>
      </w:pPr>
      <w:r>
        <w:rPr>
          <w:rFonts w:eastAsia="Times New Roman"/>
          <w:b/>
          <w:bCs/>
          <w:color w:val="000000"/>
          <w:sz w:val="20"/>
          <w:szCs w:val="20"/>
        </w:rPr>
        <w:t>Key Measures We Use to Evaluate Our Performance</w:t>
      </w:r>
    </w:p>
    <w:p w:rsidR="00000000" w:rsidRDefault="0061405A">
      <w:pPr>
        <w:jc w:val="both"/>
        <w:rPr>
          <w:rFonts w:eastAsia="Times New Roman"/>
        </w:rPr>
      </w:pPr>
    </w:p>
    <w:p w:rsidR="00000000" w:rsidRDefault="0061405A">
      <w:pPr>
        <w:jc w:val="both"/>
        <w:divId w:val="396250380"/>
        <w:rPr>
          <w:rFonts w:eastAsia="Times New Roman"/>
        </w:rPr>
      </w:pPr>
      <w:r>
        <w:rPr>
          <w:rFonts w:eastAsia="Times New Roman"/>
          <w:color w:val="000000"/>
          <w:sz w:val="20"/>
          <w:szCs w:val="20"/>
        </w:rPr>
        <w:t>To evaluate the performance of our business, we utilize a variety of financial and performance measures. These key measures include revenue, average unit volumes (“AUVs”), comparable restaurant sa</w:t>
      </w:r>
      <w:r>
        <w:rPr>
          <w:rFonts w:eastAsia="Times New Roman"/>
          <w:color w:val="000000"/>
          <w:sz w:val="20"/>
          <w:szCs w:val="20"/>
        </w:rPr>
        <w:t>les, restaurant contribution, restaurant contribution margin, EBITDA and adjusted EBITDA.</w:t>
      </w:r>
    </w:p>
    <w:p w:rsidR="00000000" w:rsidRDefault="0061405A">
      <w:pPr>
        <w:jc w:val="both"/>
        <w:divId w:val="1441683285"/>
        <w:rPr>
          <w:rFonts w:eastAsia="Times New Roman"/>
        </w:rPr>
      </w:pPr>
      <w:r>
        <w:rPr>
          <w:rFonts w:eastAsia="Times New Roman"/>
          <w:b/>
          <w:bCs/>
          <w:i/>
          <w:iCs/>
          <w:color w:val="000000"/>
          <w:sz w:val="20"/>
          <w:szCs w:val="20"/>
        </w:rPr>
        <w:t>Revenue</w:t>
      </w:r>
    </w:p>
    <w:p w:rsidR="00000000" w:rsidRDefault="0061405A">
      <w:pPr>
        <w:jc w:val="both"/>
        <w:divId w:val="1895462176"/>
        <w:rPr>
          <w:rFonts w:eastAsia="Times New Roman"/>
        </w:rPr>
      </w:pPr>
      <w:r>
        <w:rPr>
          <w:rFonts w:eastAsia="Times New Roman"/>
          <w:color w:val="000000"/>
          <w:sz w:val="20"/>
          <w:szCs w:val="20"/>
        </w:rPr>
        <w:t>Restaurant revenue represents sales of food and beverages in company-owned restaurants. Several factors affect our restaurant revenue in any period, including the number of restaurants in operation and per-restaurant sales.</w:t>
      </w:r>
    </w:p>
    <w:p w:rsidR="00000000" w:rsidRDefault="0061405A">
      <w:pPr>
        <w:jc w:val="both"/>
        <w:divId w:val="2096170905"/>
        <w:rPr>
          <w:rFonts w:eastAsia="Times New Roman"/>
        </w:rPr>
      </w:pPr>
      <w:r>
        <w:rPr>
          <w:rFonts w:eastAsia="Times New Roman"/>
          <w:color w:val="000000"/>
          <w:sz w:val="20"/>
          <w:szCs w:val="20"/>
        </w:rPr>
        <w:t>Franchise royalties and fees rep</w:t>
      </w:r>
      <w:r>
        <w:rPr>
          <w:rFonts w:eastAsia="Times New Roman"/>
          <w:color w:val="000000"/>
          <w:sz w:val="20"/>
          <w:szCs w:val="20"/>
        </w:rPr>
        <w:t>resent royalty income and initial franchise fees. While we expect that the majority of our revenue and net income growth will be driven by company-owned restaurants, our franchise restaurants remain an important factor impacting our revenue and financial p</w:t>
      </w:r>
      <w:r>
        <w:rPr>
          <w:rFonts w:eastAsia="Times New Roman"/>
          <w:color w:val="000000"/>
          <w:sz w:val="20"/>
          <w:szCs w:val="20"/>
        </w:rPr>
        <w:t>erformance.</w:t>
      </w:r>
    </w:p>
    <w:p w:rsidR="00000000" w:rsidRDefault="0061405A">
      <w:pPr>
        <w:jc w:val="both"/>
        <w:divId w:val="2013725953"/>
        <w:rPr>
          <w:rFonts w:eastAsia="Times New Roman"/>
        </w:rPr>
      </w:pPr>
      <w:r>
        <w:rPr>
          <w:rFonts w:eastAsia="Times New Roman"/>
          <w:color w:val="000000"/>
          <w:sz w:val="20"/>
          <w:szCs w:val="20"/>
        </w:rPr>
        <w:t xml:space="preserve">Seasonal factors cause our revenue to fluctuate from quarter to quarter. Our revenue per restaurant is typically lower in the first and fourth quarters due to reduced winter and holiday traffic and higher in the second and third quarters. As a </w:t>
      </w:r>
      <w:r>
        <w:rPr>
          <w:rFonts w:eastAsia="Times New Roman"/>
          <w:color w:val="000000"/>
          <w:sz w:val="20"/>
          <w:szCs w:val="20"/>
        </w:rPr>
        <w:t>result of these factors, our quarterly and annual operating results and comparable restaurant sales may fluctuate significantly.</w:t>
      </w:r>
    </w:p>
    <w:p w:rsidR="00000000" w:rsidRDefault="0061405A">
      <w:pPr>
        <w:jc w:val="both"/>
        <w:divId w:val="1876504473"/>
        <w:rPr>
          <w:rFonts w:eastAsia="Times New Roman"/>
        </w:rPr>
      </w:pPr>
      <w:r>
        <w:rPr>
          <w:rFonts w:eastAsia="Times New Roman"/>
          <w:b/>
          <w:bCs/>
          <w:i/>
          <w:iCs/>
          <w:color w:val="000000"/>
          <w:sz w:val="20"/>
          <w:szCs w:val="20"/>
        </w:rPr>
        <w:t xml:space="preserve">Average Unit Volumes </w:t>
      </w:r>
    </w:p>
    <w:p w:rsidR="00000000" w:rsidRDefault="0061405A">
      <w:pPr>
        <w:jc w:val="both"/>
        <w:divId w:val="279386989"/>
        <w:rPr>
          <w:rFonts w:eastAsia="Times New Roman"/>
        </w:rPr>
      </w:pPr>
      <w:r>
        <w:rPr>
          <w:rFonts w:eastAsia="Times New Roman"/>
          <w:color w:val="000000"/>
          <w:sz w:val="20"/>
          <w:szCs w:val="20"/>
        </w:rPr>
        <w:t>AUVs consist of the average annualized sales of all company-owned restaurants for a given time period. AU</w:t>
      </w:r>
      <w:r>
        <w:rPr>
          <w:rFonts w:eastAsia="Times New Roman"/>
          <w:color w:val="000000"/>
          <w:sz w:val="20"/>
          <w:szCs w:val="20"/>
        </w:rPr>
        <w:t>Vs are calculated by dividing restaurant revenue by the number of operating days within each time period and multiplying by the number of operating days we have in a typical year. This measurement allows management to assess changes in consumer traffic and</w:t>
      </w:r>
      <w:r>
        <w:rPr>
          <w:rFonts w:eastAsia="Times New Roman"/>
          <w:color w:val="000000"/>
          <w:sz w:val="20"/>
          <w:szCs w:val="20"/>
        </w:rPr>
        <w:t xml:space="preserve"> per person spending patterns at our restaurants.</w:t>
      </w:r>
    </w:p>
    <w:p w:rsidR="00000000" w:rsidRDefault="0061405A">
      <w:pPr>
        <w:jc w:val="both"/>
        <w:divId w:val="752045562"/>
        <w:rPr>
          <w:rFonts w:eastAsia="Times New Roman"/>
        </w:rPr>
      </w:pPr>
      <w:r>
        <w:rPr>
          <w:rFonts w:eastAsia="Times New Roman"/>
          <w:b/>
          <w:bCs/>
          <w:i/>
          <w:iCs/>
          <w:color w:val="000000"/>
          <w:sz w:val="20"/>
          <w:szCs w:val="20"/>
        </w:rPr>
        <w:t>Comparable Restaurant Sales</w:t>
      </w:r>
    </w:p>
    <w:p w:rsidR="00000000" w:rsidRDefault="0061405A">
      <w:pPr>
        <w:jc w:val="both"/>
        <w:divId w:val="80807033"/>
        <w:rPr>
          <w:rFonts w:eastAsia="Times New Roman"/>
        </w:rPr>
      </w:pPr>
      <w:r>
        <w:rPr>
          <w:rFonts w:eastAsia="Times New Roman"/>
          <w:color w:val="000000"/>
          <w:sz w:val="20"/>
          <w:szCs w:val="20"/>
        </w:rPr>
        <w:t>Comparable restaurant sales refer to year-over-year sales comparisons for the comparable restaurant base. We define the comparable restaurant base to include restaurants open for</w:t>
      </w:r>
      <w:r>
        <w:rPr>
          <w:rFonts w:eastAsia="Times New Roman"/>
          <w:color w:val="000000"/>
          <w:sz w:val="20"/>
          <w:szCs w:val="20"/>
        </w:rPr>
        <w:t xml:space="preserve"> at least 18 full periods. As of the end of 2020, 2019 and 2018, there w</w:t>
      </w:r>
      <w:r>
        <w:rPr>
          <w:rFonts w:eastAsia="Times New Roman"/>
          <w:color w:val="000000"/>
          <w:sz w:val="20"/>
          <w:szCs w:val="20"/>
          <w:shd w:val="clear" w:color="auto" w:fill="FFFFFF"/>
        </w:rPr>
        <w:t>ere 368,</w:t>
      </w:r>
      <w:r>
        <w:rPr>
          <w:rFonts w:eastAsia="Times New Roman"/>
          <w:color w:val="000000"/>
          <w:sz w:val="20"/>
          <w:szCs w:val="20"/>
        </w:rPr>
        <w:t xml:space="preserve"> 383 and 392 restaurants, respectiv</w:t>
      </w:r>
      <w:r>
        <w:rPr>
          <w:rFonts w:eastAsia="Times New Roman"/>
          <w:color w:val="000000"/>
          <w:sz w:val="20"/>
          <w:szCs w:val="20"/>
          <w:shd w:val="clear" w:color="auto" w:fill="FFFFFF"/>
        </w:rPr>
        <w:t>ely, in our comparable restaurant base for company-owned locations. This measure highlights performance of existing restaurants, as the impac</w:t>
      </w:r>
      <w:r>
        <w:rPr>
          <w:rFonts w:eastAsia="Times New Roman"/>
          <w:color w:val="000000"/>
          <w:sz w:val="20"/>
          <w:szCs w:val="20"/>
          <w:shd w:val="clear" w:color="auto" w:fill="FFFFFF"/>
        </w:rPr>
        <w:t>t of new restaurant openings is excluded. For fiscal year 2020, restaurants that were temporarily closed or operating at reduced hours and dining capacity due to the COVID-19 pandemic remained in comparable restaurant sales. Changes in</w:t>
      </w:r>
      <w:r>
        <w:rPr>
          <w:rFonts w:eastAsia="Times New Roman"/>
          <w:color w:val="000000"/>
          <w:sz w:val="20"/>
          <w:szCs w:val="20"/>
        </w:rPr>
        <w:t xml:space="preserve"> comparable restauran</w:t>
      </w:r>
      <w:r>
        <w:rPr>
          <w:rFonts w:eastAsia="Times New Roman"/>
          <w:color w:val="000000"/>
          <w:sz w:val="20"/>
          <w:szCs w:val="20"/>
        </w:rPr>
        <w:t>t sales are generated by changes in traffic, which we calculate as the number of entrées sold, or changes in per-person spend, calculated as sales divided by traffic. Per-person spend can be influenced by changes in menu prices and the mix and number of it</w:t>
      </w:r>
      <w:r>
        <w:rPr>
          <w:rFonts w:eastAsia="Times New Roman"/>
          <w:color w:val="000000"/>
          <w:sz w:val="20"/>
          <w:szCs w:val="20"/>
        </w:rPr>
        <w:t>ems sold per person.</w:t>
      </w:r>
    </w:p>
    <w:p w:rsidR="00000000" w:rsidRDefault="0061405A">
      <w:pPr>
        <w:jc w:val="both"/>
        <w:divId w:val="699014708"/>
        <w:rPr>
          <w:rFonts w:eastAsia="Times New Roman"/>
        </w:rPr>
      </w:pPr>
      <w:r>
        <w:rPr>
          <w:rFonts w:eastAsia="Times New Roman"/>
          <w:color w:val="000000"/>
          <w:sz w:val="20"/>
          <w:szCs w:val="20"/>
        </w:rPr>
        <w:t>Measuring our comparable restaurant sales allows us to evaluate the performance of our existing restaurant base. Various factors impact comparable restaurant sales, including, but not limited to:</w:t>
      </w:r>
    </w:p>
    <w:p w:rsidR="00000000" w:rsidRDefault="0061405A">
      <w:pPr>
        <w:ind w:hanging="720"/>
        <w:divId w:val="1336227558"/>
        <w:rPr>
          <w:rFonts w:eastAsia="Times New Roman"/>
        </w:rPr>
      </w:pPr>
      <w:r>
        <w:rPr>
          <w:rFonts w:eastAsia="Times New Roman"/>
          <w:color w:val="000000"/>
          <w:sz w:val="20"/>
          <w:szCs w:val="20"/>
        </w:rPr>
        <w:t xml:space="preserve">•consumer recognition of our brand and </w:t>
      </w:r>
      <w:r>
        <w:rPr>
          <w:rFonts w:eastAsia="Times New Roman"/>
          <w:color w:val="000000"/>
          <w:sz w:val="20"/>
          <w:szCs w:val="20"/>
        </w:rPr>
        <w:t>our ability to respond to changing consumer preferences;</w:t>
      </w:r>
    </w:p>
    <w:p w:rsidR="00000000" w:rsidRDefault="0061405A">
      <w:pPr>
        <w:ind w:hanging="720"/>
        <w:divId w:val="982080688"/>
        <w:rPr>
          <w:rFonts w:eastAsia="Times New Roman"/>
        </w:rPr>
      </w:pPr>
      <w:r>
        <w:rPr>
          <w:rFonts w:eastAsia="Times New Roman"/>
          <w:color w:val="000000"/>
          <w:sz w:val="20"/>
          <w:szCs w:val="20"/>
        </w:rPr>
        <w:t>•overall economic trends, particularly those related to consumer spending;</w:t>
      </w:r>
    </w:p>
    <w:p w:rsidR="00000000" w:rsidRDefault="0061405A">
      <w:pPr>
        <w:ind w:hanging="720"/>
        <w:divId w:val="1785151317"/>
        <w:rPr>
          <w:rFonts w:eastAsia="Times New Roman"/>
        </w:rPr>
      </w:pPr>
      <w:r>
        <w:rPr>
          <w:rFonts w:eastAsia="Times New Roman"/>
          <w:color w:val="000000"/>
          <w:sz w:val="20"/>
          <w:szCs w:val="20"/>
        </w:rPr>
        <w:t>•our ability to operate restaurants effectively and efficiently to meet consumer expectations;</w:t>
      </w:r>
    </w:p>
    <w:p w:rsidR="00000000" w:rsidRDefault="0061405A">
      <w:pPr>
        <w:ind w:hanging="720"/>
        <w:divId w:val="1184633122"/>
        <w:rPr>
          <w:rFonts w:eastAsia="Times New Roman"/>
        </w:rPr>
      </w:pPr>
      <w:r>
        <w:rPr>
          <w:rFonts w:eastAsia="Times New Roman"/>
          <w:color w:val="000000"/>
          <w:sz w:val="20"/>
          <w:szCs w:val="20"/>
        </w:rPr>
        <w:t>•pricing;</w:t>
      </w:r>
    </w:p>
    <w:p w:rsidR="00000000" w:rsidRDefault="0061405A">
      <w:pPr>
        <w:ind w:hanging="720"/>
        <w:divId w:val="1207911368"/>
        <w:rPr>
          <w:rFonts w:eastAsia="Times New Roman"/>
        </w:rPr>
      </w:pPr>
      <w:r>
        <w:rPr>
          <w:rFonts w:eastAsia="Times New Roman"/>
          <w:color w:val="000000"/>
          <w:sz w:val="20"/>
          <w:szCs w:val="20"/>
        </w:rPr>
        <w:t>•the number of rest</w:t>
      </w:r>
      <w:r>
        <w:rPr>
          <w:rFonts w:eastAsia="Times New Roman"/>
          <w:color w:val="000000"/>
          <w:sz w:val="20"/>
          <w:szCs w:val="20"/>
        </w:rPr>
        <w:t>aurant transactions, per-person spend and average check amount;</w:t>
      </w:r>
    </w:p>
    <w:p w:rsidR="00000000" w:rsidRDefault="0061405A">
      <w:pPr>
        <w:jc w:val="center"/>
        <w:divId w:val="1708262763"/>
        <w:rPr>
          <w:rFonts w:eastAsia="Times New Roman"/>
        </w:rPr>
      </w:pPr>
      <w:r>
        <w:rPr>
          <w:rFonts w:eastAsia="Times New Roman"/>
          <w:color w:val="000000"/>
          <w:sz w:val="20"/>
          <w:szCs w:val="20"/>
        </w:rPr>
        <w:t>32</w:t>
      </w:r>
    </w:p>
    <w:p w:rsidR="00000000" w:rsidRDefault="0061405A">
      <w:pPr>
        <w:rPr>
          <w:rFonts w:eastAsia="Times New Roman"/>
        </w:rPr>
      </w:pPr>
      <w:r>
        <w:rPr>
          <w:rFonts w:eastAsia="Times New Roman"/>
        </w:rPr>
        <w:pict>
          <v:rect id="_x0000_i1059" style="width:0;height:1.5pt" o:hralign="center" o:hrstd="t" o:hr="t" fillcolor="#a0a0a0" stroked="f"/>
        </w:pict>
      </w:r>
    </w:p>
    <w:p w:rsidR="00000000" w:rsidRDefault="0061405A">
      <w:pPr>
        <w:divId w:val="1826974853"/>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ind w:hanging="720"/>
        <w:divId w:val="510795784"/>
        <w:rPr>
          <w:rFonts w:eastAsia="Times New Roman"/>
        </w:rPr>
      </w:pPr>
      <w:r>
        <w:rPr>
          <w:rFonts w:eastAsia="Times New Roman"/>
          <w:color w:val="000000"/>
          <w:sz w:val="20"/>
          <w:szCs w:val="20"/>
        </w:rPr>
        <w:t>•marketing and promotional efforts;</w:t>
      </w:r>
    </w:p>
    <w:p w:rsidR="00000000" w:rsidRDefault="0061405A">
      <w:pPr>
        <w:ind w:hanging="720"/>
        <w:divId w:val="1528710564"/>
        <w:rPr>
          <w:rFonts w:eastAsia="Times New Roman"/>
        </w:rPr>
      </w:pPr>
      <w:r>
        <w:rPr>
          <w:rFonts w:eastAsia="Times New Roman"/>
          <w:color w:val="000000"/>
          <w:sz w:val="20"/>
          <w:szCs w:val="20"/>
        </w:rPr>
        <w:t>•abnormal weather patter</w:t>
      </w:r>
      <w:r>
        <w:rPr>
          <w:rFonts w:eastAsia="Times New Roman"/>
          <w:color w:val="000000"/>
          <w:sz w:val="20"/>
          <w:szCs w:val="20"/>
        </w:rPr>
        <w:t>ns;</w:t>
      </w:r>
    </w:p>
    <w:p w:rsidR="00000000" w:rsidRDefault="0061405A">
      <w:pPr>
        <w:ind w:hanging="720"/>
        <w:divId w:val="856695898"/>
        <w:rPr>
          <w:rFonts w:eastAsia="Times New Roman"/>
        </w:rPr>
      </w:pPr>
      <w:r>
        <w:rPr>
          <w:rFonts w:eastAsia="Times New Roman"/>
          <w:color w:val="000000"/>
          <w:sz w:val="20"/>
          <w:szCs w:val="20"/>
        </w:rPr>
        <w:t>•food safety and foodborne illness concerns;</w:t>
      </w:r>
    </w:p>
    <w:p w:rsidR="00000000" w:rsidRDefault="0061405A">
      <w:pPr>
        <w:ind w:hanging="720"/>
        <w:divId w:val="401294164"/>
        <w:rPr>
          <w:rFonts w:eastAsia="Times New Roman"/>
        </w:rPr>
      </w:pPr>
      <w:r>
        <w:rPr>
          <w:rFonts w:eastAsia="Times New Roman"/>
          <w:color w:val="000000"/>
          <w:sz w:val="20"/>
          <w:szCs w:val="20"/>
        </w:rPr>
        <w:t xml:space="preserve">•the impact of the COVID-19 pandemic; </w:t>
      </w:r>
    </w:p>
    <w:p w:rsidR="00000000" w:rsidRDefault="0061405A">
      <w:pPr>
        <w:ind w:hanging="720"/>
        <w:divId w:val="243147941"/>
        <w:rPr>
          <w:rFonts w:eastAsia="Times New Roman"/>
        </w:rPr>
      </w:pPr>
      <w:r>
        <w:rPr>
          <w:rFonts w:eastAsia="Times New Roman"/>
          <w:color w:val="000000"/>
          <w:sz w:val="20"/>
          <w:szCs w:val="20"/>
        </w:rPr>
        <w:t>•local competition;</w:t>
      </w:r>
    </w:p>
    <w:p w:rsidR="00000000" w:rsidRDefault="0061405A">
      <w:pPr>
        <w:ind w:hanging="720"/>
        <w:divId w:val="1504784951"/>
        <w:rPr>
          <w:rFonts w:eastAsia="Times New Roman"/>
        </w:rPr>
      </w:pPr>
      <w:r>
        <w:rPr>
          <w:rFonts w:eastAsia="Times New Roman"/>
          <w:color w:val="000000"/>
          <w:sz w:val="20"/>
          <w:szCs w:val="20"/>
        </w:rPr>
        <w:t>•trade area dynamics;</w:t>
      </w:r>
    </w:p>
    <w:p w:rsidR="00000000" w:rsidRDefault="0061405A">
      <w:pPr>
        <w:ind w:hanging="720"/>
        <w:divId w:val="1888223741"/>
        <w:rPr>
          <w:rFonts w:eastAsia="Times New Roman"/>
        </w:rPr>
      </w:pPr>
      <w:r>
        <w:rPr>
          <w:rFonts w:eastAsia="Times New Roman"/>
          <w:color w:val="000000"/>
          <w:sz w:val="20"/>
          <w:szCs w:val="20"/>
        </w:rPr>
        <w:t>•introduction of new and seasonal menu items and limited time offerings; and</w:t>
      </w:r>
    </w:p>
    <w:p w:rsidR="00000000" w:rsidRDefault="0061405A">
      <w:pPr>
        <w:ind w:hanging="720"/>
        <w:divId w:val="1607888669"/>
        <w:rPr>
          <w:rFonts w:eastAsia="Times New Roman"/>
        </w:rPr>
      </w:pPr>
      <w:r>
        <w:rPr>
          <w:rFonts w:eastAsia="Times New Roman"/>
          <w:color w:val="000000"/>
          <w:sz w:val="20"/>
          <w:szCs w:val="20"/>
        </w:rPr>
        <w:t>•</w:t>
      </w:r>
      <w:r>
        <w:rPr>
          <w:rFonts w:eastAsia="Times New Roman"/>
          <w:color w:val="000000"/>
          <w:sz w:val="20"/>
          <w:szCs w:val="20"/>
        </w:rPr>
        <w:t>opening new restaurants in the vicinity of existing locations.</w:t>
      </w:r>
    </w:p>
    <w:p w:rsidR="00000000" w:rsidRDefault="0061405A">
      <w:pPr>
        <w:jc w:val="both"/>
        <w:divId w:val="1155535146"/>
        <w:rPr>
          <w:rFonts w:eastAsia="Times New Roman"/>
        </w:rPr>
      </w:pPr>
      <w:r>
        <w:rPr>
          <w:rFonts w:eastAsia="Times New Roman"/>
          <w:color w:val="000000"/>
          <w:sz w:val="20"/>
          <w:szCs w:val="20"/>
        </w:rPr>
        <w:t>Consistent with common industry practice, we present comparable restaurant sales on a calendar-adjusted basis that aligns current year sales weeks with comparable periods in the prior year, reg</w:t>
      </w:r>
      <w:r>
        <w:rPr>
          <w:rFonts w:eastAsia="Times New Roman"/>
          <w:color w:val="000000"/>
          <w:sz w:val="20"/>
          <w:szCs w:val="20"/>
        </w:rPr>
        <w:t>ardless of whether they belong to the same fiscal period or not. Since opening new company-owned and franchise restaurants is a part of our growth strategy and we anticipate new restaurants will be a component of our revenue growth, comparable restaurant s</w:t>
      </w:r>
      <w:r>
        <w:rPr>
          <w:rFonts w:eastAsia="Times New Roman"/>
          <w:color w:val="000000"/>
          <w:sz w:val="20"/>
          <w:szCs w:val="20"/>
        </w:rPr>
        <w:t>ales are only one measure of how we evaluate our performance.</w:t>
      </w:r>
    </w:p>
    <w:p w:rsidR="00000000" w:rsidRDefault="0061405A">
      <w:pPr>
        <w:jc w:val="both"/>
        <w:divId w:val="344288415"/>
        <w:rPr>
          <w:rFonts w:eastAsia="Times New Roman"/>
        </w:rPr>
      </w:pPr>
      <w:r>
        <w:rPr>
          <w:rFonts w:eastAsia="Times New Roman"/>
          <w:b/>
          <w:bCs/>
          <w:i/>
          <w:iCs/>
          <w:color w:val="000000"/>
          <w:sz w:val="20"/>
          <w:szCs w:val="20"/>
        </w:rPr>
        <w:t>Restaurant Contribution and Restaurant Contribution Margin</w:t>
      </w:r>
    </w:p>
    <w:p w:rsidR="00000000" w:rsidRDefault="0061405A">
      <w:pPr>
        <w:jc w:val="both"/>
        <w:rPr>
          <w:rFonts w:eastAsia="Times New Roman"/>
        </w:rPr>
      </w:pPr>
      <w:r>
        <w:rPr>
          <w:rFonts w:eastAsia="Times New Roman"/>
          <w:color w:val="000000"/>
          <w:sz w:val="20"/>
          <w:szCs w:val="20"/>
        </w:rPr>
        <w:t>Restaurant contribution represents restaurant revenue less restaurant operating costs which are cost of sales, labor, occupancy and other restaurant operating costs. Restaurant contribution margin represents restaurant contribution as a percentage of resta</w:t>
      </w:r>
      <w:r>
        <w:rPr>
          <w:rFonts w:eastAsia="Times New Roman"/>
          <w:color w:val="000000"/>
          <w:sz w:val="20"/>
          <w:szCs w:val="20"/>
        </w:rPr>
        <w:t xml:space="preserve">urant revenue. We expect restaurant contribution to increase in proportion to the number of new restaurants we open and our comparable restaurant sales growth. </w:t>
      </w:r>
    </w:p>
    <w:p w:rsidR="00000000" w:rsidRDefault="0061405A">
      <w:pPr>
        <w:jc w:val="both"/>
        <w:rPr>
          <w:rFonts w:eastAsia="Times New Roman"/>
        </w:rPr>
      </w:pPr>
    </w:p>
    <w:p w:rsidR="00000000" w:rsidRDefault="0061405A">
      <w:pPr>
        <w:jc w:val="both"/>
        <w:rPr>
          <w:rFonts w:eastAsia="Times New Roman"/>
        </w:rPr>
      </w:pPr>
      <w:r>
        <w:rPr>
          <w:rFonts w:eastAsia="Times New Roman"/>
          <w:color w:val="000000"/>
          <w:sz w:val="20"/>
          <w:szCs w:val="20"/>
        </w:rPr>
        <w:t>We believe that restaurant contribution and restaurant contribution margin are important tool</w:t>
      </w:r>
      <w:r>
        <w:rPr>
          <w:rFonts w:eastAsia="Times New Roman"/>
          <w:color w:val="000000"/>
          <w:sz w:val="20"/>
          <w:szCs w:val="20"/>
        </w:rPr>
        <w:t>s for investors and other interested parties because they are widely-used metrics within the restaurant industry to evaluate restaurant-level productivity, efficiency and performance. We also use restaurant contribution and restaurant contribution margin a</w:t>
      </w:r>
      <w:r>
        <w:rPr>
          <w:rFonts w:eastAsia="Times New Roman"/>
          <w:color w:val="000000"/>
          <w:sz w:val="20"/>
          <w:szCs w:val="20"/>
        </w:rPr>
        <w:t>s metrics to evaluate the profitability of incremental sales at our restaurants, restaurant performance across periods and restaurant financial performance compared with competitors. Restaurant contribution and restaurant contribution margin are supplement</w:t>
      </w:r>
      <w:r>
        <w:rPr>
          <w:rFonts w:eastAsia="Times New Roman"/>
          <w:color w:val="000000"/>
          <w:sz w:val="20"/>
          <w:szCs w:val="20"/>
        </w:rPr>
        <w:t xml:space="preserve">al measures of the operating performance of our restaurants and are not reflective of the underlying performance of our business because corporate-level expenses are excluded from these measures. </w:t>
      </w:r>
    </w:p>
    <w:p w:rsidR="00000000" w:rsidRDefault="0061405A">
      <w:pPr>
        <w:jc w:val="both"/>
        <w:rPr>
          <w:rFonts w:eastAsia="Times New Roman"/>
        </w:rPr>
      </w:pPr>
    </w:p>
    <w:p w:rsidR="00000000" w:rsidRDefault="0061405A">
      <w:pPr>
        <w:jc w:val="both"/>
        <w:divId w:val="894045671"/>
        <w:rPr>
          <w:rFonts w:eastAsia="Times New Roman"/>
        </w:rPr>
      </w:pPr>
      <w:r>
        <w:rPr>
          <w:rFonts w:eastAsia="Times New Roman"/>
          <w:b/>
          <w:bCs/>
          <w:i/>
          <w:iCs/>
          <w:color w:val="000000"/>
          <w:sz w:val="20"/>
          <w:szCs w:val="20"/>
        </w:rPr>
        <w:t>EBITDA and Adjusted EBITDA</w:t>
      </w:r>
    </w:p>
    <w:p w:rsidR="00000000" w:rsidRDefault="0061405A">
      <w:pPr>
        <w:jc w:val="both"/>
        <w:divId w:val="1368331434"/>
        <w:rPr>
          <w:rFonts w:eastAsia="Times New Roman"/>
        </w:rPr>
      </w:pPr>
      <w:r>
        <w:rPr>
          <w:rFonts w:eastAsia="Times New Roman"/>
          <w:color w:val="000000"/>
          <w:sz w:val="20"/>
          <w:szCs w:val="20"/>
        </w:rPr>
        <w:t>We define EBITDA as net income</w:t>
      </w:r>
      <w:r>
        <w:rPr>
          <w:rFonts w:eastAsia="Times New Roman"/>
          <w:color w:val="000000"/>
          <w:sz w:val="20"/>
          <w:szCs w:val="20"/>
        </w:rPr>
        <w:t xml:space="preserve"> (loss) before interest expense, provision (benefit) for income taxes and depreciation and amortization. We define adjusted EBITDA as net income (loss) before interest expense, provision (benefit) for income taxes, depreciation and amortization, restaurant</w:t>
      </w:r>
      <w:r>
        <w:rPr>
          <w:rFonts w:eastAsia="Times New Roman"/>
          <w:color w:val="000000"/>
          <w:sz w:val="20"/>
          <w:szCs w:val="20"/>
        </w:rPr>
        <w:t xml:space="preserve"> impairments, closure costs and asset disposals, certain litigation settlements, data breach assessments, non-recurring registration and related transaction costs, loss on extinguishment of debt, severance costs and stock-based compensation. </w:t>
      </w:r>
    </w:p>
    <w:p w:rsidR="00000000" w:rsidRDefault="0061405A">
      <w:pPr>
        <w:jc w:val="both"/>
        <w:divId w:val="1130441668"/>
        <w:rPr>
          <w:rFonts w:eastAsia="Times New Roman"/>
        </w:rPr>
      </w:pPr>
      <w:r>
        <w:rPr>
          <w:rFonts w:eastAsia="Times New Roman"/>
          <w:color w:val="000000"/>
          <w:sz w:val="20"/>
          <w:szCs w:val="20"/>
        </w:rPr>
        <w:t>We believe th</w:t>
      </w:r>
      <w:r>
        <w:rPr>
          <w:rFonts w:eastAsia="Times New Roman"/>
          <w:color w:val="000000"/>
          <w:sz w:val="20"/>
          <w:szCs w:val="20"/>
        </w:rPr>
        <w:t xml:space="preserve">at EBITDA and adjusted EBITDA provide clear pictures of our operating results by eliminating certain non-recurring and non-cash expenses that may vary widely from period to period and are not reflective of the underlying business performance. </w:t>
      </w:r>
    </w:p>
    <w:p w:rsidR="00000000" w:rsidRDefault="0061405A">
      <w:pPr>
        <w:jc w:val="both"/>
        <w:divId w:val="177349805"/>
        <w:rPr>
          <w:rFonts w:eastAsia="Times New Roman"/>
        </w:rPr>
      </w:pPr>
      <w:r>
        <w:rPr>
          <w:rFonts w:eastAsia="Times New Roman"/>
          <w:color w:val="000000"/>
          <w:sz w:val="20"/>
          <w:szCs w:val="20"/>
        </w:rPr>
        <w:t>The presenta</w:t>
      </w:r>
      <w:r>
        <w:rPr>
          <w:rFonts w:eastAsia="Times New Roman"/>
          <w:color w:val="000000"/>
          <w:sz w:val="20"/>
          <w:szCs w:val="20"/>
        </w:rPr>
        <w:t>tion of restaurant contribution, restaurant contribution margin, EBITDA and adjusted EBITDA is not intended to be considered in isolation or as a substitute for, or to be superior to, the financial information prepared and presented in accordance with acco</w:t>
      </w:r>
      <w:r>
        <w:rPr>
          <w:rFonts w:eastAsia="Times New Roman"/>
          <w:color w:val="000000"/>
          <w:sz w:val="20"/>
          <w:szCs w:val="20"/>
        </w:rPr>
        <w:t>unting principles generally accepted in the United States of America (“GAAP”). We use these non-GAAP financial measures for financial and operational decision making and as a means to evaluate period-to-period comparisons. We believe that they provide usef</w:t>
      </w:r>
      <w:r>
        <w:rPr>
          <w:rFonts w:eastAsia="Times New Roman"/>
          <w:color w:val="000000"/>
          <w:sz w:val="20"/>
          <w:szCs w:val="20"/>
        </w:rPr>
        <w:t xml:space="preserve">ul information to management and investors about operating results, enhance the overall understanding of past financial performance and future prospects and allow for greater transparency with respect to key metrics used by management in its financial and </w:t>
      </w:r>
      <w:r>
        <w:rPr>
          <w:rFonts w:eastAsia="Times New Roman"/>
          <w:color w:val="000000"/>
          <w:sz w:val="20"/>
          <w:szCs w:val="20"/>
        </w:rPr>
        <w:t>operational decision making.</w:t>
      </w:r>
    </w:p>
    <w:p w:rsidR="00000000" w:rsidRDefault="0061405A">
      <w:pPr>
        <w:jc w:val="center"/>
        <w:divId w:val="119230312"/>
        <w:rPr>
          <w:rFonts w:eastAsia="Times New Roman"/>
        </w:rPr>
      </w:pPr>
      <w:r>
        <w:rPr>
          <w:rFonts w:eastAsia="Times New Roman"/>
          <w:color w:val="000000"/>
          <w:sz w:val="20"/>
          <w:szCs w:val="20"/>
        </w:rPr>
        <w:t>33</w:t>
      </w:r>
    </w:p>
    <w:p w:rsidR="00000000" w:rsidRDefault="0061405A">
      <w:pPr>
        <w:rPr>
          <w:rFonts w:eastAsia="Times New Roman"/>
        </w:rPr>
      </w:pPr>
      <w:r>
        <w:rPr>
          <w:rFonts w:eastAsia="Times New Roman"/>
        </w:rPr>
        <w:pict>
          <v:rect id="_x0000_i1060" style="width:0;height:1.5pt" o:hralign="center" o:hrstd="t" o:hr="t" fillcolor="#a0a0a0" stroked="f"/>
        </w:pict>
      </w:r>
    </w:p>
    <w:p w:rsidR="00000000" w:rsidRDefault="0061405A">
      <w:pPr>
        <w:divId w:val="721177343"/>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both"/>
        <w:divId w:val="729502438"/>
        <w:rPr>
          <w:rFonts w:eastAsia="Times New Roman"/>
        </w:rPr>
      </w:pPr>
      <w:r>
        <w:rPr>
          <w:rFonts w:eastAsia="Times New Roman"/>
          <w:color w:val="000000"/>
          <w:sz w:val="20"/>
          <w:szCs w:val="20"/>
        </w:rPr>
        <w:t>The following table presents a reconciliation of net (loss) income to EBITDA and adjusted EBITDA</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2"/>
        <w:gridCol w:w="5802"/>
        <w:gridCol w:w="38"/>
        <w:gridCol w:w="36"/>
        <w:gridCol w:w="36"/>
        <w:gridCol w:w="36"/>
        <w:gridCol w:w="100"/>
        <w:gridCol w:w="860"/>
        <w:gridCol w:w="36"/>
        <w:gridCol w:w="36"/>
        <w:gridCol w:w="36"/>
        <w:gridCol w:w="36"/>
        <w:gridCol w:w="100"/>
        <w:gridCol w:w="860"/>
        <w:gridCol w:w="36"/>
        <w:gridCol w:w="36"/>
        <w:gridCol w:w="36"/>
        <w:gridCol w:w="36"/>
        <w:gridCol w:w="36"/>
        <w:gridCol w:w="36"/>
        <w:gridCol w:w="36"/>
      </w:tblGrid>
      <w:tr w:rsidR="00000000">
        <w:trPr>
          <w:divId w:val="1011026960"/>
        </w:trPr>
        <w:tc>
          <w:tcPr>
            <w:tcW w:w="50" w:type="pct"/>
            <w:vAlign w:val="center"/>
            <w:hideMark/>
          </w:tcPr>
          <w:p w:rsidR="00000000" w:rsidRDefault="0061405A">
            <w:pPr>
              <w:jc w:val="both"/>
              <w:rPr>
                <w:rFonts w:eastAsia="Times New Roman"/>
              </w:rPr>
            </w:pPr>
          </w:p>
        </w:tc>
        <w:tc>
          <w:tcPr>
            <w:tcW w:w="3608"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77"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77"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0" w:type="auto"/>
            <w:gridSpan w:val="3"/>
            <w:vAlign w:val="center"/>
            <w:hideMark/>
          </w:tcPr>
          <w:p w:rsidR="00000000" w:rsidRDefault="0061405A">
            <w:pPr>
              <w:rPr>
                <w:rFonts w:eastAsia="Times New Roman"/>
                <w:sz w:val="20"/>
                <w:szCs w:val="20"/>
              </w:rPr>
            </w:pPr>
          </w:p>
        </w:tc>
        <w:tc>
          <w:tcPr>
            <w:tcW w:w="0" w:type="auto"/>
            <w:gridSpan w:val="3"/>
            <w:vAlign w:val="center"/>
            <w:hideMark/>
          </w:tcPr>
          <w:p w:rsidR="00000000" w:rsidRDefault="0061405A">
            <w:pPr>
              <w:rPr>
                <w:rFonts w:eastAsia="Times New Roman"/>
                <w:sz w:val="20"/>
                <w:szCs w:val="20"/>
              </w:rPr>
            </w:pPr>
          </w:p>
        </w:tc>
      </w:tr>
      <w:tr w:rsidR="00000000">
        <w:trPr>
          <w:divId w:val="1011026960"/>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9"/>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Fiscal Year</w:t>
            </w:r>
          </w:p>
        </w:tc>
        <w:tc>
          <w:tcPr>
            <w:tcW w:w="0" w:type="auto"/>
            <w:vAlign w:val="center"/>
            <w:hideMark/>
          </w:tcPr>
          <w:p w:rsidR="00000000" w:rsidRDefault="0061405A">
            <w:pPr>
              <w:rPr>
                <w:rFonts w:eastAsia="Times New Roman"/>
                <w:sz w:val="20"/>
                <w:szCs w:val="20"/>
              </w:rPr>
            </w:pPr>
          </w:p>
        </w:tc>
        <w:tc>
          <w:tcPr>
            <w:tcW w:w="0" w:type="auto"/>
            <w:vAlign w:val="center"/>
            <w:hideMark/>
          </w:tcPr>
          <w:p w:rsidR="00000000" w:rsidRDefault="0061405A">
            <w:pPr>
              <w:rPr>
                <w:rFonts w:eastAsia="Times New Roman"/>
                <w:sz w:val="20"/>
                <w:szCs w:val="20"/>
              </w:rPr>
            </w:pPr>
          </w:p>
        </w:tc>
        <w:tc>
          <w:tcPr>
            <w:tcW w:w="0" w:type="auto"/>
            <w:vAlign w:val="center"/>
            <w:hideMark/>
          </w:tcPr>
          <w:p w:rsidR="00000000" w:rsidRDefault="0061405A">
            <w:pPr>
              <w:rPr>
                <w:rFonts w:eastAsia="Times New Roman"/>
                <w:sz w:val="20"/>
                <w:szCs w:val="20"/>
              </w:rPr>
            </w:pPr>
          </w:p>
        </w:tc>
        <w:tc>
          <w:tcPr>
            <w:tcW w:w="0" w:type="auto"/>
            <w:vAlign w:val="center"/>
            <w:hideMark/>
          </w:tcPr>
          <w:p w:rsidR="00000000" w:rsidRDefault="0061405A">
            <w:pPr>
              <w:rPr>
                <w:rFonts w:eastAsia="Times New Roman"/>
                <w:sz w:val="20"/>
                <w:szCs w:val="20"/>
              </w:rPr>
            </w:pPr>
          </w:p>
        </w:tc>
        <w:tc>
          <w:tcPr>
            <w:tcW w:w="0" w:type="auto"/>
            <w:vAlign w:val="center"/>
            <w:hideMark/>
          </w:tcPr>
          <w:p w:rsidR="00000000" w:rsidRDefault="0061405A">
            <w:pPr>
              <w:rPr>
                <w:rFonts w:eastAsia="Times New Roman"/>
                <w:sz w:val="20"/>
                <w:szCs w:val="20"/>
              </w:rPr>
            </w:pPr>
          </w:p>
        </w:tc>
        <w:tc>
          <w:tcPr>
            <w:tcW w:w="0" w:type="auto"/>
            <w:vAlign w:val="center"/>
            <w:hideMark/>
          </w:tcPr>
          <w:p w:rsidR="00000000" w:rsidRDefault="0061405A">
            <w:pPr>
              <w:rPr>
                <w:rFonts w:eastAsia="Times New Roman"/>
                <w:sz w:val="20"/>
                <w:szCs w:val="20"/>
              </w:rPr>
            </w:pPr>
          </w:p>
        </w:tc>
      </w:tr>
      <w:tr w:rsidR="00000000">
        <w:trPr>
          <w:divId w:val="1011026960"/>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2019</w:t>
            </w:r>
          </w:p>
        </w:tc>
        <w:tc>
          <w:tcPr>
            <w:tcW w:w="0" w:type="auto"/>
            <w:gridSpan w:val="3"/>
            <w:vAlign w:val="center"/>
            <w:hideMark/>
          </w:tcPr>
          <w:p w:rsidR="00000000" w:rsidRDefault="0061405A">
            <w:pPr>
              <w:jc w:val="center"/>
              <w:rPr>
                <w:rFonts w:eastAsia="Times New Roman"/>
              </w:rPr>
            </w:pPr>
          </w:p>
        </w:tc>
        <w:tc>
          <w:tcPr>
            <w:tcW w:w="0" w:type="auto"/>
            <w:gridSpan w:val="3"/>
            <w:vAlign w:val="center"/>
            <w:hideMark/>
          </w:tcPr>
          <w:p w:rsidR="00000000" w:rsidRDefault="0061405A">
            <w:pPr>
              <w:rPr>
                <w:rFonts w:eastAsia="Times New Roman"/>
                <w:sz w:val="20"/>
                <w:szCs w:val="20"/>
              </w:rPr>
            </w:pPr>
          </w:p>
        </w:tc>
      </w:tr>
      <w:tr w:rsidR="00000000">
        <w:trPr>
          <w:divId w:val="1011026960"/>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(in thousands)</w:t>
            </w:r>
          </w:p>
        </w:tc>
        <w:tc>
          <w:tcPr>
            <w:tcW w:w="0" w:type="auto"/>
            <w:vAlign w:val="center"/>
            <w:hideMark/>
          </w:tcPr>
          <w:p w:rsidR="00000000" w:rsidRDefault="0061405A">
            <w:pPr>
              <w:rPr>
                <w:rFonts w:eastAsia="Times New Roman"/>
                <w:sz w:val="20"/>
                <w:szCs w:val="20"/>
              </w:rPr>
            </w:pPr>
          </w:p>
        </w:tc>
        <w:tc>
          <w:tcPr>
            <w:tcW w:w="0" w:type="auto"/>
            <w:vAlign w:val="center"/>
            <w:hideMark/>
          </w:tcPr>
          <w:p w:rsidR="00000000" w:rsidRDefault="0061405A">
            <w:pPr>
              <w:rPr>
                <w:rFonts w:eastAsia="Times New Roman"/>
                <w:sz w:val="20"/>
                <w:szCs w:val="20"/>
              </w:rPr>
            </w:pPr>
          </w:p>
        </w:tc>
        <w:tc>
          <w:tcPr>
            <w:tcW w:w="0" w:type="auto"/>
            <w:vAlign w:val="center"/>
            <w:hideMark/>
          </w:tcPr>
          <w:p w:rsidR="00000000" w:rsidRDefault="0061405A">
            <w:pPr>
              <w:rPr>
                <w:rFonts w:eastAsia="Times New Roman"/>
                <w:sz w:val="20"/>
                <w:szCs w:val="20"/>
              </w:rPr>
            </w:pPr>
          </w:p>
        </w:tc>
        <w:tc>
          <w:tcPr>
            <w:tcW w:w="0" w:type="auto"/>
            <w:vAlign w:val="center"/>
            <w:hideMark/>
          </w:tcPr>
          <w:p w:rsidR="00000000" w:rsidRDefault="0061405A">
            <w:pPr>
              <w:rPr>
                <w:rFonts w:eastAsia="Times New Roman"/>
                <w:sz w:val="20"/>
                <w:szCs w:val="20"/>
              </w:rPr>
            </w:pPr>
          </w:p>
        </w:tc>
        <w:tc>
          <w:tcPr>
            <w:tcW w:w="0" w:type="auto"/>
            <w:vAlign w:val="center"/>
            <w:hideMark/>
          </w:tcPr>
          <w:p w:rsidR="00000000" w:rsidRDefault="0061405A">
            <w:pPr>
              <w:rPr>
                <w:rFonts w:eastAsia="Times New Roman"/>
                <w:sz w:val="20"/>
                <w:szCs w:val="20"/>
              </w:rPr>
            </w:pPr>
          </w:p>
        </w:tc>
        <w:tc>
          <w:tcPr>
            <w:tcW w:w="0" w:type="auto"/>
            <w:vAlign w:val="center"/>
            <w:hideMark/>
          </w:tcPr>
          <w:p w:rsidR="00000000" w:rsidRDefault="0061405A">
            <w:pPr>
              <w:rPr>
                <w:rFonts w:eastAsia="Times New Roman"/>
                <w:sz w:val="20"/>
                <w:szCs w:val="20"/>
              </w:rPr>
            </w:pPr>
          </w:p>
        </w:tc>
      </w:tr>
      <w:tr w:rsidR="00000000">
        <w:trPr>
          <w:divId w:val="1011026960"/>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6"/>
                <w:szCs w:val="16"/>
              </w:rPr>
              <w:t>Net (loss) income</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(23,259)</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1,647 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vAlign w:val="center"/>
            <w:hideMark/>
          </w:tcPr>
          <w:p w:rsidR="00000000" w:rsidRDefault="0061405A">
            <w:pPr>
              <w:jc w:val="right"/>
              <w:rPr>
                <w:rFonts w:eastAsia="Times New Roman"/>
                <w:sz w:val="20"/>
                <w:szCs w:val="20"/>
              </w:rPr>
            </w:pPr>
          </w:p>
        </w:tc>
        <w:tc>
          <w:tcPr>
            <w:tcW w:w="0" w:type="auto"/>
            <w:gridSpan w:val="3"/>
            <w:vAlign w:val="center"/>
            <w:hideMark/>
          </w:tcPr>
          <w:p w:rsidR="00000000" w:rsidRDefault="0061405A">
            <w:pPr>
              <w:rPr>
                <w:rFonts w:eastAsia="Times New Roman"/>
                <w:sz w:val="20"/>
                <w:szCs w:val="20"/>
              </w:rPr>
            </w:pPr>
          </w:p>
        </w:tc>
      </w:tr>
      <w:tr w:rsidR="00000000">
        <w:trPr>
          <w:divId w:val="1011026960"/>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6"/>
                <w:szCs w:val="16"/>
              </w:rPr>
              <w:t>Depreciation and amortization</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21,709 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22,086 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vAlign w:val="center"/>
            <w:hideMark/>
          </w:tcPr>
          <w:p w:rsidR="00000000" w:rsidRDefault="0061405A">
            <w:pPr>
              <w:jc w:val="right"/>
              <w:rPr>
                <w:rFonts w:eastAsia="Times New Roman"/>
                <w:sz w:val="20"/>
                <w:szCs w:val="20"/>
              </w:rPr>
            </w:pPr>
          </w:p>
        </w:tc>
        <w:tc>
          <w:tcPr>
            <w:tcW w:w="0" w:type="auto"/>
            <w:gridSpan w:val="3"/>
            <w:vAlign w:val="center"/>
            <w:hideMark/>
          </w:tcPr>
          <w:p w:rsidR="00000000" w:rsidRDefault="0061405A">
            <w:pPr>
              <w:rPr>
                <w:rFonts w:eastAsia="Times New Roman"/>
                <w:sz w:val="20"/>
                <w:szCs w:val="20"/>
              </w:rPr>
            </w:pPr>
          </w:p>
        </w:tc>
      </w:tr>
      <w:tr w:rsidR="00000000">
        <w:trPr>
          <w:divId w:val="1011026960"/>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6"/>
                <w:szCs w:val="16"/>
              </w:rPr>
              <w:t>Interest expense, net</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3,146 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2,942 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vAlign w:val="center"/>
            <w:hideMark/>
          </w:tcPr>
          <w:p w:rsidR="00000000" w:rsidRDefault="0061405A">
            <w:pPr>
              <w:jc w:val="right"/>
              <w:rPr>
                <w:rFonts w:eastAsia="Times New Roman"/>
                <w:sz w:val="20"/>
                <w:szCs w:val="20"/>
              </w:rPr>
            </w:pPr>
          </w:p>
        </w:tc>
        <w:tc>
          <w:tcPr>
            <w:tcW w:w="0" w:type="auto"/>
            <w:gridSpan w:val="3"/>
            <w:vAlign w:val="center"/>
            <w:hideMark/>
          </w:tcPr>
          <w:p w:rsidR="00000000" w:rsidRDefault="0061405A">
            <w:pPr>
              <w:rPr>
                <w:rFonts w:eastAsia="Times New Roman"/>
                <w:sz w:val="20"/>
                <w:szCs w:val="20"/>
              </w:rPr>
            </w:pPr>
          </w:p>
        </w:tc>
      </w:tr>
      <w:tr w:rsidR="00000000">
        <w:trPr>
          <w:divId w:val="1011026960"/>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6"/>
                <w:szCs w:val="16"/>
              </w:rPr>
              <w:t>Provision for income taxes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84 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104 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vAlign w:val="center"/>
            <w:hideMark/>
          </w:tcPr>
          <w:p w:rsidR="00000000" w:rsidRDefault="0061405A">
            <w:pPr>
              <w:jc w:val="right"/>
              <w:rPr>
                <w:rFonts w:eastAsia="Times New Roman"/>
                <w:sz w:val="20"/>
                <w:szCs w:val="20"/>
              </w:rPr>
            </w:pPr>
          </w:p>
        </w:tc>
        <w:tc>
          <w:tcPr>
            <w:tcW w:w="0" w:type="auto"/>
            <w:gridSpan w:val="3"/>
            <w:vAlign w:val="center"/>
            <w:hideMark/>
          </w:tcPr>
          <w:p w:rsidR="00000000" w:rsidRDefault="0061405A">
            <w:pPr>
              <w:rPr>
                <w:rFonts w:eastAsia="Times New Roman"/>
                <w:sz w:val="20"/>
                <w:szCs w:val="20"/>
              </w:rPr>
            </w:pPr>
          </w:p>
        </w:tc>
      </w:tr>
      <w:tr w:rsidR="00000000">
        <w:trPr>
          <w:divId w:val="1011026960"/>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6"/>
                <w:szCs w:val="16"/>
              </w:rPr>
              <w:t>EBITDA</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1,680 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26,779 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vAlign w:val="center"/>
            <w:hideMark/>
          </w:tcPr>
          <w:p w:rsidR="00000000" w:rsidRDefault="0061405A">
            <w:pPr>
              <w:jc w:val="right"/>
              <w:rPr>
                <w:rFonts w:eastAsia="Times New Roman"/>
                <w:sz w:val="20"/>
                <w:szCs w:val="20"/>
              </w:rPr>
            </w:pPr>
          </w:p>
        </w:tc>
        <w:tc>
          <w:tcPr>
            <w:tcW w:w="0" w:type="auto"/>
            <w:gridSpan w:val="3"/>
            <w:vAlign w:val="center"/>
            <w:hideMark/>
          </w:tcPr>
          <w:p w:rsidR="00000000" w:rsidRDefault="0061405A">
            <w:pPr>
              <w:rPr>
                <w:rFonts w:eastAsia="Times New Roman"/>
                <w:sz w:val="20"/>
                <w:szCs w:val="20"/>
              </w:rPr>
            </w:pPr>
          </w:p>
        </w:tc>
      </w:tr>
      <w:tr w:rsidR="00000000">
        <w:trPr>
          <w:divId w:val="1011026960"/>
        </w:trPr>
        <w:tc>
          <w:tcPr>
            <w:tcW w:w="0" w:type="auto"/>
            <w:gridSpan w:val="3"/>
            <w:shd w:val="clear" w:color="auto" w:fill="FFFFFF"/>
            <w:tcMar>
              <w:top w:w="30" w:type="dxa"/>
              <w:left w:w="20" w:type="dxa"/>
              <w:bottom w:w="30" w:type="dxa"/>
              <w:right w:w="20" w:type="dxa"/>
            </w:tcMar>
            <w:vAlign w:val="bottom"/>
            <w:hideMark/>
          </w:tcPr>
          <w:p w:rsidR="00000000" w:rsidRDefault="0061405A">
            <w:pPr>
              <w:divId w:val="1697265488"/>
              <w:rPr>
                <w:rFonts w:eastAsia="Times New Roman"/>
              </w:rPr>
            </w:pPr>
            <w:r>
              <w:rPr>
                <w:rFonts w:eastAsia="Times New Roman"/>
                <w:color w:val="000000"/>
                <w:sz w:val="16"/>
                <w:szCs w:val="16"/>
              </w:rPr>
              <w:t>Restaurant impairments, closure costs and asset disposals</w:t>
            </w:r>
            <w:r>
              <w:rPr>
                <w:rFonts w:eastAsia="Times New Roman"/>
                <w:color w:val="000000"/>
                <w:sz w:val="16"/>
                <w:szCs w:val="16"/>
              </w:rPr>
              <w:t xml:space="preserve"> </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6,540 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7,747 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vAlign w:val="center"/>
            <w:hideMark/>
          </w:tcPr>
          <w:p w:rsidR="00000000" w:rsidRDefault="0061405A">
            <w:pPr>
              <w:jc w:val="right"/>
              <w:rPr>
                <w:rFonts w:eastAsia="Times New Roman"/>
                <w:sz w:val="20"/>
                <w:szCs w:val="20"/>
              </w:rPr>
            </w:pPr>
          </w:p>
        </w:tc>
        <w:tc>
          <w:tcPr>
            <w:tcW w:w="0" w:type="auto"/>
            <w:gridSpan w:val="3"/>
            <w:vAlign w:val="center"/>
            <w:hideMark/>
          </w:tcPr>
          <w:p w:rsidR="00000000" w:rsidRDefault="0061405A">
            <w:pPr>
              <w:rPr>
                <w:rFonts w:eastAsia="Times New Roman"/>
                <w:sz w:val="20"/>
                <w:szCs w:val="20"/>
              </w:rPr>
            </w:pPr>
          </w:p>
        </w:tc>
      </w:tr>
      <w:tr w:rsidR="00000000">
        <w:trPr>
          <w:divId w:val="1011026960"/>
        </w:trPr>
        <w:tc>
          <w:tcPr>
            <w:tcW w:w="0" w:type="auto"/>
            <w:gridSpan w:val="3"/>
            <w:vAlign w:val="center"/>
            <w:hideMark/>
          </w:tcPr>
          <w:p w:rsidR="00000000" w:rsidRDefault="0061405A">
            <w:pPr>
              <w:rPr>
                <w:rFonts w:eastAsia="Times New Roman"/>
                <w:sz w:val="20"/>
                <w:szCs w:val="20"/>
              </w:rPr>
            </w:pPr>
          </w:p>
        </w:tc>
        <w:tc>
          <w:tcPr>
            <w:tcW w:w="0" w:type="auto"/>
            <w:gridSpan w:val="3"/>
            <w:vAlign w:val="center"/>
            <w:hideMark/>
          </w:tcPr>
          <w:p w:rsidR="00000000" w:rsidRDefault="0061405A">
            <w:pPr>
              <w:rPr>
                <w:rFonts w:eastAsia="Times New Roman"/>
                <w:sz w:val="20"/>
                <w:szCs w:val="20"/>
              </w:rPr>
            </w:pPr>
          </w:p>
        </w:tc>
        <w:tc>
          <w:tcPr>
            <w:tcW w:w="0" w:type="auto"/>
            <w:gridSpan w:val="3"/>
            <w:vAlign w:val="center"/>
            <w:hideMark/>
          </w:tcPr>
          <w:p w:rsidR="00000000" w:rsidRDefault="0061405A">
            <w:pPr>
              <w:rPr>
                <w:rFonts w:eastAsia="Times New Roman"/>
                <w:sz w:val="20"/>
                <w:szCs w:val="20"/>
              </w:rPr>
            </w:pPr>
          </w:p>
        </w:tc>
        <w:tc>
          <w:tcPr>
            <w:tcW w:w="0" w:type="auto"/>
            <w:gridSpan w:val="3"/>
            <w:vAlign w:val="center"/>
            <w:hideMark/>
          </w:tcPr>
          <w:p w:rsidR="00000000" w:rsidRDefault="0061405A">
            <w:pPr>
              <w:rPr>
                <w:rFonts w:eastAsia="Times New Roman"/>
                <w:sz w:val="20"/>
                <w:szCs w:val="20"/>
              </w:rPr>
            </w:pPr>
          </w:p>
        </w:tc>
        <w:tc>
          <w:tcPr>
            <w:tcW w:w="0" w:type="auto"/>
            <w:gridSpan w:val="3"/>
            <w:vAlign w:val="center"/>
            <w:hideMark/>
          </w:tcPr>
          <w:p w:rsidR="00000000" w:rsidRDefault="0061405A">
            <w:pPr>
              <w:rPr>
                <w:rFonts w:eastAsia="Times New Roman"/>
                <w:sz w:val="20"/>
                <w:szCs w:val="20"/>
              </w:rPr>
            </w:pPr>
          </w:p>
        </w:tc>
        <w:tc>
          <w:tcPr>
            <w:tcW w:w="0" w:type="auto"/>
            <w:gridSpan w:val="3"/>
            <w:vAlign w:val="center"/>
            <w:hideMark/>
          </w:tcPr>
          <w:p w:rsidR="00000000" w:rsidRDefault="0061405A">
            <w:pPr>
              <w:rPr>
                <w:rFonts w:eastAsia="Times New Roman"/>
                <w:sz w:val="20"/>
                <w:szCs w:val="20"/>
              </w:rPr>
            </w:pPr>
          </w:p>
        </w:tc>
        <w:tc>
          <w:tcPr>
            <w:tcW w:w="0" w:type="auto"/>
            <w:gridSpan w:val="3"/>
            <w:vAlign w:val="center"/>
            <w:hideMark/>
          </w:tcPr>
          <w:p w:rsidR="00000000" w:rsidRDefault="0061405A">
            <w:pPr>
              <w:rPr>
                <w:rFonts w:eastAsia="Times New Roman"/>
                <w:sz w:val="20"/>
                <w:szCs w:val="20"/>
              </w:rPr>
            </w:pPr>
          </w:p>
        </w:tc>
      </w:tr>
      <w:tr w:rsidR="00000000">
        <w:trPr>
          <w:divId w:val="1011026960"/>
        </w:trPr>
        <w:tc>
          <w:tcPr>
            <w:tcW w:w="0" w:type="auto"/>
            <w:gridSpan w:val="3"/>
            <w:shd w:val="clear" w:color="auto" w:fill="CCEEFF"/>
            <w:tcMar>
              <w:top w:w="30" w:type="dxa"/>
              <w:left w:w="20" w:type="dxa"/>
              <w:bottom w:w="30" w:type="dxa"/>
              <w:right w:w="20" w:type="dxa"/>
            </w:tcMar>
            <w:vAlign w:val="bottom"/>
            <w:hideMark/>
          </w:tcPr>
          <w:p w:rsidR="00000000" w:rsidRDefault="0061405A">
            <w:pPr>
              <w:divId w:val="412169610"/>
              <w:rPr>
                <w:rFonts w:eastAsia="Times New Roman"/>
              </w:rPr>
            </w:pPr>
            <w:r>
              <w:rPr>
                <w:rFonts w:eastAsia="Times New Roman"/>
                <w:color w:val="000000"/>
                <w:sz w:val="16"/>
                <w:szCs w:val="16"/>
              </w:rPr>
              <w:t>Fees and costs related to transactions and other acquisition/disposition costs</w:t>
            </w:r>
            <w:r>
              <w:rPr>
                <w:rFonts w:eastAsia="Times New Roman"/>
                <w:color w:val="000000"/>
                <w:sz w:val="16"/>
                <w:szCs w:val="16"/>
              </w:rPr>
              <w:t xml:space="preserve"> </w:t>
            </w:r>
            <w:r>
              <w:rPr>
                <w:rFonts w:eastAsia="Times New Roman"/>
                <w:color w:val="000000"/>
                <w:sz w:val="10"/>
                <w:szCs w:val="10"/>
              </w:rPr>
              <w:t>(2</w:t>
            </w:r>
            <w:r>
              <w:rPr>
                <w:rFonts w:eastAsia="Times New Roman"/>
                <w:color w:val="000000"/>
                <w:sz w:val="10"/>
                <w:szCs w:val="10"/>
              </w:rPr>
              <w:t>)</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162 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190 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vAlign w:val="center"/>
            <w:hideMark/>
          </w:tcPr>
          <w:p w:rsidR="00000000" w:rsidRDefault="0061405A">
            <w:pPr>
              <w:jc w:val="right"/>
              <w:rPr>
                <w:rFonts w:eastAsia="Times New Roman"/>
                <w:sz w:val="20"/>
                <w:szCs w:val="20"/>
              </w:rPr>
            </w:pPr>
          </w:p>
        </w:tc>
        <w:tc>
          <w:tcPr>
            <w:tcW w:w="0" w:type="auto"/>
            <w:gridSpan w:val="3"/>
            <w:vAlign w:val="center"/>
            <w:hideMark/>
          </w:tcPr>
          <w:p w:rsidR="00000000" w:rsidRDefault="0061405A">
            <w:pPr>
              <w:rPr>
                <w:rFonts w:eastAsia="Times New Roman"/>
                <w:sz w:val="20"/>
                <w:szCs w:val="20"/>
              </w:rPr>
            </w:pPr>
          </w:p>
        </w:tc>
      </w:tr>
      <w:tr w:rsidR="00000000">
        <w:trPr>
          <w:divId w:val="1011026960"/>
        </w:trPr>
        <w:tc>
          <w:tcPr>
            <w:tcW w:w="0" w:type="auto"/>
            <w:gridSpan w:val="3"/>
            <w:shd w:val="clear" w:color="auto" w:fill="FFFFFF"/>
            <w:tcMar>
              <w:top w:w="30" w:type="dxa"/>
              <w:left w:w="20" w:type="dxa"/>
              <w:bottom w:w="30" w:type="dxa"/>
              <w:right w:w="20" w:type="dxa"/>
            </w:tcMar>
            <w:vAlign w:val="bottom"/>
            <w:hideMark/>
          </w:tcPr>
          <w:p w:rsidR="00000000" w:rsidRDefault="0061405A">
            <w:pPr>
              <w:divId w:val="2129886258"/>
              <w:rPr>
                <w:rFonts w:eastAsia="Times New Roman"/>
              </w:rPr>
            </w:pPr>
            <w:r>
              <w:rPr>
                <w:rFonts w:eastAsia="Times New Roman"/>
                <w:color w:val="000000"/>
                <w:sz w:val="16"/>
                <w:szCs w:val="16"/>
              </w:rPr>
              <w:t>Loss on extinguishment of debt</w:t>
            </w:r>
            <w:r>
              <w:rPr>
                <w:rFonts w:eastAsia="Times New Roman"/>
                <w:color w:val="000000"/>
                <w:sz w:val="16"/>
                <w:szCs w:val="16"/>
              </w:rPr>
              <w:t xml:space="preserve"> </w:t>
            </w:r>
            <w:r>
              <w:rPr>
                <w:rFonts w:eastAsia="Times New Roman"/>
                <w:color w:val="000000"/>
                <w:sz w:val="10"/>
                <w:szCs w:val="10"/>
              </w:rPr>
              <w:t>(3</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746 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vAlign w:val="center"/>
            <w:hideMark/>
          </w:tcPr>
          <w:p w:rsidR="00000000" w:rsidRDefault="0061405A">
            <w:pPr>
              <w:jc w:val="right"/>
              <w:rPr>
                <w:rFonts w:eastAsia="Times New Roman"/>
                <w:sz w:val="20"/>
                <w:szCs w:val="20"/>
              </w:rPr>
            </w:pPr>
          </w:p>
        </w:tc>
        <w:tc>
          <w:tcPr>
            <w:tcW w:w="0" w:type="auto"/>
            <w:gridSpan w:val="3"/>
            <w:vAlign w:val="center"/>
            <w:hideMark/>
          </w:tcPr>
          <w:p w:rsidR="00000000" w:rsidRDefault="0061405A">
            <w:pPr>
              <w:rPr>
                <w:rFonts w:eastAsia="Times New Roman"/>
                <w:sz w:val="20"/>
                <w:szCs w:val="20"/>
              </w:rPr>
            </w:pPr>
          </w:p>
        </w:tc>
      </w:tr>
      <w:tr w:rsidR="00000000">
        <w:trPr>
          <w:divId w:val="1011026960"/>
        </w:trPr>
        <w:tc>
          <w:tcPr>
            <w:tcW w:w="0" w:type="auto"/>
            <w:gridSpan w:val="3"/>
            <w:shd w:val="clear" w:color="auto" w:fill="CCEEFF"/>
            <w:tcMar>
              <w:top w:w="30" w:type="dxa"/>
              <w:left w:w="20" w:type="dxa"/>
              <w:bottom w:w="30" w:type="dxa"/>
              <w:right w:w="20" w:type="dxa"/>
            </w:tcMar>
            <w:vAlign w:val="bottom"/>
            <w:hideMark/>
          </w:tcPr>
          <w:p w:rsidR="00000000" w:rsidRDefault="0061405A">
            <w:pPr>
              <w:divId w:val="947273842"/>
              <w:rPr>
                <w:rFonts w:eastAsia="Times New Roman"/>
              </w:rPr>
            </w:pPr>
            <w:r>
              <w:rPr>
                <w:rFonts w:eastAsia="Times New Roman"/>
                <w:color w:val="000000"/>
                <w:sz w:val="16"/>
                <w:szCs w:val="16"/>
              </w:rPr>
              <w:t>Severance costs</w:t>
            </w:r>
            <w:r>
              <w:rPr>
                <w:rFonts w:eastAsia="Times New Roman"/>
                <w:color w:val="000000"/>
                <w:sz w:val="16"/>
                <w:szCs w:val="16"/>
              </w:rPr>
              <w:t xml:space="preserve"> </w:t>
            </w:r>
            <w:r>
              <w:rPr>
                <w:rFonts w:eastAsia="Times New Roman"/>
                <w:color w:val="000000"/>
                <w:sz w:val="10"/>
                <w:szCs w:val="10"/>
              </w:rPr>
              <w:t>(4</w:t>
            </w:r>
            <w:r>
              <w:rPr>
                <w:rFonts w:eastAsia="Times New Roman"/>
                <w:color w:val="000000"/>
                <w:sz w:val="10"/>
                <w:szCs w:val="10"/>
              </w:rPr>
              <w:t>)</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536 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522 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vAlign w:val="center"/>
            <w:hideMark/>
          </w:tcPr>
          <w:p w:rsidR="00000000" w:rsidRDefault="0061405A">
            <w:pPr>
              <w:jc w:val="right"/>
              <w:rPr>
                <w:rFonts w:eastAsia="Times New Roman"/>
                <w:sz w:val="20"/>
                <w:szCs w:val="20"/>
              </w:rPr>
            </w:pPr>
          </w:p>
        </w:tc>
        <w:tc>
          <w:tcPr>
            <w:tcW w:w="0" w:type="auto"/>
            <w:gridSpan w:val="3"/>
            <w:vAlign w:val="center"/>
            <w:hideMark/>
          </w:tcPr>
          <w:p w:rsidR="00000000" w:rsidRDefault="0061405A">
            <w:pPr>
              <w:rPr>
                <w:rFonts w:eastAsia="Times New Roman"/>
                <w:sz w:val="20"/>
                <w:szCs w:val="20"/>
              </w:rPr>
            </w:pPr>
          </w:p>
        </w:tc>
      </w:tr>
      <w:tr w:rsidR="00000000">
        <w:trPr>
          <w:divId w:val="1011026960"/>
        </w:trPr>
        <w:tc>
          <w:tcPr>
            <w:tcW w:w="0" w:type="auto"/>
            <w:gridSpan w:val="3"/>
            <w:shd w:val="clear" w:color="auto" w:fill="FFFFFF"/>
            <w:tcMar>
              <w:top w:w="30" w:type="dxa"/>
              <w:left w:w="20" w:type="dxa"/>
              <w:bottom w:w="30" w:type="dxa"/>
              <w:right w:w="20" w:type="dxa"/>
            </w:tcMar>
            <w:vAlign w:val="bottom"/>
            <w:hideMark/>
          </w:tcPr>
          <w:p w:rsidR="00000000" w:rsidRDefault="0061405A">
            <w:pPr>
              <w:divId w:val="1893730845"/>
              <w:rPr>
                <w:rFonts w:eastAsia="Times New Roman"/>
              </w:rPr>
            </w:pPr>
            <w:r>
              <w:rPr>
                <w:rFonts w:eastAsia="Times New Roman"/>
                <w:color w:val="000000"/>
                <w:sz w:val="16"/>
                <w:szCs w:val="16"/>
              </w:rPr>
              <w:t>Stock-based compensation expense</w:t>
            </w:r>
            <w:r>
              <w:rPr>
                <w:rFonts w:eastAsia="Times New Roman"/>
                <w:color w:val="000000"/>
                <w:sz w:val="16"/>
                <w:szCs w:val="16"/>
              </w:rPr>
              <w:t xml:space="preserve"> </w:t>
            </w:r>
            <w:r>
              <w:rPr>
                <w:rFonts w:eastAsia="Times New Roman"/>
                <w:color w:val="000000"/>
                <w:sz w:val="10"/>
                <w:szCs w:val="10"/>
              </w:rPr>
              <w:t>(5</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2,554 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2,443 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vAlign w:val="center"/>
            <w:hideMark/>
          </w:tcPr>
          <w:p w:rsidR="00000000" w:rsidRDefault="0061405A">
            <w:pPr>
              <w:jc w:val="right"/>
              <w:rPr>
                <w:rFonts w:eastAsia="Times New Roman"/>
                <w:sz w:val="20"/>
                <w:szCs w:val="20"/>
              </w:rPr>
            </w:pPr>
          </w:p>
        </w:tc>
        <w:tc>
          <w:tcPr>
            <w:tcW w:w="0" w:type="auto"/>
            <w:gridSpan w:val="3"/>
            <w:vAlign w:val="center"/>
            <w:hideMark/>
          </w:tcPr>
          <w:p w:rsidR="00000000" w:rsidRDefault="0061405A">
            <w:pPr>
              <w:rPr>
                <w:rFonts w:eastAsia="Times New Roman"/>
                <w:sz w:val="20"/>
                <w:szCs w:val="20"/>
              </w:rPr>
            </w:pPr>
          </w:p>
        </w:tc>
      </w:tr>
      <w:tr w:rsidR="00000000">
        <w:trPr>
          <w:divId w:val="1011026960"/>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6"/>
                <w:szCs w:val="16"/>
              </w:rPr>
              <w:t>Adjusted EBITDA</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11,472 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38,427 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vAlign w:val="center"/>
            <w:hideMark/>
          </w:tcPr>
          <w:p w:rsidR="00000000" w:rsidRDefault="0061405A">
            <w:pPr>
              <w:jc w:val="right"/>
              <w:rPr>
                <w:rFonts w:eastAsia="Times New Roman"/>
                <w:sz w:val="20"/>
                <w:szCs w:val="20"/>
              </w:rPr>
            </w:pPr>
          </w:p>
        </w:tc>
        <w:tc>
          <w:tcPr>
            <w:tcW w:w="0" w:type="auto"/>
            <w:gridSpan w:val="3"/>
            <w:vAlign w:val="center"/>
            <w:hideMark/>
          </w:tcPr>
          <w:p w:rsidR="00000000" w:rsidRDefault="0061405A">
            <w:pPr>
              <w:rPr>
                <w:rFonts w:eastAsia="Times New Roman"/>
                <w:sz w:val="20"/>
                <w:szCs w:val="20"/>
              </w:rPr>
            </w:pPr>
          </w:p>
        </w:tc>
      </w:tr>
    </w:tbl>
    <w:p w:rsidR="00000000" w:rsidRDefault="0061405A">
      <w:pPr>
        <w:divId w:val="1418790262"/>
        <w:rPr>
          <w:rFonts w:eastAsia="Times New Roman"/>
        </w:rPr>
      </w:pPr>
      <w:r>
        <w:rPr>
          <w:rFonts w:eastAsia="Times New Roman"/>
          <w:color w:val="000000"/>
          <w:sz w:val="16"/>
          <w:szCs w:val="16"/>
          <w:shd w:val="clear" w:color="auto" w:fill="FFFFFF"/>
        </w:rPr>
        <w:t>_____________</w:t>
      </w:r>
    </w:p>
    <w:p w:rsidR="00000000" w:rsidRDefault="0061405A">
      <w:pPr>
        <w:ind w:hanging="720"/>
        <w:jc w:val="both"/>
        <w:divId w:val="151945157"/>
        <w:rPr>
          <w:rFonts w:eastAsia="Times New Roman"/>
        </w:rPr>
      </w:pPr>
      <w:r>
        <w:rPr>
          <w:rFonts w:eastAsia="Times New Roman"/>
          <w:color w:val="000000"/>
          <w:sz w:val="16"/>
          <w:szCs w:val="16"/>
          <w:shd w:val="clear" w:color="auto" w:fill="FFFFFF"/>
        </w:rPr>
        <w:t>(1)Restaurant impairments and closure costs in all periods presented above include amounts related to restaurants previously impaired or closed. Additionally, 2020 and 2019 include closure costs of six and five restaurants, respectively</w:t>
      </w:r>
      <w:r>
        <w:rPr>
          <w:rFonts w:eastAsia="Times New Roman"/>
          <w:color w:val="000000"/>
          <w:sz w:val="16"/>
          <w:szCs w:val="16"/>
          <w:shd w:val="clear" w:color="auto" w:fill="FFFFFF"/>
        </w:rPr>
        <w:t>. Fiscal year 2020 had $4.1 million of impairment charges and 2019 had $2.6 million of impairment charges and $3.6 million write down of assets for the sale of nine company-owned restaurants to a franchisee that was completed in January of 2020. See Note 6</w:t>
      </w:r>
      <w:r>
        <w:rPr>
          <w:rFonts w:eastAsia="Times New Roman"/>
          <w:color w:val="000000"/>
          <w:sz w:val="16"/>
          <w:szCs w:val="16"/>
          <w:shd w:val="clear" w:color="auto" w:fill="FFFFFF"/>
        </w:rPr>
        <w:t>, Restaurant Impairments, Closure Costs and Asset Disposals.</w:t>
      </w:r>
    </w:p>
    <w:p w:rsidR="00000000" w:rsidRDefault="0061405A">
      <w:pPr>
        <w:ind w:hanging="720"/>
        <w:jc w:val="both"/>
        <w:divId w:val="1723864775"/>
        <w:rPr>
          <w:rFonts w:eastAsia="Times New Roman"/>
        </w:rPr>
      </w:pPr>
      <w:r>
        <w:rPr>
          <w:rFonts w:eastAsia="Times New Roman"/>
          <w:color w:val="000000"/>
          <w:sz w:val="16"/>
          <w:szCs w:val="16"/>
          <w:shd w:val="clear" w:color="auto" w:fill="FFFFFF"/>
        </w:rPr>
        <w:t>(2)Fiscal year 2019 includes expenses related to transaction and acquisition costs related to the purchase of one franchise restaurant and other refranchising costs.</w:t>
      </w:r>
    </w:p>
    <w:p w:rsidR="00000000" w:rsidRDefault="0061405A">
      <w:pPr>
        <w:ind w:hanging="720"/>
        <w:jc w:val="both"/>
        <w:divId w:val="1535383536"/>
        <w:rPr>
          <w:rFonts w:eastAsia="Times New Roman"/>
        </w:rPr>
      </w:pPr>
      <w:r>
        <w:rPr>
          <w:rFonts w:eastAsia="Times New Roman"/>
          <w:color w:val="000000"/>
          <w:sz w:val="16"/>
          <w:szCs w:val="16"/>
          <w:shd w:val="clear" w:color="auto" w:fill="FFFFFF"/>
        </w:rPr>
        <w:t>(3)</w:t>
      </w:r>
      <w:r>
        <w:rPr>
          <w:rFonts w:eastAsia="Times New Roman"/>
          <w:color w:val="000000"/>
          <w:sz w:val="16"/>
          <w:szCs w:val="16"/>
          <w:shd w:val="clear" w:color="auto" w:fill="FFFFFF"/>
        </w:rPr>
        <w:t>Fiscal year 2019 includes the loss on extinguishment of debt resulting from writing off certain remaining unamortized debt issuance costs related to our credit facility with U.S. Bank National Association (the “2018 Credit Facility”) which was amended in N</w:t>
      </w:r>
      <w:r>
        <w:rPr>
          <w:rFonts w:eastAsia="Times New Roman"/>
          <w:color w:val="000000"/>
          <w:sz w:val="16"/>
          <w:szCs w:val="16"/>
          <w:shd w:val="clear" w:color="auto" w:fill="FFFFFF"/>
        </w:rPr>
        <w:t>ovember 2019.</w:t>
      </w:r>
    </w:p>
    <w:p w:rsidR="00000000" w:rsidRDefault="0061405A">
      <w:pPr>
        <w:ind w:hanging="720"/>
        <w:jc w:val="both"/>
        <w:divId w:val="1680962092"/>
        <w:rPr>
          <w:rFonts w:eastAsia="Times New Roman"/>
        </w:rPr>
      </w:pPr>
      <w:r>
        <w:rPr>
          <w:rFonts w:eastAsia="Times New Roman"/>
          <w:color w:val="000000"/>
          <w:sz w:val="16"/>
          <w:szCs w:val="16"/>
          <w:shd w:val="clear" w:color="auto" w:fill="FFFFFF"/>
        </w:rPr>
        <w:t xml:space="preserve">(4)Severance costs are related to departmental structural changes and the departure of certain executives. </w:t>
      </w:r>
    </w:p>
    <w:p w:rsidR="00000000" w:rsidRDefault="0061405A">
      <w:pPr>
        <w:ind w:hanging="720"/>
        <w:jc w:val="both"/>
        <w:divId w:val="451092911"/>
        <w:rPr>
          <w:rFonts w:eastAsia="Times New Roman"/>
        </w:rPr>
      </w:pPr>
      <w:r>
        <w:rPr>
          <w:rFonts w:eastAsia="Times New Roman"/>
          <w:color w:val="000000"/>
          <w:sz w:val="16"/>
          <w:szCs w:val="16"/>
          <w:shd w:val="clear" w:color="auto" w:fill="FFFFFF"/>
        </w:rPr>
        <w:t>(5)Fiscal year 2019 includes an adjustment related to the departure of Paul Murphy, our former Executive Chairman.</w:t>
      </w:r>
    </w:p>
    <w:p w:rsidR="00000000" w:rsidRDefault="0061405A">
      <w:pPr>
        <w:jc w:val="both"/>
        <w:divId w:val="1246115301"/>
        <w:rPr>
          <w:rFonts w:eastAsia="Times New Roman"/>
        </w:rPr>
      </w:pPr>
    </w:p>
    <w:p w:rsidR="00000000" w:rsidRDefault="0061405A">
      <w:pPr>
        <w:jc w:val="both"/>
        <w:divId w:val="1008675630"/>
        <w:rPr>
          <w:rFonts w:eastAsia="Times New Roman"/>
        </w:rPr>
      </w:pPr>
    </w:p>
    <w:p w:rsidR="00000000" w:rsidRDefault="0061405A">
      <w:pPr>
        <w:jc w:val="both"/>
        <w:divId w:val="376399962"/>
        <w:rPr>
          <w:rFonts w:eastAsia="Times New Roman"/>
        </w:rPr>
      </w:pPr>
      <w:r>
        <w:rPr>
          <w:rFonts w:eastAsia="Times New Roman"/>
          <w:b/>
          <w:bCs/>
          <w:color w:val="000000"/>
          <w:sz w:val="20"/>
          <w:szCs w:val="20"/>
        </w:rPr>
        <w:t>Key Financial D</w:t>
      </w:r>
      <w:r>
        <w:rPr>
          <w:rFonts w:eastAsia="Times New Roman"/>
          <w:b/>
          <w:bCs/>
          <w:color w:val="000000"/>
          <w:sz w:val="20"/>
          <w:szCs w:val="20"/>
        </w:rPr>
        <w:t>efinitions</w:t>
      </w:r>
    </w:p>
    <w:p w:rsidR="00000000" w:rsidRDefault="0061405A">
      <w:pPr>
        <w:jc w:val="both"/>
        <w:divId w:val="1629701227"/>
        <w:rPr>
          <w:rFonts w:eastAsia="Times New Roman"/>
        </w:rPr>
      </w:pPr>
      <w:r>
        <w:rPr>
          <w:rFonts w:eastAsia="Times New Roman"/>
          <w:b/>
          <w:bCs/>
          <w:i/>
          <w:iCs/>
          <w:color w:val="000000"/>
          <w:sz w:val="20"/>
          <w:szCs w:val="20"/>
        </w:rPr>
        <w:t>Cost of Sales</w:t>
      </w:r>
    </w:p>
    <w:p w:rsidR="00000000" w:rsidRDefault="0061405A">
      <w:pPr>
        <w:jc w:val="both"/>
        <w:divId w:val="1783649958"/>
        <w:rPr>
          <w:rFonts w:eastAsia="Times New Roman"/>
        </w:rPr>
      </w:pPr>
      <w:r>
        <w:rPr>
          <w:rFonts w:eastAsia="Times New Roman"/>
          <w:color w:val="000000"/>
          <w:sz w:val="20"/>
          <w:szCs w:val="20"/>
        </w:rPr>
        <w:t>Cost of sales includes the direct costs associated with the food, beverage and packaging of our menu items. Cost of sales also includes any costs related to discounted menu items. Cost of sales is a substantial expense and can be e</w:t>
      </w:r>
      <w:r>
        <w:rPr>
          <w:rFonts w:eastAsia="Times New Roman"/>
          <w:color w:val="000000"/>
          <w:sz w:val="20"/>
          <w:szCs w:val="20"/>
        </w:rPr>
        <w:t>xpected to change proportionally as our restaurant revenue changes. Fluctuations in cost of sales are caused primarily by volatility in the cost of commodity food items and related contracts for such items. Other important factors causing fluctuations in c</w:t>
      </w:r>
      <w:r>
        <w:rPr>
          <w:rFonts w:eastAsia="Times New Roman"/>
          <w:color w:val="000000"/>
          <w:sz w:val="20"/>
          <w:szCs w:val="20"/>
        </w:rPr>
        <w:t>ost of sales include seasonality, discounting activity and restaurant level management of food waste.</w:t>
      </w:r>
    </w:p>
    <w:p w:rsidR="00000000" w:rsidRDefault="0061405A">
      <w:pPr>
        <w:jc w:val="both"/>
        <w:divId w:val="980501744"/>
        <w:rPr>
          <w:rFonts w:eastAsia="Times New Roman"/>
        </w:rPr>
      </w:pPr>
      <w:r>
        <w:rPr>
          <w:rFonts w:eastAsia="Times New Roman"/>
          <w:b/>
          <w:bCs/>
          <w:i/>
          <w:iCs/>
          <w:color w:val="000000"/>
          <w:sz w:val="20"/>
          <w:szCs w:val="20"/>
        </w:rPr>
        <w:t>Labor Costs</w:t>
      </w:r>
    </w:p>
    <w:p w:rsidR="00000000" w:rsidRDefault="0061405A">
      <w:pPr>
        <w:jc w:val="both"/>
        <w:divId w:val="1065033977"/>
        <w:rPr>
          <w:rFonts w:eastAsia="Times New Roman"/>
        </w:rPr>
      </w:pPr>
      <w:r>
        <w:rPr>
          <w:rFonts w:eastAsia="Times New Roman"/>
          <w:color w:val="000000"/>
          <w:sz w:val="20"/>
          <w:szCs w:val="20"/>
        </w:rPr>
        <w:t>Labor costs include wages, payroll taxes, workers’ compensation expense, benefits and incentives paid to our restaurant teams. Similar to cert</w:t>
      </w:r>
      <w:r>
        <w:rPr>
          <w:rFonts w:eastAsia="Times New Roman"/>
          <w:color w:val="000000"/>
          <w:sz w:val="20"/>
          <w:szCs w:val="20"/>
        </w:rPr>
        <w:t>ain other expense items, we expect labor costs to change proportionally as our restaurant revenue changes. Factors that influence fluctuations in our labor costs include minimum wage and payroll tax legislation, the frequency and severity of workers’ compe</w:t>
      </w:r>
      <w:r>
        <w:rPr>
          <w:rFonts w:eastAsia="Times New Roman"/>
          <w:color w:val="000000"/>
          <w:sz w:val="20"/>
          <w:szCs w:val="20"/>
        </w:rPr>
        <w:t>nsation claims, health care costs and the performance of our restaurants.</w:t>
      </w:r>
    </w:p>
    <w:p w:rsidR="00000000" w:rsidRDefault="0061405A">
      <w:pPr>
        <w:jc w:val="both"/>
        <w:divId w:val="102656338"/>
        <w:rPr>
          <w:rFonts w:eastAsia="Times New Roman"/>
        </w:rPr>
      </w:pPr>
      <w:r>
        <w:rPr>
          <w:rFonts w:eastAsia="Times New Roman"/>
          <w:b/>
          <w:bCs/>
          <w:i/>
          <w:iCs/>
          <w:color w:val="000000"/>
          <w:sz w:val="20"/>
          <w:szCs w:val="20"/>
        </w:rPr>
        <w:t>Occupancy Costs</w:t>
      </w:r>
    </w:p>
    <w:p w:rsidR="00000000" w:rsidRDefault="0061405A">
      <w:pPr>
        <w:jc w:val="both"/>
        <w:divId w:val="396780131"/>
        <w:rPr>
          <w:rFonts w:eastAsia="Times New Roman"/>
        </w:rPr>
      </w:pPr>
      <w:r>
        <w:rPr>
          <w:rFonts w:eastAsia="Times New Roman"/>
          <w:color w:val="000000"/>
          <w:sz w:val="20"/>
          <w:szCs w:val="20"/>
        </w:rPr>
        <w:t>Occupancy costs include rent, common area maintenance charges and real estate tax expense related to our restaurants and are expected to grow proportionally as we ope</w:t>
      </w:r>
      <w:r>
        <w:rPr>
          <w:rFonts w:eastAsia="Times New Roman"/>
          <w:color w:val="000000"/>
          <w:sz w:val="20"/>
          <w:szCs w:val="20"/>
        </w:rPr>
        <w:t>n new restaurants.</w:t>
      </w:r>
    </w:p>
    <w:p w:rsidR="00000000" w:rsidRDefault="0061405A">
      <w:pPr>
        <w:jc w:val="both"/>
        <w:divId w:val="58133642"/>
        <w:rPr>
          <w:rFonts w:eastAsia="Times New Roman"/>
        </w:rPr>
      </w:pPr>
      <w:r>
        <w:rPr>
          <w:rFonts w:eastAsia="Times New Roman"/>
          <w:b/>
          <w:bCs/>
          <w:i/>
          <w:iCs/>
          <w:color w:val="000000"/>
          <w:sz w:val="20"/>
          <w:szCs w:val="20"/>
        </w:rPr>
        <w:t>Other Restaurant Operating Costs</w:t>
      </w:r>
    </w:p>
    <w:p w:rsidR="00000000" w:rsidRDefault="0061405A">
      <w:pPr>
        <w:jc w:val="both"/>
        <w:divId w:val="366570388"/>
        <w:rPr>
          <w:rFonts w:eastAsia="Times New Roman"/>
        </w:rPr>
      </w:pPr>
      <w:r>
        <w:rPr>
          <w:rFonts w:eastAsia="Times New Roman"/>
          <w:color w:val="000000"/>
          <w:sz w:val="20"/>
          <w:szCs w:val="20"/>
        </w:rPr>
        <w:t xml:space="preserve">Other restaurant operating costs include the costs of repairs and maintenance, utilities, restaurant-level marketing, credit card processing fees, third-party delivery fees, restaurant supplies and other </w:t>
      </w:r>
      <w:r>
        <w:rPr>
          <w:rFonts w:eastAsia="Times New Roman"/>
          <w:color w:val="000000"/>
          <w:sz w:val="20"/>
          <w:szCs w:val="20"/>
        </w:rPr>
        <w:t>restaurant operating costs. Similar to certain other costs, they are expected to grow proportionally as restaurant revenue grows.</w:t>
      </w:r>
    </w:p>
    <w:p w:rsidR="00000000" w:rsidRDefault="0061405A">
      <w:pPr>
        <w:jc w:val="center"/>
        <w:divId w:val="1037704938"/>
        <w:rPr>
          <w:rFonts w:eastAsia="Times New Roman"/>
        </w:rPr>
      </w:pPr>
      <w:r>
        <w:rPr>
          <w:rFonts w:eastAsia="Times New Roman"/>
          <w:color w:val="000000"/>
          <w:sz w:val="20"/>
          <w:szCs w:val="20"/>
        </w:rPr>
        <w:t>34</w:t>
      </w:r>
    </w:p>
    <w:p w:rsidR="00000000" w:rsidRDefault="0061405A">
      <w:pPr>
        <w:rPr>
          <w:rFonts w:eastAsia="Times New Roman"/>
        </w:rPr>
      </w:pPr>
      <w:r>
        <w:rPr>
          <w:rFonts w:eastAsia="Times New Roman"/>
        </w:rPr>
        <w:pict>
          <v:rect id="_x0000_i1061" style="width:0;height:1.5pt" o:hralign="center" o:hrstd="t" o:hr="t" fillcolor="#a0a0a0" stroked="f"/>
        </w:pict>
      </w:r>
    </w:p>
    <w:p w:rsidR="00000000" w:rsidRDefault="0061405A">
      <w:pPr>
        <w:divId w:val="1023897342"/>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both"/>
        <w:divId w:val="1446926116"/>
        <w:rPr>
          <w:rFonts w:eastAsia="Times New Roman"/>
        </w:rPr>
      </w:pPr>
      <w:r>
        <w:rPr>
          <w:rFonts w:eastAsia="Times New Roman"/>
          <w:b/>
          <w:bCs/>
          <w:i/>
          <w:iCs/>
          <w:color w:val="000000"/>
          <w:sz w:val="20"/>
          <w:szCs w:val="20"/>
        </w:rPr>
        <w:t>General and Administrative Expense</w:t>
      </w:r>
    </w:p>
    <w:p w:rsidR="00000000" w:rsidRDefault="0061405A">
      <w:pPr>
        <w:jc w:val="both"/>
        <w:divId w:val="308829443"/>
        <w:rPr>
          <w:rFonts w:eastAsia="Times New Roman"/>
        </w:rPr>
      </w:pPr>
      <w:r>
        <w:rPr>
          <w:rFonts w:eastAsia="Times New Roman"/>
          <w:color w:val="000000"/>
          <w:sz w:val="20"/>
          <w:szCs w:val="20"/>
        </w:rPr>
        <w:t>General and administrative expense is composed of payroll, other compensation, travel, marketing, accounting and legal fees, insurance and other expenses related to the infrastructure req</w:t>
      </w:r>
      <w:r>
        <w:rPr>
          <w:rFonts w:eastAsia="Times New Roman"/>
          <w:color w:val="000000"/>
          <w:sz w:val="20"/>
          <w:szCs w:val="20"/>
        </w:rPr>
        <w:t xml:space="preserve">uired to support our restaurants. General and administrative expense also includes the non-cash stock compensation expense related to our stock incentive plan. </w:t>
      </w:r>
    </w:p>
    <w:p w:rsidR="00000000" w:rsidRDefault="0061405A">
      <w:pPr>
        <w:jc w:val="both"/>
        <w:divId w:val="1846480575"/>
        <w:rPr>
          <w:rFonts w:eastAsia="Times New Roman"/>
        </w:rPr>
      </w:pPr>
      <w:r>
        <w:rPr>
          <w:rFonts w:eastAsia="Times New Roman"/>
          <w:b/>
          <w:bCs/>
          <w:i/>
          <w:iCs/>
          <w:color w:val="000000"/>
          <w:sz w:val="20"/>
          <w:szCs w:val="20"/>
        </w:rPr>
        <w:t>Depreciation and Amortization</w:t>
      </w:r>
    </w:p>
    <w:p w:rsidR="00000000" w:rsidRDefault="0061405A">
      <w:pPr>
        <w:jc w:val="both"/>
        <w:divId w:val="1042439653"/>
        <w:rPr>
          <w:rFonts w:eastAsia="Times New Roman"/>
        </w:rPr>
      </w:pPr>
      <w:r>
        <w:rPr>
          <w:rFonts w:eastAsia="Times New Roman"/>
          <w:color w:val="000000"/>
          <w:sz w:val="20"/>
          <w:szCs w:val="20"/>
        </w:rPr>
        <w:t>Our principal depreciation and amortization charges relate to dep</w:t>
      </w:r>
      <w:r>
        <w:rPr>
          <w:rFonts w:eastAsia="Times New Roman"/>
          <w:color w:val="000000"/>
          <w:sz w:val="20"/>
          <w:szCs w:val="20"/>
        </w:rPr>
        <w:t>reciation of long-lived assets, such as property, equipment and leasehold improvements, from restaurant construction and ongoing maintenance.</w:t>
      </w:r>
    </w:p>
    <w:p w:rsidR="00000000" w:rsidRDefault="0061405A">
      <w:pPr>
        <w:jc w:val="both"/>
        <w:divId w:val="722757434"/>
        <w:rPr>
          <w:rFonts w:eastAsia="Times New Roman"/>
        </w:rPr>
      </w:pPr>
      <w:r>
        <w:rPr>
          <w:rFonts w:eastAsia="Times New Roman"/>
          <w:b/>
          <w:bCs/>
          <w:i/>
          <w:iCs/>
          <w:color w:val="000000"/>
          <w:sz w:val="20"/>
          <w:szCs w:val="20"/>
        </w:rPr>
        <w:t>Pre-Opening Costs</w:t>
      </w:r>
    </w:p>
    <w:p w:rsidR="00000000" w:rsidRDefault="0061405A">
      <w:pPr>
        <w:jc w:val="both"/>
        <w:divId w:val="980812012"/>
        <w:rPr>
          <w:rFonts w:eastAsia="Times New Roman"/>
        </w:rPr>
      </w:pPr>
      <w:r>
        <w:rPr>
          <w:rFonts w:eastAsia="Times New Roman"/>
          <w:color w:val="000000"/>
          <w:sz w:val="20"/>
          <w:szCs w:val="20"/>
        </w:rPr>
        <w:t>Pre-opening costs relate to the costs incurred prior to the opening of a restaurant. These inclu</w:t>
      </w:r>
      <w:r>
        <w:rPr>
          <w:rFonts w:eastAsia="Times New Roman"/>
          <w:color w:val="000000"/>
          <w:sz w:val="20"/>
          <w:szCs w:val="20"/>
        </w:rPr>
        <w:t xml:space="preserve">de management labor costs, staff labor costs during training, food and supplies utilized during training, marketing costs and other pre-opening related costs. Pre-opening costs also include rent recorded between the date of possession and the opening date </w:t>
      </w:r>
      <w:r>
        <w:rPr>
          <w:rFonts w:eastAsia="Times New Roman"/>
          <w:color w:val="000000"/>
          <w:sz w:val="20"/>
          <w:szCs w:val="20"/>
        </w:rPr>
        <w:t>for our restaurants.</w:t>
      </w:r>
    </w:p>
    <w:p w:rsidR="00000000" w:rsidRDefault="0061405A">
      <w:pPr>
        <w:jc w:val="both"/>
        <w:divId w:val="1686665359"/>
        <w:rPr>
          <w:rFonts w:eastAsia="Times New Roman"/>
        </w:rPr>
      </w:pPr>
      <w:r>
        <w:rPr>
          <w:rFonts w:eastAsia="Times New Roman"/>
          <w:b/>
          <w:bCs/>
          <w:i/>
          <w:iCs/>
          <w:color w:val="000000"/>
          <w:sz w:val="20"/>
          <w:szCs w:val="20"/>
        </w:rPr>
        <w:t>Restaurant Impairments, Closure Costs and Asset Disposals</w:t>
      </w:r>
    </w:p>
    <w:p w:rsidR="00000000" w:rsidRDefault="0061405A">
      <w:pPr>
        <w:jc w:val="both"/>
        <w:divId w:val="614335694"/>
        <w:rPr>
          <w:rFonts w:eastAsia="Times New Roman"/>
        </w:rPr>
      </w:pPr>
      <w:r>
        <w:rPr>
          <w:rFonts w:eastAsia="Times New Roman"/>
          <w:color w:val="000000"/>
          <w:sz w:val="20"/>
          <w:szCs w:val="20"/>
        </w:rPr>
        <w:t>Restaurant impairments, closure costs and asset disposals include the net gain or loss on disposal of long-lived assets related to retirements and replacement of equipment or le</w:t>
      </w:r>
      <w:r>
        <w:rPr>
          <w:rFonts w:eastAsia="Times New Roman"/>
          <w:color w:val="000000"/>
          <w:sz w:val="20"/>
          <w:szCs w:val="20"/>
        </w:rPr>
        <w:t>asehold improvements, restaurant closures and impairment charges.</w:t>
      </w:r>
    </w:p>
    <w:p w:rsidR="00000000" w:rsidRDefault="0061405A">
      <w:pPr>
        <w:jc w:val="both"/>
        <w:divId w:val="1297299160"/>
        <w:rPr>
          <w:rFonts w:eastAsia="Times New Roman"/>
        </w:rPr>
      </w:pPr>
      <w:r>
        <w:rPr>
          <w:rFonts w:eastAsia="Times New Roman"/>
          <w:b/>
          <w:bCs/>
          <w:i/>
          <w:iCs/>
          <w:color w:val="000000"/>
          <w:sz w:val="20"/>
          <w:szCs w:val="20"/>
        </w:rPr>
        <w:t>Interest Expense</w:t>
      </w:r>
    </w:p>
    <w:p w:rsidR="00000000" w:rsidRDefault="0061405A">
      <w:pPr>
        <w:jc w:val="both"/>
        <w:divId w:val="623998182"/>
        <w:rPr>
          <w:rFonts w:eastAsia="Times New Roman"/>
        </w:rPr>
      </w:pPr>
      <w:r>
        <w:rPr>
          <w:rFonts w:eastAsia="Times New Roman"/>
          <w:color w:val="000000"/>
          <w:sz w:val="20"/>
          <w:szCs w:val="20"/>
        </w:rPr>
        <w:t>Interest expense consists primarily of interest on our outstanding indebtedness and amortization of debt issuance costs over the life of the related debt reduced by capitali</w:t>
      </w:r>
      <w:r>
        <w:rPr>
          <w:rFonts w:eastAsia="Times New Roman"/>
          <w:color w:val="000000"/>
          <w:sz w:val="20"/>
          <w:szCs w:val="20"/>
        </w:rPr>
        <w:t>zed interest.</w:t>
      </w:r>
    </w:p>
    <w:p w:rsidR="00000000" w:rsidRDefault="0061405A">
      <w:pPr>
        <w:jc w:val="both"/>
        <w:divId w:val="1390570812"/>
        <w:rPr>
          <w:rFonts w:eastAsia="Times New Roman"/>
        </w:rPr>
      </w:pPr>
      <w:r>
        <w:rPr>
          <w:rFonts w:eastAsia="Times New Roman"/>
          <w:b/>
          <w:bCs/>
          <w:i/>
          <w:iCs/>
          <w:color w:val="000000"/>
          <w:sz w:val="20"/>
          <w:szCs w:val="20"/>
        </w:rPr>
        <w:t>Provision (Benefit) for Income Taxes</w:t>
      </w:r>
    </w:p>
    <w:p w:rsidR="00000000" w:rsidRDefault="0061405A">
      <w:pPr>
        <w:jc w:val="both"/>
        <w:divId w:val="749430051"/>
        <w:rPr>
          <w:rFonts w:eastAsia="Times New Roman"/>
        </w:rPr>
      </w:pPr>
      <w:r>
        <w:rPr>
          <w:rFonts w:eastAsia="Times New Roman"/>
          <w:color w:val="000000"/>
          <w:sz w:val="20"/>
          <w:szCs w:val="20"/>
        </w:rPr>
        <w:t>Provision (benefit) for income taxes consists of federal, state and local taxes on our income.</w:t>
      </w:r>
    </w:p>
    <w:p w:rsidR="00000000" w:rsidRDefault="0061405A">
      <w:pPr>
        <w:jc w:val="center"/>
        <w:divId w:val="399593763"/>
        <w:rPr>
          <w:rFonts w:eastAsia="Times New Roman"/>
        </w:rPr>
      </w:pPr>
      <w:r>
        <w:rPr>
          <w:rFonts w:eastAsia="Times New Roman"/>
          <w:color w:val="000000"/>
          <w:sz w:val="20"/>
          <w:szCs w:val="20"/>
        </w:rPr>
        <w:t>35</w:t>
      </w:r>
    </w:p>
    <w:p w:rsidR="00000000" w:rsidRDefault="0061405A">
      <w:pPr>
        <w:rPr>
          <w:rFonts w:eastAsia="Times New Roman"/>
        </w:rPr>
      </w:pPr>
      <w:r>
        <w:rPr>
          <w:rFonts w:eastAsia="Times New Roman"/>
        </w:rPr>
        <w:pict>
          <v:rect id="_x0000_i1062" style="width:0;height:1.5pt" o:hralign="center" o:hrstd="t" o:hr="t" fillcolor="#a0a0a0" stroked="f"/>
        </w:pict>
      </w:r>
    </w:p>
    <w:p w:rsidR="00000000" w:rsidRDefault="0061405A">
      <w:pPr>
        <w:divId w:val="13306805"/>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both"/>
        <w:divId w:val="1137842193"/>
        <w:rPr>
          <w:rFonts w:eastAsia="Times New Roman"/>
        </w:rPr>
      </w:pPr>
      <w:r>
        <w:rPr>
          <w:rFonts w:eastAsia="Times New Roman"/>
          <w:b/>
          <w:bCs/>
          <w:i/>
          <w:iCs/>
          <w:color w:val="000000"/>
          <w:sz w:val="20"/>
          <w:szCs w:val="20"/>
        </w:rPr>
        <w:t>Restaurant Openings, Closures and Relocations</w:t>
      </w:r>
    </w:p>
    <w:p w:rsidR="00000000" w:rsidRDefault="0061405A">
      <w:pPr>
        <w:jc w:val="both"/>
        <w:rPr>
          <w:rFonts w:eastAsia="Times New Roman"/>
        </w:rPr>
      </w:pPr>
      <w:r>
        <w:rPr>
          <w:rFonts w:eastAsia="Times New Roman"/>
          <w:color w:val="000000"/>
          <w:sz w:val="20"/>
          <w:szCs w:val="20"/>
        </w:rPr>
        <w:t>The following table shows restaurants opened or closed in the years indicated:</w:t>
      </w:r>
    </w:p>
    <w:tbl>
      <w:tblPr>
        <w:tblW w:w="5000" w:type="pct"/>
        <w:tblCellMar>
          <w:top w:w="15" w:type="dxa"/>
          <w:left w:w="15" w:type="dxa"/>
          <w:bottom w:w="15" w:type="dxa"/>
          <w:right w:w="15" w:type="dxa"/>
        </w:tblCellMar>
        <w:tblLook w:val="04A0" w:firstRow="1" w:lastRow="0" w:firstColumn="1" w:lastColumn="0" w:noHBand="0" w:noVBand="1"/>
      </w:tblPr>
      <w:tblGrid>
        <w:gridCol w:w="56"/>
        <w:gridCol w:w="5887"/>
        <w:gridCol w:w="36"/>
        <w:gridCol w:w="36"/>
        <w:gridCol w:w="36"/>
        <w:gridCol w:w="36"/>
        <w:gridCol w:w="39"/>
        <w:gridCol w:w="870"/>
        <w:gridCol w:w="37"/>
        <w:gridCol w:w="37"/>
        <w:gridCol w:w="37"/>
        <w:gridCol w:w="37"/>
        <w:gridCol w:w="38"/>
        <w:gridCol w:w="872"/>
        <w:gridCol w:w="36"/>
        <w:gridCol w:w="36"/>
        <w:gridCol w:w="36"/>
        <w:gridCol w:w="36"/>
        <w:gridCol w:w="36"/>
        <w:gridCol w:w="36"/>
        <w:gridCol w:w="36"/>
      </w:tblGrid>
      <w:tr w:rsidR="00000000">
        <w:trPr>
          <w:divId w:val="74207217"/>
        </w:trPr>
        <w:tc>
          <w:tcPr>
            <w:tcW w:w="50" w:type="pct"/>
            <w:vAlign w:val="center"/>
            <w:hideMark/>
          </w:tcPr>
          <w:p w:rsidR="00000000" w:rsidRDefault="0061405A">
            <w:pPr>
              <w:jc w:val="both"/>
              <w:rPr>
                <w:rFonts w:eastAsia="Times New Roman"/>
              </w:rPr>
            </w:pPr>
          </w:p>
        </w:tc>
        <w:tc>
          <w:tcPr>
            <w:tcW w:w="3651"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5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5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0" w:type="auto"/>
            <w:gridSpan w:val="3"/>
            <w:vAlign w:val="center"/>
            <w:hideMark/>
          </w:tcPr>
          <w:p w:rsidR="00000000" w:rsidRDefault="0061405A">
            <w:pPr>
              <w:rPr>
                <w:rFonts w:eastAsia="Times New Roman"/>
                <w:sz w:val="20"/>
                <w:szCs w:val="20"/>
              </w:rPr>
            </w:pPr>
          </w:p>
        </w:tc>
        <w:tc>
          <w:tcPr>
            <w:tcW w:w="0" w:type="auto"/>
            <w:gridSpan w:val="3"/>
            <w:vAlign w:val="center"/>
            <w:hideMark/>
          </w:tcPr>
          <w:p w:rsidR="00000000" w:rsidRDefault="0061405A">
            <w:pPr>
              <w:rPr>
                <w:rFonts w:eastAsia="Times New Roman"/>
                <w:sz w:val="20"/>
                <w:szCs w:val="20"/>
              </w:rPr>
            </w:pPr>
          </w:p>
        </w:tc>
      </w:tr>
      <w:tr w:rsidR="00000000">
        <w:trPr>
          <w:divId w:val="74207217"/>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9"/>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Fiscal Year</w:t>
            </w:r>
          </w:p>
        </w:tc>
        <w:tc>
          <w:tcPr>
            <w:tcW w:w="0" w:type="auto"/>
            <w:vAlign w:val="center"/>
            <w:hideMark/>
          </w:tcPr>
          <w:p w:rsidR="00000000" w:rsidRDefault="0061405A">
            <w:pPr>
              <w:rPr>
                <w:rFonts w:eastAsia="Times New Roman"/>
                <w:sz w:val="20"/>
                <w:szCs w:val="20"/>
              </w:rPr>
            </w:pPr>
          </w:p>
        </w:tc>
        <w:tc>
          <w:tcPr>
            <w:tcW w:w="0" w:type="auto"/>
            <w:vAlign w:val="center"/>
            <w:hideMark/>
          </w:tcPr>
          <w:p w:rsidR="00000000" w:rsidRDefault="0061405A">
            <w:pPr>
              <w:rPr>
                <w:rFonts w:eastAsia="Times New Roman"/>
                <w:sz w:val="20"/>
                <w:szCs w:val="20"/>
              </w:rPr>
            </w:pPr>
          </w:p>
        </w:tc>
        <w:tc>
          <w:tcPr>
            <w:tcW w:w="0" w:type="auto"/>
            <w:vAlign w:val="center"/>
            <w:hideMark/>
          </w:tcPr>
          <w:p w:rsidR="00000000" w:rsidRDefault="0061405A">
            <w:pPr>
              <w:rPr>
                <w:rFonts w:eastAsia="Times New Roman"/>
                <w:sz w:val="20"/>
                <w:szCs w:val="20"/>
              </w:rPr>
            </w:pPr>
          </w:p>
        </w:tc>
        <w:tc>
          <w:tcPr>
            <w:tcW w:w="0" w:type="auto"/>
            <w:vAlign w:val="center"/>
            <w:hideMark/>
          </w:tcPr>
          <w:p w:rsidR="00000000" w:rsidRDefault="0061405A">
            <w:pPr>
              <w:rPr>
                <w:rFonts w:eastAsia="Times New Roman"/>
                <w:sz w:val="20"/>
                <w:szCs w:val="20"/>
              </w:rPr>
            </w:pPr>
          </w:p>
        </w:tc>
        <w:tc>
          <w:tcPr>
            <w:tcW w:w="0" w:type="auto"/>
            <w:vAlign w:val="center"/>
            <w:hideMark/>
          </w:tcPr>
          <w:p w:rsidR="00000000" w:rsidRDefault="0061405A">
            <w:pPr>
              <w:rPr>
                <w:rFonts w:eastAsia="Times New Roman"/>
                <w:sz w:val="20"/>
                <w:szCs w:val="20"/>
              </w:rPr>
            </w:pPr>
          </w:p>
        </w:tc>
        <w:tc>
          <w:tcPr>
            <w:tcW w:w="0" w:type="auto"/>
            <w:vAlign w:val="center"/>
            <w:hideMark/>
          </w:tcPr>
          <w:p w:rsidR="00000000" w:rsidRDefault="0061405A">
            <w:pPr>
              <w:rPr>
                <w:rFonts w:eastAsia="Times New Roman"/>
                <w:sz w:val="20"/>
                <w:szCs w:val="20"/>
              </w:rPr>
            </w:pPr>
          </w:p>
        </w:tc>
      </w:tr>
      <w:tr w:rsidR="00000000">
        <w:trPr>
          <w:divId w:val="74207217"/>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2019</w:t>
            </w:r>
          </w:p>
        </w:tc>
        <w:tc>
          <w:tcPr>
            <w:tcW w:w="0" w:type="auto"/>
            <w:gridSpan w:val="3"/>
            <w:vAlign w:val="center"/>
            <w:hideMark/>
          </w:tcPr>
          <w:p w:rsidR="00000000" w:rsidRDefault="0061405A">
            <w:pPr>
              <w:jc w:val="center"/>
              <w:rPr>
                <w:rFonts w:eastAsia="Times New Roman"/>
              </w:rPr>
            </w:pPr>
          </w:p>
        </w:tc>
        <w:tc>
          <w:tcPr>
            <w:tcW w:w="0" w:type="auto"/>
            <w:gridSpan w:val="3"/>
            <w:vAlign w:val="center"/>
            <w:hideMark/>
          </w:tcPr>
          <w:p w:rsidR="00000000" w:rsidRDefault="0061405A">
            <w:pPr>
              <w:rPr>
                <w:rFonts w:eastAsia="Times New Roman"/>
                <w:sz w:val="20"/>
                <w:szCs w:val="20"/>
              </w:rPr>
            </w:pPr>
          </w:p>
        </w:tc>
      </w:tr>
      <w:tr w:rsidR="00000000">
        <w:trPr>
          <w:divId w:val="74207217"/>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20"/>
                <w:szCs w:val="20"/>
              </w:rPr>
              <w:t>Company-Owned Restaurants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 </w:t>
            </w:r>
          </w:p>
        </w:tc>
        <w:tc>
          <w:tcPr>
            <w:tcW w:w="0" w:type="auto"/>
            <w:gridSpan w:val="3"/>
            <w:vAlign w:val="center"/>
            <w:hideMark/>
          </w:tcPr>
          <w:p w:rsidR="00000000" w:rsidRDefault="0061405A">
            <w:pPr>
              <w:rPr>
                <w:rFonts w:eastAsia="Times New Roman"/>
              </w:rPr>
            </w:pPr>
          </w:p>
        </w:tc>
        <w:tc>
          <w:tcPr>
            <w:tcW w:w="0" w:type="auto"/>
            <w:gridSpan w:val="3"/>
            <w:vAlign w:val="center"/>
            <w:hideMark/>
          </w:tcPr>
          <w:p w:rsidR="00000000" w:rsidRDefault="0061405A">
            <w:pPr>
              <w:rPr>
                <w:rFonts w:eastAsia="Times New Roman"/>
                <w:sz w:val="20"/>
                <w:szCs w:val="20"/>
              </w:rPr>
            </w:pPr>
          </w:p>
        </w:tc>
      </w:tr>
      <w:tr w:rsidR="00000000">
        <w:trPr>
          <w:divId w:val="74207217"/>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Beginning of period</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389 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394 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vAlign w:val="center"/>
            <w:hideMark/>
          </w:tcPr>
          <w:p w:rsidR="00000000" w:rsidRDefault="0061405A">
            <w:pPr>
              <w:jc w:val="right"/>
              <w:rPr>
                <w:rFonts w:eastAsia="Times New Roman"/>
                <w:sz w:val="20"/>
                <w:szCs w:val="20"/>
              </w:rPr>
            </w:pPr>
          </w:p>
        </w:tc>
        <w:tc>
          <w:tcPr>
            <w:tcW w:w="0" w:type="auto"/>
            <w:gridSpan w:val="3"/>
            <w:vAlign w:val="center"/>
            <w:hideMark/>
          </w:tcPr>
          <w:p w:rsidR="00000000" w:rsidRDefault="0061405A">
            <w:pPr>
              <w:rPr>
                <w:rFonts w:eastAsia="Times New Roman"/>
                <w:sz w:val="20"/>
                <w:szCs w:val="20"/>
              </w:rPr>
            </w:pPr>
          </w:p>
        </w:tc>
      </w:tr>
      <w:tr w:rsidR="00000000">
        <w:trPr>
          <w:divId w:val="74207217"/>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Openings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vAlign w:val="center"/>
            <w:hideMark/>
          </w:tcPr>
          <w:p w:rsidR="00000000" w:rsidRDefault="0061405A">
            <w:pPr>
              <w:jc w:val="right"/>
              <w:rPr>
                <w:rFonts w:eastAsia="Times New Roman"/>
                <w:sz w:val="20"/>
                <w:szCs w:val="20"/>
              </w:rPr>
            </w:pPr>
          </w:p>
        </w:tc>
        <w:tc>
          <w:tcPr>
            <w:tcW w:w="0" w:type="auto"/>
            <w:gridSpan w:val="3"/>
            <w:vAlign w:val="center"/>
            <w:hideMark/>
          </w:tcPr>
          <w:p w:rsidR="00000000" w:rsidRDefault="0061405A">
            <w:pPr>
              <w:rPr>
                <w:rFonts w:eastAsia="Times New Roman"/>
                <w:sz w:val="20"/>
                <w:szCs w:val="20"/>
              </w:rPr>
            </w:pPr>
          </w:p>
        </w:tc>
      </w:tr>
      <w:tr w:rsidR="00000000">
        <w:trPr>
          <w:divId w:val="74207217"/>
        </w:trPr>
        <w:tc>
          <w:tcPr>
            <w:tcW w:w="0" w:type="auto"/>
            <w:gridSpan w:val="3"/>
            <w:shd w:val="clear" w:color="auto" w:fill="FFFFFF"/>
            <w:tcMar>
              <w:top w:w="30" w:type="dxa"/>
              <w:left w:w="20" w:type="dxa"/>
              <w:bottom w:w="30" w:type="dxa"/>
              <w:right w:w="20" w:type="dxa"/>
            </w:tcMar>
            <w:vAlign w:val="bottom"/>
            <w:hideMark/>
          </w:tcPr>
          <w:p w:rsidR="00000000" w:rsidRDefault="0061405A">
            <w:pPr>
              <w:divId w:val="1304895059"/>
              <w:rPr>
                <w:rFonts w:eastAsia="Times New Roman"/>
              </w:rPr>
            </w:pPr>
            <w:r>
              <w:rPr>
                <w:rFonts w:eastAsia="Times New Roman"/>
                <w:color w:val="000000"/>
                <w:sz w:val="20"/>
                <w:szCs w:val="20"/>
              </w:rPr>
              <w:t>Acquisition</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vAlign w:val="center"/>
            <w:hideMark/>
          </w:tcPr>
          <w:p w:rsidR="00000000" w:rsidRDefault="0061405A">
            <w:pPr>
              <w:jc w:val="right"/>
              <w:rPr>
                <w:rFonts w:eastAsia="Times New Roman"/>
                <w:sz w:val="20"/>
                <w:szCs w:val="20"/>
              </w:rPr>
            </w:pPr>
          </w:p>
        </w:tc>
        <w:tc>
          <w:tcPr>
            <w:tcW w:w="0" w:type="auto"/>
            <w:gridSpan w:val="3"/>
            <w:vAlign w:val="center"/>
            <w:hideMark/>
          </w:tcPr>
          <w:p w:rsidR="00000000" w:rsidRDefault="0061405A">
            <w:pPr>
              <w:rPr>
                <w:rFonts w:eastAsia="Times New Roman"/>
                <w:sz w:val="20"/>
                <w:szCs w:val="20"/>
              </w:rPr>
            </w:pPr>
          </w:p>
        </w:tc>
      </w:tr>
      <w:tr w:rsidR="00000000">
        <w:trPr>
          <w:divId w:val="74207217"/>
        </w:trPr>
        <w:tc>
          <w:tcPr>
            <w:tcW w:w="0" w:type="auto"/>
            <w:gridSpan w:val="3"/>
            <w:shd w:val="clear" w:color="auto" w:fill="CCEEFF"/>
            <w:tcMar>
              <w:top w:w="30" w:type="dxa"/>
              <w:left w:w="20" w:type="dxa"/>
              <w:bottom w:w="30" w:type="dxa"/>
              <w:right w:w="20" w:type="dxa"/>
            </w:tcMar>
            <w:vAlign w:val="bottom"/>
            <w:hideMark/>
          </w:tcPr>
          <w:p w:rsidR="00000000" w:rsidRDefault="0061405A">
            <w:pPr>
              <w:divId w:val="1571227552"/>
              <w:rPr>
                <w:rFonts w:eastAsia="Times New Roman"/>
              </w:rPr>
            </w:pPr>
            <w:r>
              <w:rPr>
                <w:rFonts w:eastAsia="Times New Roman"/>
                <w:color w:val="000000"/>
                <w:sz w:val="20"/>
                <w:szCs w:val="20"/>
              </w:rPr>
              <w:t>Divestitures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vAlign w:val="center"/>
            <w:hideMark/>
          </w:tcPr>
          <w:p w:rsidR="00000000" w:rsidRDefault="0061405A">
            <w:pPr>
              <w:jc w:val="right"/>
              <w:rPr>
                <w:rFonts w:eastAsia="Times New Roman"/>
                <w:sz w:val="20"/>
                <w:szCs w:val="20"/>
              </w:rPr>
            </w:pPr>
          </w:p>
        </w:tc>
        <w:tc>
          <w:tcPr>
            <w:tcW w:w="0" w:type="auto"/>
            <w:gridSpan w:val="3"/>
            <w:vAlign w:val="center"/>
            <w:hideMark/>
          </w:tcPr>
          <w:p w:rsidR="00000000" w:rsidRDefault="0061405A">
            <w:pPr>
              <w:rPr>
                <w:rFonts w:eastAsia="Times New Roman"/>
                <w:sz w:val="20"/>
                <w:szCs w:val="20"/>
              </w:rPr>
            </w:pPr>
          </w:p>
        </w:tc>
      </w:tr>
      <w:tr w:rsidR="00000000">
        <w:trPr>
          <w:divId w:val="74207217"/>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Closures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vAlign w:val="center"/>
            <w:hideMark/>
          </w:tcPr>
          <w:p w:rsidR="00000000" w:rsidRDefault="0061405A">
            <w:pPr>
              <w:jc w:val="right"/>
              <w:rPr>
                <w:rFonts w:eastAsia="Times New Roman"/>
                <w:sz w:val="20"/>
                <w:szCs w:val="20"/>
              </w:rPr>
            </w:pPr>
          </w:p>
        </w:tc>
        <w:tc>
          <w:tcPr>
            <w:tcW w:w="0" w:type="auto"/>
            <w:gridSpan w:val="3"/>
            <w:vAlign w:val="center"/>
            <w:hideMark/>
          </w:tcPr>
          <w:p w:rsidR="00000000" w:rsidRDefault="0061405A">
            <w:pPr>
              <w:rPr>
                <w:rFonts w:eastAsia="Times New Roman"/>
                <w:sz w:val="20"/>
                <w:szCs w:val="20"/>
              </w:rPr>
            </w:pPr>
          </w:p>
        </w:tc>
      </w:tr>
      <w:tr w:rsidR="00000000">
        <w:trPr>
          <w:divId w:val="74207217"/>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End of period</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vAlign w:val="center"/>
            <w:hideMark/>
          </w:tcPr>
          <w:p w:rsidR="00000000" w:rsidRDefault="0061405A">
            <w:pPr>
              <w:jc w:val="right"/>
              <w:rPr>
                <w:rFonts w:eastAsia="Times New Roman"/>
                <w:sz w:val="20"/>
                <w:szCs w:val="20"/>
              </w:rPr>
            </w:pPr>
          </w:p>
        </w:tc>
        <w:tc>
          <w:tcPr>
            <w:tcW w:w="0" w:type="auto"/>
            <w:gridSpan w:val="3"/>
            <w:vAlign w:val="center"/>
            <w:hideMark/>
          </w:tcPr>
          <w:p w:rsidR="00000000" w:rsidRDefault="0061405A">
            <w:pPr>
              <w:rPr>
                <w:rFonts w:eastAsia="Times New Roman"/>
                <w:sz w:val="20"/>
                <w:szCs w:val="20"/>
              </w:rPr>
            </w:pPr>
          </w:p>
        </w:tc>
      </w:tr>
      <w:tr w:rsidR="00000000">
        <w:trPr>
          <w:divId w:val="74207217"/>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20"/>
                <w:szCs w:val="20"/>
              </w:rPr>
              <w:t>Franchise Restaurants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 </w:t>
            </w:r>
          </w:p>
        </w:tc>
        <w:tc>
          <w:tcPr>
            <w:tcW w:w="0" w:type="auto"/>
            <w:gridSpan w:val="3"/>
            <w:vAlign w:val="center"/>
            <w:hideMark/>
          </w:tcPr>
          <w:p w:rsidR="00000000" w:rsidRDefault="0061405A">
            <w:pPr>
              <w:rPr>
                <w:rFonts w:eastAsia="Times New Roman"/>
              </w:rPr>
            </w:pPr>
          </w:p>
        </w:tc>
        <w:tc>
          <w:tcPr>
            <w:tcW w:w="0" w:type="auto"/>
            <w:gridSpan w:val="3"/>
            <w:vAlign w:val="center"/>
            <w:hideMark/>
          </w:tcPr>
          <w:p w:rsidR="00000000" w:rsidRDefault="0061405A">
            <w:pPr>
              <w:rPr>
                <w:rFonts w:eastAsia="Times New Roman"/>
                <w:sz w:val="20"/>
                <w:szCs w:val="20"/>
              </w:rPr>
            </w:pPr>
          </w:p>
        </w:tc>
      </w:tr>
      <w:tr w:rsidR="00000000">
        <w:trPr>
          <w:divId w:val="74207217"/>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Beginning of period</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68 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65 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vAlign w:val="center"/>
            <w:hideMark/>
          </w:tcPr>
          <w:p w:rsidR="00000000" w:rsidRDefault="0061405A">
            <w:pPr>
              <w:jc w:val="right"/>
              <w:rPr>
                <w:rFonts w:eastAsia="Times New Roman"/>
                <w:sz w:val="20"/>
                <w:szCs w:val="20"/>
              </w:rPr>
            </w:pPr>
          </w:p>
        </w:tc>
        <w:tc>
          <w:tcPr>
            <w:tcW w:w="0" w:type="auto"/>
            <w:gridSpan w:val="3"/>
            <w:vAlign w:val="center"/>
            <w:hideMark/>
          </w:tcPr>
          <w:p w:rsidR="00000000" w:rsidRDefault="0061405A">
            <w:pPr>
              <w:rPr>
                <w:rFonts w:eastAsia="Times New Roman"/>
                <w:sz w:val="20"/>
                <w:szCs w:val="20"/>
              </w:rPr>
            </w:pPr>
          </w:p>
        </w:tc>
      </w:tr>
      <w:tr w:rsidR="00000000">
        <w:trPr>
          <w:divId w:val="74207217"/>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Openings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vAlign w:val="center"/>
            <w:hideMark/>
          </w:tcPr>
          <w:p w:rsidR="00000000" w:rsidRDefault="0061405A">
            <w:pPr>
              <w:jc w:val="right"/>
              <w:rPr>
                <w:rFonts w:eastAsia="Times New Roman"/>
                <w:sz w:val="20"/>
                <w:szCs w:val="20"/>
              </w:rPr>
            </w:pPr>
          </w:p>
        </w:tc>
        <w:tc>
          <w:tcPr>
            <w:tcW w:w="0" w:type="auto"/>
            <w:gridSpan w:val="3"/>
            <w:vAlign w:val="center"/>
            <w:hideMark/>
          </w:tcPr>
          <w:p w:rsidR="00000000" w:rsidRDefault="0061405A">
            <w:pPr>
              <w:rPr>
                <w:rFonts w:eastAsia="Times New Roman"/>
                <w:sz w:val="20"/>
                <w:szCs w:val="20"/>
              </w:rPr>
            </w:pPr>
          </w:p>
        </w:tc>
      </w:tr>
      <w:tr w:rsidR="00000000">
        <w:trPr>
          <w:divId w:val="74207217"/>
        </w:trPr>
        <w:tc>
          <w:tcPr>
            <w:tcW w:w="0" w:type="auto"/>
            <w:gridSpan w:val="3"/>
            <w:shd w:val="clear" w:color="auto" w:fill="CCEEFF"/>
            <w:tcMar>
              <w:top w:w="30" w:type="dxa"/>
              <w:left w:w="20" w:type="dxa"/>
              <w:bottom w:w="30" w:type="dxa"/>
              <w:right w:w="20" w:type="dxa"/>
            </w:tcMar>
            <w:vAlign w:val="bottom"/>
            <w:hideMark/>
          </w:tcPr>
          <w:p w:rsidR="00000000" w:rsidRDefault="0061405A">
            <w:pPr>
              <w:divId w:val="568074279"/>
              <w:rPr>
                <w:rFonts w:eastAsia="Times New Roman"/>
              </w:rPr>
            </w:pPr>
            <w:r>
              <w:rPr>
                <w:rFonts w:eastAsia="Times New Roman"/>
                <w:color w:val="000000"/>
                <w:sz w:val="20"/>
                <w:szCs w:val="20"/>
              </w:rPr>
              <w:t>Acquisitions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vAlign w:val="center"/>
            <w:hideMark/>
          </w:tcPr>
          <w:p w:rsidR="00000000" w:rsidRDefault="0061405A">
            <w:pPr>
              <w:jc w:val="right"/>
              <w:rPr>
                <w:rFonts w:eastAsia="Times New Roman"/>
                <w:sz w:val="20"/>
                <w:szCs w:val="20"/>
              </w:rPr>
            </w:pPr>
          </w:p>
        </w:tc>
        <w:tc>
          <w:tcPr>
            <w:tcW w:w="0" w:type="auto"/>
            <w:gridSpan w:val="3"/>
            <w:vAlign w:val="center"/>
            <w:hideMark/>
          </w:tcPr>
          <w:p w:rsidR="00000000" w:rsidRDefault="0061405A">
            <w:pPr>
              <w:rPr>
                <w:rFonts w:eastAsia="Times New Roman"/>
                <w:sz w:val="20"/>
                <w:szCs w:val="20"/>
              </w:rPr>
            </w:pPr>
          </w:p>
        </w:tc>
      </w:tr>
      <w:tr w:rsidR="00000000">
        <w:trPr>
          <w:divId w:val="74207217"/>
        </w:trPr>
        <w:tc>
          <w:tcPr>
            <w:tcW w:w="0" w:type="auto"/>
            <w:gridSpan w:val="3"/>
            <w:shd w:val="clear" w:color="auto" w:fill="FFFFFF"/>
            <w:tcMar>
              <w:top w:w="30" w:type="dxa"/>
              <w:left w:w="20" w:type="dxa"/>
              <w:bottom w:w="30" w:type="dxa"/>
              <w:right w:w="20" w:type="dxa"/>
            </w:tcMar>
            <w:vAlign w:val="bottom"/>
            <w:hideMark/>
          </w:tcPr>
          <w:p w:rsidR="00000000" w:rsidRDefault="0061405A">
            <w:pPr>
              <w:divId w:val="229734557"/>
              <w:rPr>
                <w:rFonts w:eastAsia="Times New Roman"/>
              </w:rPr>
            </w:pPr>
            <w:r>
              <w:rPr>
                <w:rFonts w:eastAsia="Times New Roman"/>
                <w:color w:val="000000"/>
                <w:sz w:val="20"/>
                <w:szCs w:val="20"/>
              </w:rPr>
              <w:t>Divestiture</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vAlign w:val="center"/>
            <w:hideMark/>
          </w:tcPr>
          <w:p w:rsidR="00000000" w:rsidRDefault="0061405A">
            <w:pPr>
              <w:jc w:val="right"/>
              <w:rPr>
                <w:rFonts w:eastAsia="Times New Roman"/>
                <w:sz w:val="20"/>
                <w:szCs w:val="20"/>
              </w:rPr>
            </w:pPr>
          </w:p>
        </w:tc>
        <w:tc>
          <w:tcPr>
            <w:tcW w:w="0" w:type="auto"/>
            <w:gridSpan w:val="3"/>
            <w:vAlign w:val="center"/>
            <w:hideMark/>
          </w:tcPr>
          <w:p w:rsidR="00000000" w:rsidRDefault="0061405A">
            <w:pPr>
              <w:rPr>
                <w:rFonts w:eastAsia="Times New Roman"/>
                <w:sz w:val="20"/>
                <w:szCs w:val="20"/>
              </w:rPr>
            </w:pPr>
          </w:p>
        </w:tc>
      </w:tr>
      <w:tr w:rsidR="00000000">
        <w:trPr>
          <w:divId w:val="74207217"/>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 xml:space="preserve">Closures </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vAlign w:val="center"/>
            <w:hideMark/>
          </w:tcPr>
          <w:p w:rsidR="00000000" w:rsidRDefault="0061405A">
            <w:pPr>
              <w:jc w:val="right"/>
              <w:rPr>
                <w:rFonts w:eastAsia="Times New Roman"/>
                <w:sz w:val="20"/>
                <w:szCs w:val="20"/>
              </w:rPr>
            </w:pPr>
          </w:p>
        </w:tc>
        <w:tc>
          <w:tcPr>
            <w:tcW w:w="0" w:type="auto"/>
            <w:gridSpan w:val="3"/>
            <w:vAlign w:val="center"/>
            <w:hideMark/>
          </w:tcPr>
          <w:p w:rsidR="00000000" w:rsidRDefault="0061405A">
            <w:pPr>
              <w:rPr>
                <w:rFonts w:eastAsia="Times New Roman"/>
                <w:sz w:val="20"/>
                <w:szCs w:val="20"/>
              </w:rPr>
            </w:pPr>
          </w:p>
        </w:tc>
      </w:tr>
      <w:tr w:rsidR="00000000">
        <w:trPr>
          <w:divId w:val="74207217"/>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End of period</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vAlign w:val="center"/>
            <w:hideMark/>
          </w:tcPr>
          <w:p w:rsidR="00000000" w:rsidRDefault="0061405A">
            <w:pPr>
              <w:jc w:val="right"/>
              <w:rPr>
                <w:rFonts w:eastAsia="Times New Roman"/>
                <w:sz w:val="20"/>
                <w:szCs w:val="20"/>
              </w:rPr>
            </w:pPr>
          </w:p>
        </w:tc>
        <w:tc>
          <w:tcPr>
            <w:tcW w:w="0" w:type="auto"/>
            <w:gridSpan w:val="3"/>
            <w:vAlign w:val="center"/>
            <w:hideMark/>
          </w:tcPr>
          <w:p w:rsidR="00000000" w:rsidRDefault="0061405A">
            <w:pPr>
              <w:rPr>
                <w:rFonts w:eastAsia="Times New Roman"/>
                <w:sz w:val="20"/>
                <w:szCs w:val="20"/>
              </w:rPr>
            </w:pPr>
          </w:p>
        </w:tc>
      </w:tr>
      <w:tr w:rsidR="00000000">
        <w:trPr>
          <w:divId w:val="74207217"/>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Total restaurants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vAlign w:val="center"/>
            <w:hideMark/>
          </w:tcPr>
          <w:p w:rsidR="00000000" w:rsidRDefault="0061405A">
            <w:pPr>
              <w:jc w:val="right"/>
              <w:rPr>
                <w:rFonts w:eastAsia="Times New Roman"/>
                <w:sz w:val="20"/>
                <w:szCs w:val="20"/>
              </w:rPr>
            </w:pPr>
          </w:p>
        </w:tc>
        <w:tc>
          <w:tcPr>
            <w:tcW w:w="0" w:type="auto"/>
            <w:gridSpan w:val="3"/>
            <w:vAlign w:val="center"/>
            <w:hideMark/>
          </w:tcPr>
          <w:p w:rsidR="00000000" w:rsidRDefault="0061405A">
            <w:pPr>
              <w:rPr>
                <w:rFonts w:eastAsia="Times New Roman"/>
                <w:sz w:val="20"/>
                <w:szCs w:val="20"/>
              </w:rPr>
            </w:pPr>
          </w:p>
        </w:tc>
      </w:tr>
    </w:tbl>
    <w:p w:rsidR="00000000" w:rsidRDefault="0061405A">
      <w:pPr>
        <w:ind w:hanging="450"/>
        <w:divId w:val="1990330251"/>
        <w:rPr>
          <w:rFonts w:eastAsia="Times New Roman"/>
        </w:rPr>
      </w:pPr>
      <w:r>
        <w:rPr>
          <w:rFonts w:eastAsia="Times New Roman"/>
          <w:color w:val="000000"/>
          <w:sz w:val="16"/>
          <w:szCs w:val="16"/>
        </w:rPr>
        <w:t>_____________________________</w:t>
      </w:r>
    </w:p>
    <w:p w:rsidR="00000000" w:rsidRDefault="0061405A">
      <w:pPr>
        <w:ind w:hanging="720"/>
        <w:jc w:val="both"/>
        <w:rPr>
          <w:rFonts w:eastAsia="Times New Roman"/>
        </w:rPr>
      </w:pPr>
      <w:r>
        <w:rPr>
          <w:rFonts w:eastAsia="Times New Roman"/>
          <w:color w:val="000000"/>
          <w:sz w:val="16"/>
          <w:szCs w:val="16"/>
          <w:shd w:val="clear" w:color="auto" w:fill="FFFFFF"/>
        </w:rPr>
        <w:t>(1)During 2020, we sold nine company-owned restaurants to a franchisee. During 2019 we acquired one franchise restaurant and sold five company-owned restaurants to a franchisee.</w:t>
      </w:r>
    </w:p>
    <w:p w:rsidR="00000000" w:rsidRDefault="0061405A">
      <w:pPr>
        <w:jc w:val="both"/>
        <w:rPr>
          <w:rFonts w:eastAsia="Times New Roman"/>
        </w:rPr>
      </w:pPr>
    </w:p>
    <w:p w:rsidR="00000000" w:rsidRDefault="0061405A">
      <w:pPr>
        <w:jc w:val="both"/>
        <w:rPr>
          <w:rFonts w:eastAsia="Times New Roman"/>
        </w:rPr>
      </w:pPr>
    </w:p>
    <w:p w:rsidR="00000000" w:rsidRDefault="0061405A">
      <w:pPr>
        <w:jc w:val="center"/>
        <w:divId w:val="2090617721"/>
        <w:rPr>
          <w:rFonts w:eastAsia="Times New Roman"/>
        </w:rPr>
      </w:pPr>
      <w:r>
        <w:rPr>
          <w:rFonts w:eastAsia="Times New Roman"/>
          <w:color w:val="000000"/>
          <w:sz w:val="20"/>
          <w:szCs w:val="20"/>
        </w:rPr>
        <w:t>36</w:t>
      </w:r>
    </w:p>
    <w:p w:rsidR="00000000" w:rsidRDefault="0061405A">
      <w:pPr>
        <w:rPr>
          <w:rFonts w:eastAsia="Times New Roman"/>
        </w:rPr>
      </w:pPr>
      <w:r>
        <w:rPr>
          <w:rFonts w:eastAsia="Times New Roman"/>
        </w:rPr>
        <w:pict>
          <v:rect id="_x0000_i1063" style="width:0;height:1.5pt" o:hralign="center" o:hrstd="t" o:hr="t" fillcolor="#a0a0a0" stroked="f"/>
        </w:pict>
      </w:r>
    </w:p>
    <w:p w:rsidR="00000000" w:rsidRDefault="0061405A">
      <w:pPr>
        <w:divId w:val="1365518645"/>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both"/>
        <w:divId w:val="1337222923"/>
        <w:rPr>
          <w:rFonts w:eastAsia="Times New Roman"/>
        </w:rPr>
      </w:pPr>
      <w:r>
        <w:rPr>
          <w:rFonts w:eastAsia="Times New Roman"/>
          <w:b/>
          <w:bCs/>
          <w:i/>
          <w:iCs/>
          <w:color w:val="000000"/>
          <w:sz w:val="20"/>
          <w:szCs w:val="20"/>
        </w:rPr>
        <w:t>Results of Operations</w:t>
      </w:r>
    </w:p>
    <w:p w:rsidR="00000000" w:rsidRDefault="0061405A">
      <w:pPr>
        <w:jc w:val="both"/>
        <w:divId w:val="760953023"/>
        <w:rPr>
          <w:rFonts w:eastAsia="Times New Roman"/>
        </w:rPr>
      </w:pPr>
      <w:r>
        <w:rPr>
          <w:rFonts w:eastAsia="Times New Roman"/>
          <w:color w:val="000000"/>
          <w:sz w:val="20"/>
          <w:szCs w:val="20"/>
        </w:rPr>
        <w:t xml:space="preserve">The following table summarizes key components of our results of operations for the periods indicated as a percentage of our total revenue, except for the components of restaurant operating costs, which are expressed as a percentage of restaurant revenue. </w:t>
      </w:r>
    </w:p>
    <w:tbl>
      <w:tblPr>
        <w:tblW w:w="5000" w:type="pct"/>
        <w:tblCellMar>
          <w:top w:w="15" w:type="dxa"/>
          <w:left w:w="15" w:type="dxa"/>
          <w:bottom w:w="15" w:type="dxa"/>
          <w:right w:w="15" w:type="dxa"/>
        </w:tblCellMar>
        <w:tblLook w:val="04A0" w:firstRow="1" w:lastRow="0" w:firstColumn="1" w:lastColumn="0" w:noHBand="0" w:noVBand="1"/>
      </w:tblPr>
      <w:tblGrid>
        <w:gridCol w:w="40"/>
        <w:gridCol w:w="5967"/>
        <w:gridCol w:w="38"/>
        <w:gridCol w:w="36"/>
        <w:gridCol w:w="36"/>
        <w:gridCol w:w="36"/>
        <w:gridCol w:w="47"/>
        <w:gridCol w:w="680"/>
        <w:gridCol w:w="187"/>
        <w:gridCol w:w="36"/>
        <w:gridCol w:w="36"/>
        <w:gridCol w:w="36"/>
        <w:gridCol w:w="47"/>
        <w:gridCol w:w="681"/>
        <w:gridCol w:w="187"/>
        <w:gridCol w:w="36"/>
        <w:gridCol w:w="36"/>
        <w:gridCol w:w="36"/>
        <w:gridCol w:w="36"/>
        <w:gridCol w:w="36"/>
        <w:gridCol w:w="36"/>
      </w:tblGrid>
      <w:tr w:rsidR="00000000">
        <w:trPr>
          <w:divId w:val="221992286"/>
        </w:trPr>
        <w:tc>
          <w:tcPr>
            <w:tcW w:w="50" w:type="pct"/>
            <w:vAlign w:val="center"/>
            <w:hideMark/>
          </w:tcPr>
          <w:p w:rsidR="00000000" w:rsidRDefault="0061405A">
            <w:pPr>
              <w:jc w:val="both"/>
              <w:rPr>
                <w:rFonts w:eastAsia="Times New Roman"/>
              </w:rPr>
            </w:pPr>
          </w:p>
        </w:tc>
        <w:tc>
          <w:tcPr>
            <w:tcW w:w="3738"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12"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12"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0" w:type="auto"/>
            <w:gridSpan w:val="3"/>
            <w:vAlign w:val="center"/>
            <w:hideMark/>
          </w:tcPr>
          <w:p w:rsidR="00000000" w:rsidRDefault="0061405A">
            <w:pPr>
              <w:rPr>
                <w:rFonts w:eastAsia="Times New Roman"/>
                <w:sz w:val="20"/>
                <w:szCs w:val="20"/>
              </w:rPr>
            </w:pPr>
          </w:p>
        </w:tc>
        <w:tc>
          <w:tcPr>
            <w:tcW w:w="0" w:type="auto"/>
            <w:gridSpan w:val="3"/>
            <w:vAlign w:val="center"/>
            <w:hideMark/>
          </w:tcPr>
          <w:p w:rsidR="00000000" w:rsidRDefault="0061405A">
            <w:pPr>
              <w:rPr>
                <w:rFonts w:eastAsia="Times New Roman"/>
                <w:sz w:val="20"/>
                <w:szCs w:val="20"/>
              </w:rPr>
            </w:pPr>
          </w:p>
        </w:tc>
      </w:tr>
      <w:tr w:rsidR="00000000">
        <w:trPr>
          <w:divId w:val="221992286"/>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9"/>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Fiscal Year</w:t>
            </w:r>
          </w:p>
        </w:tc>
        <w:tc>
          <w:tcPr>
            <w:tcW w:w="0" w:type="auto"/>
            <w:vAlign w:val="center"/>
            <w:hideMark/>
          </w:tcPr>
          <w:p w:rsidR="00000000" w:rsidRDefault="0061405A">
            <w:pPr>
              <w:rPr>
                <w:rFonts w:eastAsia="Times New Roman"/>
                <w:sz w:val="20"/>
                <w:szCs w:val="20"/>
              </w:rPr>
            </w:pPr>
          </w:p>
        </w:tc>
        <w:tc>
          <w:tcPr>
            <w:tcW w:w="0" w:type="auto"/>
            <w:vAlign w:val="center"/>
            <w:hideMark/>
          </w:tcPr>
          <w:p w:rsidR="00000000" w:rsidRDefault="0061405A">
            <w:pPr>
              <w:rPr>
                <w:rFonts w:eastAsia="Times New Roman"/>
                <w:sz w:val="20"/>
                <w:szCs w:val="20"/>
              </w:rPr>
            </w:pPr>
          </w:p>
        </w:tc>
        <w:tc>
          <w:tcPr>
            <w:tcW w:w="0" w:type="auto"/>
            <w:vAlign w:val="center"/>
            <w:hideMark/>
          </w:tcPr>
          <w:p w:rsidR="00000000" w:rsidRDefault="0061405A">
            <w:pPr>
              <w:rPr>
                <w:rFonts w:eastAsia="Times New Roman"/>
                <w:sz w:val="20"/>
                <w:szCs w:val="20"/>
              </w:rPr>
            </w:pPr>
          </w:p>
        </w:tc>
        <w:tc>
          <w:tcPr>
            <w:tcW w:w="0" w:type="auto"/>
            <w:vAlign w:val="center"/>
            <w:hideMark/>
          </w:tcPr>
          <w:p w:rsidR="00000000" w:rsidRDefault="0061405A">
            <w:pPr>
              <w:rPr>
                <w:rFonts w:eastAsia="Times New Roman"/>
                <w:sz w:val="20"/>
                <w:szCs w:val="20"/>
              </w:rPr>
            </w:pPr>
          </w:p>
        </w:tc>
        <w:tc>
          <w:tcPr>
            <w:tcW w:w="0" w:type="auto"/>
            <w:vAlign w:val="center"/>
            <w:hideMark/>
          </w:tcPr>
          <w:p w:rsidR="00000000" w:rsidRDefault="0061405A">
            <w:pPr>
              <w:rPr>
                <w:rFonts w:eastAsia="Times New Roman"/>
                <w:sz w:val="20"/>
                <w:szCs w:val="20"/>
              </w:rPr>
            </w:pPr>
          </w:p>
        </w:tc>
        <w:tc>
          <w:tcPr>
            <w:tcW w:w="0" w:type="auto"/>
            <w:vAlign w:val="center"/>
            <w:hideMark/>
          </w:tcPr>
          <w:p w:rsidR="00000000" w:rsidRDefault="0061405A">
            <w:pPr>
              <w:rPr>
                <w:rFonts w:eastAsia="Times New Roman"/>
                <w:sz w:val="20"/>
                <w:szCs w:val="20"/>
              </w:rPr>
            </w:pPr>
          </w:p>
        </w:tc>
      </w:tr>
      <w:tr w:rsidR="00000000">
        <w:trPr>
          <w:divId w:val="221992286"/>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2019</w:t>
            </w:r>
          </w:p>
        </w:tc>
        <w:tc>
          <w:tcPr>
            <w:tcW w:w="0" w:type="auto"/>
            <w:gridSpan w:val="3"/>
            <w:vAlign w:val="center"/>
            <w:hideMark/>
          </w:tcPr>
          <w:p w:rsidR="00000000" w:rsidRDefault="0061405A">
            <w:pPr>
              <w:jc w:val="center"/>
              <w:rPr>
                <w:rFonts w:eastAsia="Times New Roman"/>
              </w:rPr>
            </w:pPr>
          </w:p>
        </w:tc>
        <w:tc>
          <w:tcPr>
            <w:tcW w:w="0" w:type="auto"/>
            <w:gridSpan w:val="3"/>
            <w:vAlign w:val="center"/>
            <w:hideMark/>
          </w:tcPr>
          <w:p w:rsidR="00000000" w:rsidRDefault="0061405A">
            <w:pPr>
              <w:rPr>
                <w:rFonts w:eastAsia="Times New Roman"/>
                <w:sz w:val="20"/>
                <w:szCs w:val="20"/>
              </w:rPr>
            </w:pPr>
          </w:p>
        </w:tc>
      </w:tr>
      <w:tr w:rsidR="00000000">
        <w:trPr>
          <w:divId w:val="221992286"/>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i/>
                <w:iCs/>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 </w:t>
            </w:r>
          </w:p>
        </w:tc>
        <w:tc>
          <w:tcPr>
            <w:tcW w:w="0" w:type="auto"/>
            <w:gridSpan w:val="3"/>
            <w:vAlign w:val="center"/>
            <w:hideMark/>
          </w:tcPr>
          <w:p w:rsidR="00000000" w:rsidRDefault="0061405A">
            <w:pPr>
              <w:rPr>
                <w:rFonts w:eastAsia="Times New Roman"/>
              </w:rPr>
            </w:pPr>
          </w:p>
        </w:tc>
        <w:tc>
          <w:tcPr>
            <w:tcW w:w="0" w:type="auto"/>
            <w:gridSpan w:val="3"/>
            <w:vAlign w:val="center"/>
            <w:hideMark/>
          </w:tcPr>
          <w:p w:rsidR="00000000" w:rsidRDefault="0061405A">
            <w:pPr>
              <w:rPr>
                <w:rFonts w:eastAsia="Times New Roman"/>
                <w:sz w:val="20"/>
                <w:szCs w:val="20"/>
              </w:rPr>
            </w:pPr>
          </w:p>
        </w:tc>
      </w:tr>
      <w:tr w:rsidR="00000000">
        <w:trPr>
          <w:divId w:val="221992286"/>
        </w:trPr>
        <w:tc>
          <w:tcPr>
            <w:tcW w:w="0" w:type="auto"/>
            <w:gridSpan w:val="3"/>
            <w:shd w:val="clear" w:color="auto" w:fill="FFFF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20"/>
                <w:szCs w:val="20"/>
              </w:rPr>
              <w:t>Restaurant revenue</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98.7 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98.8 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61405A">
            <w:pPr>
              <w:jc w:val="right"/>
              <w:rPr>
                <w:rFonts w:eastAsia="Times New Roman"/>
              </w:rPr>
            </w:pPr>
          </w:p>
        </w:tc>
        <w:tc>
          <w:tcPr>
            <w:tcW w:w="0" w:type="auto"/>
            <w:gridSpan w:val="3"/>
            <w:vAlign w:val="center"/>
            <w:hideMark/>
          </w:tcPr>
          <w:p w:rsidR="00000000" w:rsidRDefault="0061405A">
            <w:pPr>
              <w:rPr>
                <w:rFonts w:eastAsia="Times New Roman"/>
                <w:sz w:val="20"/>
                <w:szCs w:val="20"/>
              </w:rPr>
            </w:pPr>
          </w:p>
        </w:tc>
      </w:tr>
      <w:tr w:rsidR="00000000">
        <w:trPr>
          <w:divId w:val="221992286"/>
        </w:trPr>
        <w:tc>
          <w:tcPr>
            <w:tcW w:w="0" w:type="auto"/>
            <w:gridSpan w:val="3"/>
            <w:shd w:val="clear" w:color="auto" w:fill="CCEE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20"/>
                <w:szCs w:val="20"/>
              </w:rPr>
              <w:t>Franchising royalties and fees, and other</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61405A">
            <w:pPr>
              <w:jc w:val="right"/>
              <w:rPr>
                <w:rFonts w:eastAsia="Times New Roman"/>
              </w:rPr>
            </w:pPr>
          </w:p>
        </w:tc>
        <w:tc>
          <w:tcPr>
            <w:tcW w:w="0" w:type="auto"/>
            <w:gridSpan w:val="3"/>
            <w:vAlign w:val="center"/>
            <w:hideMark/>
          </w:tcPr>
          <w:p w:rsidR="00000000" w:rsidRDefault="0061405A">
            <w:pPr>
              <w:rPr>
                <w:rFonts w:eastAsia="Times New Roman"/>
                <w:sz w:val="20"/>
                <w:szCs w:val="20"/>
              </w:rPr>
            </w:pPr>
          </w:p>
        </w:tc>
      </w:tr>
      <w:tr w:rsidR="00000000">
        <w:trPr>
          <w:divId w:val="221992286"/>
        </w:trPr>
        <w:tc>
          <w:tcPr>
            <w:tcW w:w="0" w:type="auto"/>
            <w:gridSpan w:val="3"/>
            <w:shd w:val="clear" w:color="auto" w:fill="FFFFFF"/>
            <w:tcMar>
              <w:top w:w="30" w:type="dxa"/>
              <w:left w:w="515" w:type="dxa"/>
              <w:bottom w:w="30" w:type="dxa"/>
              <w:right w:w="20" w:type="dxa"/>
            </w:tcMar>
            <w:vAlign w:val="bottom"/>
            <w:hideMark/>
          </w:tcPr>
          <w:p w:rsidR="00000000" w:rsidRDefault="0061405A">
            <w:pPr>
              <w:rPr>
                <w:rFonts w:eastAsia="Times New Roman"/>
              </w:rPr>
            </w:pPr>
            <w:r>
              <w:rPr>
                <w:rFonts w:eastAsia="Times New Roman"/>
                <w:color w:val="000000"/>
                <w:sz w:val="20"/>
                <w:szCs w:val="20"/>
              </w:rPr>
              <w:t>Total revenue</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61405A">
            <w:pPr>
              <w:jc w:val="right"/>
              <w:rPr>
                <w:rFonts w:eastAsia="Times New Roman"/>
              </w:rPr>
            </w:pPr>
          </w:p>
        </w:tc>
        <w:tc>
          <w:tcPr>
            <w:tcW w:w="0" w:type="auto"/>
            <w:gridSpan w:val="3"/>
            <w:vAlign w:val="center"/>
            <w:hideMark/>
          </w:tcPr>
          <w:p w:rsidR="00000000" w:rsidRDefault="0061405A">
            <w:pPr>
              <w:rPr>
                <w:rFonts w:eastAsia="Times New Roman"/>
                <w:sz w:val="20"/>
                <w:szCs w:val="20"/>
              </w:rPr>
            </w:pPr>
          </w:p>
        </w:tc>
      </w:tr>
      <w:tr w:rsidR="00000000">
        <w:trPr>
          <w:divId w:val="221992286"/>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i/>
                <w:iCs/>
                <w:color w:val="000000"/>
                <w:sz w:val="20"/>
                <w:szCs w:val="20"/>
              </w:rPr>
              <w:t>Costs and expenses: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 </w:t>
            </w:r>
          </w:p>
        </w:tc>
        <w:tc>
          <w:tcPr>
            <w:tcW w:w="0" w:type="auto"/>
            <w:gridSpan w:val="3"/>
            <w:vAlign w:val="center"/>
            <w:hideMark/>
          </w:tcPr>
          <w:p w:rsidR="00000000" w:rsidRDefault="0061405A">
            <w:pPr>
              <w:rPr>
                <w:rFonts w:eastAsia="Times New Roman"/>
              </w:rPr>
            </w:pPr>
          </w:p>
        </w:tc>
        <w:tc>
          <w:tcPr>
            <w:tcW w:w="0" w:type="auto"/>
            <w:gridSpan w:val="3"/>
            <w:vAlign w:val="center"/>
            <w:hideMark/>
          </w:tcPr>
          <w:p w:rsidR="00000000" w:rsidRDefault="0061405A">
            <w:pPr>
              <w:rPr>
                <w:rFonts w:eastAsia="Times New Roman"/>
                <w:sz w:val="20"/>
                <w:szCs w:val="20"/>
              </w:rPr>
            </w:pPr>
          </w:p>
        </w:tc>
      </w:tr>
      <w:tr w:rsidR="00000000">
        <w:trPr>
          <w:divId w:val="221992286"/>
        </w:trPr>
        <w:tc>
          <w:tcPr>
            <w:tcW w:w="0" w:type="auto"/>
            <w:gridSpan w:val="3"/>
            <w:shd w:val="clear" w:color="auto" w:fill="FFFFFF"/>
            <w:tcMar>
              <w:top w:w="30" w:type="dxa"/>
              <w:left w:w="20" w:type="dxa"/>
              <w:bottom w:w="30" w:type="dxa"/>
              <w:right w:w="20" w:type="dxa"/>
            </w:tcMar>
            <w:vAlign w:val="bottom"/>
            <w:hideMark/>
          </w:tcPr>
          <w:p w:rsidR="00000000" w:rsidRDefault="0061405A">
            <w:pPr>
              <w:ind w:hanging="270"/>
              <w:divId w:val="78403557"/>
              <w:rPr>
                <w:rFonts w:eastAsia="Times New Roman"/>
              </w:rPr>
            </w:pPr>
            <w:r>
              <w:rPr>
                <w:rFonts w:eastAsia="Times New Roman"/>
                <w:color w:val="000000"/>
                <w:sz w:val="20"/>
                <w:szCs w:val="20"/>
              </w:rPr>
              <w:t>Restaurant operating costs (exclusive of depreciation and amortization, shown separately below):</w:t>
            </w:r>
          </w:p>
        </w:tc>
        <w:tc>
          <w:tcPr>
            <w:tcW w:w="0" w:type="auto"/>
            <w:gridSpan w:val="3"/>
            <w:shd w:val="clear" w:color="auto" w:fill="FFFFFF"/>
            <w:tcMar>
              <w:top w:w="0" w:type="dxa"/>
              <w:left w:w="20" w:type="dxa"/>
              <w:bottom w:w="0" w:type="dxa"/>
              <w:right w:w="20" w:type="dxa"/>
            </w:tcMar>
            <w:vAlign w:val="center"/>
            <w:hideMark/>
          </w:tcPr>
          <w:p w:rsidR="00000000" w:rsidRDefault="0061405A">
            <w:pPr>
              <w:ind w:hanging="27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 </w:t>
            </w:r>
          </w:p>
        </w:tc>
        <w:tc>
          <w:tcPr>
            <w:tcW w:w="0" w:type="auto"/>
            <w:gridSpan w:val="3"/>
            <w:vAlign w:val="center"/>
            <w:hideMark/>
          </w:tcPr>
          <w:p w:rsidR="00000000" w:rsidRDefault="0061405A">
            <w:pPr>
              <w:rPr>
                <w:rFonts w:eastAsia="Times New Roman"/>
              </w:rPr>
            </w:pPr>
          </w:p>
        </w:tc>
        <w:tc>
          <w:tcPr>
            <w:tcW w:w="0" w:type="auto"/>
            <w:gridSpan w:val="3"/>
            <w:vAlign w:val="center"/>
            <w:hideMark/>
          </w:tcPr>
          <w:p w:rsidR="00000000" w:rsidRDefault="0061405A">
            <w:pPr>
              <w:rPr>
                <w:rFonts w:eastAsia="Times New Roman"/>
                <w:sz w:val="20"/>
                <w:szCs w:val="20"/>
              </w:rPr>
            </w:pPr>
          </w:p>
        </w:tc>
      </w:tr>
      <w:tr w:rsidR="00000000">
        <w:trPr>
          <w:divId w:val="221992286"/>
        </w:trPr>
        <w:tc>
          <w:tcPr>
            <w:tcW w:w="0" w:type="auto"/>
            <w:gridSpan w:val="3"/>
            <w:shd w:val="clear" w:color="auto" w:fill="CCEEFF"/>
            <w:tcMar>
              <w:top w:w="30" w:type="dxa"/>
              <w:left w:w="515" w:type="dxa"/>
              <w:bottom w:w="30" w:type="dxa"/>
              <w:right w:w="20" w:type="dxa"/>
            </w:tcMar>
            <w:vAlign w:val="bottom"/>
            <w:hideMark/>
          </w:tcPr>
          <w:p w:rsidR="00000000" w:rsidRDefault="0061405A">
            <w:pPr>
              <w:rPr>
                <w:rFonts w:eastAsia="Times New Roman"/>
              </w:rPr>
            </w:pPr>
            <w:r>
              <w:rPr>
                <w:rFonts w:eastAsia="Times New Roman"/>
                <w:color w:val="000000"/>
                <w:sz w:val="20"/>
                <w:szCs w:val="20"/>
              </w:rPr>
              <w:t>Cost of sales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25.1 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25.7 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61405A">
            <w:pPr>
              <w:jc w:val="right"/>
              <w:rPr>
                <w:rFonts w:eastAsia="Times New Roman"/>
              </w:rPr>
            </w:pPr>
          </w:p>
        </w:tc>
        <w:tc>
          <w:tcPr>
            <w:tcW w:w="0" w:type="auto"/>
            <w:gridSpan w:val="3"/>
            <w:vAlign w:val="center"/>
            <w:hideMark/>
          </w:tcPr>
          <w:p w:rsidR="00000000" w:rsidRDefault="0061405A">
            <w:pPr>
              <w:rPr>
                <w:rFonts w:eastAsia="Times New Roman"/>
                <w:sz w:val="20"/>
                <w:szCs w:val="20"/>
              </w:rPr>
            </w:pPr>
          </w:p>
        </w:tc>
      </w:tr>
      <w:tr w:rsidR="00000000">
        <w:trPr>
          <w:divId w:val="221992286"/>
        </w:trPr>
        <w:tc>
          <w:tcPr>
            <w:tcW w:w="0" w:type="auto"/>
            <w:gridSpan w:val="3"/>
            <w:shd w:val="clear" w:color="auto" w:fill="FFFFFF"/>
            <w:tcMar>
              <w:top w:w="30" w:type="dxa"/>
              <w:left w:w="515" w:type="dxa"/>
              <w:bottom w:w="30" w:type="dxa"/>
              <w:right w:w="20" w:type="dxa"/>
            </w:tcMar>
            <w:vAlign w:val="bottom"/>
            <w:hideMark/>
          </w:tcPr>
          <w:p w:rsidR="00000000" w:rsidRDefault="0061405A">
            <w:pPr>
              <w:rPr>
                <w:rFonts w:eastAsia="Times New Roman"/>
              </w:rPr>
            </w:pPr>
            <w:r>
              <w:rPr>
                <w:rFonts w:eastAsia="Times New Roman"/>
                <w:color w:val="000000"/>
                <w:sz w:val="20"/>
                <w:szCs w:val="20"/>
              </w:rPr>
              <w:t>Labor</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32.5 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33.0 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61405A">
            <w:pPr>
              <w:jc w:val="right"/>
              <w:rPr>
                <w:rFonts w:eastAsia="Times New Roman"/>
              </w:rPr>
            </w:pPr>
          </w:p>
        </w:tc>
        <w:tc>
          <w:tcPr>
            <w:tcW w:w="0" w:type="auto"/>
            <w:gridSpan w:val="3"/>
            <w:vAlign w:val="center"/>
            <w:hideMark/>
          </w:tcPr>
          <w:p w:rsidR="00000000" w:rsidRDefault="0061405A">
            <w:pPr>
              <w:rPr>
                <w:rFonts w:eastAsia="Times New Roman"/>
                <w:sz w:val="20"/>
                <w:szCs w:val="20"/>
              </w:rPr>
            </w:pPr>
          </w:p>
        </w:tc>
      </w:tr>
      <w:tr w:rsidR="00000000">
        <w:trPr>
          <w:divId w:val="221992286"/>
        </w:trPr>
        <w:tc>
          <w:tcPr>
            <w:tcW w:w="0" w:type="auto"/>
            <w:gridSpan w:val="3"/>
            <w:shd w:val="clear" w:color="auto" w:fill="CCEEFF"/>
            <w:tcMar>
              <w:top w:w="30" w:type="dxa"/>
              <w:left w:w="515" w:type="dxa"/>
              <w:bottom w:w="30" w:type="dxa"/>
              <w:right w:w="20" w:type="dxa"/>
            </w:tcMar>
            <w:vAlign w:val="bottom"/>
            <w:hideMark/>
          </w:tcPr>
          <w:p w:rsidR="00000000" w:rsidRDefault="0061405A">
            <w:pPr>
              <w:rPr>
                <w:rFonts w:eastAsia="Times New Roman"/>
              </w:rPr>
            </w:pPr>
            <w:r>
              <w:rPr>
                <w:rFonts w:eastAsia="Times New Roman"/>
                <w:color w:val="000000"/>
                <w:sz w:val="20"/>
                <w:szCs w:val="20"/>
              </w:rPr>
              <w:t>Occupancy</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12.0 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10.7 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61405A">
            <w:pPr>
              <w:jc w:val="right"/>
              <w:rPr>
                <w:rFonts w:eastAsia="Times New Roman"/>
              </w:rPr>
            </w:pPr>
          </w:p>
        </w:tc>
        <w:tc>
          <w:tcPr>
            <w:tcW w:w="0" w:type="auto"/>
            <w:gridSpan w:val="3"/>
            <w:vAlign w:val="center"/>
            <w:hideMark/>
          </w:tcPr>
          <w:p w:rsidR="00000000" w:rsidRDefault="0061405A">
            <w:pPr>
              <w:rPr>
                <w:rFonts w:eastAsia="Times New Roman"/>
                <w:sz w:val="20"/>
                <w:szCs w:val="20"/>
              </w:rPr>
            </w:pPr>
          </w:p>
        </w:tc>
      </w:tr>
      <w:tr w:rsidR="00000000">
        <w:trPr>
          <w:divId w:val="221992286"/>
        </w:trPr>
        <w:tc>
          <w:tcPr>
            <w:tcW w:w="0" w:type="auto"/>
            <w:gridSpan w:val="3"/>
            <w:shd w:val="clear" w:color="auto" w:fill="FFFFFF"/>
            <w:tcMar>
              <w:top w:w="30" w:type="dxa"/>
              <w:left w:w="515" w:type="dxa"/>
              <w:bottom w:w="30" w:type="dxa"/>
              <w:right w:w="20" w:type="dxa"/>
            </w:tcMar>
            <w:vAlign w:val="bottom"/>
            <w:hideMark/>
          </w:tcPr>
          <w:p w:rsidR="00000000" w:rsidRDefault="0061405A">
            <w:pPr>
              <w:rPr>
                <w:rFonts w:eastAsia="Times New Roman"/>
              </w:rPr>
            </w:pPr>
            <w:r>
              <w:rPr>
                <w:rFonts w:eastAsia="Times New Roman"/>
                <w:color w:val="000000"/>
                <w:sz w:val="20"/>
                <w:szCs w:val="20"/>
              </w:rPr>
              <w:t>Other restaurant operating costs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18.3 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14.6 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61405A">
            <w:pPr>
              <w:jc w:val="right"/>
              <w:rPr>
                <w:rFonts w:eastAsia="Times New Roman"/>
              </w:rPr>
            </w:pPr>
          </w:p>
        </w:tc>
        <w:tc>
          <w:tcPr>
            <w:tcW w:w="0" w:type="auto"/>
            <w:gridSpan w:val="3"/>
            <w:vAlign w:val="center"/>
            <w:hideMark/>
          </w:tcPr>
          <w:p w:rsidR="00000000" w:rsidRDefault="0061405A">
            <w:pPr>
              <w:rPr>
                <w:rFonts w:eastAsia="Times New Roman"/>
                <w:sz w:val="20"/>
                <w:szCs w:val="20"/>
              </w:rPr>
            </w:pPr>
          </w:p>
        </w:tc>
      </w:tr>
      <w:tr w:rsidR="00000000">
        <w:trPr>
          <w:divId w:val="221992286"/>
        </w:trPr>
        <w:tc>
          <w:tcPr>
            <w:tcW w:w="0" w:type="auto"/>
            <w:gridSpan w:val="3"/>
            <w:shd w:val="clear" w:color="auto" w:fill="CCEE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20"/>
                <w:szCs w:val="20"/>
              </w:rPr>
              <w:t>General and administrative</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10.9 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9.4 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61405A">
            <w:pPr>
              <w:jc w:val="right"/>
              <w:rPr>
                <w:rFonts w:eastAsia="Times New Roman"/>
              </w:rPr>
            </w:pPr>
          </w:p>
        </w:tc>
        <w:tc>
          <w:tcPr>
            <w:tcW w:w="0" w:type="auto"/>
            <w:gridSpan w:val="3"/>
            <w:vAlign w:val="center"/>
            <w:hideMark/>
          </w:tcPr>
          <w:p w:rsidR="00000000" w:rsidRDefault="0061405A">
            <w:pPr>
              <w:rPr>
                <w:rFonts w:eastAsia="Times New Roman"/>
                <w:sz w:val="20"/>
                <w:szCs w:val="20"/>
              </w:rPr>
            </w:pPr>
          </w:p>
        </w:tc>
      </w:tr>
      <w:tr w:rsidR="00000000">
        <w:trPr>
          <w:divId w:val="221992286"/>
        </w:trPr>
        <w:tc>
          <w:tcPr>
            <w:tcW w:w="0" w:type="auto"/>
            <w:gridSpan w:val="3"/>
            <w:shd w:val="clear" w:color="auto" w:fill="FFFF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20"/>
                <w:szCs w:val="20"/>
              </w:rPr>
              <w:t>Depreciation and amortization</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61405A">
            <w:pPr>
              <w:jc w:val="right"/>
              <w:rPr>
                <w:rFonts w:eastAsia="Times New Roman"/>
              </w:rPr>
            </w:pPr>
          </w:p>
        </w:tc>
        <w:tc>
          <w:tcPr>
            <w:tcW w:w="0" w:type="auto"/>
            <w:gridSpan w:val="3"/>
            <w:vAlign w:val="center"/>
            <w:hideMark/>
          </w:tcPr>
          <w:p w:rsidR="00000000" w:rsidRDefault="0061405A">
            <w:pPr>
              <w:rPr>
                <w:rFonts w:eastAsia="Times New Roman"/>
                <w:sz w:val="20"/>
                <w:szCs w:val="20"/>
              </w:rPr>
            </w:pPr>
          </w:p>
        </w:tc>
      </w:tr>
      <w:tr w:rsidR="00000000">
        <w:trPr>
          <w:divId w:val="221992286"/>
        </w:trPr>
        <w:tc>
          <w:tcPr>
            <w:tcW w:w="0" w:type="auto"/>
            <w:gridSpan w:val="3"/>
            <w:shd w:val="clear" w:color="auto" w:fill="CCEE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20"/>
                <w:szCs w:val="20"/>
              </w:rPr>
              <w:t>Pre-opening</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0.1 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0.1 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61405A">
            <w:pPr>
              <w:jc w:val="right"/>
              <w:rPr>
                <w:rFonts w:eastAsia="Times New Roman"/>
              </w:rPr>
            </w:pPr>
          </w:p>
        </w:tc>
        <w:tc>
          <w:tcPr>
            <w:tcW w:w="0" w:type="auto"/>
            <w:gridSpan w:val="3"/>
            <w:vAlign w:val="center"/>
            <w:hideMark/>
          </w:tcPr>
          <w:p w:rsidR="00000000" w:rsidRDefault="0061405A">
            <w:pPr>
              <w:rPr>
                <w:rFonts w:eastAsia="Times New Roman"/>
                <w:sz w:val="20"/>
                <w:szCs w:val="20"/>
              </w:rPr>
            </w:pPr>
          </w:p>
        </w:tc>
      </w:tr>
      <w:tr w:rsidR="00000000">
        <w:trPr>
          <w:divId w:val="221992286"/>
        </w:trPr>
        <w:tc>
          <w:tcPr>
            <w:tcW w:w="0" w:type="auto"/>
            <w:gridSpan w:val="3"/>
            <w:shd w:val="clear" w:color="auto" w:fill="FFFF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20"/>
                <w:szCs w:val="20"/>
              </w:rPr>
              <w:t>Restaurant impairments, closure costs and asset disposals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61405A">
            <w:pPr>
              <w:jc w:val="right"/>
              <w:rPr>
                <w:rFonts w:eastAsia="Times New Roman"/>
              </w:rPr>
            </w:pPr>
          </w:p>
        </w:tc>
        <w:tc>
          <w:tcPr>
            <w:tcW w:w="0" w:type="auto"/>
            <w:gridSpan w:val="3"/>
            <w:vAlign w:val="center"/>
            <w:hideMark/>
          </w:tcPr>
          <w:p w:rsidR="00000000" w:rsidRDefault="0061405A">
            <w:pPr>
              <w:rPr>
                <w:rFonts w:eastAsia="Times New Roman"/>
                <w:sz w:val="20"/>
                <w:szCs w:val="20"/>
              </w:rPr>
            </w:pPr>
          </w:p>
        </w:tc>
      </w:tr>
      <w:tr w:rsidR="00000000">
        <w:trPr>
          <w:divId w:val="221992286"/>
        </w:trPr>
        <w:tc>
          <w:tcPr>
            <w:tcW w:w="0" w:type="auto"/>
            <w:gridSpan w:val="3"/>
            <w:shd w:val="clear" w:color="auto" w:fill="CCEEFF"/>
            <w:tcMar>
              <w:top w:w="30" w:type="dxa"/>
              <w:left w:w="515" w:type="dxa"/>
              <w:bottom w:w="30" w:type="dxa"/>
              <w:right w:w="20" w:type="dxa"/>
            </w:tcMar>
            <w:vAlign w:val="bottom"/>
            <w:hideMark/>
          </w:tcPr>
          <w:p w:rsidR="00000000" w:rsidRDefault="0061405A">
            <w:pPr>
              <w:rPr>
                <w:rFonts w:eastAsia="Times New Roman"/>
              </w:rPr>
            </w:pPr>
            <w:r>
              <w:rPr>
                <w:rFonts w:eastAsia="Times New Roman"/>
                <w:color w:val="000000"/>
                <w:sz w:val="20"/>
                <w:szCs w:val="20"/>
              </w:rPr>
              <w:t>Total costs and expenses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105.1 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98.8 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61405A">
            <w:pPr>
              <w:jc w:val="right"/>
              <w:rPr>
                <w:rFonts w:eastAsia="Times New Roman"/>
              </w:rPr>
            </w:pPr>
          </w:p>
        </w:tc>
        <w:tc>
          <w:tcPr>
            <w:tcW w:w="0" w:type="auto"/>
            <w:gridSpan w:val="3"/>
            <w:vAlign w:val="center"/>
            <w:hideMark/>
          </w:tcPr>
          <w:p w:rsidR="00000000" w:rsidRDefault="0061405A">
            <w:pPr>
              <w:rPr>
                <w:rFonts w:eastAsia="Times New Roman"/>
                <w:sz w:val="20"/>
                <w:szCs w:val="20"/>
              </w:rPr>
            </w:pPr>
          </w:p>
        </w:tc>
      </w:tr>
      <w:tr w:rsidR="00000000">
        <w:trPr>
          <w:divId w:val="221992286"/>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(Loss) income from operations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61405A">
            <w:pPr>
              <w:jc w:val="right"/>
              <w:rPr>
                <w:rFonts w:eastAsia="Times New Roman"/>
              </w:rPr>
            </w:pPr>
          </w:p>
        </w:tc>
        <w:tc>
          <w:tcPr>
            <w:tcW w:w="0" w:type="auto"/>
            <w:gridSpan w:val="3"/>
            <w:vAlign w:val="center"/>
            <w:hideMark/>
          </w:tcPr>
          <w:p w:rsidR="00000000" w:rsidRDefault="0061405A">
            <w:pPr>
              <w:rPr>
                <w:rFonts w:eastAsia="Times New Roman"/>
                <w:sz w:val="20"/>
                <w:szCs w:val="20"/>
              </w:rPr>
            </w:pPr>
          </w:p>
        </w:tc>
      </w:tr>
      <w:tr w:rsidR="00000000">
        <w:trPr>
          <w:divId w:val="221992286"/>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Loss on extinguishment of debt</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0.2 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61405A">
            <w:pPr>
              <w:jc w:val="right"/>
              <w:rPr>
                <w:rFonts w:eastAsia="Times New Roman"/>
              </w:rPr>
            </w:pPr>
          </w:p>
        </w:tc>
        <w:tc>
          <w:tcPr>
            <w:tcW w:w="0" w:type="auto"/>
            <w:gridSpan w:val="3"/>
            <w:vAlign w:val="center"/>
            <w:hideMark/>
          </w:tcPr>
          <w:p w:rsidR="00000000" w:rsidRDefault="0061405A">
            <w:pPr>
              <w:rPr>
                <w:rFonts w:eastAsia="Times New Roman"/>
                <w:sz w:val="20"/>
                <w:szCs w:val="20"/>
              </w:rPr>
            </w:pPr>
          </w:p>
        </w:tc>
      </w:tr>
      <w:tr w:rsidR="00000000">
        <w:trPr>
          <w:divId w:val="221992286"/>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Interest expense, net</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0.8 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0.6 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61405A">
            <w:pPr>
              <w:jc w:val="right"/>
              <w:rPr>
                <w:rFonts w:eastAsia="Times New Roman"/>
              </w:rPr>
            </w:pPr>
          </w:p>
        </w:tc>
        <w:tc>
          <w:tcPr>
            <w:tcW w:w="0" w:type="auto"/>
            <w:gridSpan w:val="3"/>
            <w:vAlign w:val="center"/>
            <w:hideMark/>
          </w:tcPr>
          <w:p w:rsidR="00000000" w:rsidRDefault="0061405A">
            <w:pPr>
              <w:rPr>
                <w:rFonts w:eastAsia="Times New Roman"/>
                <w:sz w:val="20"/>
                <w:szCs w:val="20"/>
              </w:rPr>
            </w:pPr>
          </w:p>
        </w:tc>
      </w:tr>
      <w:tr w:rsidR="00000000">
        <w:trPr>
          <w:divId w:val="221992286"/>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(Loss) income before income taxes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61405A">
            <w:pPr>
              <w:jc w:val="right"/>
              <w:rPr>
                <w:rFonts w:eastAsia="Times New Roman"/>
              </w:rPr>
            </w:pPr>
          </w:p>
        </w:tc>
        <w:tc>
          <w:tcPr>
            <w:tcW w:w="0" w:type="auto"/>
            <w:gridSpan w:val="3"/>
            <w:vAlign w:val="center"/>
            <w:hideMark/>
          </w:tcPr>
          <w:p w:rsidR="00000000" w:rsidRDefault="0061405A">
            <w:pPr>
              <w:rPr>
                <w:rFonts w:eastAsia="Times New Roman"/>
                <w:sz w:val="20"/>
                <w:szCs w:val="20"/>
              </w:rPr>
            </w:pPr>
          </w:p>
        </w:tc>
      </w:tr>
      <w:tr w:rsidR="00000000">
        <w:trPr>
          <w:divId w:val="221992286"/>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Provision (benefit) for income taxes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61405A">
            <w:pPr>
              <w:jc w:val="right"/>
              <w:rPr>
                <w:rFonts w:eastAsia="Times New Roman"/>
              </w:rPr>
            </w:pPr>
          </w:p>
        </w:tc>
        <w:tc>
          <w:tcPr>
            <w:tcW w:w="0" w:type="auto"/>
            <w:gridSpan w:val="3"/>
            <w:vAlign w:val="center"/>
            <w:hideMark/>
          </w:tcPr>
          <w:p w:rsidR="00000000" w:rsidRDefault="0061405A">
            <w:pPr>
              <w:rPr>
                <w:rFonts w:eastAsia="Times New Roman"/>
                <w:sz w:val="20"/>
                <w:szCs w:val="20"/>
              </w:rPr>
            </w:pPr>
          </w:p>
        </w:tc>
      </w:tr>
      <w:tr w:rsidR="00000000">
        <w:trPr>
          <w:divId w:val="221992286"/>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Net (loss) income</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61405A">
            <w:pPr>
              <w:jc w:val="right"/>
              <w:rPr>
                <w:rFonts w:eastAsia="Times New Roman"/>
              </w:rPr>
            </w:pPr>
          </w:p>
        </w:tc>
        <w:tc>
          <w:tcPr>
            <w:tcW w:w="0" w:type="auto"/>
            <w:gridSpan w:val="3"/>
            <w:vAlign w:val="center"/>
            <w:hideMark/>
          </w:tcPr>
          <w:p w:rsidR="00000000" w:rsidRDefault="0061405A">
            <w:pPr>
              <w:rPr>
                <w:rFonts w:eastAsia="Times New Roman"/>
                <w:sz w:val="20"/>
                <w:szCs w:val="20"/>
              </w:rPr>
            </w:pPr>
          </w:p>
        </w:tc>
      </w:tr>
    </w:tbl>
    <w:p w:rsidR="00000000" w:rsidRDefault="0061405A">
      <w:pPr>
        <w:divId w:val="369304061"/>
        <w:rPr>
          <w:rFonts w:eastAsia="Times New Roman"/>
        </w:rPr>
      </w:pPr>
    </w:p>
    <w:p w:rsidR="00000000" w:rsidRDefault="0061405A">
      <w:pPr>
        <w:divId w:val="2137523006"/>
        <w:rPr>
          <w:rFonts w:eastAsia="Times New Roman"/>
        </w:rPr>
      </w:pPr>
    </w:p>
    <w:p w:rsidR="00000000" w:rsidRDefault="0061405A">
      <w:pPr>
        <w:ind w:firstLine="360"/>
        <w:jc w:val="both"/>
        <w:divId w:val="2029327628"/>
        <w:rPr>
          <w:rFonts w:eastAsia="Times New Roman"/>
        </w:rPr>
      </w:pPr>
    </w:p>
    <w:p w:rsidR="00000000" w:rsidRDefault="0061405A">
      <w:pPr>
        <w:jc w:val="center"/>
        <w:divId w:val="1773864301"/>
        <w:rPr>
          <w:rFonts w:eastAsia="Times New Roman"/>
        </w:rPr>
      </w:pPr>
      <w:r>
        <w:rPr>
          <w:rFonts w:eastAsia="Times New Roman"/>
          <w:color w:val="000000"/>
          <w:sz w:val="20"/>
          <w:szCs w:val="20"/>
        </w:rPr>
        <w:t>37</w:t>
      </w:r>
    </w:p>
    <w:p w:rsidR="00000000" w:rsidRDefault="0061405A">
      <w:pPr>
        <w:rPr>
          <w:rFonts w:eastAsia="Times New Roman"/>
        </w:rPr>
      </w:pPr>
      <w:r>
        <w:rPr>
          <w:rFonts w:eastAsia="Times New Roman"/>
        </w:rPr>
        <w:pict>
          <v:rect id="_x0000_i1064" style="width:0;height:1.5pt" o:hralign="center" o:hrstd="t" o:hr="t" fillcolor="#a0a0a0" stroked="f"/>
        </w:pict>
      </w:r>
    </w:p>
    <w:p w:rsidR="00000000" w:rsidRDefault="0061405A">
      <w:pPr>
        <w:divId w:val="1962686255"/>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both"/>
        <w:divId w:val="456677386"/>
        <w:rPr>
          <w:rFonts w:eastAsia="Times New Roman"/>
        </w:rPr>
      </w:pPr>
      <w:r>
        <w:rPr>
          <w:rFonts w:eastAsia="Times New Roman"/>
          <w:b/>
          <w:bCs/>
          <w:color w:val="000000"/>
          <w:sz w:val="20"/>
          <w:szCs w:val="20"/>
        </w:rPr>
        <w:t xml:space="preserve">Fiscal Year 2020 compared to Fiscal Year 2019 </w:t>
      </w:r>
    </w:p>
    <w:p w:rsidR="00000000" w:rsidRDefault="0061405A">
      <w:pPr>
        <w:jc w:val="both"/>
        <w:divId w:val="134566063"/>
        <w:rPr>
          <w:rFonts w:eastAsia="Times New Roman"/>
        </w:rPr>
      </w:pPr>
      <w:r>
        <w:rPr>
          <w:rFonts w:eastAsia="Times New Roman"/>
          <w:color w:val="000000"/>
          <w:sz w:val="20"/>
          <w:szCs w:val="20"/>
        </w:rPr>
        <w:t>The table below presents our operating results for 2020 and 2019, and the related year-over-year changes:</w:t>
      </w:r>
    </w:p>
    <w:tbl>
      <w:tblPr>
        <w:tblW w:w="5000" w:type="pct"/>
        <w:tblCellMar>
          <w:top w:w="15" w:type="dxa"/>
          <w:left w:w="15" w:type="dxa"/>
          <w:bottom w:w="15" w:type="dxa"/>
          <w:right w:w="15" w:type="dxa"/>
        </w:tblCellMar>
        <w:tblLook w:val="04A0" w:firstRow="1" w:lastRow="0" w:firstColumn="1" w:lastColumn="0" w:noHBand="0" w:noVBand="1"/>
      </w:tblPr>
      <w:tblGrid>
        <w:gridCol w:w="41"/>
        <w:gridCol w:w="3698"/>
        <w:gridCol w:w="39"/>
        <w:gridCol w:w="36"/>
        <w:gridCol w:w="36"/>
        <w:gridCol w:w="36"/>
        <w:gridCol w:w="120"/>
        <w:gridCol w:w="785"/>
        <w:gridCol w:w="187"/>
        <w:gridCol w:w="36"/>
        <w:gridCol w:w="36"/>
        <w:gridCol w:w="36"/>
        <w:gridCol w:w="120"/>
        <w:gridCol w:w="785"/>
        <w:gridCol w:w="187"/>
        <w:gridCol w:w="36"/>
        <w:gridCol w:w="36"/>
        <w:gridCol w:w="36"/>
        <w:gridCol w:w="120"/>
        <w:gridCol w:w="785"/>
        <w:gridCol w:w="36"/>
        <w:gridCol w:w="36"/>
        <w:gridCol w:w="36"/>
        <w:gridCol w:w="36"/>
        <w:gridCol w:w="49"/>
        <w:gridCol w:w="735"/>
        <w:gridCol w:w="187"/>
      </w:tblGrid>
      <w:tr w:rsidR="00000000">
        <w:trPr>
          <w:divId w:val="2055613799"/>
        </w:trPr>
        <w:tc>
          <w:tcPr>
            <w:tcW w:w="50" w:type="pct"/>
            <w:vAlign w:val="center"/>
            <w:hideMark/>
          </w:tcPr>
          <w:p w:rsidR="00000000" w:rsidRDefault="0061405A">
            <w:pPr>
              <w:jc w:val="both"/>
              <w:rPr>
                <w:rFonts w:eastAsia="Times New Roman"/>
              </w:rPr>
            </w:pPr>
          </w:p>
        </w:tc>
        <w:tc>
          <w:tcPr>
            <w:tcW w:w="2301"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7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7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7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7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2055613799"/>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9"/>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Fiscal Year</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Increase / (Decrease)</w:t>
            </w:r>
          </w:p>
        </w:tc>
      </w:tr>
      <w:tr w:rsidR="00000000">
        <w:trPr>
          <w:divId w:val="2055613799"/>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w:t>
            </w:r>
          </w:p>
        </w:tc>
      </w:tr>
      <w:tr w:rsidR="00000000">
        <w:trPr>
          <w:divId w:val="2055613799"/>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(in thousands)</w:t>
            </w:r>
          </w:p>
        </w:tc>
      </w:tr>
      <w:tr w:rsidR="00000000">
        <w:trPr>
          <w:divId w:val="2055613799"/>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i/>
                <w:iCs/>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 </w:t>
            </w:r>
          </w:p>
        </w:tc>
      </w:tr>
      <w:tr w:rsidR="00000000">
        <w:trPr>
          <w:divId w:val="2055613799"/>
        </w:trPr>
        <w:tc>
          <w:tcPr>
            <w:tcW w:w="0" w:type="auto"/>
            <w:gridSpan w:val="3"/>
            <w:shd w:val="clear" w:color="auto" w:fill="FFFF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20"/>
                <w:szCs w:val="20"/>
              </w:rPr>
              <w:t>Restaurant revenue</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388,480 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456,671 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(68,191)</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(14.9)</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r>
      <w:tr w:rsidR="00000000">
        <w:trPr>
          <w:divId w:val="2055613799"/>
        </w:trPr>
        <w:tc>
          <w:tcPr>
            <w:tcW w:w="0" w:type="auto"/>
            <w:gridSpan w:val="3"/>
            <w:shd w:val="clear" w:color="auto" w:fill="CCEE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20"/>
                <w:szCs w:val="20"/>
              </w:rPr>
              <w:t>Franchising royalties and fees, and other</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5,175 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5,740 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(565)</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(9.8)</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r>
      <w:tr w:rsidR="00000000">
        <w:trPr>
          <w:divId w:val="2055613799"/>
        </w:trPr>
        <w:tc>
          <w:tcPr>
            <w:tcW w:w="0" w:type="auto"/>
            <w:gridSpan w:val="3"/>
            <w:shd w:val="clear" w:color="auto" w:fill="FFFFFF"/>
            <w:tcMar>
              <w:top w:w="30" w:type="dxa"/>
              <w:left w:w="605" w:type="dxa"/>
              <w:bottom w:w="30" w:type="dxa"/>
              <w:right w:w="20" w:type="dxa"/>
            </w:tcMar>
            <w:vAlign w:val="bottom"/>
            <w:hideMark/>
          </w:tcPr>
          <w:p w:rsidR="00000000" w:rsidRDefault="0061405A">
            <w:pPr>
              <w:rPr>
                <w:rFonts w:eastAsia="Times New Roman"/>
              </w:rPr>
            </w:pPr>
            <w:r>
              <w:rPr>
                <w:rFonts w:eastAsia="Times New Roman"/>
                <w:color w:val="000000"/>
                <w:sz w:val="20"/>
                <w:szCs w:val="20"/>
              </w:rPr>
              <w:t>Total revenue</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393,655 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462,411 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(68,756)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(14.9)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r>
      <w:tr w:rsidR="00000000">
        <w:trPr>
          <w:divId w:val="2055613799"/>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i/>
                <w:iCs/>
                <w:color w:val="000000"/>
                <w:sz w:val="20"/>
                <w:szCs w:val="20"/>
              </w:rPr>
              <w:t>Costs and Expenses: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 </w:t>
            </w:r>
          </w:p>
        </w:tc>
      </w:tr>
      <w:tr w:rsidR="00000000">
        <w:trPr>
          <w:divId w:val="2055613799"/>
        </w:trPr>
        <w:tc>
          <w:tcPr>
            <w:tcW w:w="0" w:type="auto"/>
            <w:gridSpan w:val="3"/>
            <w:shd w:val="clear" w:color="auto" w:fill="FFFFFF"/>
            <w:tcMar>
              <w:top w:w="30" w:type="dxa"/>
              <w:left w:w="20" w:type="dxa"/>
              <w:bottom w:w="30" w:type="dxa"/>
              <w:right w:w="20" w:type="dxa"/>
            </w:tcMar>
            <w:vAlign w:val="bottom"/>
            <w:hideMark/>
          </w:tcPr>
          <w:p w:rsidR="00000000" w:rsidRDefault="0061405A">
            <w:pPr>
              <w:ind w:hanging="360"/>
              <w:divId w:val="1902716187"/>
              <w:rPr>
                <w:rFonts w:eastAsia="Times New Roman"/>
              </w:rPr>
            </w:pPr>
            <w:r>
              <w:rPr>
                <w:rFonts w:eastAsia="Times New Roman"/>
                <w:color w:val="000000"/>
                <w:sz w:val="20"/>
                <w:szCs w:val="20"/>
              </w:rPr>
              <w:t>Restaurant operating costs (exclusive of depreciation and amortization, shown separately below):</w:t>
            </w:r>
          </w:p>
        </w:tc>
        <w:tc>
          <w:tcPr>
            <w:tcW w:w="0" w:type="auto"/>
            <w:gridSpan w:val="3"/>
            <w:shd w:val="clear" w:color="auto" w:fill="FFFFFF"/>
            <w:tcMar>
              <w:top w:w="0" w:type="dxa"/>
              <w:left w:w="20" w:type="dxa"/>
              <w:bottom w:w="0" w:type="dxa"/>
              <w:right w:w="20" w:type="dxa"/>
            </w:tcMar>
            <w:vAlign w:val="center"/>
            <w:hideMark/>
          </w:tcPr>
          <w:p w:rsidR="00000000" w:rsidRDefault="0061405A">
            <w:pPr>
              <w:ind w:hanging="36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 </w:t>
            </w:r>
          </w:p>
        </w:tc>
      </w:tr>
      <w:tr w:rsidR="00000000">
        <w:trPr>
          <w:divId w:val="2055613799"/>
        </w:trPr>
        <w:tc>
          <w:tcPr>
            <w:tcW w:w="0" w:type="auto"/>
            <w:gridSpan w:val="3"/>
            <w:shd w:val="clear" w:color="auto" w:fill="CCEEFF"/>
            <w:tcMar>
              <w:top w:w="30" w:type="dxa"/>
              <w:left w:w="605" w:type="dxa"/>
              <w:bottom w:w="30" w:type="dxa"/>
              <w:right w:w="20" w:type="dxa"/>
            </w:tcMar>
            <w:vAlign w:val="bottom"/>
            <w:hideMark/>
          </w:tcPr>
          <w:p w:rsidR="00000000" w:rsidRDefault="0061405A">
            <w:pPr>
              <w:rPr>
                <w:rFonts w:eastAsia="Times New Roman"/>
              </w:rPr>
            </w:pPr>
            <w:r>
              <w:rPr>
                <w:rFonts w:eastAsia="Times New Roman"/>
                <w:color w:val="000000"/>
                <w:sz w:val="20"/>
                <w:szCs w:val="20"/>
              </w:rPr>
              <w:t>Cost of sales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97,697 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117,179 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(19,482)</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(16.6)</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r>
      <w:tr w:rsidR="00000000">
        <w:trPr>
          <w:divId w:val="2055613799"/>
        </w:trPr>
        <w:tc>
          <w:tcPr>
            <w:tcW w:w="0" w:type="auto"/>
            <w:gridSpan w:val="3"/>
            <w:shd w:val="clear" w:color="auto" w:fill="FFFFFF"/>
            <w:tcMar>
              <w:top w:w="30" w:type="dxa"/>
              <w:left w:w="605" w:type="dxa"/>
              <w:bottom w:w="30" w:type="dxa"/>
              <w:right w:w="20" w:type="dxa"/>
            </w:tcMar>
            <w:vAlign w:val="bottom"/>
            <w:hideMark/>
          </w:tcPr>
          <w:p w:rsidR="00000000" w:rsidRDefault="0061405A">
            <w:pPr>
              <w:rPr>
                <w:rFonts w:eastAsia="Times New Roman"/>
              </w:rPr>
            </w:pPr>
            <w:r>
              <w:rPr>
                <w:rFonts w:eastAsia="Times New Roman"/>
                <w:color w:val="000000"/>
                <w:sz w:val="20"/>
                <w:szCs w:val="20"/>
              </w:rPr>
              <w:t>Labor</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126,424 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150,565 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(24,141)</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(16.0)</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r>
      <w:tr w:rsidR="00000000">
        <w:trPr>
          <w:divId w:val="2055613799"/>
        </w:trPr>
        <w:tc>
          <w:tcPr>
            <w:tcW w:w="0" w:type="auto"/>
            <w:gridSpan w:val="3"/>
            <w:shd w:val="clear" w:color="auto" w:fill="CCEEFF"/>
            <w:tcMar>
              <w:top w:w="30" w:type="dxa"/>
              <w:left w:w="605" w:type="dxa"/>
              <w:bottom w:w="30" w:type="dxa"/>
              <w:right w:w="20" w:type="dxa"/>
            </w:tcMar>
            <w:vAlign w:val="bottom"/>
            <w:hideMark/>
          </w:tcPr>
          <w:p w:rsidR="00000000" w:rsidRDefault="0061405A">
            <w:pPr>
              <w:rPr>
                <w:rFonts w:eastAsia="Times New Roman"/>
              </w:rPr>
            </w:pPr>
            <w:r>
              <w:rPr>
                <w:rFonts w:eastAsia="Times New Roman"/>
                <w:color w:val="000000"/>
                <w:sz w:val="20"/>
                <w:szCs w:val="20"/>
              </w:rPr>
              <w:t>Occupancy</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46,787 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48,863 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(2,076)</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(4.2)</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r>
      <w:tr w:rsidR="00000000">
        <w:trPr>
          <w:divId w:val="2055613799"/>
        </w:trPr>
        <w:tc>
          <w:tcPr>
            <w:tcW w:w="0" w:type="auto"/>
            <w:gridSpan w:val="3"/>
            <w:shd w:val="clear" w:color="auto" w:fill="FFFFFF"/>
            <w:tcMar>
              <w:top w:w="30" w:type="dxa"/>
              <w:left w:w="605" w:type="dxa"/>
              <w:bottom w:w="30" w:type="dxa"/>
              <w:right w:w="20" w:type="dxa"/>
            </w:tcMar>
            <w:vAlign w:val="bottom"/>
            <w:hideMark/>
          </w:tcPr>
          <w:p w:rsidR="00000000" w:rsidRDefault="0061405A">
            <w:pPr>
              <w:rPr>
                <w:rFonts w:eastAsia="Times New Roman"/>
              </w:rPr>
            </w:pPr>
            <w:r>
              <w:rPr>
                <w:rFonts w:eastAsia="Times New Roman"/>
                <w:color w:val="000000"/>
                <w:sz w:val="20"/>
                <w:szCs w:val="20"/>
              </w:rPr>
              <w:t>Other restaurant operating costs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71,208 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66,684 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4,524 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6.8 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r>
      <w:tr w:rsidR="00000000">
        <w:trPr>
          <w:divId w:val="2055613799"/>
        </w:trPr>
        <w:tc>
          <w:tcPr>
            <w:tcW w:w="0" w:type="auto"/>
            <w:gridSpan w:val="3"/>
            <w:shd w:val="clear" w:color="auto" w:fill="CCEE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20"/>
                <w:szCs w:val="20"/>
              </w:rPr>
              <w:t>General and administrative</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42,876 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43,446 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(570)</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r>
      <w:tr w:rsidR="00000000">
        <w:trPr>
          <w:divId w:val="2055613799"/>
        </w:trPr>
        <w:tc>
          <w:tcPr>
            <w:tcW w:w="0" w:type="auto"/>
            <w:gridSpan w:val="3"/>
            <w:shd w:val="clear" w:color="auto" w:fill="FFFF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20"/>
                <w:szCs w:val="20"/>
              </w:rPr>
              <w:t>Depreciation and amortization</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21,709 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22,086 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(377)</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(1.7)</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r>
      <w:tr w:rsidR="00000000">
        <w:trPr>
          <w:divId w:val="2055613799"/>
        </w:trPr>
        <w:tc>
          <w:tcPr>
            <w:tcW w:w="0" w:type="auto"/>
            <w:gridSpan w:val="3"/>
            <w:shd w:val="clear" w:color="auto" w:fill="CCEE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20"/>
                <w:szCs w:val="20"/>
              </w:rPr>
              <w:t>Pre-opening</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443 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402 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41 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10.2 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r>
      <w:tr w:rsidR="00000000">
        <w:trPr>
          <w:divId w:val="2055613799"/>
        </w:trPr>
        <w:tc>
          <w:tcPr>
            <w:tcW w:w="0" w:type="auto"/>
            <w:gridSpan w:val="3"/>
            <w:shd w:val="clear" w:color="auto" w:fill="FFFF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20"/>
                <w:szCs w:val="20"/>
              </w:rPr>
              <w:t>Restaurant impairments, closure costs and asset disposals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6,540 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7,747 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(1,207)</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(15.6)</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r>
      <w:tr w:rsidR="00000000">
        <w:trPr>
          <w:divId w:val="2055613799"/>
        </w:trPr>
        <w:tc>
          <w:tcPr>
            <w:tcW w:w="0" w:type="auto"/>
            <w:gridSpan w:val="3"/>
            <w:shd w:val="clear" w:color="auto" w:fill="CCEEFF"/>
            <w:tcMar>
              <w:top w:w="30" w:type="dxa"/>
              <w:left w:w="605" w:type="dxa"/>
              <w:bottom w:w="30" w:type="dxa"/>
              <w:right w:w="20" w:type="dxa"/>
            </w:tcMar>
            <w:vAlign w:val="bottom"/>
            <w:hideMark/>
          </w:tcPr>
          <w:p w:rsidR="00000000" w:rsidRDefault="0061405A">
            <w:pPr>
              <w:rPr>
                <w:rFonts w:eastAsia="Times New Roman"/>
              </w:rPr>
            </w:pPr>
            <w:r>
              <w:rPr>
                <w:rFonts w:eastAsia="Times New Roman"/>
                <w:color w:val="000000"/>
                <w:sz w:val="20"/>
                <w:szCs w:val="20"/>
              </w:rPr>
              <w:t>Total costs and expenses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413,684 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456,972 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(43,288)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(9.5)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r>
      <w:tr w:rsidR="00000000">
        <w:trPr>
          <w:divId w:val="2055613799"/>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(Loss) income from operations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(20,029)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5,439 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(25,468)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r>
      <w:tr w:rsidR="00000000">
        <w:trPr>
          <w:divId w:val="2055613799"/>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Loss on extinguishment of debt</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746 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(746)</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(100.0)</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r>
      <w:tr w:rsidR="00000000">
        <w:trPr>
          <w:divId w:val="2055613799"/>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Interest expense, net</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3,146 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2,942 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204 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6.9 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r>
      <w:tr w:rsidR="00000000">
        <w:trPr>
          <w:divId w:val="2055613799"/>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(Loss) income before income taxes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(23,175)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1,751 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(24,926)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r>
      <w:tr w:rsidR="00000000">
        <w:trPr>
          <w:divId w:val="2055613799"/>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Provision (benefit) from income taxes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84 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104 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(20)</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(19.2)</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r>
      <w:tr w:rsidR="00000000">
        <w:trPr>
          <w:divId w:val="2055613799"/>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Net (loss) income</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(23,259)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1,647 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(24,906)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r>
      <w:tr w:rsidR="00000000">
        <w:trPr>
          <w:divId w:val="2055613799"/>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Company-owned:</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2055613799"/>
        </w:trPr>
        <w:tc>
          <w:tcPr>
            <w:tcW w:w="0" w:type="auto"/>
            <w:gridSpan w:val="3"/>
            <w:shd w:val="clear" w:color="auto" w:fill="CCEEFF"/>
            <w:tcMar>
              <w:top w:w="30" w:type="dxa"/>
              <w:left w:w="605" w:type="dxa"/>
              <w:bottom w:w="30" w:type="dxa"/>
              <w:right w:w="20" w:type="dxa"/>
            </w:tcMar>
            <w:vAlign w:val="bottom"/>
            <w:hideMark/>
          </w:tcPr>
          <w:p w:rsidR="00000000" w:rsidRDefault="0061405A">
            <w:pPr>
              <w:rPr>
                <w:rFonts w:eastAsia="Times New Roman"/>
              </w:rPr>
            </w:pPr>
            <w:r>
              <w:rPr>
                <w:rFonts w:eastAsia="Times New Roman"/>
                <w:color w:val="000000"/>
                <w:sz w:val="20"/>
                <w:szCs w:val="20"/>
              </w:rPr>
              <w:t>Average unit volumes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1,064 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1,168 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(104)</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(8.9)</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r>
      <w:tr w:rsidR="00000000">
        <w:trPr>
          <w:divId w:val="2055613799"/>
        </w:trPr>
        <w:tc>
          <w:tcPr>
            <w:tcW w:w="0" w:type="auto"/>
            <w:gridSpan w:val="3"/>
            <w:shd w:val="clear" w:color="auto" w:fill="FFFFFF"/>
            <w:tcMar>
              <w:top w:w="30" w:type="dxa"/>
              <w:left w:w="605" w:type="dxa"/>
              <w:bottom w:w="30" w:type="dxa"/>
              <w:right w:w="20" w:type="dxa"/>
            </w:tcMar>
            <w:vAlign w:val="bottom"/>
            <w:hideMark/>
          </w:tcPr>
          <w:p w:rsidR="00000000" w:rsidRDefault="0061405A">
            <w:pPr>
              <w:rPr>
                <w:rFonts w:eastAsia="Times New Roman"/>
              </w:rPr>
            </w:pPr>
            <w:r>
              <w:rPr>
                <w:rFonts w:eastAsia="Times New Roman"/>
                <w:color w:val="000000"/>
                <w:sz w:val="20"/>
                <w:szCs w:val="20"/>
              </w:rPr>
              <w:t>Comparable restaurant sales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(11.6)</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r>
    </w:tbl>
    <w:p w:rsidR="00000000" w:rsidRDefault="0061405A">
      <w:pPr>
        <w:divId w:val="1596937810"/>
        <w:rPr>
          <w:rFonts w:eastAsia="Times New Roman"/>
        </w:rPr>
      </w:pPr>
      <w:r>
        <w:rPr>
          <w:rFonts w:eastAsia="Times New Roman"/>
          <w:color w:val="000000"/>
          <w:sz w:val="16"/>
          <w:szCs w:val="16"/>
        </w:rPr>
        <w:t>_____________</w:t>
      </w:r>
    </w:p>
    <w:p w:rsidR="00000000" w:rsidRDefault="0061405A">
      <w:pPr>
        <w:ind w:hanging="720"/>
        <w:divId w:val="903878712"/>
        <w:rPr>
          <w:rFonts w:eastAsia="Times New Roman"/>
        </w:rPr>
      </w:pPr>
      <w:r>
        <w:rPr>
          <w:rFonts w:eastAsia="Times New Roman"/>
          <w:color w:val="000000"/>
          <w:sz w:val="16"/>
          <w:szCs w:val="16"/>
        </w:rPr>
        <w:t>*    Not meaningful.</w:t>
      </w:r>
    </w:p>
    <w:p w:rsidR="00000000" w:rsidRDefault="0061405A">
      <w:pPr>
        <w:jc w:val="both"/>
        <w:divId w:val="1033845619"/>
        <w:rPr>
          <w:rFonts w:eastAsia="Times New Roman"/>
        </w:rPr>
      </w:pPr>
      <w:r>
        <w:rPr>
          <w:rFonts w:eastAsia="Times New Roman"/>
          <w:b/>
          <w:bCs/>
          <w:i/>
          <w:iCs/>
          <w:color w:val="000000"/>
          <w:sz w:val="20"/>
          <w:szCs w:val="20"/>
        </w:rPr>
        <w:t>Revenue</w:t>
      </w:r>
    </w:p>
    <w:p w:rsidR="00000000" w:rsidRDefault="0061405A">
      <w:pPr>
        <w:jc w:val="both"/>
        <w:divId w:val="1025406892"/>
        <w:rPr>
          <w:rFonts w:eastAsia="Times New Roman"/>
        </w:rPr>
      </w:pPr>
      <w:r>
        <w:rPr>
          <w:rFonts w:eastAsia="Times New Roman"/>
          <w:color w:val="000000"/>
          <w:sz w:val="20"/>
          <w:szCs w:val="20"/>
        </w:rPr>
        <w:t>Total revenue decreased by $68.8 million, or 14.9%, in 2020 compared to 201</w:t>
      </w:r>
      <w:r>
        <w:rPr>
          <w:rFonts w:eastAsia="Times New Roman"/>
          <w:color w:val="000000"/>
          <w:sz w:val="20"/>
          <w:szCs w:val="20"/>
          <w:shd w:val="clear" w:color="auto" w:fill="FFFFFF"/>
        </w:rPr>
        <w:t>9. This decrease was due to a decline in traffic related to the impact of the COVID-19 pandemic during 2020, temporary store closures due to the COVID-19 pandemic, six restaurants p</w:t>
      </w:r>
      <w:r>
        <w:rPr>
          <w:rFonts w:eastAsia="Times New Roman"/>
          <w:color w:val="000000"/>
          <w:sz w:val="20"/>
          <w:szCs w:val="20"/>
          <w:shd w:val="clear" w:color="auto" w:fill="FFFFFF"/>
        </w:rPr>
        <w:t xml:space="preserve">ermanently closed in 2020, as well as a $10.3 million decrease related to the refranchising of nine total restaurants, partially offset by increases in pricing and growth from the four new restaurants opened in 2020 and the opening of four new restaurants </w:t>
      </w:r>
      <w:r>
        <w:rPr>
          <w:rFonts w:eastAsia="Times New Roman"/>
          <w:color w:val="000000"/>
          <w:sz w:val="20"/>
          <w:szCs w:val="20"/>
          <w:shd w:val="clear" w:color="auto" w:fill="FFFFFF"/>
        </w:rPr>
        <w:t xml:space="preserve">in 2019. </w:t>
      </w:r>
    </w:p>
    <w:p w:rsidR="00000000" w:rsidRDefault="0061405A">
      <w:pPr>
        <w:jc w:val="both"/>
        <w:divId w:val="453250794"/>
        <w:rPr>
          <w:rFonts w:eastAsia="Times New Roman"/>
        </w:rPr>
      </w:pPr>
      <w:r>
        <w:rPr>
          <w:rFonts w:eastAsia="Times New Roman"/>
          <w:color w:val="000000"/>
          <w:sz w:val="20"/>
          <w:szCs w:val="20"/>
        </w:rPr>
        <w:t>Average</w:t>
      </w:r>
      <w:r>
        <w:rPr>
          <w:rFonts w:eastAsia="Times New Roman"/>
          <w:color w:val="000000"/>
          <w:sz w:val="20"/>
          <w:szCs w:val="20"/>
          <w:shd w:val="clear" w:color="auto" w:fill="FFFFFF"/>
        </w:rPr>
        <w:t xml:space="preserve"> unit volumes decreased </w:t>
      </w:r>
      <w:r>
        <w:rPr>
          <w:rFonts w:eastAsia="Times New Roman"/>
          <w:color w:val="000000"/>
          <w:sz w:val="20"/>
          <w:szCs w:val="20"/>
        </w:rPr>
        <w:t>8.9% to $1.1 million in 2020 compared to $1.2 million in 2019. System-wide comparable restaurant sales decreased 12.0% in 2020, comprised of an 11.6% decrease at company-owned restaurants and a 14.5% decrease at fra</w:t>
      </w:r>
      <w:r>
        <w:rPr>
          <w:rFonts w:eastAsia="Times New Roman"/>
          <w:color w:val="000000"/>
          <w:sz w:val="20"/>
          <w:szCs w:val="20"/>
        </w:rPr>
        <w:t xml:space="preserve">nchise-owned restaurants. </w:t>
      </w:r>
    </w:p>
    <w:p w:rsidR="00000000" w:rsidRDefault="0061405A">
      <w:pPr>
        <w:jc w:val="center"/>
        <w:divId w:val="1115947476"/>
        <w:rPr>
          <w:rFonts w:eastAsia="Times New Roman"/>
        </w:rPr>
      </w:pPr>
      <w:r>
        <w:rPr>
          <w:rFonts w:eastAsia="Times New Roman"/>
          <w:color w:val="000000"/>
          <w:sz w:val="20"/>
          <w:szCs w:val="20"/>
        </w:rPr>
        <w:t>38</w:t>
      </w:r>
    </w:p>
    <w:p w:rsidR="00000000" w:rsidRDefault="0061405A">
      <w:pPr>
        <w:rPr>
          <w:rFonts w:eastAsia="Times New Roman"/>
        </w:rPr>
      </w:pPr>
      <w:r>
        <w:rPr>
          <w:rFonts w:eastAsia="Times New Roman"/>
        </w:rPr>
        <w:pict>
          <v:rect id="_x0000_i1065" style="width:0;height:1.5pt" o:hralign="center" o:hrstd="t" o:hr="t" fillcolor="#a0a0a0" stroked="f"/>
        </w:pict>
      </w:r>
    </w:p>
    <w:p w:rsidR="00000000" w:rsidRDefault="0061405A">
      <w:pPr>
        <w:divId w:val="1970624900"/>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both"/>
        <w:divId w:val="1119376392"/>
        <w:rPr>
          <w:rFonts w:eastAsia="Times New Roman"/>
        </w:rPr>
      </w:pPr>
      <w:r>
        <w:rPr>
          <w:rFonts w:eastAsia="Times New Roman"/>
          <w:b/>
          <w:bCs/>
          <w:i/>
          <w:iCs/>
          <w:color w:val="000000"/>
          <w:sz w:val="20"/>
          <w:szCs w:val="20"/>
        </w:rPr>
        <w:t>Cost of Sales</w:t>
      </w:r>
    </w:p>
    <w:p w:rsidR="00000000" w:rsidRDefault="0061405A">
      <w:pPr>
        <w:jc w:val="both"/>
        <w:divId w:val="1208490238"/>
        <w:rPr>
          <w:rFonts w:eastAsia="Times New Roman"/>
        </w:rPr>
      </w:pPr>
      <w:r>
        <w:rPr>
          <w:rFonts w:eastAsia="Times New Roman"/>
          <w:color w:val="000000"/>
          <w:sz w:val="20"/>
          <w:szCs w:val="20"/>
        </w:rPr>
        <w:t>Cost of sales decreased by $19.5 million, or 16.6%, in 2020 compared to 2019, due primarily to the reduction in restaurant revenue. As a percentage of restaurant revenue, cost of sales decreased to 25.1% in 2020 from 25.7% in 2019. The decrease as a percen</w:t>
      </w:r>
      <w:r>
        <w:rPr>
          <w:rFonts w:eastAsia="Times New Roman"/>
          <w:color w:val="000000"/>
          <w:sz w:val="20"/>
          <w:szCs w:val="20"/>
        </w:rPr>
        <w:t xml:space="preserve">tage of restaurant revenue was primarily due to ongoing supply chain initiatives, increased menu pricing and lower discounting, partially offset by higher packaging costs associated with the shift to increased off-premise sales in response to the COVID-19 </w:t>
      </w:r>
      <w:r>
        <w:rPr>
          <w:rFonts w:eastAsia="Times New Roman"/>
          <w:color w:val="000000"/>
          <w:sz w:val="20"/>
          <w:szCs w:val="20"/>
        </w:rPr>
        <w:t>pandemic.</w:t>
      </w:r>
    </w:p>
    <w:p w:rsidR="00000000" w:rsidRDefault="0061405A">
      <w:pPr>
        <w:jc w:val="both"/>
        <w:divId w:val="1531646797"/>
        <w:rPr>
          <w:rFonts w:eastAsia="Times New Roman"/>
        </w:rPr>
      </w:pPr>
      <w:r>
        <w:rPr>
          <w:rFonts w:eastAsia="Times New Roman"/>
          <w:b/>
          <w:bCs/>
          <w:i/>
          <w:iCs/>
          <w:color w:val="000000"/>
          <w:sz w:val="20"/>
          <w:szCs w:val="20"/>
        </w:rPr>
        <w:t>Labor Costs</w:t>
      </w:r>
    </w:p>
    <w:p w:rsidR="00000000" w:rsidRDefault="0061405A">
      <w:pPr>
        <w:jc w:val="both"/>
        <w:divId w:val="220676922"/>
        <w:rPr>
          <w:rFonts w:eastAsia="Times New Roman"/>
        </w:rPr>
      </w:pPr>
      <w:r>
        <w:rPr>
          <w:rFonts w:eastAsia="Times New Roman"/>
          <w:color w:val="000000"/>
          <w:sz w:val="20"/>
          <w:szCs w:val="20"/>
        </w:rPr>
        <w:t>Labor costs decreased by $24.1 million, or 16.0%, in 2020 compared to 2019, due primarily to the decline in restaurant sales associated with the COVID-19 pandemic as well as labor initiatives implemented in 2020. These initiatives inc</w:t>
      </w:r>
      <w:r>
        <w:rPr>
          <w:rFonts w:eastAsia="Times New Roman"/>
          <w:color w:val="000000"/>
          <w:sz w:val="20"/>
          <w:szCs w:val="20"/>
        </w:rPr>
        <w:t>luded modifying</w:t>
      </w:r>
      <w:r>
        <w:rPr>
          <w:rFonts w:eastAsia="Times New Roman"/>
          <w:color w:val="000000"/>
          <w:sz w:val="20"/>
          <w:szCs w:val="20"/>
          <w:shd w:val="clear" w:color="auto" w:fill="FFFFFF"/>
        </w:rPr>
        <w:t xml:space="preserve"> our labor model to reduce the number of front of house hours in our restaurants, especially during the time that indoor dining rooms were closed. As a percentage of restaurant revenue, labor costs decreased</w:t>
      </w:r>
      <w:r>
        <w:rPr>
          <w:rFonts w:eastAsia="Times New Roman"/>
          <w:color w:val="000000"/>
          <w:sz w:val="20"/>
          <w:szCs w:val="20"/>
        </w:rPr>
        <w:t xml:space="preserve"> to 32.5% in 2020 compared to 33.0</w:t>
      </w:r>
      <w:r>
        <w:rPr>
          <w:rFonts w:eastAsia="Times New Roman"/>
          <w:color w:val="000000"/>
          <w:sz w:val="20"/>
          <w:szCs w:val="20"/>
        </w:rPr>
        <w:t>% in 2019 as a result of the labor initiatives implemented.</w:t>
      </w:r>
    </w:p>
    <w:p w:rsidR="00000000" w:rsidRDefault="0061405A">
      <w:pPr>
        <w:jc w:val="both"/>
        <w:divId w:val="759763297"/>
        <w:rPr>
          <w:rFonts w:eastAsia="Times New Roman"/>
        </w:rPr>
      </w:pPr>
      <w:r>
        <w:rPr>
          <w:rFonts w:eastAsia="Times New Roman"/>
          <w:b/>
          <w:bCs/>
          <w:i/>
          <w:iCs/>
          <w:color w:val="000000"/>
          <w:sz w:val="20"/>
          <w:szCs w:val="20"/>
        </w:rPr>
        <w:t>Occupancy Costs</w:t>
      </w:r>
    </w:p>
    <w:p w:rsidR="00000000" w:rsidRDefault="0061405A">
      <w:pPr>
        <w:jc w:val="both"/>
        <w:divId w:val="1239631907"/>
        <w:rPr>
          <w:rFonts w:eastAsia="Times New Roman"/>
        </w:rPr>
      </w:pPr>
      <w:r>
        <w:rPr>
          <w:rFonts w:eastAsia="Times New Roman"/>
          <w:color w:val="000000"/>
          <w:sz w:val="20"/>
          <w:szCs w:val="20"/>
        </w:rPr>
        <w:t>Occupancy costs decreased by $2.1 million, or 4.2%, in 2020</w:t>
      </w:r>
      <w:r>
        <w:rPr>
          <w:rFonts w:eastAsia="Times New Roman"/>
          <w:color w:val="000000"/>
          <w:sz w:val="20"/>
          <w:szCs w:val="20"/>
          <w:shd w:val="clear" w:color="auto" w:fill="FFFFFF"/>
        </w:rPr>
        <w:t xml:space="preserve"> compared to 2019, due primarily to the favorable impact of restaurant closures since the beginning of 2019 as well as re</w:t>
      </w:r>
      <w:r>
        <w:rPr>
          <w:rFonts w:eastAsia="Times New Roman"/>
          <w:color w:val="000000"/>
          <w:sz w:val="20"/>
          <w:szCs w:val="20"/>
          <w:shd w:val="clear" w:color="auto" w:fill="FFFFFF"/>
        </w:rPr>
        <w:t xml:space="preserve">nt abatements from lease negotiations as a result of the COVID-19 pandemic. As a percentage of restaurant revenue, occupancy costs increased to 12.0% in 2020 from 10.7% in 2019, due to modest new unit growth and a reduction in restaurant revenue. </w:t>
      </w:r>
    </w:p>
    <w:p w:rsidR="00000000" w:rsidRDefault="0061405A">
      <w:pPr>
        <w:jc w:val="both"/>
        <w:divId w:val="2029941880"/>
        <w:rPr>
          <w:rFonts w:eastAsia="Times New Roman"/>
        </w:rPr>
      </w:pPr>
      <w:r>
        <w:rPr>
          <w:rFonts w:eastAsia="Times New Roman"/>
          <w:b/>
          <w:bCs/>
          <w:i/>
          <w:iCs/>
          <w:color w:val="000000"/>
          <w:sz w:val="20"/>
          <w:szCs w:val="20"/>
          <w:shd w:val="clear" w:color="auto" w:fill="FFFFFF"/>
        </w:rPr>
        <w:t>Other Re</w:t>
      </w:r>
      <w:r>
        <w:rPr>
          <w:rFonts w:eastAsia="Times New Roman"/>
          <w:b/>
          <w:bCs/>
          <w:i/>
          <w:iCs/>
          <w:color w:val="000000"/>
          <w:sz w:val="20"/>
          <w:szCs w:val="20"/>
          <w:shd w:val="clear" w:color="auto" w:fill="FFFFFF"/>
        </w:rPr>
        <w:t>staurant Operating Costs</w:t>
      </w:r>
    </w:p>
    <w:p w:rsidR="00000000" w:rsidRDefault="0061405A">
      <w:pPr>
        <w:jc w:val="both"/>
        <w:divId w:val="1458330608"/>
        <w:rPr>
          <w:rFonts w:eastAsia="Times New Roman"/>
        </w:rPr>
      </w:pPr>
      <w:r>
        <w:rPr>
          <w:rFonts w:eastAsia="Times New Roman"/>
          <w:color w:val="000000"/>
          <w:sz w:val="20"/>
          <w:szCs w:val="20"/>
        </w:rPr>
        <w:t xml:space="preserve">Other restaurant operating costs increased by $4.5 million, or 6.8%, in 2020 compared to 2019, due primarily to increased third-party delivery fees </w:t>
      </w:r>
      <w:r>
        <w:rPr>
          <w:rFonts w:eastAsia="Times New Roman"/>
          <w:color w:val="000000"/>
          <w:sz w:val="20"/>
          <w:szCs w:val="20"/>
          <w:shd w:val="clear" w:color="auto" w:fill="FFFFFF"/>
        </w:rPr>
        <w:t>partially offset by lower utility costs, lower credit card fees and lower repairs a</w:t>
      </w:r>
      <w:r>
        <w:rPr>
          <w:rFonts w:eastAsia="Times New Roman"/>
          <w:color w:val="000000"/>
          <w:sz w:val="20"/>
          <w:szCs w:val="20"/>
          <w:shd w:val="clear" w:color="auto" w:fill="FFFFFF"/>
        </w:rPr>
        <w:t>nd maintenance in 2020</w:t>
      </w:r>
      <w:r>
        <w:rPr>
          <w:rFonts w:eastAsia="Times New Roman"/>
          <w:color w:val="000000"/>
          <w:sz w:val="20"/>
          <w:szCs w:val="20"/>
        </w:rPr>
        <w:t>. As a percentage of restaurant revenue, other restaurant operating costs increased to 18.3% in 2020 from 14.6% in 2019, due primarily to increased third-party delivery fees resulting from a significant expansion of our use of third-p</w:t>
      </w:r>
      <w:r>
        <w:rPr>
          <w:rFonts w:eastAsia="Times New Roman"/>
          <w:color w:val="000000"/>
          <w:sz w:val="20"/>
          <w:szCs w:val="20"/>
        </w:rPr>
        <w:t>arty delivery services due to the COVID-19 pandemic.</w:t>
      </w:r>
    </w:p>
    <w:p w:rsidR="00000000" w:rsidRDefault="0061405A">
      <w:pPr>
        <w:jc w:val="both"/>
        <w:divId w:val="532886321"/>
        <w:rPr>
          <w:rFonts w:eastAsia="Times New Roman"/>
        </w:rPr>
      </w:pPr>
      <w:r>
        <w:rPr>
          <w:rFonts w:eastAsia="Times New Roman"/>
          <w:b/>
          <w:bCs/>
          <w:i/>
          <w:iCs/>
          <w:color w:val="000000"/>
          <w:sz w:val="20"/>
          <w:szCs w:val="20"/>
        </w:rPr>
        <w:t>General and Administrative Expense</w:t>
      </w:r>
    </w:p>
    <w:p w:rsidR="00000000" w:rsidRDefault="0061405A">
      <w:pPr>
        <w:jc w:val="both"/>
        <w:divId w:val="148331483"/>
        <w:rPr>
          <w:rFonts w:eastAsia="Times New Roman"/>
        </w:rPr>
      </w:pPr>
      <w:r>
        <w:rPr>
          <w:rFonts w:eastAsia="Times New Roman"/>
          <w:color w:val="000000"/>
          <w:sz w:val="20"/>
          <w:szCs w:val="20"/>
        </w:rPr>
        <w:t>General and administ</w:t>
      </w:r>
      <w:r>
        <w:rPr>
          <w:rFonts w:eastAsia="Times New Roman"/>
          <w:color w:val="000000"/>
          <w:sz w:val="20"/>
          <w:szCs w:val="20"/>
          <w:shd w:val="clear" w:color="auto" w:fill="FFFFFF"/>
        </w:rPr>
        <w:t>rative expense decreased by $0.6 million, or 1.3%, in 2020 compared to 2019, due primarily to the cost savings initiatives implemented as a result o</w:t>
      </w:r>
      <w:r>
        <w:rPr>
          <w:rFonts w:eastAsia="Times New Roman"/>
          <w:color w:val="000000"/>
          <w:sz w:val="20"/>
          <w:szCs w:val="20"/>
          <w:shd w:val="clear" w:color="auto" w:fill="FFFFFF"/>
        </w:rPr>
        <w:t>f the COVID-19 pandemic, including position reductions, furloughs, temporary salary reductions and reduction in bonus expense, partially offset by an increase in severance and marketing expense. A</w:t>
      </w:r>
      <w:r>
        <w:rPr>
          <w:rFonts w:eastAsia="Times New Roman"/>
          <w:color w:val="000000"/>
          <w:sz w:val="20"/>
          <w:szCs w:val="20"/>
        </w:rPr>
        <w:t>s a percentage of revenue, general and administrative expens</w:t>
      </w:r>
      <w:r>
        <w:rPr>
          <w:rFonts w:eastAsia="Times New Roman"/>
          <w:color w:val="000000"/>
          <w:sz w:val="20"/>
          <w:szCs w:val="20"/>
        </w:rPr>
        <w:t xml:space="preserve">e increased to 10.9% in 2020 compared to 9.4% in 2019, due primarily to the decline in revenue as a result of the COVID-19 pandemic. </w:t>
      </w:r>
    </w:p>
    <w:p w:rsidR="00000000" w:rsidRDefault="0061405A">
      <w:pPr>
        <w:jc w:val="both"/>
        <w:divId w:val="1991858588"/>
        <w:rPr>
          <w:rFonts w:eastAsia="Times New Roman"/>
        </w:rPr>
      </w:pPr>
      <w:r>
        <w:rPr>
          <w:rFonts w:eastAsia="Times New Roman"/>
          <w:b/>
          <w:bCs/>
          <w:i/>
          <w:iCs/>
          <w:color w:val="000000"/>
          <w:sz w:val="20"/>
          <w:szCs w:val="20"/>
        </w:rPr>
        <w:t>Depreciation and Amortization</w:t>
      </w:r>
    </w:p>
    <w:p w:rsidR="00000000" w:rsidRDefault="0061405A">
      <w:pPr>
        <w:jc w:val="both"/>
        <w:divId w:val="1474979879"/>
        <w:rPr>
          <w:rFonts w:eastAsia="Times New Roman"/>
        </w:rPr>
      </w:pPr>
      <w:r>
        <w:rPr>
          <w:rFonts w:eastAsia="Times New Roman"/>
          <w:color w:val="000000"/>
          <w:sz w:val="20"/>
          <w:szCs w:val="20"/>
        </w:rPr>
        <w:t>Depreciation and amortization decreased by $0.4 million, or 1.7%, in 2020 compared to 2019</w:t>
      </w:r>
      <w:r>
        <w:rPr>
          <w:rFonts w:eastAsia="Times New Roman"/>
          <w:color w:val="000000"/>
          <w:sz w:val="20"/>
          <w:szCs w:val="20"/>
          <w:shd w:val="clear" w:color="auto" w:fill="FFFFFF"/>
        </w:rPr>
        <w:t xml:space="preserve">, </w:t>
      </w:r>
      <w:r>
        <w:rPr>
          <w:rFonts w:eastAsia="Times New Roman"/>
          <w:color w:val="000000"/>
          <w:sz w:val="20"/>
          <w:szCs w:val="20"/>
          <w:shd w:val="clear" w:color="auto" w:fill="FFFFFF"/>
        </w:rPr>
        <w:t>due primarily to restaurants impaired or closed. As</w:t>
      </w:r>
      <w:r>
        <w:rPr>
          <w:rFonts w:eastAsia="Times New Roman"/>
          <w:color w:val="000000"/>
          <w:sz w:val="20"/>
          <w:szCs w:val="20"/>
        </w:rPr>
        <w:t xml:space="preserve"> a percentage of revenue, depreciation and amortization increased to 5.5% in 2020 from 4.8% in 2019, due primarily to the decline in restaurant sales as a result of the COVID-19 pandemic. </w:t>
      </w:r>
    </w:p>
    <w:p w:rsidR="00000000" w:rsidRDefault="0061405A">
      <w:pPr>
        <w:jc w:val="both"/>
        <w:divId w:val="1197231748"/>
        <w:rPr>
          <w:rFonts w:eastAsia="Times New Roman"/>
        </w:rPr>
      </w:pPr>
      <w:r>
        <w:rPr>
          <w:rFonts w:eastAsia="Times New Roman"/>
          <w:b/>
          <w:bCs/>
          <w:i/>
          <w:iCs/>
          <w:color w:val="000000"/>
          <w:sz w:val="20"/>
          <w:szCs w:val="20"/>
        </w:rPr>
        <w:t>Pre-Opening Cost</w:t>
      </w:r>
      <w:r>
        <w:rPr>
          <w:rFonts w:eastAsia="Times New Roman"/>
          <w:b/>
          <w:bCs/>
          <w:i/>
          <w:iCs/>
          <w:color w:val="000000"/>
          <w:sz w:val="20"/>
          <w:szCs w:val="20"/>
        </w:rPr>
        <w:t>s</w:t>
      </w:r>
    </w:p>
    <w:p w:rsidR="00000000" w:rsidRDefault="0061405A">
      <w:pPr>
        <w:jc w:val="both"/>
        <w:divId w:val="1164080731"/>
        <w:rPr>
          <w:rFonts w:eastAsia="Times New Roman"/>
        </w:rPr>
      </w:pPr>
      <w:r>
        <w:rPr>
          <w:rFonts w:eastAsia="Times New Roman"/>
          <w:color w:val="000000"/>
          <w:sz w:val="20"/>
          <w:szCs w:val="20"/>
        </w:rPr>
        <w:t xml:space="preserve">Pre-opening costs remained relatively flat in 2020 compared to 2019. </w:t>
      </w:r>
    </w:p>
    <w:p w:rsidR="00000000" w:rsidRDefault="0061405A">
      <w:pPr>
        <w:jc w:val="both"/>
        <w:divId w:val="460225940"/>
        <w:rPr>
          <w:rFonts w:eastAsia="Times New Roman"/>
        </w:rPr>
      </w:pPr>
      <w:r>
        <w:rPr>
          <w:rFonts w:eastAsia="Times New Roman"/>
          <w:b/>
          <w:bCs/>
          <w:i/>
          <w:iCs/>
          <w:color w:val="000000"/>
          <w:sz w:val="20"/>
          <w:szCs w:val="20"/>
        </w:rPr>
        <w:t>Restaurant Impairments, Closure Costs and Asset Disposals</w:t>
      </w:r>
    </w:p>
    <w:p w:rsidR="00000000" w:rsidRDefault="0061405A">
      <w:pPr>
        <w:jc w:val="both"/>
        <w:divId w:val="1399547052"/>
        <w:rPr>
          <w:rFonts w:eastAsia="Times New Roman"/>
        </w:rPr>
      </w:pPr>
      <w:r>
        <w:rPr>
          <w:rFonts w:eastAsia="Times New Roman"/>
          <w:color w:val="000000"/>
          <w:sz w:val="20"/>
          <w:szCs w:val="20"/>
          <w:shd w:val="clear" w:color="auto" w:fill="FFFFFF"/>
        </w:rPr>
        <w:t>Restaurant impairments, closure costs and asset disposals decreased by $1.2 million, or 15.6%, in 2020 compared to 2019. In 20</w:t>
      </w:r>
      <w:r>
        <w:rPr>
          <w:rFonts w:eastAsia="Times New Roman"/>
          <w:color w:val="000000"/>
          <w:sz w:val="20"/>
          <w:szCs w:val="20"/>
          <w:shd w:val="clear" w:color="auto" w:fill="FFFFFF"/>
        </w:rPr>
        <w:t xml:space="preserve">20, we recognized $4.1 million of impairment charges on </w:t>
      </w:r>
      <w:r>
        <w:rPr>
          <w:rFonts w:eastAsia="Times New Roman"/>
          <w:color w:val="000000"/>
          <w:sz w:val="20"/>
          <w:szCs w:val="20"/>
        </w:rPr>
        <w:t xml:space="preserve">eight restaurants. In 2019, we had </w:t>
      </w:r>
      <w:r>
        <w:rPr>
          <w:rFonts w:eastAsia="Times New Roman"/>
          <w:color w:val="000000"/>
          <w:sz w:val="20"/>
          <w:szCs w:val="20"/>
          <w:shd w:val="clear" w:color="auto" w:fill="FFFFFF"/>
        </w:rPr>
        <w:t xml:space="preserve">$2.6 million of impairment charges on </w:t>
      </w:r>
      <w:r>
        <w:rPr>
          <w:rFonts w:eastAsia="Times New Roman"/>
          <w:color w:val="000000"/>
          <w:sz w:val="20"/>
          <w:szCs w:val="20"/>
        </w:rPr>
        <w:t>two restaurants</w:t>
      </w:r>
      <w:r>
        <w:rPr>
          <w:rFonts w:eastAsia="Times New Roman"/>
          <w:color w:val="000000"/>
          <w:sz w:val="20"/>
          <w:szCs w:val="20"/>
          <w:shd w:val="clear" w:color="auto" w:fill="FFFFFF"/>
        </w:rPr>
        <w:t xml:space="preserve"> as well as </w:t>
      </w:r>
      <w:r>
        <w:rPr>
          <w:rFonts w:eastAsia="Times New Roman"/>
          <w:color w:val="000000"/>
          <w:sz w:val="20"/>
          <w:szCs w:val="20"/>
        </w:rPr>
        <w:t>$3.6 million asset write-down related to the divestiture of company-owned restaurants to a franchise</w:t>
      </w:r>
      <w:r>
        <w:rPr>
          <w:rFonts w:eastAsia="Times New Roman"/>
          <w:color w:val="000000"/>
          <w:sz w:val="20"/>
          <w:szCs w:val="20"/>
        </w:rPr>
        <w:t>e.</w:t>
      </w:r>
      <w:r>
        <w:rPr>
          <w:rFonts w:eastAsia="Times New Roman"/>
          <w:color w:val="000000"/>
          <w:sz w:val="20"/>
          <w:szCs w:val="20"/>
          <w:shd w:val="clear" w:color="auto" w:fill="FFFFFF"/>
        </w:rPr>
        <w:t xml:space="preserve"> Both periods include ongoing equipment costs for restaurants previously impaired. This decrease was partially offset by an increase in closure costs and </w:t>
      </w:r>
      <w:r>
        <w:rPr>
          <w:rFonts w:eastAsia="Times New Roman"/>
          <w:color w:val="000000"/>
          <w:sz w:val="20"/>
          <w:szCs w:val="20"/>
        </w:rPr>
        <w:t>loss on asset disposals during 2020.</w:t>
      </w:r>
    </w:p>
    <w:p w:rsidR="00000000" w:rsidRDefault="0061405A">
      <w:pPr>
        <w:jc w:val="both"/>
        <w:divId w:val="1263800829"/>
        <w:rPr>
          <w:rFonts w:eastAsia="Times New Roman"/>
        </w:rPr>
      </w:pPr>
      <w:r>
        <w:rPr>
          <w:rFonts w:eastAsia="Times New Roman"/>
          <w:color w:val="000000"/>
          <w:sz w:val="20"/>
          <w:szCs w:val="20"/>
        </w:rPr>
        <w:t>Each quarter we evaluate possible impairment of property and eq</w:t>
      </w:r>
      <w:r>
        <w:rPr>
          <w:rFonts w:eastAsia="Times New Roman"/>
          <w:color w:val="000000"/>
          <w:sz w:val="20"/>
          <w:szCs w:val="20"/>
        </w:rPr>
        <w:t>uipment at the restaurant level and record an impairment loss whenever we determine that the fair value of these assets is less than their carrying value. There can be no assurance that such evaluations will not result in additional impairment costs in fut</w:t>
      </w:r>
      <w:r>
        <w:rPr>
          <w:rFonts w:eastAsia="Times New Roman"/>
          <w:color w:val="000000"/>
          <w:sz w:val="20"/>
          <w:szCs w:val="20"/>
        </w:rPr>
        <w:t>ure periods.</w:t>
      </w:r>
    </w:p>
    <w:p w:rsidR="00000000" w:rsidRDefault="0061405A">
      <w:pPr>
        <w:jc w:val="center"/>
        <w:divId w:val="456145173"/>
        <w:rPr>
          <w:rFonts w:eastAsia="Times New Roman"/>
        </w:rPr>
      </w:pPr>
      <w:r>
        <w:rPr>
          <w:rFonts w:eastAsia="Times New Roman"/>
          <w:color w:val="000000"/>
          <w:sz w:val="20"/>
          <w:szCs w:val="20"/>
        </w:rPr>
        <w:t>39</w:t>
      </w:r>
    </w:p>
    <w:p w:rsidR="00000000" w:rsidRDefault="0061405A">
      <w:pPr>
        <w:rPr>
          <w:rFonts w:eastAsia="Times New Roman"/>
        </w:rPr>
      </w:pPr>
      <w:r>
        <w:rPr>
          <w:rFonts w:eastAsia="Times New Roman"/>
        </w:rPr>
        <w:pict>
          <v:rect id="_x0000_i1066" style="width:0;height:1.5pt" o:hralign="center" o:hrstd="t" o:hr="t" fillcolor="#a0a0a0" stroked="f"/>
        </w:pict>
      </w:r>
    </w:p>
    <w:p w:rsidR="00000000" w:rsidRDefault="0061405A">
      <w:pPr>
        <w:divId w:val="554200362"/>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both"/>
        <w:divId w:val="1239708140"/>
        <w:rPr>
          <w:rFonts w:eastAsia="Times New Roman"/>
        </w:rPr>
      </w:pPr>
      <w:r>
        <w:rPr>
          <w:rFonts w:eastAsia="Times New Roman"/>
          <w:b/>
          <w:bCs/>
          <w:i/>
          <w:iCs/>
          <w:color w:val="000000"/>
          <w:sz w:val="20"/>
          <w:szCs w:val="20"/>
        </w:rPr>
        <w:t>Loss on Extinguishment of Debt</w:t>
      </w:r>
    </w:p>
    <w:p w:rsidR="00000000" w:rsidRDefault="0061405A">
      <w:pPr>
        <w:jc w:val="both"/>
        <w:divId w:val="126440110"/>
        <w:rPr>
          <w:rFonts w:eastAsia="Times New Roman"/>
        </w:rPr>
      </w:pPr>
      <w:r>
        <w:rPr>
          <w:rFonts w:eastAsia="Times New Roman"/>
          <w:color w:val="000000"/>
          <w:sz w:val="20"/>
          <w:szCs w:val="20"/>
        </w:rPr>
        <w:t>In November 2019, we entered into the first amendment to the 2018 Credit Facility, (the “Amendment” or “Amended Credit Facility”). As a result, we wrote off unamortized debt issuance costs related to the 2018 Credit Facility and recognized a loss on exting</w:t>
      </w:r>
      <w:r>
        <w:rPr>
          <w:rFonts w:eastAsia="Times New Roman"/>
          <w:color w:val="000000"/>
          <w:sz w:val="20"/>
          <w:szCs w:val="20"/>
        </w:rPr>
        <w:t xml:space="preserve">uishment of debt in the amount of $0.7 million in 2019. </w:t>
      </w:r>
    </w:p>
    <w:p w:rsidR="00000000" w:rsidRDefault="0061405A">
      <w:pPr>
        <w:jc w:val="both"/>
        <w:divId w:val="2071418863"/>
        <w:rPr>
          <w:rFonts w:eastAsia="Times New Roman"/>
        </w:rPr>
      </w:pPr>
      <w:r>
        <w:rPr>
          <w:rFonts w:eastAsia="Times New Roman"/>
          <w:b/>
          <w:bCs/>
          <w:i/>
          <w:iCs/>
          <w:color w:val="000000"/>
          <w:sz w:val="20"/>
          <w:szCs w:val="20"/>
        </w:rPr>
        <w:t>Interest Expense</w:t>
      </w:r>
    </w:p>
    <w:p w:rsidR="00000000" w:rsidRDefault="0061405A">
      <w:pPr>
        <w:jc w:val="both"/>
        <w:divId w:val="33510398"/>
        <w:rPr>
          <w:rFonts w:eastAsia="Times New Roman"/>
        </w:rPr>
      </w:pPr>
      <w:r>
        <w:rPr>
          <w:rFonts w:eastAsia="Times New Roman"/>
          <w:color w:val="000000"/>
          <w:sz w:val="20"/>
          <w:szCs w:val="20"/>
        </w:rPr>
        <w:t>Interest expense increased by $0.2 million, or 6.9% in 2020 compared to 2019</w:t>
      </w:r>
      <w:r>
        <w:rPr>
          <w:rFonts w:eastAsia="Times New Roman"/>
          <w:color w:val="000000"/>
          <w:sz w:val="20"/>
          <w:szCs w:val="20"/>
          <w:shd w:val="clear" w:color="auto" w:fill="FFFFFF"/>
        </w:rPr>
        <w:t>. The increase was mainly due to higher average borrowings and a higher average interest rate in 2020 comp</w:t>
      </w:r>
      <w:r>
        <w:rPr>
          <w:rFonts w:eastAsia="Times New Roman"/>
          <w:color w:val="000000"/>
          <w:sz w:val="20"/>
          <w:szCs w:val="20"/>
          <w:shd w:val="clear" w:color="auto" w:fill="FFFFFF"/>
        </w:rPr>
        <w:t>ared to 2019.</w:t>
      </w:r>
    </w:p>
    <w:p w:rsidR="00000000" w:rsidRDefault="0061405A">
      <w:pPr>
        <w:jc w:val="both"/>
        <w:divId w:val="1672441888"/>
        <w:rPr>
          <w:rFonts w:eastAsia="Times New Roman"/>
        </w:rPr>
      </w:pPr>
      <w:r>
        <w:rPr>
          <w:rFonts w:eastAsia="Times New Roman"/>
          <w:b/>
          <w:bCs/>
          <w:i/>
          <w:iCs/>
          <w:color w:val="000000"/>
          <w:sz w:val="20"/>
          <w:szCs w:val="20"/>
        </w:rPr>
        <w:t>Provision (Benefit) from Income Taxes</w:t>
      </w:r>
    </w:p>
    <w:p w:rsidR="00000000" w:rsidRDefault="0061405A">
      <w:pPr>
        <w:jc w:val="both"/>
        <w:divId w:val="533225577"/>
        <w:rPr>
          <w:rFonts w:eastAsia="Times New Roman"/>
        </w:rPr>
      </w:pPr>
      <w:r>
        <w:rPr>
          <w:rFonts w:eastAsia="Times New Roman"/>
          <w:color w:val="000000"/>
          <w:sz w:val="20"/>
          <w:szCs w:val="20"/>
        </w:rPr>
        <w:t>The effective tax rate wa</w:t>
      </w:r>
      <w:r>
        <w:rPr>
          <w:rFonts w:eastAsia="Times New Roman"/>
          <w:color w:val="000000"/>
          <w:sz w:val="20"/>
          <w:szCs w:val="20"/>
          <w:shd w:val="clear" w:color="auto" w:fill="FFFFFF"/>
        </w:rPr>
        <w:t>s (0.4)% in</w:t>
      </w:r>
      <w:r>
        <w:rPr>
          <w:rFonts w:eastAsia="Times New Roman"/>
          <w:color w:val="000000"/>
          <w:sz w:val="20"/>
          <w:szCs w:val="20"/>
        </w:rPr>
        <w:t xml:space="preserve"> 2020 compared to 5.9% in 2019. The effective tax rates in 2020 and 2019 are primarily related to changes in indefinite-lived intangibles. We will continue to maintain </w:t>
      </w:r>
      <w:r>
        <w:rPr>
          <w:rFonts w:eastAsia="Times New Roman"/>
          <w:color w:val="000000"/>
          <w:sz w:val="20"/>
          <w:szCs w:val="20"/>
        </w:rPr>
        <w:t>a valuation allowance against deferred tax assets until there is sufficient evidence to support a full or partial reversal. The reversal of a previously recorded valuation allowance will generally result in a benefit from income tax.</w:t>
      </w:r>
    </w:p>
    <w:p w:rsidR="00000000" w:rsidRDefault="0061405A">
      <w:pPr>
        <w:jc w:val="center"/>
        <w:divId w:val="1090857389"/>
        <w:rPr>
          <w:rFonts w:eastAsia="Times New Roman"/>
        </w:rPr>
      </w:pPr>
      <w:r>
        <w:rPr>
          <w:rFonts w:eastAsia="Times New Roman"/>
          <w:color w:val="000000"/>
          <w:sz w:val="20"/>
          <w:szCs w:val="20"/>
        </w:rPr>
        <w:t>40</w:t>
      </w:r>
    </w:p>
    <w:p w:rsidR="00000000" w:rsidRDefault="0061405A">
      <w:pPr>
        <w:rPr>
          <w:rFonts w:eastAsia="Times New Roman"/>
        </w:rPr>
      </w:pPr>
      <w:r>
        <w:rPr>
          <w:rFonts w:eastAsia="Times New Roman"/>
        </w:rPr>
        <w:pict>
          <v:rect id="_x0000_i1067" style="width:0;height:1.5pt" o:hralign="center" o:hrstd="t" o:hr="t" fillcolor="#a0a0a0" stroked="f"/>
        </w:pict>
      </w:r>
    </w:p>
    <w:p w:rsidR="00000000" w:rsidRDefault="0061405A">
      <w:pPr>
        <w:divId w:val="1556358965"/>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both"/>
        <w:divId w:val="685404390"/>
        <w:rPr>
          <w:rFonts w:eastAsia="Times New Roman"/>
        </w:rPr>
      </w:pPr>
      <w:r>
        <w:rPr>
          <w:rFonts w:eastAsia="Times New Roman"/>
          <w:b/>
          <w:bCs/>
          <w:color w:val="000000"/>
          <w:sz w:val="20"/>
          <w:szCs w:val="20"/>
        </w:rPr>
        <w:t>Quarterly Financial Data</w:t>
      </w:r>
    </w:p>
    <w:p w:rsidR="00000000" w:rsidRDefault="0061405A">
      <w:pPr>
        <w:jc w:val="both"/>
        <w:divId w:val="1179738585"/>
        <w:rPr>
          <w:rFonts w:eastAsia="Times New Roman"/>
        </w:rPr>
      </w:pPr>
      <w:r>
        <w:rPr>
          <w:rFonts w:eastAsia="Times New Roman"/>
          <w:color w:val="000000"/>
          <w:sz w:val="20"/>
          <w:szCs w:val="20"/>
        </w:rPr>
        <w:t xml:space="preserve">The following table presents select historical quarterly consolidated statements of operations data and other operations </w:t>
      </w:r>
      <w:r>
        <w:rPr>
          <w:rFonts w:eastAsia="Times New Roman"/>
          <w:color w:val="000000"/>
          <w:sz w:val="20"/>
          <w:szCs w:val="20"/>
        </w:rPr>
        <w:t>data for fiscal years 2020 and 2019. Each fiscal quarter contained 13 operating weeks.</w:t>
      </w:r>
    </w:p>
    <w:tbl>
      <w:tblPr>
        <w:tblW w:w="4964" w:type="pct"/>
        <w:tblCellMar>
          <w:top w:w="15" w:type="dxa"/>
          <w:left w:w="15" w:type="dxa"/>
          <w:bottom w:w="15" w:type="dxa"/>
          <w:right w:w="15" w:type="dxa"/>
        </w:tblCellMar>
        <w:tblLook w:val="04A0" w:firstRow="1" w:lastRow="0" w:firstColumn="1" w:lastColumn="0" w:noHBand="0" w:noVBand="1"/>
      </w:tblPr>
      <w:tblGrid>
        <w:gridCol w:w="40"/>
        <w:gridCol w:w="1687"/>
        <w:gridCol w:w="38"/>
        <w:gridCol w:w="90"/>
        <w:gridCol w:w="490"/>
        <w:gridCol w:w="137"/>
        <w:gridCol w:w="36"/>
        <w:gridCol w:w="36"/>
        <w:gridCol w:w="36"/>
        <w:gridCol w:w="90"/>
        <w:gridCol w:w="490"/>
        <w:gridCol w:w="137"/>
        <w:gridCol w:w="36"/>
        <w:gridCol w:w="36"/>
        <w:gridCol w:w="36"/>
        <w:gridCol w:w="90"/>
        <w:gridCol w:w="479"/>
        <w:gridCol w:w="137"/>
        <w:gridCol w:w="36"/>
        <w:gridCol w:w="36"/>
        <w:gridCol w:w="36"/>
        <w:gridCol w:w="90"/>
        <w:gridCol w:w="490"/>
        <w:gridCol w:w="137"/>
        <w:gridCol w:w="36"/>
        <w:gridCol w:w="36"/>
        <w:gridCol w:w="36"/>
        <w:gridCol w:w="90"/>
        <w:gridCol w:w="490"/>
        <w:gridCol w:w="137"/>
        <w:gridCol w:w="36"/>
        <w:gridCol w:w="36"/>
        <w:gridCol w:w="36"/>
        <w:gridCol w:w="90"/>
        <w:gridCol w:w="490"/>
        <w:gridCol w:w="137"/>
        <w:gridCol w:w="36"/>
        <w:gridCol w:w="36"/>
        <w:gridCol w:w="36"/>
        <w:gridCol w:w="90"/>
        <w:gridCol w:w="490"/>
        <w:gridCol w:w="137"/>
        <w:gridCol w:w="36"/>
        <w:gridCol w:w="36"/>
        <w:gridCol w:w="36"/>
        <w:gridCol w:w="90"/>
        <w:gridCol w:w="490"/>
        <w:gridCol w:w="137"/>
      </w:tblGrid>
      <w:tr w:rsidR="00000000">
        <w:trPr>
          <w:divId w:val="140116611"/>
        </w:trPr>
        <w:tc>
          <w:tcPr>
            <w:tcW w:w="50" w:type="pct"/>
            <w:vAlign w:val="center"/>
            <w:hideMark/>
          </w:tcPr>
          <w:p w:rsidR="00000000" w:rsidRDefault="0061405A">
            <w:pPr>
              <w:jc w:val="both"/>
              <w:rPr>
                <w:rFonts w:eastAsia="Times New Roman"/>
              </w:rPr>
            </w:pPr>
          </w:p>
        </w:tc>
        <w:tc>
          <w:tcPr>
            <w:tcW w:w="1196"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429"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6"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40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4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342"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4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342"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4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379"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4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41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6"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328"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6"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357"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140116611"/>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14"/>
                <w:szCs w:val="14"/>
              </w:rPr>
              <w:t> </w:t>
            </w:r>
          </w:p>
        </w:tc>
        <w:tc>
          <w:tcPr>
            <w:tcW w:w="0" w:type="auto"/>
            <w:gridSpan w:val="45"/>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Quarter Ended</w:t>
            </w:r>
          </w:p>
        </w:tc>
      </w:tr>
      <w:tr w:rsidR="00000000">
        <w:trPr>
          <w:divId w:val="140116611"/>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14"/>
                <w:szCs w:val="14"/>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December 29,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September 29,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June 30,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March 31,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December 31, 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October 1, 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July 2, 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April 2, 2019</w:t>
            </w:r>
          </w:p>
        </w:tc>
      </w:tr>
      <w:tr w:rsidR="00000000">
        <w:trPr>
          <w:divId w:val="140116611"/>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14"/>
                <w:szCs w:val="14"/>
              </w:rPr>
              <w:t> </w:t>
            </w:r>
          </w:p>
        </w:tc>
        <w:tc>
          <w:tcPr>
            <w:tcW w:w="0" w:type="auto"/>
            <w:gridSpan w:val="45"/>
            <w:tcBorders>
              <w:top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(in thousands, except restaurants, unaudited)</w:t>
            </w:r>
          </w:p>
        </w:tc>
      </w:tr>
      <w:tr w:rsidR="00000000">
        <w:trPr>
          <w:divId w:val="140116611"/>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i/>
                <w:iCs/>
                <w:color w:val="000000"/>
                <w:sz w:val="14"/>
                <w:szCs w:val="14"/>
              </w:rPr>
              <w:t>Revenue:</w:t>
            </w:r>
          </w:p>
        </w:tc>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r>
      <w:tr w:rsidR="0061405A">
        <w:trPr>
          <w:divId w:val="140116611"/>
        </w:trPr>
        <w:tc>
          <w:tcPr>
            <w:tcW w:w="0" w:type="auto"/>
            <w:gridSpan w:val="3"/>
            <w:shd w:val="clear" w:color="auto" w:fill="CCEEFF"/>
            <w:tcMar>
              <w:top w:w="30" w:type="dxa"/>
              <w:left w:w="155" w:type="dxa"/>
              <w:bottom w:w="30" w:type="dxa"/>
              <w:right w:w="20" w:type="dxa"/>
            </w:tcMar>
            <w:vAlign w:val="bottom"/>
            <w:hideMark/>
          </w:tcPr>
          <w:p w:rsidR="00000000" w:rsidRDefault="0061405A">
            <w:pPr>
              <w:rPr>
                <w:rFonts w:eastAsia="Times New Roman"/>
              </w:rPr>
            </w:pPr>
            <w:r>
              <w:rPr>
                <w:rFonts w:eastAsia="Times New Roman"/>
                <w:color w:val="000000"/>
                <w:sz w:val="14"/>
                <w:szCs w:val="14"/>
              </w:rPr>
              <w:t>Restaurant revenue</w:t>
            </w: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105,330 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104,413 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80,021 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98,716 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112,289 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116,759 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118,858 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108,765 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40116611"/>
        </w:trPr>
        <w:tc>
          <w:tcPr>
            <w:tcW w:w="0" w:type="auto"/>
            <w:gridSpan w:val="3"/>
            <w:shd w:val="clear" w:color="auto" w:fill="FFFFFF"/>
            <w:tcMar>
              <w:top w:w="30" w:type="dxa"/>
              <w:left w:w="155" w:type="dxa"/>
              <w:bottom w:w="30" w:type="dxa"/>
              <w:right w:w="20" w:type="dxa"/>
            </w:tcMar>
            <w:vAlign w:val="bottom"/>
            <w:hideMark/>
          </w:tcPr>
          <w:p w:rsidR="00000000" w:rsidRDefault="0061405A">
            <w:pPr>
              <w:rPr>
                <w:rFonts w:eastAsia="Times New Roman"/>
              </w:rPr>
            </w:pPr>
            <w:r>
              <w:rPr>
                <w:rFonts w:eastAsia="Times New Roman"/>
                <w:color w:val="000000"/>
                <w:sz w:val="14"/>
                <w:szCs w:val="14"/>
              </w:rPr>
              <w:t>Franchising royalties and fees, and other</w:t>
            </w: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1,838 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1,569 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136 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1,632 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1,582 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1,545 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1,332 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1,281 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61405A">
        <w:trPr>
          <w:divId w:val="140116611"/>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Total 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107,168 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105,982 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80,157 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100,348 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113,871 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118,304 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120,190 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110,046 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61405A">
        <w:trPr>
          <w:divId w:val="140116611"/>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(Loss) income from operations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(3,372)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722 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(12,525)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(4,854)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5,044 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1,238 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(1,090)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61405A">
        <w:trPr>
          <w:divId w:val="140116611"/>
        </w:trPr>
        <w:tc>
          <w:tcPr>
            <w:tcW w:w="0" w:type="auto"/>
            <w:gridSpan w:val="3"/>
            <w:shd w:val="clear" w:color="auto" w:fill="CCEEFF"/>
            <w:tcMar>
              <w:top w:w="30" w:type="dxa"/>
              <w:left w:w="20" w:type="dxa"/>
              <w:bottom w:w="30" w:type="dxa"/>
              <w:right w:w="20" w:type="dxa"/>
            </w:tcMar>
            <w:vAlign w:val="bottom"/>
            <w:hideMark/>
          </w:tcPr>
          <w:p w:rsidR="00000000" w:rsidRDefault="0061405A">
            <w:pPr>
              <w:divId w:val="1809936799"/>
              <w:rPr>
                <w:rFonts w:eastAsia="Times New Roman"/>
              </w:rPr>
            </w:pPr>
            <w:r>
              <w:rPr>
                <w:rFonts w:eastAsia="Times New Roman"/>
                <w:color w:val="000000"/>
                <w:sz w:val="14"/>
                <w:szCs w:val="14"/>
              </w:rPr>
              <w:t>Net (loss) incom</w:t>
            </w:r>
            <w:r>
              <w:rPr>
                <w:rFonts w:eastAsia="Times New Roman"/>
                <w:color w:val="000000"/>
                <w:sz w:val="14"/>
                <w:szCs w:val="14"/>
              </w:rPr>
              <w:t>e</w:t>
            </w:r>
            <w:r>
              <w:rPr>
                <w:rFonts w:eastAsia="Times New Roman"/>
                <w:color w:val="000000"/>
                <w:sz w:val="9"/>
                <w:szCs w:val="9"/>
              </w:rPr>
              <w:t>(1)(2</w:t>
            </w:r>
            <w:r>
              <w:rPr>
                <w:rFonts w:eastAsia="Times New Roman"/>
                <w:color w:val="000000"/>
                <w:sz w:val="9"/>
                <w:szCs w:val="9"/>
              </w:rPr>
              <w: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(3,819)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(127)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(13,478)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(5,835)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(1,183)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4,243 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(1,851)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40116611"/>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14"/>
                <w:szCs w:val="14"/>
              </w:rPr>
              <w:t>Selected Operating Data:</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140116611"/>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Company-owned restaurants at end of period</w:t>
            </w: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378 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378 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380 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381 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389 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391 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395 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395 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40116611"/>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Franchise-owned restaurants at end of period</w:t>
            </w: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76 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76 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76 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77 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68 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67 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62 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64 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40116611"/>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Company-owned:</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r>
      <w:tr w:rsidR="0061405A">
        <w:trPr>
          <w:divId w:val="140116611"/>
        </w:trPr>
        <w:tc>
          <w:tcPr>
            <w:tcW w:w="0" w:type="auto"/>
            <w:gridSpan w:val="3"/>
            <w:shd w:val="clear" w:color="auto" w:fill="FFFF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4"/>
                <w:szCs w:val="14"/>
              </w:rPr>
              <w:t>Average unit volumes</w:t>
            </w: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1,148 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1,187 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891 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1,036 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1,171 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1,188 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1,201 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1,131 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40116611"/>
        </w:trPr>
        <w:tc>
          <w:tcPr>
            <w:tcW w:w="0" w:type="auto"/>
            <w:gridSpan w:val="3"/>
            <w:shd w:val="clear" w:color="auto" w:fill="CCEE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4"/>
                <w:szCs w:val="14"/>
              </w:rPr>
              <w:t>Comparable restaurant sales</w:t>
            </w: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(4.2)</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(3.6)</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(30.1)</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(7.0)</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1.4 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2.2 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4.8 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14"/>
                <w:szCs w:val="14"/>
              </w:rPr>
              <w:t>%</w:t>
            </w:r>
          </w:p>
        </w:tc>
      </w:tr>
      <w:tr w:rsidR="00000000">
        <w:trPr>
          <w:divId w:val="140116611"/>
        </w:trPr>
        <w:tc>
          <w:tcPr>
            <w:tcW w:w="0" w:type="auto"/>
            <w:gridSpan w:val="3"/>
            <w:shd w:val="clear" w:color="auto" w:fill="FFFF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4"/>
                <w:szCs w:val="14"/>
              </w:rPr>
              <w:t>Restaurant contribution margin</w:t>
            </w: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13.6 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15.4 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6.7 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10.7 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17.2 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17.1 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17.1 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12.6 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14"/>
                <w:szCs w:val="14"/>
              </w:rPr>
              <w:t>%</w:t>
            </w:r>
          </w:p>
        </w:tc>
      </w:tr>
    </w:tbl>
    <w:p w:rsidR="00000000" w:rsidRDefault="0061405A">
      <w:pPr>
        <w:divId w:val="1862938342"/>
        <w:rPr>
          <w:rFonts w:eastAsia="Times New Roman"/>
        </w:rPr>
      </w:pPr>
      <w:r>
        <w:rPr>
          <w:rFonts w:eastAsia="Times New Roman"/>
          <w:color w:val="000000"/>
          <w:sz w:val="14"/>
          <w:szCs w:val="14"/>
          <w:shd w:val="clear" w:color="auto" w:fill="FFFFFF"/>
        </w:rPr>
        <w:t>_____________</w:t>
      </w:r>
    </w:p>
    <w:p w:rsidR="00000000" w:rsidRDefault="0061405A">
      <w:pPr>
        <w:ind w:hanging="720"/>
        <w:jc w:val="both"/>
        <w:divId w:val="1115561125"/>
        <w:rPr>
          <w:rFonts w:eastAsia="Times New Roman"/>
        </w:rPr>
      </w:pPr>
      <w:r>
        <w:rPr>
          <w:rFonts w:eastAsia="Times New Roman"/>
          <w:color w:val="000000"/>
          <w:sz w:val="14"/>
          <w:szCs w:val="14"/>
          <w:shd w:val="clear" w:color="auto" w:fill="FFFFFF"/>
        </w:rPr>
        <w:t xml:space="preserve">(1)Fiscal 2020 includes $1.1 million of closure costs primarily related to six </w:t>
      </w:r>
      <w:r>
        <w:rPr>
          <w:rFonts w:eastAsia="Times New Roman"/>
          <w:color w:val="000000"/>
          <w:sz w:val="14"/>
          <w:szCs w:val="14"/>
          <w:shd w:val="clear" w:color="auto" w:fill="FFFFFF"/>
        </w:rPr>
        <w:t>restaurants closed in 2020, most of which were at or approaching the expiration of their leases and ongoing costs related to previously closed restaurants. Additionally, in 2020 we recognized $4.1 million of impairment charges.</w:t>
      </w:r>
    </w:p>
    <w:p w:rsidR="00000000" w:rsidRDefault="0061405A">
      <w:pPr>
        <w:ind w:hanging="720"/>
        <w:jc w:val="both"/>
        <w:divId w:val="2063670609"/>
        <w:rPr>
          <w:rFonts w:eastAsia="Times New Roman"/>
        </w:rPr>
      </w:pPr>
      <w:r>
        <w:rPr>
          <w:rFonts w:eastAsia="Times New Roman"/>
          <w:color w:val="000000"/>
          <w:sz w:val="14"/>
          <w:szCs w:val="14"/>
          <w:shd w:val="clear" w:color="auto" w:fill="FFFFFF"/>
        </w:rPr>
        <w:t>(2)</w:t>
      </w:r>
      <w:r>
        <w:rPr>
          <w:rFonts w:eastAsia="Times New Roman"/>
          <w:color w:val="000000"/>
          <w:sz w:val="14"/>
          <w:szCs w:val="14"/>
          <w:shd w:val="clear" w:color="auto" w:fill="FFFFFF"/>
        </w:rPr>
        <w:t>Fiscal year 2019 includes $0.4 million of closure costs primarily related to five restaurants closed in 2019, most of which were at or approaching the expiration of their leases and ongoing costs related to previously closed restaurants. Additionally, in 2</w:t>
      </w:r>
      <w:r>
        <w:rPr>
          <w:rFonts w:eastAsia="Times New Roman"/>
          <w:color w:val="000000"/>
          <w:sz w:val="14"/>
          <w:szCs w:val="14"/>
          <w:shd w:val="clear" w:color="auto" w:fill="FFFFFF"/>
        </w:rPr>
        <w:t>019 we recognized $2.6 million of impairment charges and $3.6 million related to the write down of assets held for sale for nine restaurants subsequently sold to a franchisee.</w:t>
      </w:r>
    </w:p>
    <w:p w:rsidR="00000000" w:rsidRDefault="0061405A">
      <w:pPr>
        <w:jc w:val="both"/>
        <w:divId w:val="1227110608"/>
        <w:rPr>
          <w:rFonts w:eastAsia="Times New Roman"/>
        </w:rPr>
      </w:pPr>
    </w:p>
    <w:p w:rsidR="00000000" w:rsidRDefault="0061405A">
      <w:pPr>
        <w:jc w:val="both"/>
        <w:divId w:val="522325065"/>
        <w:rPr>
          <w:rFonts w:eastAsia="Times New Roman"/>
        </w:rPr>
      </w:pPr>
      <w:r>
        <w:rPr>
          <w:rFonts w:eastAsia="Times New Roman"/>
          <w:color w:val="000000"/>
          <w:sz w:val="20"/>
          <w:szCs w:val="20"/>
        </w:rPr>
        <w:t>A reconciliation of (loss) income from operations to restaurant contribution i</w:t>
      </w:r>
      <w:r>
        <w:rPr>
          <w:rFonts w:eastAsia="Times New Roman"/>
          <w:color w:val="000000"/>
          <w:sz w:val="20"/>
          <w:szCs w:val="20"/>
        </w:rPr>
        <w:t>s presented below:</w:t>
      </w:r>
    </w:p>
    <w:tbl>
      <w:tblPr>
        <w:tblW w:w="4992" w:type="pct"/>
        <w:tblCellMar>
          <w:top w:w="15" w:type="dxa"/>
          <w:left w:w="15" w:type="dxa"/>
          <w:bottom w:w="15" w:type="dxa"/>
          <w:right w:w="15" w:type="dxa"/>
        </w:tblCellMar>
        <w:tblLook w:val="04A0" w:firstRow="1" w:lastRow="0" w:firstColumn="1" w:lastColumn="0" w:noHBand="0" w:noVBand="1"/>
      </w:tblPr>
      <w:tblGrid>
        <w:gridCol w:w="45"/>
        <w:gridCol w:w="1978"/>
        <w:gridCol w:w="39"/>
        <w:gridCol w:w="91"/>
        <w:gridCol w:w="632"/>
        <w:gridCol w:w="36"/>
        <w:gridCol w:w="36"/>
        <w:gridCol w:w="36"/>
        <w:gridCol w:w="36"/>
        <w:gridCol w:w="91"/>
        <w:gridCol w:w="633"/>
        <w:gridCol w:w="36"/>
        <w:gridCol w:w="36"/>
        <w:gridCol w:w="36"/>
        <w:gridCol w:w="36"/>
        <w:gridCol w:w="90"/>
        <w:gridCol w:w="479"/>
        <w:gridCol w:w="36"/>
        <w:gridCol w:w="36"/>
        <w:gridCol w:w="36"/>
        <w:gridCol w:w="36"/>
        <w:gridCol w:w="90"/>
        <w:gridCol w:w="499"/>
        <w:gridCol w:w="36"/>
        <w:gridCol w:w="36"/>
        <w:gridCol w:w="36"/>
        <w:gridCol w:w="36"/>
        <w:gridCol w:w="91"/>
        <w:gridCol w:w="610"/>
        <w:gridCol w:w="36"/>
        <w:gridCol w:w="36"/>
        <w:gridCol w:w="36"/>
        <w:gridCol w:w="36"/>
        <w:gridCol w:w="90"/>
        <w:gridCol w:w="633"/>
        <w:gridCol w:w="36"/>
        <w:gridCol w:w="36"/>
        <w:gridCol w:w="36"/>
        <w:gridCol w:w="36"/>
        <w:gridCol w:w="90"/>
        <w:gridCol w:w="464"/>
        <w:gridCol w:w="36"/>
        <w:gridCol w:w="36"/>
        <w:gridCol w:w="36"/>
        <w:gridCol w:w="36"/>
        <w:gridCol w:w="90"/>
        <w:gridCol w:w="514"/>
        <w:gridCol w:w="36"/>
      </w:tblGrid>
      <w:tr w:rsidR="00000000">
        <w:trPr>
          <w:divId w:val="512301737"/>
        </w:trPr>
        <w:tc>
          <w:tcPr>
            <w:tcW w:w="50" w:type="pct"/>
            <w:vAlign w:val="center"/>
            <w:hideMark/>
          </w:tcPr>
          <w:p w:rsidR="00000000" w:rsidRDefault="0061405A">
            <w:pPr>
              <w:jc w:val="both"/>
              <w:rPr>
                <w:rFonts w:eastAsia="Times New Roman"/>
              </w:rPr>
            </w:pPr>
          </w:p>
        </w:tc>
        <w:tc>
          <w:tcPr>
            <w:tcW w:w="1218"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40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4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412"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4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311"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4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34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4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398"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4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412"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4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311"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4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34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512301737"/>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14"/>
                <w:szCs w:val="14"/>
              </w:rPr>
              <w:t> </w:t>
            </w:r>
          </w:p>
        </w:tc>
        <w:tc>
          <w:tcPr>
            <w:tcW w:w="0" w:type="auto"/>
            <w:gridSpan w:val="45"/>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Quarter Ended</w:t>
            </w:r>
          </w:p>
        </w:tc>
      </w:tr>
      <w:tr w:rsidR="00000000">
        <w:trPr>
          <w:divId w:val="512301737"/>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14"/>
                <w:szCs w:val="14"/>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December 29,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September 29,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June 30,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March 31,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December 31, 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October 1, 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July 2, 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April 2, 2019</w:t>
            </w:r>
          </w:p>
        </w:tc>
      </w:tr>
      <w:tr w:rsidR="00000000">
        <w:trPr>
          <w:divId w:val="512301737"/>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14"/>
                <w:szCs w:val="14"/>
              </w:rPr>
              <w:t> </w:t>
            </w:r>
          </w:p>
        </w:tc>
        <w:tc>
          <w:tcPr>
            <w:tcW w:w="0" w:type="auto"/>
            <w:gridSpan w:val="45"/>
            <w:tcBorders>
              <w:top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(in thousands, unaudited)</w:t>
            </w:r>
          </w:p>
        </w:tc>
      </w:tr>
      <w:tr w:rsidR="0061405A">
        <w:trPr>
          <w:divId w:val="512301737"/>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(Loss) income from operations</w:t>
            </w: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(3,372)</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722 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(12,525)</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(4,854)</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247 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5,044 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1,238 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(1,090)</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512301737"/>
        </w:trPr>
        <w:tc>
          <w:tcPr>
            <w:tcW w:w="0" w:type="auto"/>
            <w:gridSpan w:val="3"/>
            <w:shd w:val="clear" w:color="auto" w:fill="FFFFFF"/>
            <w:tcMar>
              <w:top w:w="30" w:type="dxa"/>
              <w:left w:w="20" w:type="dxa"/>
              <w:bottom w:w="30" w:type="dxa"/>
              <w:right w:w="20" w:type="dxa"/>
            </w:tcMar>
            <w:vAlign w:val="bottom"/>
            <w:hideMark/>
          </w:tcPr>
          <w:p w:rsidR="00000000" w:rsidRDefault="0061405A">
            <w:pPr>
              <w:ind w:hanging="360"/>
              <w:divId w:val="1622376150"/>
              <w:rPr>
                <w:rFonts w:eastAsia="Times New Roman"/>
              </w:rPr>
            </w:pPr>
            <w:r>
              <w:rPr>
                <w:rFonts w:eastAsia="Times New Roman"/>
                <w:color w:val="000000"/>
                <w:sz w:val="14"/>
                <w:szCs w:val="14"/>
              </w:rPr>
              <w:t>Less: Franchising royalties and fees, and other</w:t>
            </w: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1,838 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1,569 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136 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1,632 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1,582 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1,545 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1,332 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1,281 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512301737"/>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Add: General and administrative</w:t>
            </w: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11,461 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10,827 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10,034 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10,554 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11,022 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10,436 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11,848 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10,140 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512301737"/>
        </w:trPr>
        <w:tc>
          <w:tcPr>
            <w:tcW w:w="0" w:type="auto"/>
            <w:gridSpan w:val="3"/>
            <w:shd w:val="clear" w:color="auto" w:fill="FFFFFF"/>
            <w:tcMar>
              <w:top w:w="30" w:type="dxa"/>
              <w:left w:w="380" w:type="dxa"/>
              <w:bottom w:w="30" w:type="dxa"/>
              <w:right w:w="20" w:type="dxa"/>
            </w:tcMar>
            <w:vAlign w:val="bottom"/>
            <w:hideMark/>
          </w:tcPr>
          <w:p w:rsidR="00000000" w:rsidRDefault="0061405A">
            <w:pPr>
              <w:rPr>
                <w:rFonts w:eastAsia="Times New Roman"/>
              </w:rPr>
            </w:pPr>
            <w:r>
              <w:rPr>
                <w:rFonts w:eastAsia="Times New Roman"/>
                <w:color w:val="000000"/>
                <w:sz w:val="14"/>
                <w:szCs w:val="14"/>
              </w:rPr>
              <w:t>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5,436 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5,541 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5,397 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5,335 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5,460 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5,458 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5,661 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5,507 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512301737"/>
        </w:trPr>
        <w:tc>
          <w:tcPr>
            <w:tcW w:w="0" w:type="auto"/>
            <w:gridSpan w:val="3"/>
            <w:shd w:val="clear" w:color="auto" w:fill="CCEEFF"/>
            <w:tcMar>
              <w:top w:w="30" w:type="dxa"/>
              <w:left w:w="380" w:type="dxa"/>
              <w:bottom w:w="30" w:type="dxa"/>
              <w:right w:w="20" w:type="dxa"/>
            </w:tcMar>
            <w:vAlign w:val="bottom"/>
            <w:hideMark/>
          </w:tcPr>
          <w:p w:rsidR="00000000" w:rsidRDefault="0061405A">
            <w:pPr>
              <w:rPr>
                <w:rFonts w:eastAsia="Times New Roman"/>
              </w:rPr>
            </w:pPr>
            <w:r>
              <w:rPr>
                <w:rFonts w:eastAsia="Times New Roman"/>
                <w:color w:val="000000"/>
                <w:sz w:val="14"/>
                <w:szCs w:val="14"/>
              </w:rPr>
              <w:t>Pre-opening</w:t>
            </w: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60 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239 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71 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73 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71 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266 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65 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512301737"/>
        </w:trPr>
        <w:tc>
          <w:tcPr>
            <w:tcW w:w="0" w:type="auto"/>
            <w:gridSpan w:val="3"/>
            <w:shd w:val="clear" w:color="auto" w:fill="FFFFFF"/>
            <w:tcMar>
              <w:top w:w="30" w:type="dxa"/>
              <w:left w:w="380" w:type="dxa"/>
              <w:bottom w:w="30" w:type="dxa"/>
              <w:right w:w="20" w:type="dxa"/>
            </w:tcMar>
            <w:vAlign w:val="bottom"/>
            <w:hideMark/>
          </w:tcPr>
          <w:p w:rsidR="00000000" w:rsidRDefault="0061405A">
            <w:pPr>
              <w:rPr>
                <w:rFonts w:eastAsia="Times New Roman"/>
              </w:rPr>
            </w:pPr>
            <w:r>
              <w:rPr>
                <w:rFonts w:eastAsia="Times New Roman"/>
                <w:color w:val="000000"/>
                <w:sz w:val="14"/>
                <w:szCs w:val="14"/>
              </w:rPr>
              <w:t xml:space="preserve">Restaurant impairments, closure costs and asset disposals </w:t>
            </w: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2,557 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369 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2,558 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1,056 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4,107 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336 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2,884 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420 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61405A">
        <w:trPr>
          <w:divId w:val="512301737"/>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Restaurant contribution</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14,304 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16,129 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5,399 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10,532 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19,325 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19,995 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20,364 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13,696 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bl>
    <w:p w:rsidR="00000000" w:rsidRDefault="0061405A">
      <w:pPr>
        <w:jc w:val="both"/>
        <w:rPr>
          <w:rFonts w:eastAsia="Times New Roman"/>
        </w:rPr>
      </w:pPr>
    </w:p>
    <w:p w:rsidR="00000000" w:rsidRDefault="0061405A">
      <w:pPr>
        <w:divId w:val="1408724531"/>
        <w:rPr>
          <w:rFonts w:eastAsia="Times New Roman"/>
        </w:rPr>
      </w:pPr>
    </w:p>
    <w:p w:rsidR="00000000" w:rsidRDefault="0061405A">
      <w:pPr>
        <w:jc w:val="center"/>
        <w:divId w:val="1204174563"/>
        <w:rPr>
          <w:rFonts w:eastAsia="Times New Roman"/>
        </w:rPr>
      </w:pPr>
      <w:r>
        <w:rPr>
          <w:rFonts w:eastAsia="Times New Roman"/>
          <w:color w:val="000000"/>
          <w:sz w:val="20"/>
          <w:szCs w:val="20"/>
        </w:rPr>
        <w:t>41</w:t>
      </w:r>
    </w:p>
    <w:p w:rsidR="00000000" w:rsidRDefault="0061405A">
      <w:pPr>
        <w:rPr>
          <w:rFonts w:eastAsia="Times New Roman"/>
        </w:rPr>
      </w:pPr>
      <w:r>
        <w:rPr>
          <w:rFonts w:eastAsia="Times New Roman"/>
        </w:rPr>
        <w:pict>
          <v:rect id="_x0000_i1068" style="width:0;height:1.5pt" o:hralign="center" o:hrstd="t" o:hr="t" fillcolor="#a0a0a0" stroked="f"/>
        </w:pict>
      </w:r>
    </w:p>
    <w:p w:rsidR="00000000" w:rsidRDefault="0061405A">
      <w:pPr>
        <w:divId w:val="753666554"/>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both"/>
        <w:divId w:val="1310934922"/>
        <w:rPr>
          <w:rFonts w:eastAsia="Times New Roman"/>
        </w:rPr>
      </w:pPr>
      <w:r>
        <w:rPr>
          <w:rFonts w:eastAsia="Times New Roman"/>
          <w:b/>
          <w:bCs/>
          <w:color w:val="000000"/>
          <w:sz w:val="20"/>
          <w:szCs w:val="20"/>
        </w:rPr>
        <w:t>Liquidity and Capital Resources</w:t>
      </w:r>
    </w:p>
    <w:p w:rsidR="00000000" w:rsidRDefault="0061405A">
      <w:pPr>
        <w:jc w:val="both"/>
        <w:divId w:val="60687339"/>
        <w:rPr>
          <w:rFonts w:eastAsia="Times New Roman"/>
        </w:rPr>
      </w:pPr>
      <w:r>
        <w:rPr>
          <w:rFonts w:eastAsia="Times New Roman"/>
          <w:b/>
          <w:bCs/>
          <w:i/>
          <w:iCs/>
          <w:color w:val="000000"/>
          <w:sz w:val="20"/>
          <w:szCs w:val="20"/>
        </w:rPr>
        <w:t>Overview</w:t>
      </w:r>
    </w:p>
    <w:p w:rsidR="00000000" w:rsidRDefault="0061405A">
      <w:pPr>
        <w:jc w:val="both"/>
        <w:divId w:val="1474715109"/>
        <w:rPr>
          <w:rFonts w:eastAsia="Times New Roman"/>
        </w:rPr>
      </w:pPr>
      <w:r>
        <w:rPr>
          <w:rFonts w:eastAsia="Times New Roman"/>
          <w:color w:val="000000"/>
          <w:sz w:val="20"/>
          <w:szCs w:val="20"/>
        </w:rPr>
        <w:t>As of December 29, 2020, our available cash and cash equivalents balanc</w:t>
      </w:r>
      <w:r>
        <w:rPr>
          <w:rFonts w:eastAsia="Times New Roman"/>
          <w:color w:val="000000"/>
          <w:sz w:val="20"/>
          <w:szCs w:val="20"/>
        </w:rPr>
        <w:t>e was $7.8 million, and $52.3 million was available for future borrowings under our Second Amended Credit Facility (defined below).</w:t>
      </w:r>
    </w:p>
    <w:p w:rsidR="00000000" w:rsidRDefault="0061405A">
      <w:pPr>
        <w:jc w:val="both"/>
        <w:divId w:val="1298802514"/>
        <w:rPr>
          <w:rFonts w:eastAsia="Times New Roman"/>
        </w:rPr>
      </w:pPr>
      <w:r>
        <w:rPr>
          <w:rFonts w:eastAsia="Times New Roman"/>
          <w:color w:val="000000"/>
          <w:sz w:val="20"/>
          <w:szCs w:val="20"/>
        </w:rPr>
        <w:t>Our short-term obligations consist primarily of certain lease and other contractual commitments related to our operations, normal recurring operating expenses, working capital needs, new store development, capital improvements and maintenance of our restau</w:t>
      </w:r>
      <w:r>
        <w:rPr>
          <w:rFonts w:eastAsia="Times New Roman"/>
          <w:color w:val="000000"/>
          <w:sz w:val="20"/>
          <w:szCs w:val="20"/>
        </w:rPr>
        <w:t xml:space="preserve">rants, regular interest payments on our debt obligations and certain non-recurring expenditures (see Contractual Obligations). </w:t>
      </w:r>
    </w:p>
    <w:p w:rsidR="00000000" w:rsidRDefault="0061405A">
      <w:pPr>
        <w:jc w:val="both"/>
        <w:divId w:val="320433144"/>
        <w:rPr>
          <w:rFonts w:eastAsia="Times New Roman"/>
        </w:rPr>
      </w:pPr>
      <w:r>
        <w:rPr>
          <w:rFonts w:eastAsia="Times New Roman"/>
          <w:color w:val="000000"/>
          <w:sz w:val="20"/>
          <w:szCs w:val="20"/>
        </w:rPr>
        <w:t>Our long-term obligations consist primarily of certain lease and other contractual commitments related to our operations and pri</w:t>
      </w:r>
      <w:r>
        <w:rPr>
          <w:rFonts w:eastAsia="Times New Roman"/>
          <w:color w:val="000000"/>
          <w:sz w:val="20"/>
          <w:szCs w:val="20"/>
        </w:rPr>
        <w:t>ncipal payments on our outstanding debt obligations (see Contractual Obligations). In addition, our growth target for new store development will require capital each year which is expected to be funded by currently available cash and cash equivalents, cash</w:t>
      </w:r>
      <w:r>
        <w:rPr>
          <w:rFonts w:eastAsia="Times New Roman"/>
          <w:color w:val="000000"/>
          <w:sz w:val="20"/>
          <w:szCs w:val="20"/>
        </w:rPr>
        <w:t xml:space="preserve"> flows from operations and our revolving credit facility.</w:t>
      </w:r>
    </w:p>
    <w:p w:rsidR="00000000" w:rsidRDefault="0061405A">
      <w:pPr>
        <w:jc w:val="both"/>
        <w:divId w:val="658197472"/>
        <w:rPr>
          <w:rFonts w:eastAsia="Times New Roman"/>
        </w:rPr>
      </w:pPr>
      <w:r>
        <w:rPr>
          <w:rFonts w:eastAsia="Times New Roman"/>
          <w:color w:val="000000"/>
          <w:sz w:val="20"/>
          <w:szCs w:val="20"/>
        </w:rPr>
        <w:t>On May 9, 2018, we entered into the 2018 Credit Facilit</w:t>
      </w:r>
      <w:r>
        <w:rPr>
          <w:rFonts w:eastAsia="Times New Roman"/>
          <w:color w:val="000000"/>
          <w:sz w:val="20"/>
          <w:szCs w:val="20"/>
          <w:shd w:val="clear" w:color="auto" w:fill="FFFFFF"/>
        </w:rPr>
        <w:t>y which consists of a term loan facility in an aggregate principal amount of $25.0 million and a revolving line of credit of $65.0 million, whi</w:t>
      </w:r>
      <w:r>
        <w:rPr>
          <w:rFonts w:eastAsia="Times New Roman"/>
          <w:color w:val="000000"/>
          <w:sz w:val="20"/>
          <w:szCs w:val="20"/>
          <w:shd w:val="clear" w:color="auto" w:fill="FFFFFF"/>
        </w:rPr>
        <w:t xml:space="preserve">ch included a letter of credit subfacility in the amount of $15.0 million and a swingline subfacility in the amount of $10.0 million. The 2018 Credit Facility had a four-year term with a maturity date of May 9, 2022. </w:t>
      </w:r>
    </w:p>
    <w:p w:rsidR="00000000" w:rsidRDefault="0061405A">
      <w:pPr>
        <w:jc w:val="both"/>
        <w:divId w:val="1554535668"/>
        <w:rPr>
          <w:rFonts w:eastAsia="Times New Roman"/>
        </w:rPr>
      </w:pPr>
      <w:r>
        <w:rPr>
          <w:rFonts w:eastAsia="Times New Roman"/>
          <w:color w:val="000000"/>
          <w:sz w:val="20"/>
          <w:szCs w:val="20"/>
          <w:shd w:val="clear" w:color="auto" w:fill="FFFFFF"/>
        </w:rPr>
        <w:t>Upon execution of the 2018 Credit Faci</w:t>
      </w:r>
      <w:r>
        <w:rPr>
          <w:rFonts w:eastAsia="Times New Roman"/>
          <w:color w:val="000000"/>
          <w:sz w:val="20"/>
          <w:szCs w:val="20"/>
          <w:shd w:val="clear" w:color="auto" w:fill="FFFFFF"/>
        </w:rPr>
        <w:t xml:space="preserve">lity, we repaid in full our outstanding indebtedness under our Prior Credit Facility using funds drawn on our 2018 Credit Facility. Upon repayment, the Prior Credit Facility and all related agreements were terminated. </w:t>
      </w:r>
    </w:p>
    <w:p w:rsidR="00000000" w:rsidRDefault="0061405A">
      <w:pPr>
        <w:jc w:val="both"/>
        <w:divId w:val="959190405"/>
        <w:rPr>
          <w:rFonts w:eastAsia="Times New Roman"/>
        </w:rPr>
      </w:pPr>
      <w:r>
        <w:rPr>
          <w:rFonts w:eastAsia="Times New Roman"/>
          <w:color w:val="000000"/>
          <w:sz w:val="20"/>
          <w:szCs w:val="20"/>
          <w:shd w:val="clear" w:color="auto" w:fill="FFFFFF"/>
        </w:rPr>
        <w:t>In the third quarter of 2018, we sold</w:t>
      </w:r>
      <w:r>
        <w:rPr>
          <w:rFonts w:eastAsia="Times New Roman"/>
          <w:color w:val="000000"/>
          <w:sz w:val="20"/>
          <w:szCs w:val="20"/>
          <w:shd w:val="clear" w:color="auto" w:fill="FFFFFF"/>
        </w:rPr>
        <w:t xml:space="preserve"> shares of our common stock in a public offering for aggregate gross proceeds of $25.0 million ($23.0 million after deducting the underwriting discounts and commissions, and net of transaction expenses incurred). We utilized the net proceeds from this tran</w:t>
      </w:r>
      <w:r>
        <w:rPr>
          <w:rFonts w:eastAsia="Times New Roman"/>
          <w:color w:val="000000"/>
          <w:sz w:val="20"/>
          <w:szCs w:val="20"/>
          <w:shd w:val="clear" w:color="auto" w:fill="FFFFFF"/>
        </w:rPr>
        <w:t xml:space="preserve">saction to pay down borrowings under the 2018 Credit Facility and to fund working capital obligations, including the payment of the final assessment for data breach liabilities. </w:t>
      </w:r>
    </w:p>
    <w:p w:rsidR="00000000" w:rsidRDefault="0061405A">
      <w:pPr>
        <w:jc w:val="both"/>
        <w:divId w:val="357396252"/>
        <w:rPr>
          <w:rFonts w:eastAsia="Times New Roman"/>
        </w:rPr>
      </w:pPr>
      <w:r>
        <w:rPr>
          <w:rFonts w:eastAsia="Times New Roman"/>
          <w:color w:val="000000"/>
          <w:sz w:val="20"/>
          <w:szCs w:val="20"/>
          <w:shd w:val="clear" w:color="auto" w:fill="FFFFFF"/>
        </w:rPr>
        <w:t>In 2018, we paid approximately $5.4 million for the termination of leases rel</w:t>
      </w:r>
      <w:r>
        <w:rPr>
          <w:rFonts w:eastAsia="Times New Roman"/>
          <w:color w:val="000000"/>
          <w:sz w:val="20"/>
          <w:szCs w:val="20"/>
          <w:shd w:val="clear" w:color="auto" w:fill="FFFFFF"/>
        </w:rPr>
        <w:t xml:space="preserve">ated to restaurants closed in the first quarter of 2017, including related fees and expenses. </w:t>
      </w:r>
    </w:p>
    <w:p w:rsidR="00000000" w:rsidRDefault="0061405A">
      <w:pPr>
        <w:jc w:val="both"/>
        <w:divId w:val="979503468"/>
        <w:rPr>
          <w:rFonts w:eastAsia="Times New Roman"/>
        </w:rPr>
      </w:pPr>
      <w:r>
        <w:rPr>
          <w:rFonts w:eastAsia="Times New Roman"/>
          <w:color w:val="000000"/>
          <w:sz w:val="20"/>
          <w:szCs w:val="20"/>
        </w:rPr>
        <w:t>On November 20, 2019, we amended our 2018 Credit Facility by entering into that certain First Amendment to Credit Agreement (the “Amendment” or “Amended Credit F</w:t>
      </w:r>
      <w:r>
        <w:rPr>
          <w:rFonts w:eastAsia="Times New Roman"/>
          <w:color w:val="000000"/>
          <w:sz w:val="20"/>
          <w:szCs w:val="20"/>
        </w:rPr>
        <w:t>acility”). Among other things, the Amendment: (i) extended the maturity date to November 20, 2024; (ii) increased the revolving credit facility from $65.0 million to $75.0 million; (iii) delayed step downs of the Company’s leverage covenant; and (iv) incre</w:t>
      </w:r>
      <w:r>
        <w:rPr>
          <w:rFonts w:eastAsia="Times New Roman"/>
          <w:color w:val="000000"/>
          <w:sz w:val="20"/>
          <w:szCs w:val="20"/>
        </w:rPr>
        <w:t>ased the limit on capital expenditures to $37.0 million in 2020 and to $45.0 million in 2021 and each fiscal year thereafter.</w:t>
      </w:r>
    </w:p>
    <w:p w:rsidR="00000000" w:rsidRDefault="0061405A">
      <w:pPr>
        <w:jc w:val="both"/>
        <w:divId w:val="245500791"/>
        <w:rPr>
          <w:rFonts w:eastAsia="Times New Roman"/>
        </w:rPr>
      </w:pPr>
      <w:r>
        <w:rPr>
          <w:rFonts w:eastAsia="Times New Roman"/>
          <w:color w:val="000000"/>
          <w:sz w:val="20"/>
          <w:szCs w:val="20"/>
        </w:rPr>
        <w:t>On June 16, 2020 (the “Effective Date”), we amended our Amended Credit Facility by entering into the Second Amendment to the Credi</w:t>
      </w:r>
      <w:r>
        <w:rPr>
          <w:rFonts w:eastAsia="Times New Roman"/>
          <w:color w:val="000000"/>
          <w:sz w:val="20"/>
          <w:szCs w:val="20"/>
        </w:rPr>
        <w:t>t Facility (the “Second Amendment” or the “Second Amended Credit Facility”). Beginning on the Effective Date and through the third quarter of 2021 (the “Amendment Period”), borrowings under the Second Amended Credit Facility, including the term loan facili</w:t>
      </w:r>
      <w:r>
        <w:rPr>
          <w:rFonts w:eastAsia="Times New Roman"/>
          <w:color w:val="000000"/>
          <w:sz w:val="20"/>
          <w:szCs w:val="20"/>
        </w:rPr>
        <w:t xml:space="preserve">ty (“Borrowings”), will bear interest at LIBOR plus 3.25% per annum. Following the Amendment Period, Borrowings will bear interest at LIBOR plus a margin </w:t>
      </w:r>
      <w:r>
        <w:rPr>
          <w:rFonts w:eastAsia="Times New Roman"/>
          <w:color w:val="000000"/>
          <w:sz w:val="20"/>
          <w:szCs w:val="20"/>
          <w:shd w:val="clear" w:color="auto" w:fill="FFFFFF"/>
        </w:rPr>
        <w:t xml:space="preserve">of 2.00% to 3.00% </w:t>
      </w:r>
      <w:r>
        <w:rPr>
          <w:rFonts w:eastAsia="Times New Roman"/>
          <w:color w:val="000000"/>
          <w:sz w:val="20"/>
          <w:szCs w:val="20"/>
        </w:rPr>
        <w:t>per annum, based upon the consolidated total lease-adjusted leverage ratio. Among ot</w:t>
      </w:r>
      <w:r>
        <w:rPr>
          <w:rFonts w:eastAsia="Times New Roman"/>
          <w:color w:val="000000"/>
          <w:sz w:val="20"/>
          <w:szCs w:val="20"/>
        </w:rPr>
        <w:t>her things, the Second Amendment (i) waives the lease-adjusted leverage ratio and fixed charge ratio covenants through the first quarter of 2021; (ii) amends the Company’s lease-adjusted leverage ratio and fixed coverage ratio covenant thresholds beginning</w:t>
      </w:r>
      <w:r>
        <w:rPr>
          <w:rFonts w:eastAsia="Times New Roman"/>
          <w:color w:val="000000"/>
          <w:sz w:val="20"/>
          <w:szCs w:val="20"/>
        </w:rPr>
        <w:t xml:space="preserve"> in the second quarter of 2021 through the third quarter of 2022 and the first quarter of 2022, respectively and (iii) limits capital expenditures to $12.0 million in 2020, $12.0 million plus a liquidity-based performance basket up to an additional $12.0 m</w:t>
      </w:r>
      <w:r>
        <w:rPr>
          <w:rFonts w:eastAsia="Times New Roman"/>
          <w:color w:val="000000"/>
          <w:sz w:val="20"/>
          <w:szCs w:val="20"/>
        </w:rPr>
        <w:t xml:space="preserve">illion in 2021, $34.0 million in 2022, $37.0 million in 2023 and $45.0 million annually thereafter. </w:t>
      </w:r>
      <w:r>
        <w:rPr>
          <w:rFonts w:eastAsia="Times New Roman"/>
          <w:color w:val="000000"/>
          <w:sz w:val="20"/>
          <w:szCs w:val="20"/>
          <w:shd w:val="clear" w:color="auto" w:fill="FFFFFF"/>
        </w:rPr>
        <w:t>Our Second Amended Credit Facility is secured by a pledge of stock of substantially all of our subsidiaries and a lien on substantially all of our and our s</w:t>
      </w:r>
      <w:r>
        <w:rPr>
          <w:rFonts w:eastAsia="Times New Roman"/>
          <w:color w:val="000000"/>
          <w:sz w:val="20"/>
          <w:szCs w:val="20"/>
          <w:shd w:val="clear" w:color="auto" w:fill="FFFFFF"/>
        </w:rPr>
        <w:t>ubsidiaries’ personal property assets.</w:t>
      </w:r>
    </w:p>
    <w:p w:rsidR="00000000" w:rsidRDefault="0061405A">
      <w:pPr>
        <w:jc w:val="both"/>
        <w:divId w:val="1287152176"/>
        <w:rPr>
          <w:rFonts w:eastAsia="Times New Roman"/>
        </w:rPr>
      </w:pPr>
      <w:r>
        <w:rPr>
          <w:rFonts w:eastAsia="Times New Roman"/>
          <w:color w:val="000000"/>
          <w:sz w:val="20"/>
          <w:szCs w:val="20"/>
          <w:shd w:val="clear" w:color="auto" w:fill="FFFFFF"/>
        </w:rPr>
        <w:t>As of December 29, 2020, we had $43.8 million of indebtedness (excluding $1.7 million of unamortized debt issuance costs) and $3.2 million of letters of credit outstanding under the Second Amended Credit Facility. The</w:t>
      </w:r>
      <w:r>
        <w:rPr>
          <w:rFonts w:eastAsia="Times New Roman"/>
          <w:color w:val="000000"/>
          <w:sz w:val="20"/>
          <w:szCs w:val="20"/>
          <w:shd w:val="clear" w:color="auto" w:fill="FFFFFF"/>
        </w:rPr>
        <w:t xml:space="preserve"> term loan requires principal payments of $187,500 per quarter through the third quarter of 2021, $375,000 through the third quarter of 2022, $531,250 through the third quarter of 2023 and $625,000 per quarter thereafter through maturity.</w:t>
      </w:r>
    </w:p>
    <w:p w:rsidR="00000000" w:rsidRDefault="0061405A">
      <w:pPr>
        <w:jc w:val="center"/>
        <w:divId w:val="1720325711"/>
        <w:rPr>
          <w:rFonts w:eastAsia="Times New Roman"/>
        </w:rPr>
      </w:pPr>
      <w:r>
        <w:rPr>
          <w:rFonts w:eastAsia="Times New Roman"/>
          <w:color w:val="000000"/>
          <w:sz w:val="20"/>
          <w:szCs w:val="20"/>
        </w:rPr>
        <w:t>42</w:t>
      </w:r>
    </w:p>
    <w:p w:rsidR="00000000" w:rsidRDefault="0061405A">
      <w:pPr>
        <w:rPr>
          <w:rFonts w:eastAsia="Times New Roman"/>
        </w:rPr>
      </w:pPr>
      <w:r>
        <w:rPr>
          <w:rFonts w:eastAsia="Times New Roman"/>
        </w:rPr>
        <w:pict>
          <v:rect id="_x0000_i1069" style="width:0;height:1.5pt" o:hralign="center" o:hrstd="t" o:hr="t" fillcolor="#a0a0a0" stroked="f"/>
        </w:pict>
      </w:r>
    </w:p>
    <w:p w:rsidR="00000000" w:rsidRDefault="0061405A">
      <w:pPr>
        <w:divId w:val="373509501"/>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both"/>
        <w:divId w:val="1951235942"/>
        <w:rPr>
          <w:rFonts w:eastAsia="Times New Roman"/>
        </w:rPr>
      </w:pPr>
      <w:r>
        <w:rPr>
          <w:rFonts w:eastAsia="Times New Roman"/>
          <w:color w:val="000000"/>
          <w:sz w:val="20"/>
          <w:szCs w:val="20"/>
          <w:shd w:val="clear" w:color="auto" w:fill="FFFFFF"/>
        </w:rPr>
        <w:t>Availability of borrowings under the Second Amended Credit Facility is conditioned upon our compliance with the terms of the Amendment, including the financial covenants and other customary affirmative and negative covenants, such as limitations on additio</w:t>
      </w:r>
      <w:r>
        <w:rPr>
          <w:rFonts w:eastAsia="Times New Roman"/>
          <w:color w:val="000000"/>
          <w:sz w:val="20"/>
          <w:szCs w:val="20"/>
          <w:shd w:val="clear" w:color="auto" w:fill="FFFFFF"/>
        </w:rPr>
        <w:t xml:space="preserve">nal borrowings, acquisitions, dividend payments and lease commitments, and customary representations and warranties. As of December 29, 2020, we were in compliance with all of our debt covenants. </w:t>
      </w:r>
    </w:p>
    <w:p w:rsidR="00000000" w:rsidRDefault="0061405A">
      <w:pPr>
        <w:jc w:val="both"/>
        <w:divId w:val="200169798"/>
        <w:rPr>
          <w:rFonts w:eastAsia="Times New Roman"/>
        </w:rPr>
      </w:pPr>
      <w:r>
        <w:rPr>
          <w:rFonts w:eastAsia="Times New Roman"/>
          <w:color w:val="000000"/>
          <w:sz w:val="20"/>
          <w:szCs w:val="20"/>
          <w:shd w:val="clear" w:color="auto" w:fill="FFFFFF"/>
        </w:rPr>
        <w:t>We expect that we will meet all applicable financial covena</w:t>
      </w:r>
      <w:r>
        <w:rPr>
          <w:rFonts w:eastAsia="Times New Roman"/>
          <w:color w:val="000000"/>
          <w:sz w:val="20"/>
          <w:szCs w:val="20"/>
          <w:shd w:val="clear" w:color="auto" w:fill="FFFFFF"/>
        </w:rPr>
        <w:t>nts in our Second Amended Credit Facility, including the maximum consolidated total lease-adjusted leverage ratio, through at least the next four fiscal quarters. However, there can be no assurance we will meet such financial covenants. If such covenants a</w:t>
      </w:r>
      <w:r>
        <w:rPr>
          <w:rFonts w:eastAsia="Times New Roman"/>
          <w:color w:val="000000"/>
          <w:sz w:val="20"/>
          <w:szCs w:val="20"/>
          <w:shd w:val="clear" w:color="auto" w:fill="FFFFFF"/>
        </w:rPr>
        <w:t xml:space="preserve">re not met, we would be required to seek a waiver or amendment from the banks participating in the credit facility. There can be no assurance that such waiver or amendment would be granted, which could have a material adverse impact on our liquidity. </w:t>
      </w:r>
    </w:p>
    <w:p w:rsidR="00000000" w:rsidRDefault="0061405A">
      <w:pPr>
        <w:jc w:val="both"/>
        <w:divId w:val="59183554"/>
        <w:rPr>
          <w:rFonts w:eastAsia="Times New Roman"/>
        </w:rPr>
      </w:pPr>
      <w:r>
        <w:rPr>
          <w:rFonts w:eastAsia="Times New Roman"/>
          <w:color w:val="000000"/>
          <w:sz w:val="20"/>
          <w:szCs w:val="20"/>
        </w:rPr>
        <w:t>We h</w:t>
      </w:r>
      <w:r>
        <w:rPr>
          <w:rFonts w:eastAsia="Times New Roman"/>
          <w:color w:val="000000"/>
          <w:sz w:val="20"/>
          <w:szCs w:val="20"/>
        </w:rPr>
        <w:t>ave historically used cash to fund capital expenditures for new restaurant openings, reinvest in our existing restaurants, invest in infrastructure and information technology and maintain working capital. Our working capital position benefits from the f</w:t>
      </w:r>
      <w:r>
        <w:rPr>
          <w:rFonts w:eastAsia="Times New Roman"/>
          <w:color w:val="000000"/>
          <w:sz w:val="20"/>
          <w:szCs w:val="20"/>
          <w:shd w:val="clear" w:color="auto" w:fill="FFFFFF"/>
        </w:rPr>
        <w:t>act</w:t>
      </w:r>
      <w:r>
        <w:rPr>
          <w:rFonts w:eastAsia="Times New Roman"/>
          <w:color w:val="000000"/>
          <w:sz w:val="20"/>
          <w:szCs w:val="20"/>
          <w:shd w:val="clear" w:color="auto" w:fill="FFFFFF"/>
        </w:rPr>
        <w:t xml:space="preserve"> that we generally collect cash from sales to customers the same day, or in the case of credit or debit card transactions, within several days of the related sale, and we typically have up to 30 days to pay our vendors. </w:t>
      </w:r>
    </w:p>
    <w:p w:rsidR="00000000" w:rsidRDefault="0061405A">
      <w:pPr>
        <w:jc w:val="both"/>
        <w:divId w:val="1564291185"/>
        <w:rPr>
          <w:rFonts w:eastAsia="Times New Roman"/>
        </w:rPr>
      </w:pPr>
      <w:r>
        <w:rPr>
          <w:rFonts w:eastAsia="Times New Roman"/>
          <w:color w:val="000000"/>
          <w:sz w:val="20"/>
          <w:szCs w:val="20"/>
        </w:rPr>
        <w:t xml:space="preserve">We believe that we have sufficient </w:t>
      </w:r>
      <w:r>
        <w:rPr>
          <w:rFonts w:eastAsia="Times New Roman"/>
          <w:color w:val="000000"/>
          <w:sz w:val="20"/>
          <w:szCs w:val="20"/>
        </w:rPr>
        <w:t xml:space="preserve">liquidity to meet our liquidity needs and capital resource requirements for the next twelve months primarily through currently available cash and cash equivalents, cash flows from operations and undrawn capacity under our revolving credit line. </w:t>
      </w:r>
    </w:p>
    <w:p w:rsidR="00000000" w:rsidRDefault="0061405A">
      <w:pPr>
        <w:jc w:val="both"/>
        <w:divId w:val="117992535"/>
        <w:rPr>
          <w:rFonts w:eastAsia="Times New Roman"/>
        </w:rPr>
      </w:pPr>
      <w:r>
        <w:rPr>
          <w:rFonts w:eastAsia="Times New Roman"/>
          <w:b/>
          <w:bCs/>
          <w:i/>
          <w:iCs/>
          <w:color w:val="000000"/>
          <w:sz w:val="20"/>
          <w:szCs w:val="20"/>
        </w:rPr>
        <w:t xml:space="preserve">Cash Flow </w:t>
      </w:r>
      <w:r>
        <w:rPr>
          <w:rFonts w:eastAsia="Times New Roman"/>
          <w:b/>
          <w:bCs/>
          <w:i/>
          <w:iCs/>
          <w:color w:val="000000"/>
          <w:sz w:val="20"/>
          <w:szCs w:val="20"/>
        </w:rPr>
        <w:t>Analysis</w:t>
      </w:r>
    </w:p>
    <w:p w:rsidR="00000000" w:rsidRDefault="0061405A">
      <w:pPr>
        <w:jc w:val="both"/>
        <w:divId w:val="2703903"/>
        <w:rPr>
          <w:rFonts w:eastAsia="Times New Roman"/>
        </w:rPr>
      </w:pPr>
      <w:r>
        <w:rPr>
          <w:rFonts w:eastAsia="Times New Roman"/>
          <w:color w:val="000000"/>
          <w:sz w:val="20"/>
          <w:szCs w:val="20"/>
        </w:rPr>
        <w:t>Cash flows from operating, investing and financing activities are shown in the following table:</w:t>
      </w:r>
    </w:p>
    <w:tbl>
      <w:tblPr>
        <w:tblW w:w="5000" w:type="pct"/>
        <w:tblCellMar>
          <w:top w:w="15" w:type="dxa"/>
          <w:left w:w="15" w:type="dxa"/>
          <w:bottom w:w="15" w:type="dxa"/>
          <w:right w:w="15" w:type="dxa"/>
        </w:tblCellMar>
        <w:tblLook w:val="04A0" w:firstRow="1" w:lastRow="0" w:firstColumn="1" w:lastColumn="0" w:noHBand="0" w:noVBand="1"/>
      </w:tblPr>
      <w:tblGrid>
        <w:gridCol w:w="38"/>
        <w:gridCol w:w="5158"/>
        <w:gridCol w:w="37"/>
        <w:gridCol w:w="36"/>
        <w:gridCol w:w="36"/>
        <w:gridCol w:w="36"/>
        <w:gridCol w:w="120"/>
        <w:gridCol w:w="760"/>
        <w:gridCol w:w="36"/>
        <w:gridCol w:w="36"/>
        <w:gridCol w:w="36"/>
        <w:gridCol w:w="36"/>
        <w:gridCol w:w="120"/>
        <w:gridCol w:w="760"/>
        <w:gridCol w:w="36"/>
        <w:gridCol w:w="36"/>
        <w:gridCol w:w="36"/>
        <w:gridCol w:w="36"/>
        <w:gridCol w:w="121"/>
        <w:gridCol w:w="760"/>
        <w:gridCol w:w="36"/>
      </w:tblGrid>
      <w:tr w:rsidR="00000000">
        <w:trPr>
          <w:divId w:val="347607796"/>
        </w:trPr>
        <w:tc>
          <w:tcPr>
            <w:tcW w:w="50" w:type="pct"/>
            <w:vAlign w:val="center"/>
            <w:hideMark/>
          </w:tcPr>
          <w:p w:rsidR="00000000" w:rsidRDefault="0061405A">
            <w:pPr>
              <w:jc w:val="both"/>
              <w:rPr>
                <w:rFonts w:eastAsia="Times New Roman"/>
              </w:rPr>
            </w:pPr>
          </w:p>
        </w:tc>
        <w:tc>
          <w:tcPr>
            <w:tcW w:w="3134"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12"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12"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12"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347607796"/>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15"/>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Fiscal Year Ended</w:t>
            </w:r>
          </w:p>
        </w:tc>
      </w:tr>
      <w:tr w:rsidR="00000000">
        <w:trPr>
          <w:divId w:val="347607796"/>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A2972"/>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December 29,</w:t>
            </w:r>
            <w:r>
              <w:rPr>
                <w:rFonts w:eastAsia="Times New Roman"/>
                <w:b/>
                <w:bCs/>
                <w:color w:val="000000"/>
                <w:sz w:val="16"/>
                <w:szCs w:val="16"/>
              </w:rPr>
              <w:br/>
              <w:t>2020</w:t>
            </w:r>
          </w:p>
        </w:tc>
        <w:tc>
          <w:tcPr>
            <w:tcW w:w="0" w:type="auto"/>
            <w:gridSpan w:val="3"/>
            <w:tcBorders>
              <w:top w:val="single" w:sz="8" w:space="0" w:color="0A2972"/>
            </w:tcBorders>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A2972"/>
              <w:bottom w:val="single" w:sz="8" w:space="0" w:color="0A2972"/>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2019</w:t>
            </w:r>
          </w:p>
        </w:tc>
        <w:tc>
          <w:tcPr>
            <w:tcW w:w="0" w:type="auto"/>
            <w:gridSpan w:val="3"/>
            <w:tcBorders>
              <w:top w:val="single" w:sz="8" w:space="0" w:color="0A2972"/>
            </w:tcBorders>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A2972"/>
              <w:bottom w:val="single" w:sz="8" w:space="0" w:color="0A2972"/>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January 1,</w:t>
            </w:r>
            <w:r>
              <w:rPr>
                <w:rFonts w:eastAsia="Times New Roman"/>
                <w:b/>
                <w:bCs/>
                <w:color w:val="000000"/>
                <w:sz w:val="16"/>
                <w:szCs w:val="16"/>
              </w:rPr>
              <w:br/>
              <w:t>2019</w:t>
            </w:r>
          </w:p>
        </w:tc>
      </w:tr>
      <w:tr w:rsidR="00000000">
        <w:trPr>
          <w:divId w:val="347607796"/>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15"/>
            <w:tcBorders>
              <w:top w:val="single" w:sz="8" w:space="0" w:color="0A2972"/>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(in thousands)</w:t>
            </w:r>
          </w:p>
        </w:tc>
      </w:tr>
      <w:tr w:rsidR="00000000">
        <w:trPr>
          <w:divId w:val="347607796"/>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9,124 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30,060 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5,346 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347607796"/>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Net cash used in investing activities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(10,945)</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(18,439)</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(13,838)</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347607796"/>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Net cash (used in) provided by financing activities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(798)</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(5,817)</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9,786 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347607796"/>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Net (decrease) increase in 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tcBorders>
              <w:top w:val="single" w:sz="8" w:space="0" w:color="000000"/>
              <w:bottom w:val="double" w:sz="6" w:space="0" w:color="0A2972"/>
            </w:tcBorders>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bottom w:val="double" w:sz="6" w:space="0" w:color="0A2972"/>
            </w:tcBorders>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(2,619)</w:t>
            </w:r>
          </w:p>
        </w:tc>
        <w:tc>
          <w:tcPr>
            <w:tcW w:w="0" w:type="auto"/>
            <w:tcBorders>
              <w:top w:val="single" w:sz="8" w:space="0" w:color="000000"/>
              <w:bottom w:val="double" w:sz="6" w:space="0" w:color="0A2972"/>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A2972"/>
            </w:tcBorders>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bottom w:val="double" w:sz="6" w:space="0" w:color="0A2972"/>
            </w:tcBorders>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5,804 </w:t>
            </w:r>
          </w:p>
        </w:tc>
        <w:tc>
          <w:tcPr>
            <w:tcW w:w="0" w:type="auto"/>
            <w:tcBorders>
              <w:top w:val="single" w:sz="8" w:space="0" w:color="000000"/>
              <w:bottom w:val="double" w:sz="6" w:space="0" w:color="0A2972"/>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A2972"/>
            </w:tcBorders>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bottom w:val="double" w:sz="6" w:space="0" w:color="0A2972"/>
            </w:tcBorders>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1,294 </w:t>
            </w:r>
          </w:p>
        </w:tc>
        <w:tc>
          <w:tcPr>
            <w:tcW w:w="0" w:type="auto"/>
            <w:tcBorders>
              <w:top w:val="single" w:sz="8" w:space="0" w:color="000000"/>
              <w:bottom w:val="double" w:sz="6" w:space="0" w:color="0A2972"/>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bl>
    <w:p w:rsidR="00000000" w:rsidRDefault="0061405A">
      <w:pPr>
        <w:jc w:val="both"/>
        <w:divId w:val="552427199"/>
        <w:rPr>
          <w:rFonts w:eastAsia="Times New Roman"/>
        </w:rPr>
      </w:pPr>
      <w:r>
        <w:rPr>
          <w:rFonts w:eastAsia="Times New Roman"/>
          <w:b/>
          <w:bCs/>
          <w:i/>
          <w:iCs/>
          <w:color w:val="000000"/>
          <w:sz w:val="20"/>
          <w:szCs w:val="20"/>
        </w:rPr>
        <w:t>Operating Activities</w:t>
      </w:r>
    </w:p>
    <w:p w:rsidR="00000000" w:rsidRDefault="0061405A">
      <w:pPr>
        <w:jc w:val="both"/>
        <w:divId w:val="1670905955"/>
        <w:rPr>
          <w:rFonts w:eastAsia="Times New Roman"/>
        </w:rPr>
      </w:pPr>
      <w:r>
        <w:rPr>
          <w:rFonts w:eastAsia="Times New Roman"/>
          <w:color w:val="000000"/>
          <w:sz w:val="20"/>
          <w:szCs w:val="20"/>
        </w:rPr>
        <w:t>Net cash provided by operating activities in 2020 decreased $20.9 million compared t</w:t>
      </w:r>
      <w:r>
        <w:rPr>
          <w:rFonts w:eastAsia="Times New Roman"/>
          <w:color w:val="000000"/>
          <w:sz w:val="20"/>
          <w:szCs w:val="20"/>
        </w:rPr>
        <w:t>o 2019. The change in operating cash flows resulted from a decline in revenue related to the impact of the COVID-19 pandemic during 2020, adjusted for non-cash items such as depreciation and amortization, restaurant impairments, closure costs and asset dis</w:t>
      </w:r>
      <w:r>
        <w:rPr>
          <w:rFonts w:eastAsia="Times New Roman"/>
          <w:color w:val="000000"/>
          <w:sz w:val="20"/>
          <w:szCs w:val="20"/>
        </w:rPr>
        <w:t xml:space="preserve">posals and stock-based compensation as well as changes in working capital. </w:t>
      </w:r>
    </w:p>
    <w:p w:rsidR="00000000" w:rsidRDefault="0061405A">
      <w:pPr>
        <w:jc w:val="both"/>
        <w:divId w:val="1573466747"/>
        <w:rPr>
          <w:rFonts w:eastAsia="Times New Roman"/>
        </w:rPr>
      </w:pPr>
      <w:r>
        <w:rPr>
          <w:rFonts w:eastAsia="Times New Roman"/>
          <w:b/>
          <w:bCs/>
          <w:i/>
          <w:iCs/>
          <w:color w:val="000000"/>
          <w:sz w:val="20"/>
          <w:szCs w:val="20"/>
        </w:rPr>
        <w:t>Investing Activities</w:t>
      </w:r>
    </w:p>
    <w:p w:rsidR="00000000" w:rsidRDefault="0061405A">
      <w:pPr>
        <w:jc w:val="both"/>
        <w:divId w:val="581450571"/>
        <w:rPr>
          <w:rFonts w:eastAsia="Times New Roman"/>
        </w:rPr>
      </w:pPr>
      <w:r>
        <w:rPr>
          <w:rFonts w:eastAsia="Times New Roman"/>
          <w:color w:val="000000"/>
          <w:sz w:val="20"/>
          <w:szCs w:val="20"/>
          <w:shd w:val="clear" w:color="auto" w:fill="FFFFFF"/>
        </w:rPr>
        <w:t>Net cash used in investing activities was primarily related to new restaurant capital expenditures for the opening of four, four and one company-owned restaura</w:t>
      </w:r>
      <w:r>
        <w:rPr>
          <w:rFonts w:eastAsia="Times New Roman"/>
          <w:color w:val="000000"/>
          <w:sz w:val="20"/>
          <w:szCs w:val="20"/>
          <w:shd w:val="clear" w:color="auto" w:fill="FFFFFF"/>
        </w:rPr>
        <w:t xml:space="preserve">nt in 2020, 2019 and 2018, respectively, as well as information technology expenses. </w:t>
      </w:r>
    </w:p>
    <w:p w:rsidR="00000000" w:rsidRDefault="0061405A">
      <w:pPr>
        <w:jc w:val="both"/>
        <w:divId w:val="1376389219"/>
        <w:rPr>
          <w:rFonts w:eastAsia="Times New Roman"/>
        </w:rPr>
      </w:pPr>
      <w:r>
        <w:rPr>
          <w:rFonts w:eastAsia="Times New Roman"/>
          <w:b/>
          <w:bCs/>
          <w:i/>
          <w:iCs/>
          <w:color w:val="000000"/>
          <w:sz w:val="20"/>
          <w:szCs w:val="20"/>
        </w:rPr>
        <w:t>Financing Activities</w:t>
      </w:r>
    </w:p>
    <w:p w:rsidR="00000000" w:rsidRDefault="0061405A">
      <w:pPr>
        <w:jc w:val="both"/>
        <w:rPr>
          <w:rFonts w:eastAsia="Times New Roman"/>
        </w:rPr>
      </w:pPr>
      <w:r>
        <w:rPr>
          <w:rFonts w:eastAsia="Times New Roman"/>
          <w:color w:val="000000"/>
          <w:sz w:val="20"/>
          <w:szCs w:val="20"/>
          <w:shd w:val="clear" w:color="auto" w:fill="FFFFFF"/>
        </w:rPr>
        <w:t xml:space="preserve">Net cash used in financing activities was $0.8 million in 2020 largely related to repayments of long-term debt similar to 2019. </w:t>
      </w:r>
      <w:r>
        <w:rPr>
          <w:rFonts w:eastAsia="Times New Roman"/>
          <w:color w:val="000000"/>
          <w:sz w:val="20"/>
          <w:szCs w:val="20"/>
        </w:rPr>
        <w:t>During 2018, the prim</w:t>
      </w:r>
      <w:r>
        <w:rPr>
          <w:rFonts w:eastAsia="Times New Roman"/>
          <w:color w:val="000000"/>
          <w:sz w:val="20"/>
          <w:szCs w:val="20"/>
        </w:rPr>
        <w:t>ary sources and uses of cash from financing activities included net proceeds of $23.0 million from our public offering of our common stock, net of repayments of $12.1 million on long-term debt.</w:t>
      </w:r>
    </w:p>
    <w:p w:rsidR="00000000" w:rsidRDefault="0061405A">
      <w:pPr>
        <w:jc w:val="both"/>
        <w:rPr>
          <w:rFonts w:eastAsia="Times New Roman"/>
        </w:rPr>
      </w:pPr>
    </w:p>
    <w:p w:rsidR="00000000" w:rsidRDefault="0061405A">
      <w:pPr>
        <w:divId w:val="1505897728"/>
        <w:rPr>
          <w:rFonts w:eastAsia="Times New Roman"/>
        </w:rPr>
      </w:pPr>
      <w:r>
        <w:rPr>
          <w:rFonts w:eastAsia="Times New Roman"/>
          <w:b/>
          <w:bCs/>
          <w:i/>
          <w:iCs/>
          <w:color w:val="000000"/>
          <w:sz w:val="20"/>
          <w:szCs w:val="20"/>
          <w:shd w:val="clear" w:color="auto" w:fill="FFFFFF"/>
        </w:rPr>
        <w:t xml:space="preserve">Capital Resources </w:t>
      </w:r>
    </w:p>
    <w:p w:rsidR="00000000" w:rsidRDefault="0061405A">
      <w:pPr>
        <w:jc w:val="both"/>
        <w:divId w:val="1955213085"/>
        <w:rPr>
          <w:rFonts w:eastAsia="Times New Roman"/>
        </w:rPr>
      </w:pPr>
      <w:r>
        <w:rPr>
          <w:rFonts w:eastAsia="Times New Roman"/>
          <w:i/>
          <w:iCs/>
          <w:color w:val="000000"/>
          <w:sz w:val="20"/>
          <w:szCs w:val="20"/>
          <w:shd w:val="clear" w:color="auto" w:fill="FFFFFF"/>
        </w:rPr>
        <w:t xml:space="preserve">Future Capital Expenditure Requirements. </w:t>
      </w:r>
      <w:r>
        <w:rPr>
          <w:rFonts w:eastAsia="Times New Roman"/>
          <w:color w:val="000000"/>
          <w:sz w:val="20"/>
          <w:szCs w:val="20"/>
          <w:shd w:val="clear" w:color="auto" w:fill="FFFFFF"/>
        </w:rPr>
        <w:t>Our capital expenditure requirements are primarily dependent upon the pace of ou</w:t>
      </w:r>
      <w:r>
        <w:rPr>
          <w:rFonts w:eastAsia="Times New Roman"/>
          <w:color w:val="000000"/>
          <w:sz w:val="20"/>
          <w:szCs w:val="20"/>
        </w:rPr>
        <w:t>r real estate development program and resulting new restaurant openings, costs for maintenance and remodeling of our existing restauran</w:t>
      </w:r>
      <w:r>
        <w:rPr>
          <w:rFonts w:eastAsia="Times New Roman"/>
          <w:color w:val="000000"/>
          <w:sz w:val="20"/>
          <w:szCs w:val="20"/>
        </w:rPr>
        <w:t xml:space="preserve">ts, as well as information technology expenses and other general corporate capital expenditures. </w:t>
      </w:r>
    </w:p>
    <w:p w:rsidR="00000000" w:rsidRDefault="0061405A">
      <w:pPr>
        <w:jc w:val="center"/>
        <w:divId w:val="44372367"/>
        <w:rPr>
          <w:rFonts w:eastAsia="Times New Roman"/>
        </w:rPr>
      </w:pPr>
      <w:r>
        <w:rPr>
          <w:rFonts w:eastAsia="Times New Roman"/>
          <w:color w:val="000000"/>
          <w:sz w:val="20"/>
          <w:szCs w:val="20"/>
        </w:rPr>
        <w:t>43</w:t>
      </w:r>
    </w:p>
    <w:p w:rsidR="00000000" w:rsidRDefault="0061405A">
      <w:pPr>
        <w:rPr>
          <w:rFonts w:eastAsia="Times New Roman"/>
        </w:rPr>
      </w:pPr>
      <w:r>
        <w:rPr>
          <w:rFonts w:eastAsia="Times New Roman"/>
        </w:rPr>
        <w:pict>
          <v:rect id="_x0000_i1070" style="width:0;height:1.5pt" o:hralign="center" o:hrstd="t" o:hr="t" fillcolor="#a0a0a0" stroked="f"/>
        </w:pict>
      </w:r>
    </w:p>
    <w:p w:rsidR="00000000" w:rsidRDefault="0061405A">
      <w:pPr>
        <w:divId w:val="1378041212"/>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both"/>
        <w:divId w:val="569582221"/>
        <w:rPr>
          <w:rFonts w:eastAsia="Times New Roman"/>
        </w:rPr>
      </w:pPr>
      <w:r>
        <w:rPr>
          <w:rFonts w:eastAsia="Times New Roman"/>
          <w:color w:val="000000"/>
          <w:sz w:val="20"/>
          <w:szCs w:val="20"/>
        </w:rPr>
        <w:t>Our total capital expenditures for 2020 were $11.8 million, and we expect our 2021 capital expenditures to be in the range of $20.0 million to $24.0 million, utilizing our $12.0 million performance bucket for 2021. Our capital expenditures in 2021 are expe</w:t>
      </w:r>
      <w:r>
        <w:rPr>
          <w:rFonts w:eastAsia="Times New Roman"/>
          <w:color w:val="000000"/>
          <w:sz w:val="20"/>
          <w:szCs w:val="20"/>
        </w:rPr>
        <w:t xml:space="preserve">cted to be related to our construction of new restaurants before any reductions for landlord reimbursements, reinvestment in existing restaurants and investments in technology. We expect such capital expenditures to be funded by a combination of cash from </w:t>
      </w:r>
      <w:r>
        <w:rPr>
          <w:rFonts w:eastAsia="Times New Roman"/>
          <w:color w:val="000000"/>
          <w:sz w:val="20"/>
          <w:szCs w:val="20"/>
        </w:rPr>
        <w:t xml:space="preserve">operations and borrowings under our revolving credit facility. </w:t>
      </w:r>
    </w:p>
    <w:p w:rsidR="00000000" w:rsidRDefault="0061405A">
      <w:pPr>
        <w:jc w:val="both"/>
        <w:divId w:val="531577913"/>
        <w:rPr>
          <w:rFonts w:eastAsia="Times New Roman"/>
        </w:rPr>
      </w:pPr>
      <w:r>
        <w:rPr>
          <w:rFonts w:eastAsia="Times New Roman"/>
          <w:i/>
          <w:iCs/>
          <w:color w:val="000000"/>
          <w:sz w:val="20"/>
          <w:szCs w:val="20"/>
        </w:rPr>
        <w:t>Current Resources.</w:t>
      </w:r>
      <w:r>
        <w:rPr>
          <w:rFonts w:eastAsia="Times New Roman"/>
          <w:color w:val="000000"/>
          <w:sz w:val="20"/>
          <w:szCs w:val="20"/>
        </w:rPr>
        <w:t xml:space="preserve"> Our operations have not required significant working capital and, like many restaurant companies, we operate with negative working capital. Restaurant sales are primarily pa</w:t>
      </w:r>
      <w:r>
        <w:rPr>
          <w:rFonts w:eastAsia="Times New Roman"/>
          <w:color w:val="000000"/>
          <w:sz w:val="20"/>
          <w:szCs w:val="20"/>
        </w:rPr>
        <w:t>id for in cash or by credit or debit card, and restaurant operations do not require significant inventories or receivables. In addition, we receive trade credit for the purchase of food, beverages and supplies, therefore reducing the need for incremental w</w:t>
      </w:r>
      <w:r>
        <w:rPr>
          <w:rFonts w:eastAsia="Times New Roman"/>
          <w:color w:val="000000"/>
          <w:sz w:val="20"/>
          <w:szCs w:val="20"/>
        </w:rPr>
        <w:t xml:space="preserve">orking capital to support growth. </w:t>
      </w:r>
    </w:p>
    <w:p w:rsidR="00000000" w:rsidRDefault="0061405A">
      <w:pPr>
        <w:jc w:val="both"/>
        <w:divId w:val="2016958835"/>
        <w:rPr>
          <w:rFonts w:eastAsia="Times New Roman"/>
        </w:rPr>
      </w:pPr>
      <w:r>
        <w:rPr>
          <w:rFonts w:eastAsia="Times New Roman"/>
          <w:b/>
          <w:bCs/>
          <w:color w:val="000000"/>
          <w:sz w:val="20"/>
          <w:szCs w:val="20"/>
        </w:rPr>
        <w:t>Contractual Obligations</w:t>
      </w:r>
    </w:p>
    <w:p w:rsidR="00000000" w:rsidRDefault="0061405A">
      <w:pPr>
        <w:jc w:val="both"/>
        <w:divId w:val="554969884"/>
        <w:rPr>
          <w:rFonts w:eastAsia="Times New Roman"/>
        </w:rPr>
      </w:pPr>
      <w:r>
        <w:rPr>
          <w:rFonts w:eastAsia="Times New Roman"/>
          <w:color w:val="000000"/>
          <w:sz w:val="20"/>
          <w:szCs w:val="20"/>
        </w:rPr>
        <w:t xml:space="preserve">Our contractual obligations consist of lease obligations, purchase obligations, long-term debt and other liabilities. </w:t>
      </w:r>
      <w:r>
        <w:rPr>
          <w:rFonts w:eastAsia="Times New Roman"/>
          <w:color w:val="000000"/>
          <w:sz w:val="20"/>
          <w:szCs w:val="20"/>
          <w:shd w:val="clear" w:color="auto" w:fill="FFFFFF"/>
        </w:rPr>
        <w:t>See Note 4 Long-Term Debt and Note 12 Leases for further discussion. We are obl</w:t>
      </w:r>
      <w:r>
        <w:rPr>
          <w:rFonts w:eastAsia="Times New Roman"/>
          <w:color w:val="000000"/>
          <w:sz w:val="20"/>
          <w:szCs w:val="20"/>
          <w:shd w:val="clear" w:color="auto" w:fill="FFFFFF"/>
        </w:rPr>
        <w:t>igated under non-cancelable leases for our restaurants, administrative offices and equipment. In addition to those lease obligations, we have legally binding minimum lease payments for leases signed but not yet commenced amounting to $6.1 million as of Dec</w:t>
      </w:r>
      <w:r>
        <w:rPr>
          <w:rFonts w:eastAsia="Times New Roman"/>
          <w:color w:val="000000"/>
          <w:sz w:val="20"/>
          <w:szCs w:val="20"/>
          <w:shd w:val="clear" w:color="auto" w:fill="FFFFFF"/>
        </w:rPr>
        <w:t>ember 29, 2020. We enter into various purchase obligations in the ordinary course of business. As of December 29, 2020, our binding purchase obligations amounting to $44.2 million relate to volume commitments for beverage and food products, as well as bind</w:t>
      </w:r>
      <w:r>
        <w:rPr>
          <w:rFonts w:eastAsia="Times New Roman"/>
          <w:color w:val="000000"/>
          <w:sz w:val="20"/>
          <w:szCs w:val="20"/>
          <w:shd w:val="clear" w:color="auto" w:fill="FFFFFF"/>
        </w:rPr>
        <w:t xml:space="preserve">ing commitments for the constructions of new restaurants. Our other liabilities of $4.7 million as of December 29, 2020 include expected payments associated with the employer payroll tax deferral under the Coronavirus Aid, Relief and Economic Security Act </w:t>
      </w:r>
      <w:r>
        <w:rPr>
          <w:rFonts w:eastAsia="Times New Roman"/>
          <w:color w:val="000000"/>
          <w:sz w:val="20"/>
          <w:szCs w:val="20"/>
          <w:shd w:val="clear" w:color="auto" w:fill="FFFFFF"/>
        </w:rPr>
        <w:t>(“CARES Act”) and our commitment u</w:t>
      </w:r>
      <w:r>
        <w:rPr>
          <w:rFonts w:eastAsia="Times New Roman"/>
          <w:color w:val="000000"/>
          <w:sz w:val="20"/>
          <w:szCs w:val="20"/>
        </w:rPr>
        <w:t xml:space="preserve">nder our non-qualified deferred compensation plan. </w:t>
      </w:r>
    </w:p>
    <w:p w:rsidR="00000000" w:rsidRDefault="0061405A">
      <w:pPr>
        <w:ind w:hanging="720"/>
        <w:jc w:val="both"/>
        <w:divId w:val="1919485906"/>
        <w:rPr>
          <w:rFonts w:eastAsia="Times New Roman"/>
        </w:rPr>
      </w:pPr>
      <w:r>
        <w:rPr>
          <w:rFonts w:eastAsia="Times New Roman"/>
          <w:b/>
          <w:bCs/>
          <w:color w:val="000000"/>
          <w:sz w:val="20"/>
          <w:szCs w:val="20"/>
        </w:rPr>
        <w:t>Off-Balance Sheet Arrangements</w:t>
      </w:r>
    </w:p>
    <w:p w:rsidR="00000000" w:rsidRDefault="0061405A">
      <w:pPr>
        <w:divId w:val="321591769"/>
        <w:rPr>
          <w:rFonts w:eastAsia="Times New Roman"/>
        </w:rPr>
      </w:pPr>
      <w:r>
        <w:rPr>
          <w:rFonts w:eastAsia="Times New Roman"/>
          <w:color w:val="000000"/>
          <w:sz w:val="20"/>
          <w:szCs w:val="20"/>
        </w:rPr>
        <w:t xml:space="preserve">We did not have any off-balance sheet arrangements or obligations as of December 29, 2020. </w:t>
      </w:r>
    </w:p>
    <w:p w:rsidR="00000000" w:rsidRDefault="0061405A">
      <w:pPr>
        <w:jc w:val="both"/>
        <w:divId w:val="399401983"/>
        <w:rPr>
          <w:rFonts w:eastAsia="Times New Roman"/>
        </w:rPr>
      </w:pPr>
      <w:r>
        <w:rPr>
          <w:rFonts w:eastAsia="Times New Roman"/>
          <w:b/>
          <w:bCs/>
          <w:color w:val="000000"/>
          <w:sz w:val="20"/>
          <w:szCs w:val="20"/>
        </w:rPr>
        <w:t>Critical Accounting Policies and Estimates</w:t>
      </w:r>
    </w:p>
    <w:p w:rsidR="00000000" w:rsidRDefault="0061405A">
      <w:pPr>
        <w:jc w:val="both"/>
        <w:divId w:val="1214462382"/>
        <w:rPr>
          <w:rFonts w:eastAsia="Times New Roman"/>
        </w:rPr>
      </w:pPr>
      <w:r>
        <w:rPr>
          <w:rFonts w:eastAsia="Times New Roman"/>
          <w:color w:val="000000"/>
          <w:sz w:val="20"/>
          <w:szCs w:val="20"/>
        </w:rPr>
        <w:t>Our</w:t>
      </w:r>
      <w:r>
        <w:rPr>
          <w:rFonts w:eastAsia="Times New Roman"/>
          <w:color w:val="000000"/>
          <w:sz w:val="20"/>
          <w:szCs w:val="20"/>
        </w:rPr>
        <w:t xml:space="preserve"> consolidated financial statements and accompanying notes are prepared in accordance with GAAP. Preparing consolidated financial statements requires us to make estimates and assumptions that affect the reported amounts of assets, liabilities, revenue and e</w:t>
      </w:r>
      <w:r>
        <w:rPr>
          <w:rFonts w:eastAsia="Times New Roman"/>
          <w:color w:val="000000"/>
          <w:sz w:val="20"/>
          <w:szCs w:val="20"/>
        </w:rPr>
        <w:t>xpenses. These estimates and assumptions are affected by the application of our accounting policies. Our significant accounting policies are described in Note 1, Business and Summary of Significant Accounting Policies, to our consolidated financial stateme</w:t>
      </w:r>
      <w:r>
        <w:rPr>
          <w:rFonts w:eastAsia="Times New Roman"/>
          <w:color w:val="000000"/>
          <w:sz w:val="20"/>
          <w:szCs w:val="20"/>
        </w:rPr>
        <w:t>nts. Critical accounting estimates are those that require application of management’s most difficult, subjective or complex judgments, often as a result of matters that are inherently uncertain and may change in subsequent periods. While we apply our judgm</w:t>
      </w:r>
      <w:r>
        <w:rPr>
          <w:rFonts w:eastAsia="Times New Roman"/>
          <w:color w:val="000000"/>
          <w:sz w:val="20"/>
          <w:szCs w:val="20"/>
        </w:rPr>
        <w:t>ent based on assumptions believed to be reasonable under the circumstances, actual results could vary from these assumptions. It is possible that materially different amounts would be reported using different assumptions. We believe the critical accounting</w:t>
      </w:r>
      <w:r>
        <w:rPr>
          <w:rFonts w:eastAsia="Times New Roman"/>
          <w:color w:val="000000"/>
          <w:sz w:val="20"/>
          <w:szCs w:val="20"/>
        </w:rPr>
        <w:t xml:space="preserve"> policies described below affect our more significant judgments and estimates used in the preparation of our consolidated financial statements.</w:t>
      </w:r>
    </w:p>
    <w:p w:rsidR="00000000" w:rsidRDefault="0061405A">
      <w:pPr>
        <w:jc w:val="both"/>
        <w:divId w:val="1372455853"/>
        <w:rPr>
          <w:rFonts w:eastAsia="Times New Roman"/>
        </w:rPr>
      </w:pPr>
      <w:r>
        <w:rPr>
          <w:rFonts w:eastAsia="Times New Roman"/>
          <w:b/>
          <w:bCs/>
          <w:i/>
          <w:iCs/>
          <w:color w:val="000000"/>
          <w:sz w:val="20"/>
          <w:szCs w:val="20"/>
        </w:rPr>
        <w:t>Impairment of Long-Lived Assets</w:t>
      </w:r>
    </w:p>
    <w:p w:rsidR="00000000" w:rsidRDefault="0061405A">
      <w:pPr>
        <w:jc w:val="both"/>
        <w:divId w:val="2048485349"/>
        <w:rPr>
          <w:rFonts w:eastAsia="Times New Roman"/>
        </w:rPr>
      </w:pPr>
      <w:r>
        <w:rPr>
          <w:rFonts w:eastAsia="Times New Roman"/>
          <w:color w:val="000000"/>
          <w:sz w:val="20"/>
          <w:szCs w:val="20"/>
        </w:rPr>
        <w:t>We review long-lived assets, such as property and equipment, right of use assets and intangibles, subject to amortization, for impairment when events or circumstances indicate the carrying value of the assets may not be recoverable. In determining the reco</w:t>
      </w:r>
      <w:r>
        <w:rPr>
          <w:rFonts w:eastAsia="Times New Roman"/>
          <w:color w:val="000000"/>
          <w:sz w:val="20"/>
          <w:szCs w:val="20"/>
        </w:rPr>
        <w:t>verability of the asset value, an analysis is performed at the individual restaurant level and primarily includes an assessment of historical cash flows and other relevant factors and circumstances. The other factors and circumstances include changes in th</w:t>
      </w:r>
      <w:r>
        <w:rPr>
          <w:rFonts w:eastAsia="Times New Roman"/>
          <w:color w:val="000000"/>
          <w:sz w:val="20"/>
          <w:szCs w:val="20"/>
        </w:rPr>
        <w:t>e economic environment, changes in the manner in which assets are used, unfavorable changes in legal factors or business climate, incurring excess costs in construction of the asset, overall restaurant operating performance and projections for future perfo</w:t>
      </w:r>
      <w:r>
        <w:rPr>
          <w:rFonts w:eastAsia="Times New Roman"/>
          <w:color w:val="000000"/>
          <w:sz w:val="20"/>
          <w:szCs w:val="20"/>
        </w:rPr>
        <w:t>rmance. These estimates result in a wide range of variability on a year to year basis due to the nature of the criteria. Negative restaurant-level cash flow over the previous 12 periods is considered a potential impairment indicator. In such situations, we</w:t>
      </w:r>
      <w:r>
        <w:rPr>
          <w:rFonts w:eastAsia="Times New Roman"/>
          <w:color w:val="000000"/>
          <w:sz w:val="20"/>
          <w:szCs w:val="20"/>
        </w:rPr>
        <w:t xml:space="preserve"> evaluate future undiscounted cash flow projections in conjunction with qualitative factors and future operating plans. Our impairment assessment process requires the use of estimates and assumptions regarding the future undiscounted cash flows and operati</w:t>
      </w:r>
      <w:r>
        <w:rPr>
          <w:rFonts w:eastAsia="Times New Roman"/>
          <w:color w:val="000000"/>
          <w:sz w:val="20"/>
          <w:szCs w:val="20"/>
        </w:rPr>
        <w:t>ng outcomes, which are based upon a significant degree of management’s judgment.</w:t>
      </w:r>
    </w:p>
    <w:p w:rsidR="00000000" w:rsidRDefault="0061405A">
      <w:pPr>
        <w:jc w:val="both"/>
        <w:divId w:val="1802112901"/>
        <w:rPr>
          <w:rFonts w:eastAsia="Times New Roman"/>
        </w:rPr>
      </w:pPr>
      <w:r>
        <w:rPr>
          <w:rFonts w:eastAsia="Times New Roman"/>
          <w:color w:val="000000"/>
          <w:sz w:val="20"/>
          <w:szCs w:val="20"/>
        </w:rPr>
        <w:t>In performing our impairment testing, we forecast our future undiscounted cash flows by looking at recent restaurant level performance, restaurant level operating plans, sales</w:t>
      </w:r>
      <w:r>
        <w:rPr>
          <w:rFonts w:eastAsia="Times New Roman"/>
          <w:color w:val="000000"/>
          <w:sz w:val="20"/>
          <w:szCs w:val="20"/>
        </w:rPr>
        <w:t xml:space="preserve"> trends and cost trends for cost of sales, labor and operating expenses. We </w:t>
      </w:r>
    </w:p>
    <w:p w:rsidR="00000000" w:rsidRDefault="0061405A">
      <w:pPr>
        <w:jc w:val="center"/>
        <w:divId w:val="1945073476"/>
        <w:rPr>
          <w:rFonts w:eastAsia="Times New Roman"/>
        </w:rPr>
      </w:pPr>
      <w:r>
        <w:rPr>
          <w:rFonts w:eastAsia="Times New Roman"/>
          <w:color w:val="000000"/>
          <w:sz w:val="20"/>
          <w:szCs w:val="20"/>
        </w:rPr>
        <w:t>44</w:t>
      </w:r>
    </w:p>
    <w:p w:rsidR="00000000" w:rsidRDefault="0061405A">
      <w:pPr>
        <w:rPr>
          <w:rFonts w:eastAsia="Times New Roman"/>
        </w:rPr>
      </w:pPr>
      <w:r>
        <w:rPr>
          <w:rFonts w:eastAsia="Times New Roman"/>
        </w:rPr>
        <w:pict>
          <v:rect id="_x0000_i1071" style="width:0;height:1.5pt" o:hralign="center" o:hrstd="t" o:hr="t" fillcolor="#a0a0a0" stroked="f"/>
        </w:pict>
      </w:r>
    </w:p>
    <w:p w:rsidR="00000000" w:rsidRDefault="0061405A">
      <w:pPr>
        <w:divId w:val="356466598"/>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both"/>
        <w:divId w:val="235671787"/>
        <w:rPr>
          <w:rFonts w:eastAsia="Times New Roman"/>
        </w:rPr>
      </w:pPr>
      <w:r>
        <w:rPr>
          <w:rFonts w:eastAsia="Times New Roman"/>
          <w:color w:val="000000"/>
          <w:sz w:val="20"/>
          <w:szCs w:val="20"/>
        </w:rPr>
        <w:t>believe that this combination of information giv</w:t>
      </w:r>
      <w:r>
        <w:rPr>
          <w:rFonts w:eastAsia="Times New Roman"/>
          <w:color w:val="000000"/>
          <w:sz w:val="20"/>
          <w:szCs w:val="20"/>
        </w:rPr>
        <w:t>es us a fair benchmark to estimate future undiscounted cash flows. We compare this cash flow forecast, excluding occupancy rent expense, to the asset’s carrying value, excluding lease liability, at the restaurant. Based on this analysis, if the carrying am</w:t>
      </w:r>
      <w:r>
        <w:rPr>
          <w:rFonts w:eastAsia="Times New Roman"/>
          <w:color w:val="000000"/>
          <w:sz w:val="20"/>
          <w:szCs w:val="20"/>
        </w:rPr>
        <w:t xml:space="preserve">ount of the assets is greater than the estimated future undiscounted cash flows, an impairment charge is recognized, measured as the amount by which the carrying amount exceeds the fair value of the asset. </w:t>
      </w:r>
    </w:p>
    <w:p w:rsidR="00000000" w:rsidRDefault="0061405A">
      <w:pPr>
        <w:jc w:val="both"/>
        <w:divId w:val="501119450"/>
        <w:rPr>
          <w:rFonts w:eastAsia="Times New Roman"/>
        </w:rPr>
      </w:pPr>
      <w:r>
        <w:rPr>
          <w:rFonts w:eastAsia="Times New Roman"/>
          <w:b/>
          <w:bCs/>
          <w:i/>
          <w:iCs/>
          <w:color w:val="000000"/>
          <w:sz w:val="20"/>
          <w:szCs w:val="20"/>
        </w:rPr>
        <w:t>Leases</w:t>
      </w:r>
    </w:p>
    <w:p w:rsidR="00000000" w:rsidRDefault="0061405A">
      <w:pPr>
        <w:jc w:val="both"/>
        <w:divId w:val="1139809801"/>
        <w:rPr>
          <w:rFonts w:eastAsia="Times New Roman"/>
        </w:rPr>
      </w:pPr>
      <w:r>
        <w:rPr>
          <w:rFonts w:eastAsia="Times New Roman"/>
          <w:color w:val="000000"/>
          <w:sz w:val="20"/>
          <w:szCs w:val="20"/>
        </w:rPr>
        <w:t>We lease all restaurant facilities, office</w:t>
      </w:r>
      <w:r>
        <w:rPr>
          <w:rFonts w:eastAsia="Times New Roman"/>
          <w:color w:val="000000"/>
          <w:sz w:val="20"/>
          <w:szCs w:val="20"/>
        </w:rPr>
        <w:t xml:space="preserve"> space and certain equipment. Pursuant to FASB Accounting Standards Codification (“ASC”) Topic 842, beginning on January 2, 2019, we record a net operating lease right-of-use (“ROU”) asset and o</w:t>
      </w:r>
      <w:r>
        <w:rPr>
          <w:rFonts w:eastAsia="Times New Roman"/>
          <w:color w:val="000000"/>
          <w:sz w:val="20"/>
          <w:szCs w:val="20"/>
          <w:shd w:val="clear" w:color="auto" w:fill="FFFFFF"/>
        </w:rPr>
        <w:t>perating lease liability on our Consolidated Balance Sheets fo</w:t>
      </w:r>
      <w:r>
        <w:rPr>
          <w:rFonts w:eastAsia="Times New Roman"/>
          <w:color w:val="000000"/>
          <w:sz w:val="20"/>
          <w:szCs w:val="20"/>
          <w:shd w:val="clear" w:color="auto" w:fill="FFFFFF"/>
        </w:rPr>
        <w:t>r all operating leases with a contract term in excess of 12 months. Prior to the adoption of ASC Topic 842, these leases were treated as operating leases under ASC Topic 840 and therefore were not recorded on our Consolidated Balance Sheets. </w:t>
      </w:r>
    </w:p>
    <w:p w:rsidR="00000000" w:rsidRDefault="0061405A">
      <w:pPr>
        <w:jc w:val="both"/>
        <w:divId w:val="1208645560"/>
        <w:rPr>
          <w:rFonts w:eastAsia="Times New Roman"/>
        </w:rPr>
      </w:pPr>
      <w:r>
        <w:rPr>
          <w:rFonts w:eastAsia="Times New Roman"/>
          <w:color w:val="000000"/>
          <w:sz w:val="20"/>
          <w:szCs w:val="20"/>
        </w:rPr>
        <w:t>ROU assets re</w:t>
      </w:r>
      <w:r>
        <w:rPr>
          <w:rFonts w:eastAsia="Times New Roman"/>
          <w:color w:val="000000"/>
          <w:sz w:val="20"/>
          <w:szCs w:val="20"/>
        </w:rPr>
        <w:t>present our right to use an underlying asset for the lease term and lease liabilities represent our obligation to make future lease payments arising from the lease. Operating lease ROU assets and liabilities are recorded at commencement date based on the p</w:t>
      </w:r>
      <w:r>
        <w:rPr>
          <w:rFonts w:eastAsia="Times New Roman"/>
          <w:color w:val="000000"/>
          <w:sz w:val="20"/>
          <w:szCs w:val="20"/>
        </w:rPr>
        <w:t xml:space="preserve">resent value of lease payments over the lease term. To determine the present value of lease payments not yet paid, we estimate incremental borrowing rates corresponding to the reasonably certain lease term. As most of our leases do not provide an implicit </w:t>
      </w:r>
      <w:r>
        <w:rPr>
          <w:rFonts w:eastAsia="Times New Roman"/>
          <w:color w:val="000000"/>
          <w:sz w:val="20"/>
          <w:szCs w:val="20"/>
        </w:rPr>
        <w:t>rate, we use the incremental borrowing rate based on information available at commencement date in determining the present value of lease payments. Leases with an initial term of 12 months or less are not recorded on the Consolidated Balance Sheets. We rec</w:t>
      </w:r>
      <w:r>
        <w:rPr>
          <w:rFonts w:eastAsia="Times New Roman"/>
          <w:color w:val="000000"/>
          <w:sz w:val="20"/>
          <w:szCs w:val="20"/>
        </w:rPr>
        <w:t>ognize lease expense for these short-term leases on a straight-line basis over the lease term. </w:t>
      </w:r>
    </w:p>
    <w:p w:rsidR="00000000" w:rsidRDefault="0061405A">
      <w:pPr>
        <w:jc w:val="both"/>
        <w:divId w:val="1766145476"/>
        <w:rPr>
          <w:rFonts w:eastAsia="Times New Roman"/>
        </w:rPr>
      </w:pPr>
      <w:r>
        <w:rPr>
          <w:rFonts w:eastAsia="Times New Roman"/>
          <w:color w:val="000000"/>
          <w:sz w:val="20"/>
          <w:szCs w:val="20"/>
        </w:rPr>
        <w:t>Our leases typically contain rent escalations over the lease term. We recognize expense for these leases on a straight-line basis over the lease term. Additiona</w:t>
      </w:r>
      <w:r>
        <w:rPr>
          <w:rFonts w:eastAsia="Times New Roman"/>
          <w:color w:val="000000"/>
          <w:sz w:val="20"/>
          <w:szCs w:val="20"/>
        </w:rPr>
        <w:t xml:space="preserve">lly, tenant incentives used to fund leasehold improvements are recognized when earned and reduce the right-of-use asset related to the lease. These are amortized through the right-of-use asset as reductions of expense over the lease term. Rent expense for </w:t>
      </w:r>
      <w:r>
        <w:rPr>
          <w:rFonts w:eastAsia="Times New Roman"/>
          <w:color w:val="000000"/>
          <w:sz w:val="20"/>
          <w:szCs w:val="20"/>
        </w:rPr>
        <w:t>the period prior to the restaurant opening is reported as pre-opening expense in the Consolidated Statements of Operations.</w:t>
      </w:r>
    </w:p>
    <w:p w:rsidR="00000000" w:rsidRDefault="0061405A">
      <w:pPr>
        <w:jc w:val="both"/>
        <w:divId w:val="625889394"/>
        <w:rPr>
          <w:rFonts w:eastAsia="Times New Roman"/>
        </w:rPr>
      </w:pPr>
      <w:r>
        <w:rPr>
          <w:rFonts w:eastAsia="Times New Roman"/>
          <w:b/>
          <w:bCs/>
          <w:i/>
          <w:iCs/>
          <w:color w:val="000000"/>
          <w:sz w:val="20"/>
          <w:szCs w:val="20"/>
        </w:rPr>
        <w:t>Recently Issued Accounting Pronouncements</w:t>
      </w:r>
    </w:p>
    <w:p w:rsidR="00000000" w:rsidRDefault="0061405A">
      <w:pPr>
        <w:divId w:val="1202400911"/>
        <w:rPr>
          <w:rFonts w:eastAsia="Times New Roman"/>
        </w:rPr>
      </w:pPr>
      <w:r>
        <w:rPr>
          <w:rFonts w:eastAsia="Times New Roman"/>
          <w:color w:val="000000"/>
          <w:sz w:val="20"/>
          <w:szCs w:val="20"/>
        </w:rPr>
        <w:t>Refer to Note 1, Business and Summary of Significant Accounting Policies, of Notes to Cons</w:t>
      </w:r>
      <w:r>
        <w:rPr>
          <w:rFonts w:eastAsia="Times New Roman"/>
          <w:color w:val="000000"/>
          <w:sz w:val="20"/>
          <w:szCs w:val="20"/>
        </w:rPr>
        <w:t>olidated Financial Statements of this report.</w:t>
      </w:r>
    </w:p>
    <w:p w:rsidR="00000000" w:rsidRDefault="0061405A">
      <w:pPr>
        <w:jc w:val="center"/>
        <w:divId w:val="693655349"/>
        <w:rPr>
          <w:rFonts w:eastAsia="Times New Roman"/>
        </w:rPr>
      </w:pPr>
      <w:r>
        <w:rPr>
          <w:rFonts w:eastAsia="Times New Roman"/>
          <w:color w:val="000000"/>
          <w:sz w:val="20"/>
          <w:szCs w:val="20"/>
        </w:rPr>
        <w:t>45</w:t>
      </w:r>
    </w:p>
    <w:p w:rsidR="00000000" w:rsidRDefault="0061405A">
      <w:pPr>
        <w:rPr>
          <w:rFonts w:eastAsia="Times New Roman"/>
        </w:rPr>
      </w:pPr>
      <w:r>
        <w:rPr>
          <w:rFonts w:eastAsia="Times New Roman"/>
        </w:rPr>
        <w:pict>
          <v:rect id="_x0000_i1072" style="width:0;height:1.5pt" o:hralign="center" o:hrstd="t" o:hr="t" fillcolor="#a0a0a0" stroked="f"/>
        </w:pict>
      </w:r>
    </w:p>
    <w:p w:rsidR="00000000" w:rsidRDefault="0061405A">
      <w:pPr>
        <w:divId w:val="2037151370"/>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both"/>
        <w:divId w:val="1414475241"/>
        <w:rPr>
          <w:rFonts w:eastAsia="Times New Roman"/>
        </w:rPr>
      </w:pPr>
      <w:r>
        <w:rPr>
          <w:rFonts w:eastAsia="Times New Roman"/>
          <w:b/>
          <w:bCs/>
          <w:color w:val="000000"/>
          <w:sz w:val="20"/>
          <w:szCs w:val="20"/>
        </w:rPr>
        <w:t>ITEM 7A.    Quantitative and Qualitative Disclosure about Market Risk</w:t>
      </w:r>
    </w:p>
    <w:p w:rsidR="00000000" w:rsidRDefault="0061405A">
      <w:pPr>
        <w:jc w:val="both"/>
        <w:divId w:val="1739280227"/>
        <w:rPr>
          <w:rFonts w:eastAsia="Times New Roman"/>
        </w:rPr>
      </w:pPr>
      <w:r>
        <w:rPr>
          <w:rFonts w:eastAsia="Times New Roman"/>
          <w:b/>
          <w:bCs/>
          <w:i/>
          <w:iCs/>
          <w:color w:val="000000"/>
          <w:sz w:val="20"/>
          <w:szCs w:val="20"/>
        </w:rPr>
        <w:t>Interest</w:t>
      </w:r>
      <w:r>
        <w:rPr>
          <w:rFonts w:eastAsia="Times New Roman"/>
          <w:b/>
          <w:bCs/>
          <w:i/>
          <w:iCs/>
          <w:color w:val="000000"/>
          <w:sz w:val="20"/>
          <w:szCs w:val="20"/>
        </w:rPr>
        <w:t xml:space="preserve"> Rate Risk</w:t>
      </w:r>
    </w:p>
    <w:p w:rsidR="00000000" w:rsidRDefault="0061405A">
      <w:pPr>
        <w:jc w:val="both"/>
        <w:divId w:val="779489252"/>
        <w:rPr>
          <w:rFonts w:eastAsia="Times New Roman"/>
        </w:rPr>
      </w:pPr>
      <w:r>
        <w:rPr>
          <w:rFonts w:eastAsia="Times New Roman"/>
          <w:color w:val="000000"/>
          <w:sz w:val="20"/>
          <w:szCs w:val="20"/>
        </w:rPr>
        <w:t>We are exposed to market risk from changes in interest rates on debt. Our exposure to interest rate fluctuations is limited to our outstanding bank debt, which bears interest at variable rates. As of December 29, 2020, there was $43.8 million in outstandin</w:t>
      </w:r>
      <w:r>
        <w:rPr>
          <w:rFonts w:eastAsia="Times New Roman"/>
          <w:color w:val="000000"/>
          <w:sz w:val="20"/>
          <w:szCs w:val="20"/>
        </w:rPr>
        <w:t>g borrowings under our Second Amended Credit Facility. A plus or minus 1.0% in the effective interest rate applied on these loans would have resulted in a pre-tax interest expense fluctuation of approximately $0.4 million on an annualized basis.</w:t>
      </w:r>
    </w:p>
    <w:p w:rsidR="00000000" w:rsidRDefault="0061405A">
      <w:pPr>
        <w:jc w:val="both"/>
        <w:divId w:val="605311719"/>
        <w:rPr>
          <w:rFonts w:eastAsia="Times New Roman"/>
        </w:rPr>
      </w:pPr>
      <w:r>
        <w:rPr>
          <w:rFonts w:eastAsia="Times New Roman"/>
          <w:b/>
          <w:bCs/>
          <w:i/>
          <w:iCs/>
          <w:color w:val="000000"/>
          <w:sz w:val="20"/>
          <w:szCs w:val="20"/>
        </w:rPr>
        <w:t xml:space="preserve">Commodity </w:t>
      </w:r>
      <w:r>
        <w:rPr>
          <w:rFonts w:eastAsia="Times New Roman"/>
          <w:b/>
          <w:bCs/>
          <w:i/>
          <w:iCs/>
          <w:color w:val="000000"/>
          <w:sz w:val="20"/>
          <w:szCs w:val="20"/>
        </w:rPr>
        <w:t>Price Risk</w:t>
      </w:r>
    </w:p>
    <w:p w:rsidR="00000000" w:rsidRDefault="0061405A">
      <w:pPr>
        <w:jc w:val="both"/>
        <w:divId w:val="382411632"/>
        <w:rPr>
          <w:rFonts w:eastAsia="Times New Roman"/>
        </w:rPr>
      </w:pPr>
      <w:r>
        <w:rPr>
          <w:rFonts w:eastAsia="Times New Roman"/>
          <w:color w:val="000000"/>
          <w:sz w:val="20"/>
          <w:szCs w:val="20"/>
        </w:rPr>
        <w:t xml:space="preserve">We purchase certain products that are affected by commodity prices and are, therefore, subject to price volatility caused by weather, market conditions and other factors which are not considered predictable or within our control. Although these </w:t>
      </w:r>
      <w:r>
        <w:rPr>
          <w:rFonts w:eastAsia="Times New Roman"/>
          <w:color w:val="000000"/>
          <w:sz w:val="20"/>
          <w:szCs w:val="20"/>
        </w:rPr>
        <w:t>products are subject to changes in commodity prices, certain purchasing contracts or pricing arrangements contain risk management techniques designed to minimize price volatility. Typically, we use these types of purchasing techniques to control costs as a</w:t>
      </w:r>
      <w:r>
        <w:rPr>
          <w:rFonts w:eastAsia="Times New Roman"/>
          <w:color w:val="000000"/>
          <w:sz w:val="20"/>
          <w:szCs w:val="20"/>
        </w:rPr>
        <w:t>n alternative to directly managing financial instruments to hedge commodity prices. In many cases, we believe we will be able to address material commodity cost increases by adjusting our menu pricing or changing our product delivery strategy. However, inc</w:t>
      </w:r>
      <w:r>
        <w:rPr>
          <w:rFonts w:eastAsia="Times New Roman"/>
          <w:color w:val="000000"/>
          <w:sz w:val="20"/>
          <w:szCs w:val="20"/>
        </w:rPr>
        <w:t>reases in commodity prices, without adjustments to our menu prices, could increase restaurant operating costs as a percentage of restaurant revenue.</w:t>
      </w:r>
    </w:p>
    <w:p w:rsidR="00000000" w:rsidRDefault="0061405A">
      <w:pPr>
        <w:jc w:val="both"/>
        <w:divId w:val="566383700"/>
        <w:rPr>
          <w:rFonts w:eastAsia="Times New Roman"/>
        </w:rPr>
      </w:pPr>
      <w:r>
        <w:rPr>
          <w:rFonts w:eastAsia="Times New Roman"/>
          <w:b/>
          <w:bCs/>
          <w:i/>
          <w:iCs/>
          <w:color w:val="000000"/>
          <w:sz w:val="20"/>
          <w:szCs w:val="20"/>
        </w:rPr>
        <w:t>Inflation</w:t>
      </w:r>
    </w:p>
    <w:p w:rsidR="00000000" w:rsidRDefault="0061405A">
      <w:pPr>
        <w:jc w:val="both"/>
        <w:divId w:val="1055465838"/>
        <w:rPr>
          <w:rFonts w:eastAsia="Times New Roman"/>
        </w:rPr>
      </w:pPr>
      <w:r>
        <w:rPr>
          <w:rFonts w:eastAsia="Times New Roman"/>
          <w:color w:val="000000"/>
          <w:sz w:val="20"/>
          <w:szCs w:val="20"/>
        </w:rPr>
        <w:t>The primary inflationary factors affecting our operations are food, labor costs, energy costs and materials used in the construction of new restaurants. Increases in the minimum wage directly affect our labor costs. Many of our leases require us to pay tax</w:t>
      </w:r>
      <w:r>
        <w:rPr>
          <w:rFonts w:eastAsia="Times New Roman"/>
          <w:color w:val="000000"/>
          <w:sz w:val="20"/>
          <w:szCs w:val="20"/>
        </w:rPr>
        <w:t>es, maintenance, repairs, insurance and utilities, all of which are generally subject to inflationary increases. Finally, the cost of constructing our restaurants is subject to inflationary increases in the costs of labor and material. Over the past five y</w:t>
      </w:r>
      <w:r>
        <w:rPr>
          <w:rFonts w:eastAsia="Times New Roman"/>
          <w:color w:val="000000"/>
          <w:sz w:val="20"/>
          <w:szCs w:val="20"/>
        </w:rPr>
        <w:t xml:space="preserve">ears, inflation has not significantly affected our operating results with the exception of increased wage inflation that affected our results from 2016 through 2020. We expect wage inflation to continue to affect our results in the near future. </w:t>
      </w:r>
    </w:p>
    <w:p w:rsidR="00000000" w:rsidRDefault="0061405A">
      <w:pPr>
        <w:jc w:val="center"/>
        <w:divId w:val="290207502"/>
        <w:rPr>
          <w:rFonts w:eastAsia="Times New Roman"/>
        </w:rPr>
      </w:pPr>
      <w:r>
        <w:rPr>
          <w:rFonts w:eastAsia="Times New Roman"/>
          <w:color w:val="000000"/>
          <w:sz w:val="20"/>
          <w:szCs w:val="20"/>
        </w:rPr>
        <w:t>46</w:t>
      </w:r>
    </w:p>
    <w:p w:rsidR="00000000" w:rsidRDefault="0061405A">
      <w:pPr>
        <w:rPr>
          <w:rFonts w:eastAsia="Times New Roman"/>
        </w:rPr>
      </w:pPr>
      <w:r>
        <w:rPr>
          <w:rFonts w:eastAsia="Times New Roman"/>
        </w:rPr>
        <w:pict>
          <v:rect id="_x0000_i1073" style="width:0;height:1.5pt" o:hralign="center" o:hrstd="t" o:hr="t" fillcolor="#a0a0a0" stroked="f"/>
        </w:pict>
      </w:r>
    </w:p>
    <w:p w:rsidR="00000000" w:rsidRDefault="0061405A">
      <w:pPr>
        <w:divId w:val="2033216282"/>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ind w:hanging="990"/>
        <w:divId w:val="1682706829"/>
        <w:rPr>
          <w:rFonts w:eastAsia="Times New Roman"/>
        </w:rPr>
      </w:pPr>
      <w:r>
        <w:rPr>
          <w:rFonts w:eastAsia="Times New Roman"/>
          <w:b/>
          <w:bCs/>
          <w:color w:val="000000"/>
          <w:sz w:val="20"/>
          <w:szCs w:val="20"/>
        </w:rPr>
        <w:t>ITEM 8.    Financial Statements and Supplementary Data</w:t>
      </w:r>
    </w:p>
    <w:p w:rsidR="00000000" w:rsidRDefault="0061405A">
      <w:pPr>
        <w:ind w:hanging="990"/>
        <w:divId w:val="1357542162"/>
        <w:rPr>
          <w:rFonts w:eastAsia="Times New Roman"/>
        </w:rPr>
      </w:pPr>
    </w:p>
    <w:p w:rsidR="00000000" w:rsidRDefault="0061405A">
      <w:pPr>
        <w:jc w:val="center"/>
        <w:divId w:val="551117114"/>
        <w:rPr>
          <w:rFonts w:eastAsia="Times New Roman"/>
        </w:rPr>
      </w:pPr>
      <w:r>
        <w:rPr>
          <w:rFonts w:eastAsia="Times New Roman"/>
          <w:b/>
          <w:bCs/>
          <w:color w:val="000000"/>
          <w:sz w:val="20"/>
          <w:szCs w:val="20"/>
        </w:rPr>
        <w:t>Noodles &amp; Company</w:t>
      </w:r>
    </w:p>
    <w:p w:rsidR="00000000" w:rsidRDefault="0061405A">
      <w:pPr>
        <w:jc w:val="center"/>
        <w:divId w:val="516583014"/>
        <w:rPr>
          <w:rFonts w:eastAsia="Times New Roman"/>
        </w:rPr>
      </w:pPr>
      <w:r>
        <w:rPr>
          <w:rFonts w:eastAsia="Times New Roman"/>
          <w:b/>
          <w:bCs/>
          <w:color w:val="000000"/>
          <w:sz w:val="20"/>
          <w:szCs w:val="20"/>
        </w:rPr>
        <w:t>INDEX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7593"/>
        <w:gridCol w:w="36"/>
        <w:gridCol w:w="69"/>
        <w:gridCol w:w="503"/>
        <w:gridCol w:w="36"/>
      </w:tblGrid>
      <w:tr w:rsidR="00000000">
        <w:trPr>
          <w:divId w:val="1198933142"/>
        </w:trPr>
        <w:tc>
          <w:tcPr>
            <w:tcW w:w="50" w:type="pct"/>
            <w:vAlign w:val="center"/>
            <w:hideMark/>
          </w:tcPr>
          <w:p w:rsidR="00000000" w:rsidRDefault="0061405A">
            <w:pPr>
              <w:jc w:val="center"/>
              <w:rPr>
                <w:rFonts w:eastAsia="Times New Roman"/>
              </w:rPr>
            </w:pPr>
          </w:p>
        </w:tc>
        <w:tc>
          <w:tcPr>
            <w:tcW w:w="4578"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311"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1198933142"/>
        </w:trPr>
        <w:tc>
          <w:tcPr>
            <w:tcW w:w="0" w:type="auto"/>
            <w:gridSpan w:val="3"/>
            <w:tcMar>
              <w:top w:w="30" w:type="dxa"/>
              <w:left w:w="20" w:type="dxa"/>
              <w:bottom w:w="30" w:type="dxa"/>
              <w:right w:w="20" w:type="dxa"/>
            </w:tcMar>
            <w:hideMark/>
          </w:tcPr>
          <w:p w:rsidR="00000000" w:rsidRDefault="0061405A">
            <w:pPr>
              <w:rPr>
                <w:rFonts w:eastAsia="Times New Roman"/>
              </w:rPr>
            </w:pPr>
            <w:r>
              <w:rPr>
                <w:rFonts w:eastAsia="Times New Roman"/>
                <w:b/>
                <w:bCs/>
                <w:color w:val="000000"/>
                <w:sz w:val="20"/>
                <w:szCs w:val="20"/>
              </w:rPr>
              <w:t>Consolida</w:t>
            </w:r>
            <w:r>
              <w:rPr>
                <w:rFonts w:eastAsia="Times New Roman"/>
                <w:b/>
                <w:bCs/>
                <w:color w:val="000000"/>
                <w:sz w:val="20"/>
                <w:szCs w:val="20"/>
              </w:rPr>
              <w:t>ted Financial Statements</w:t>
            </w:r>
          </w:p>
        </w:tc>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 </w:t>
            </w:r>
          </w:p>
        </w:tc>
      </w:tr>
      <w:tr w:rsidR="00000000">
        <w:trPr>
          <w:divId w:val="1198933142"/>
        </w:trPr>
        <w:tc>
          <w:tcPr>
            <w:tcW w:w="0" w:type="auto"/>
            <w:gridSpan w:val="3"/>
            <w:tcMar>
              <w:top w:w="30" w:type="dxa"/>
              <w:left w:w="20" w:type="dxa"/>
              <w:bottom w:w="30" w:type="dxa"/>
              <w:right w:w="20" w:type="dxa"/>
            </w:tcMar>
            <w:hideMark/>
          </w:tcPr>
          <w:p w:rsidR="00000000" w:rsidRDefault="0061405A">
            <w:pPr>
              <w:divId w:val="2054620510"/>
              <w:rPr>
                <w:rFonts w:eastAsia="Times New Roman"/>
              </w:rPr>
            </w:pPr>
            <w:hyperlink w:anchor="i8677812f4896441ea668decd267056f9_64" w:history="1">
              <w:r>
                <w:rPr>
                  <w:rStyle w:val="a3"/>
                  <w:rFonts w:eastAsia="Times New Roman"/>
                  <w:sz w:val="20"/>
                  <w:szCs w:val="20"/>
                </w:rPr>
                <w:t xml:space="preserve">Consolidated Balance Sheets as of December </w:t>
              </w:r>
            </w:hyperlink>
            <w:hyperlink w:anchor="i8677812f4896441ea668decd267056f9_64" w:history="1">
              <w:r>
                <w:rPr>
                  <w:rStyle w:val="a3"/>
                  <w:rFonts w:eastAsia="Times New Roman"/>
                  <w:sz w:val="20"/>
                  <w:szCs w:val="20"/>
                </w:rPr>
                <w:t>29</w:t>
              </w:r>
            </w:hyperlink>
            <w:hyperlink w:anchor="i8677812f4896441ea668decd267056f9_64" w:history="1">
              <w:r>
                <w:rPr>
                  <w:rStyle w:val="a3"/>
                  <w:rFonts w:eastAsia="Times New Roman"/>
                  <w:sz w:val="20"/>
                  <w:szCs w:val="20"/>
                </w:rPr>
                <w:t>, 20</w:t>
              </w:r>
            </w:hyperlink>
            <w:hyperlink w:anchor="i8677812f4896441ea668decd267056f9_64" w:history="1">
              <w:r>
                <w:rPr>
                  <w:rStyle w:val="a3"/>
                  <w:rFonts w:eastAsia="Times New Roman"/>
                  <w:sz w:val="20"/>
                  <w:szCs w:val="20"/>
                </w:rPr>
                <w:t>20</w:t>
              </w:r>
            </w:hyperlink>
            <w:hyperlink w:anchor="i8677812f4896441ea668decd267056f9_64" w:history="1">
              <w:r>
                <w:rPr>
                  <w:rStyle w:val="a3"/>
                  <w:rFonts w:eastAsia="Times New Roman"/>
                  <w:sz w:val="20"/>
                  <w:szCs w:val="20"/>
                </w:rPr>
                <w:t xml:space="preserve"> and </w:t>
              </w:r>
            </w:hyperlink>
            <w:hyperlink w:anchor="i8677812f4896441ea668decd267056f9_64" w:history="1">
              <w:r>
                <w:rPr>
                  <w:rStyle w:val="a3"/>
                  <w:rFonts w:eastAsia="Times New Roman"/>
                  <w:sz w:val="20"/>
                  <w:szCs w:val="20"/>
                </w:rPr>
                <w:t xml:space="preserve">December </w:t>
              </w:r>
              <w:r>
                <w:rPr>
                  <w:rStyle w:val="a3"/>
                  <w:rFonts w:eastAsia="Times New Roman"/>
                  <w:sz w:val="20"/>
                  <w:szCs w:val="20"/>
                </w:rPr>
                <w:t>3</w:t>
              </w:r>
            </w:hyperlink>
            <w:hyperlink w:anchor="i8677812f4896441ea668decd267056f9_64" w:history="1">
              <w:r>
                <w:rPr>
                  <w:rStyle w:val="a3"/>
                  <w:rFonts w:eastAsia="Times New Roman"/>
                  <w:sz w:val="20"/>
                  <w:szCs w:val="20"/>
                </w:rPr>
                <w:t>1, 2019</w:t>
              </w:r>
            </w:hyperlink>
          </w:p>
        </w:tc>
        <w:tc>
          <w:tcPr>
            <w:tcW w:w="0" w:type="auto"/>
            <w:gridSpan w:val="3"/>
            <w:tcMar>
              <w:top w:w="30" w:type="dxa"/>
              <w:left w:w="20" w:type="dxa"/>
              <w:bottom w:w="30" w:type="dxa"/>
              <w:right w:w="20" w:type="dxa"/>
            </w:tcMar>
            <w:hideMark/>
          </w:tcPr>
          <w:p w:rsidR="00000000" w:rsidRDefault="0061405A">
            <w:pPr>
              <w:jc w:val="right"/>
              <w:rPr>
                <w:rFonts w:eastAsia="Times New Roman"/>
              </w:rPr>
            </w:pPr>
            <w:hyperlink w:anchor="i8677812f4896441ea668decd267056f9_64" w:history="1">
              <w:r>
                <w:rPr>
                  <w:rStyle w:val="a3"/>
                  <w:rFonts w:eastAsia="Times New Roman"/>
                  <w:sz w:val="20"/>
                  <w:szCs w:val="20"/>
                </w:rPr>
                <w:t>48</w:t>
              </w:r>
            </w:hyperlink>
          </w:p>
        </w:tc>
      </w:tr>
      <w:tr w:rsidR="00000000">
        <w:trPr>
          <w:divId w:val="1198933142"/>
        </w:trPr>
        <w:tc>
          <w:tcPr>
            <w:tcW w:w="0" w:type="auto"/>
            <w:gridSpan w:val="3"/>
            <w:tcMar>
              <w:top w:w="30" w:type="dxa"/>
              <w:left w:w="20" w:type="dxa"/>
              <w:bottom w:w="30" w:type="dxa"/>
              <w:right w:w="20" w:type="dxa"/>
            </w:tcMar>
            <w:hideMark/>
          </w:tcPr>
          <w:p w:rsidR="00000000" w:rsidRDefault="0061405A">
            <w:pPr>
              <w:divId w:val="1749575708"/>
              <w:rPr>
                <w:rFonts w:eastAsia="Times New Roman"/>
              </w:rPr>
            </w:pPr>
            <w:hyperlink w:anchor="i8677812f4896441ea668decd267056f9_70" w:history="1">
              <w:r>
                <w:rPr>
                  <w:rStyle w:val="a3"/>
                  <w:rFonts w:eastAsia="Times New Roman"/>
                  <w:sz w:val="20"/>
                  <w:szCs w:val="20"/>
                </w:rPr>
                <w:t xml:space="preserve">Consolidated Statements of Operations for the years ended </w:t>
              </w:r>
            </w:hyperlink>
            <w:hyperlink w:anchor="i8677812f4896441ea668decd267056f9_70" w:history="1">
              <w:r>
                <w:rPr>
                  <w:rStyle w:val="a3"/>
                  <w:rFonts w:eastAsia="Times New Roman"/>
                  <w:sz w:val="20"/>
                  <w:szCs w:val="20"/>
                </w:rPr>
                <w:t xml:space="preserve">December 29, 2020, </w:t>
              </w:r>
            </w:hyperlink>
            <w:hyperlink w:anchor="i8677812f4896441ea668decd267056f9_70" w:history="1">
              <w:r>
                <w:rPr>
                  <w:rStyle w:val="a3"/>
                  <w:rFonts w:eastAsia="Times New Roman"/>
                  <w:sz w:val="20"/>
                  <w:szCs w:val="20"/>
                </w:rPr>
                <w:t>December 31, 2019</w:t>
              </w:r>
            </w:hyperlink>
            <w:hyperlink w:anchor="i8677812f4896441ea668decd267056f9_70" w:history="1">
              <w:r>
                <w:rPr>
                  <w:rStyle w:val="a3"/>
                  <w:rFonts w:eastAsia="Times New Roman"/>
                  <w:sz w:val="20"/>
                  <w:szCs w:val="20"/>
                </w:rPr>
                <w:t xml:space="preserve"> and </w:t>
              </w:r>
            </w:hyperlink>
            <w:hyperlink w:anchor="i8677812f4896441ea668decd267056f9_70" w:history="1">
              <w:r>
                <w:rPr>
                  <w:rStyle w:val="a3"/>
                  <w:rFonts w:eastAsia="Times New Roman"/>
                  <w:sz w:val="20"/>
                  <w:szCs w:val="20"/>
                </w:rPr>
                <w:t>January 1, 2019</w:t>
              </w:r>
            </w:hyperlink>
          </w:p>
        </w:tc>
        <w:tc>
          <w:tcPr>
            <w:tcW w:w="0" w:type="auto"/>
            <w:gridSpan w:val="3"/>
            <w:tcMar>
              <w:top w:w="30" w:type="dxa"/>
              <w:left w:w="20" w:type="dxa"/>
              <w:bottom w:w="30" w:type="dxa"/>
              <w:right w:w="20" w:type="dxa"/>
            </w:tcMar>
            <w:hideMark/>
          </w:tcPr>
          <w:p w:rsidR="00000000" w:rsidRDefault="0061405A">
            <w:pPr>
              <w:jc w:val="right"/>
              <w:rPr>
                <w:rFonts w:eastAsia="Times New Roman"/>
              </w:rPr>
            </w:pPr>
            <w:hyperlink w:anchor="i8677812f4896441ea668decd267056f9_70" w:history="1">
              <w:r>
                <w:rPr>
                  <w:rStyle w:val="a3"/>
                  <w:rFonts w:eastAsia="Times New Roman"/>
                  <w:sz w:val="20"/>
                  <w:szCs w:val="20"/>
                </w:rPr>
                <w:t>49</w:t>
              </w:r>
            </w:hyperlink>
          </w:p>
        </w:tc>
      </w:tr>
      <w:tr w:rsidR="00000000">
        <w:trPr>
          <w:divId w:val="1198933142"/>
        </w:trPr>
        <w:tc>
          <w:tcPr>
            <w:tcW w:w="0" w:type="auto"/>
            <w:gridSpan w:val="3"/>
            <w:tcMar>
              <w:top w:w="30" w:type="dxa"/>
              <w:left w:w="20" w:type="dxa"/>
              <w:bottom w:w="30" w:type="dxa"/>
              <w:right w:w="20" w:type="dxa"/>
            </w:tcMar>
            <w:hideMark/>
          </w:tcPr>
          <w:p w:rsidR="00000000" w:rsidRDefault="0061405A">
            <w:pPr>
              <w:divId w:val="640306909"/>
              <w:rPr>
                <w:rFonts w:eastAsia="Times New Roman"/>
              </w:rPr>
            </w:pPr>
            <w:hyperlink w:anchor="i8677812f4896441ea668decd267056f9_76" w:history="1">
              <w:r>
                <w:rPr>
                  <w:rStyle w:val="a3"/>
                  <w:rFonts w:eastAsia="Times New Roman"/>
                  <w:sz w:val="20"/>
                  <w:szCs w:val="20"/>
                </w:rPr>
                <w:t>Consolidated Statements of Stockhol</w:t>
              </w:r>
              <w:r>
                <w:rPr>
                  <w:rStyle w:val="a3"/>
                  <w:rFonts w:eastAsia="Times New Roman"/>
                  <w:sz w:val="20"/>
                  <w:szCs w:val="20"/>
                </w:rPr>
                <w:t xml:space="preserve">ders’ Equity for the years ended </w:t>
              </w:r>
            </w:hyperlink>
            <w:hyperlink w:anchor="i8677812f4896441ea668decd267056f9_76" w:history="1">
              <w:r>
                <w:rPr>
                  <w:rStyle w:val="a3"/>
                  <w:rFonts w:eastAsia="Times New Roman"/>
                  <w:sz w:val="20"/>
                  <w:szCs w:val="20"/>
                </w:rPr>
                <w:t>December 29, 20</w:t>
              </w:r>
            </w:hyperlink>
            <w:hyperlink w:anchor="i8677812f4896441ea668decd267056f9_76" w:history="1">
              <w:r>
                <w:rPr>
                  <w:rStyle w:val="a3"/>
                  <w:rFonts w:eastAsia="Times New Roman"/>
                  <w:sz w:val="20"/>
                  <w:szCs w:val="20"/>
                </w:rPr>
                <w:t>20</w:t>
              </w:r>
            </w:hyperlink>
            <w:hyperlink w:anchor="i8677812f4896441ea668decd267056f9_76" w:history="1">
              <w:r>
                <w:rPr>
                  <w:rStyle w:val="a3"/>
                  <w:rFonts w:eastAsia="Times New Roman"/>
                  <w:sz w:val="20"/>
                  <w:szCs w:val="20"/>
                </w:rPr>
                <w:t xml:space="preserve">, </w:t>
              </w:r>
            </w:hyperlink>
            <w:hyperlink w:anchor="i8677812f4896441ea668decd267056f9_76" w:history="1">
              <w:r>
                <w:rPr>
                  <w:rStyle w:val="a3"/>
                  <w:rFonts w:eastAsia="Times New Roman"/>
                  <w:sz w:val="20"/>
                  <w:szCs w:val="20"/>
                </w:rPr>
                <w:t>December 31, 2019</w:t>
              </w:r>
            </w:hyperlink>
            <w:hyperlink w:anchor="i8677812f4896441ea668decd267056f9_76" w:history="1">
              <w:r>
                <w:rPr>
                  <w:rStyle w:val="a3"/>
                  <w:rFonts w:eastAsia="Times New Roman"/>
                  <w:sz w:val="20"/>
                  <w:szCs w:val="20"/>
                </w:rPr>
                <w:t xml:space="preserve"> and</w:t>
              </w:r>
            </w:hyperlink>
            <w:hyperlink w:anchor="i8677812f4896441ea668decd267056f9_76" w:history="1">
              <w:r>
                <w:rPr>
                  <w:rStyle w:val="a3"/>
                  <w:rFonts w:eastAsia="Times New Roman"/>
                  <w:sz w:val="20"/>
                  <w:szCs w:val="20"/>
                </w:rPr>
                <w:t xml:space="preserve"> January 1, 2019</w:t>
              </w:r>
            </w:hyperlink>
          </w:p>
        </w:tc>
        <w:tc>
          <w:tcPr>
            <w:tcW w:w="0" w:type="auto"/>
            <w:gridSpan w:val="3"/>
            <w:tcMar>
              <w:top w:w="30" w:type="dxa"/>
              <w:left w:w="20" w:type="dxa"/>
              <w:bottom w:w="30" w:type="dxa"/>
              <w:right w:w="20" w:type="dxa"/>
            </w:tcMar>
            <w:hideMark/>
          </w:tcPr>
          <w:p w:rsidR="00000000" w:rsidRDefault="0061405A">
            <w:pPr>
              <w:jc w:val="right"/>
              <w:rPr>
                <w:rFonts w:eastAsia="Times New Roman"/>
              </w:rPr>
            </w:pPr>
            <w:hyperlink w:anchor="i8677812f4896441ea668decd267056f9_76" w:history="1">
              <w:r>
                <w:rPr>
                  <w:rStyle w:val="a3"/>
                  <w:rFonts w:eastAsia="Times New Roman"/>
                  <w:sz w:val="20"/>
                  <w:szCs w:val="20"/>
                </w:rPr>
                <w:t>50</w:t>
              </w:r>
            </w:hyperlink>
          </w:p>
        </w:tc>
      </w:tr>
      <w:tr w:rsidR="00000000">
        <w:trPr>
          <w:divId w:val="1198933142"/>
        </w:trPr>
        <w:tc>
          <w:tcPr>
            <w:tcW w:w="0" w:type="auto"/>
            <w:gridSpan w:val="3"/>
            <w:tcMar>
              <w:top w:w="30" w:type="dxa"/>
              <w:left w:w="20" w:type="dxa"/>
              <w:bottom w:w="30" w:type="dxa"/>
              <w:right w:w="20" w:type="dxa"/>
            </w:tcMar>
            <w:hideMark/>
          </w:tcPr>
          <w:p w:rsidR="00000000" w:rsidRDefault="0061405A">
            <w:pPr>
              <w:divId w:val="274295956"/>
              <w:rPr>
                <w:rFonts w:eastAsia="Times New Roman"/>
              </w:rPr>
            </w:pPr>
            <w:hyperlink w:anchor="i8677812f4896441ea668decd267056f9_79" w:history="1">
              <w:r>
                <w:rPr>
                  <w:rStyle w:val="a3"/>
                  <w:rFonts w:eastAsia="Times New Roman"/>
                  <w:sz w:val="20"/>
                  <w:szCs w:val="20"/>
                </w:rPr>
                <w:t xml:space="preserve">Consolidated Statements of Cash Flows for the years ended </w:t>
              </w:r>
            </w:hyperlink>
            <w:hyperlink w:anchor="i8677812f4896441ea668decd267056f9_79" w:history="1">
              <w:r>
                <w:rPr>
                  <w:rStyle w:val="a3"/>
                  <w:rFonts w:eastAsia="Times New Roman"/>
                  <w:sz w:val="20"/>
                  <w:szCs w:val="20"/>
                </w:rPr>
                <w:t xml:space="preserve">December 29, 2020, </w:t>
              </w:r>
            </w:hyperlink>
            <w:hyperlink w:anchor="i8677812f4896441ea668decd267056f9_79" w:history="1">
              <w:r>
                <w:rPr>
                  <w:rStyle w:val="a3"/>
                  <w:rFonts w:eastAsia="Times New Roman"/>
                  <w:sz w:val="20"/>
                  <w:szCs w:val="20"/>
                </w:rPr>
                <w:t>December 31, 2019</w:t>
              </w:r>
            </w:hyperlink>
            <w:hyperlink w:anchor="i8677812f4896441ea668decd267056f9_79" w:history="1">
              <w:r>
                <w:rPr>
                  <w:rStyle w:val="a3"/>
                  <w:rFonts w:eastAsia="Times New Roman"/>
                  <w:sz w:val="20"/>
                  <w:szCs w:val="20"/>
                </w:rPr>
                <w:t xml:space="preserve"> and</w:t>
              </w:r>
            </w:hyperlink>
            <w:hyperlink w:anchor="i8677812f4896441ea668decd267056f9_79" w:history="1">
              <w:r>
                <w:rPr>
                  <w:rStyle w:val="a3"/>
                  <w:rFonts w:eastAsia="Times New Roman"/>
                  <w:sz w:val="20"/>
                  <w:szCs w:val="20"/>
                </w:rPr>
                <w:t xml:space="preserve"> January 1, 2019</w:t>
              </w:r>
            </w:hyperlink>
          </w:p>
        </w:tc>
        <w:tc>
          <w:tcPr>
            <w:tcW w:w="0" w:type="auto"/>
            <w:gridSpan w:val="3"/>
            <w:tcMar>
              <w:top w:w="30" w:type="dxa"/>
              <w:left w:w="20" w:type="dxa"/>
              <w:bottom w:w="30" w:type="dxa"/>
              <w:right w:w="20" w:type="dxa"/>
            </w:tcMar>
            <w:hideMark/>
          </w:tcPr>
          <w:p w:rsidR="00000000" w:rsidRDefault="0061405A">
            <w:pPr>
              <w:jc w:val="right"/>
              <w:rPr>
                <w:rFonts w:eastAsia="Times New Roman"/>
              </w:rPr>
            </w:pPr>
            <w:hyperlink w:anchor="i8677812f4896441ea668decd267056f9_79" w:history="1">
              <w:r>
                <w:rPr>
                  <w:rStyle w:val="a3"/>
                  <w:rFonts w:eastAsia="Times New Roman"/>
                  <w:sz w:val="20"/>
                  <w:szCs w:val="20"/>
                </w:rPr>
                <w:t>51</w:t>
              </w:r>
            </w:hyperlink>
          </w:p>
        </w:tc>
      </w:tr>
      <w:tr w:rsidR="00000000">
        <w:trPr>
          <w:divId w:val="1198933142"/>
        </w:trPr>
        <w:tc>
          <w:tcPr>
            <w:tcW w:w="0" w:type="auto"/>
            <w:gridSpan w:val="3"/>
            <w:tcMar>
              <w:top w:w="30" w:type="dxa"/>
              <w:left w:w="20" w:type="dxa"/>
              <w:bottom w:w="30" w:type="dxa"/>
              <w:right w:w="20" w:type="dxa"/>
            </w:tcMar>
            <w:hideMark/>
          </w:tcPr>
          <w:p w:rsidR="00000000" w:rsidRDefault="0061405A">
            <w:pPr>
              <w:divId w:val="490490724"/>
              <w:rPr>
                <w:rFonts w:eastAsia="Times New Roman"/>
              </w:rPr>
            </w:pPr>
            <w:hyperlink w:anchor="i8677812f4896441ea668decd267056f9_82" w:history="1">
              <w:r>
                <w:rPr>
                  <w:rStyle w:val="a3"/>
                  <w:rFonts w:eastAsia="Times New Roman"/>
                  <w:sz w:val="20"/>
                  <w:szCs w:val="20"/>
                </w:rPr>
                <w:t>Notes to Consolidated Financial Statements</w:t>
              </w:r>
            </w:hyperlink>
          </w:p>
        </w:tc>
        <w:tc>
          <w:tcPr>
            <w:tcW w:w="0" w:type="auto"/>
            <w:gridSpan w:val="3"/>
            <w:tcMar>
              <w:top w:w="30" w:type="dxa"/>
              <w:left w:w="20" w:type="dxa"/>
              <w:bottom w:w="30" w:type="dxa"/>
              <w:right w:w="20" w:type="dxa"/>
            </w:tcMar>
            <w:hideMark/>
          </w:tcPr>
          <w:p w:rsidR="00000000" w:rsidRDefault="0061405A">
            <w:pPr>
              <w:jc w:val="right"/>
              <w:rPr>
                <w:rFonts w:eastAsia="Times New Roman"/>
              </w:rPr>
            </w:pPr>
            <w:hyperlink w:anchor="i8677812f4896441ea668decd267056f9_82" w:history="1">
              <w:r>
                <w:rPr>
                  <w:rStyle w:val="a3"/>
                  <w:rFonts w:eastAsia="Times New Roman"/>
                  <w:sz w:val="20"/>
                  <w:szCs w:val="20"/>
                </w:rPr>
                <w:t>52</w:t>
              </w:r>
            </w:hyperlink>
          </w:p>
        </w:tc>
      </w:tr>
      <w:tr w:rsidR="00000000">
        <w:trPr>
          <w:divId w:val="1198933142"/>
        </w:trPr>
        <w:tc>
          <w:tcPr>
            <w:tcW w:w="0" w:type="auto"/>
            <w:gridSpan w:val="3"/>
            <w:tcMar>
              <w:top w:w="30" w:type="dxa"/>
              <w:left w:w="20" w:type="dxa"/>
              <w:bottom w:w="30" w:type="dxa"/>
              <w:right w:w="20" w:type="dxa"/>
            </w:tcMar>
            <w:hideMark/>
          </w:tcPr>
          <w:p w:rsidR="00000000" w:rsidRDefault="0061405A">
            <w:pPr>
              <w:divId w:val="1640498691"/>
              <w:rPr>
                <w:rFonts w:eastAsia="Times New Roman"/>
              </w:rPr>
            </w:pPr>
            <w:hyperlink w:anchor="i8677812f4896441ea668decd267056f9_166" w:history="1">
              <w:r>
                <w:rPr>
                  <w:rStyle w:val="a3"/>
                  <w:rFonts w:eastAsia="Times New Roman"/>
                  <w:sz w:val="20"/>
                  <w:szCs w:val="20"/>
                </w:rPr>
                <w:t>R</w:t>
              </w:r>
              <w:r>
                <w:rPr>
                  <w:rStyle w:val="a3"/>
                  <w:rFonts w:eastAsia="Times New Roman"/>
                  <w:sz w:val="20"/>
                  <w:szCs w:val="20"/>
                </w:rPr>
                <w:t>eport of Independent Registered Public Accounting Firm</w:t>
              </w:r>
            </w:hyperlink>
          </w:p>
        </w:tc>
        <w:tc>
          <w:tcPr>
            <w:tcW w:w="0" w:type="auto"/>
            <w:gridSpan w:val="3"/>
            <w:tcMar>
              <w:top w:w="30" w:type="dxa"/>
              <w:left w:w="20" w:type="dxa"/>
              <w:bottom w:w="30" w:type="dxa"/>
              <w:right w:w="20" w:type="dxa"/>
            </w:tcMar>
            <w:hideMark/>
          </w:tcPr>
          <w:p w:rsidR="00000000" w:rsidRDefault="0061405A">
            <w:pPr>
              <w:jc w:val="right"/>
              <w:rPr>
                <w:rFonts w:eastAsia="Times New Roman"/>
              </w:rPr>
            </w:pPr>
            <w:hyperlink w:anchor="i8677812f4896441ea668decd267056f9_166" w:history="1">
              <w:r>
                <w:rPr>
                  <w:rStyle w:val="a3"/>
                  <w:rFonts w:eastAsia="Times New Roman"/>
                  <w:sz w:val="20"/>
                  <w:szCs w:val="20"/>
                </w:rPr>
                <w:t>73</w:t>
              </w:r>
            </w:hyperlink>
          </w:p>
        </w:tc>
      </w:tr>
    </w:tbl>
    <w:p w:rsidR="00000000" w:rsidRDefault="0061405A">
      <w:pPr>
        <w:divId w:val="1338845309"/>
        <w:rPr>
          <w:rFonts w:eastAsia="Times New Roman"/>
        </w:rPr>
      </w:pPr>
    </w:p>
    <w:p w:rsidR="00000000" w:rsidRDefault="0061405A">
      <w:pPr>
        <w:ind w:firstLine="360"/>
        <w:jc w:val="center"/>
        <w:divId w:val="1610627567"/>
        <w:rPr>
          <w:rFonts w:eastAsia="Times New Roman"/>
        </w:rPr>
      </w:pPr>
      <w:r>
        <w:rPr>
          <w:rFonts w:eastAsia="Times New Roman"/>
          <w:i/>
          <w:iCs/>
          <w:color w:val="000000"/>
          <w:sz w:val="20"/>
          <w:szCs w:val="20"/>
        </w:rPr>
        <w:t>See accompanying notes to consolidated financial statements.</w:t>
      </w:r>
    </w:p>
    <w:p w:rsidR="00000000" w:rsidRDefault="0061405A">
      <w:pPr>
        <w:jc w:val="center"/>
        <w:divId w:val="224341753"/>
        <w:rPr>
          <w:rFonts w:eastAsia="Times New Roman"/>
        </w:rPr>
      </w:pPr>
      <w:r>
        <w:rPr>
          <w:rFonts w:eastAsia="Times New Roman"/>
          <w:color w:val="000000"/>
          <w:sz w:val="20"/>
          <w:szCs w:val="20"/>
        </w:rPr>
        <w:t>47</w:t>
      </w:r>
    </w:p>
    <w:p w:rsidR="00000000" w:rsidRDefault="0061405A">
      <w:pPr>
        <w:rPr>
          <w:rFonts w:eastAsia="Times New Roman"/>
        </w:rPr>
      </w:pPr>
      <w:r>
        <w:rPr>
          <w:rFonts w:eastAsia="Times New Roman"/>
        </w:rPr>
        <w:pict>
          <v:rect id="_x0000_i1074" style="width:0;height:1.5pt" o:hralign="center" o:hrstd="t" o:hr="t" fillcolor="#a0a0a0" stroked="f"/>
        </w:pict>
      </w:r>
    </w:p>
    <w:p w:rsidR="00000000" w:rsidRDefault="0061405A">
      <w:pPr>
        <w:divId w:val="778715589"/>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center"/>
        <w:divId w:val="1434207248"/>
        <w:rPr>
          <w:rFonts w:eastAsia="Times New Roman"/>
        </w:rPr>
      </w:pPr>
      <w:r>
        <w:rPr>
          <w:rFonts w:eastAsia="Times New Roman"/>
          <w:b/>
          <w:bCs/>
          <w:color w:val="000000"/>
          <w:sz w:val="20"/>
          <w:szCs w:val="20"/>
        </w:rPr>
        <w:t>Noodles &amp; Company</w:t>
      </w:r>
    </w:p>
    <w:p w:rsidR="00000000" w:rsidRDefault="0061405A">
      <w:pPr>
        <w:jc w:val="center"/>
        <w:divId w:val="1434207248"/>
        <w:rPr>
          <w:rFonts w:eastAsia="Times New Roman"/>
        </w:rPr>
      </w:pPr>
      <w:r>
        <w:rPr>
          <w:rFonts w:eastAsia="Times New Roman"/>
          <w:b/>
          <w:bCs/>
          <w:color w:val="000000"/>
          <w:sz w:val="20"/>
          <w:szCs w:val="20"/>
        </w:rPr>
        <w:t>Consolidated Balance Sheets</w:t>
      </w:r>
    </w:p>
    <w:p w:rsidR="00000000" w:rsidRDefault="0061405A">
      <w:pPr>
        <w:jc w:val="center"/>
        <w:divId w:val="1293947954"/>
        <w:rPr>
          <w:rFonts w:eastAsia="Times New Roman"/>
        </w:rPr>
      </w:pPr>
      <w:r>
        <w:rPr>
          <w:rFonts w:eastAsia="Times New Roman"/>
          <w:b/>
          <w:bCs/>
          <w:color w:val="000000"/>
          <w:sz w:val="20"/>
          <w:szCs w:val="20"/>
        </w:rPr>
        <w:t>(in thousands, except share data)</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633"/>
        <w:gridCol w:w="38"/>
        <w:gridCol w:w="36"/>
        <w:gridCol w:w="36"/>
        <w:gridCol w:w="36"/>
        <w:gridCol w:w="111"/>
        <w:gridCol w:w="1023"/>
        <w:gridCol w:w="36"/>
        <w:gridCol w:w="36"/>
        <w:gridCol w:w="36"/>
        <w:gridCol w:w="36"/>
        <w:gridCol w:w="111"/>
        <w:gridCol w:w="1061"/>
        <w:gridCol w:w="36"/>
      </w:tblGrid>
      <w:tr w:rsidR="00000000">
        <w:trPr>
          <w:divId w:val="2044548165"/>
          <w:jc w:val="center"/>
        </w:trPr>
        <w:tc>
          <w:tcPr>
            <w:tcW w:w="50" w:type="pct"/>
            <w:vAlign w:val="center"/>
            <w:hideMark/>
          </w:tcPr>
          <w:p w:rsidR="00000000" w:rsidRDefault="0061405A">
            <w:pPr>
              <w:jc w:val="center"/>
              <w:rPr>
                <w:rFonts w:eastAsia="Times New Roman"/>
              </w:rPr>
            </w:pPr>
          </w:p>
        </w:tc>
        <w:tc>
          <w:tcPr>
            <w:tcW w:w="3414"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663"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68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2044548165"/>
          <w:jc w:val="center"/>
        </w:trPr>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8"/>
                <w:szCs w:val="18"/>
              </w:rPr>
              <w:t>December 29,</w:t>
            </w:r>
            <w:r>
              <w:rPr>
                <w:rFonts w:eastAsia="Times New Roman"/>
                <w:b/>
                <w:bCs/>
                <w:color w:val="000000"/>
                <w:sz w:val="18"/>
                <w:szCs w:val="18"/>
              </w:rPr>
              <w:br/>
              <w:t>2020</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8"/>
                <w:szCs w:val="18"/>
              </w:rPr>
              <w:t>December 31,</w:t>
            </w:r>
            <w:r>
              <w:rPr>
                <w:rFonts w:eastAsia="Times New Roman"/>
                <w:b/>
                <w:bCs/>
                <w:color w:val="000000"/>
                <w:sz w:val="18"/>
                <w:szCs w:val="18"/>
              </w:rPr>
              <w:br/>
              <w:t>2019</w:t>
            </w:r>
          </w:p>
        </w:tc>
      </w:tr>
      <w:tr w:rsidR="00000000">
        <w:trPr>
          <w:divId w:val="2044548165"/>
          <w:jc w:val="center"/>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18"/>
                <w:szCs w:val="18"/>
              </w:rPr>
              <w:t>Assets</w:t>
            </w:r>
          </w:p>
        </w:tc>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 </w:t>
            </w:r>
          </w:p>
        </w:tc>
      </w:tr>
      <w:tr w:rsidR="00000000">
        <w:trPr>
          <w:divId w:val="2044548165"/>
          <w:jc w:val="center"/>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Current assets:</w:t>
            </w:r>
          </w:p>
        </w:tc>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 </w:t>
            </w:r>
          </w:p>
        </w:tc>
      </w:tr>
      <w:tr w:rsidR="00000000">
        <w:trPr>
          <w:divId w:val="2044548165"/>
          <w:jc w:val="center"/>
        </w:trPr>
        <w:tc>
          <w:tcPr>
            <w:tcW w:w="0" w:type="auto"/>
            <w:gridSpan w:val="3"/>
            <w:shd w:val="clear" w:color="auto" w:fill="CCEE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8"/>
                <w:szCs w:val="18"/>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7,840 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10,459 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44548165"/>
          <w:jc w:val="center"/>
        </w:trPr>
        <w:tc>
          <w:tcPr>
            <w:tcW w:w="0" w:type="auto"/>
            <w:gridSpan w:val="3"/>
            <w:shd w:val="clear" w:color="auto" w:fill="FFFF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8"/>
                <w:szCs w:val="18"/>
              </w:rPr>
              <w:t>Accounts receivable</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3,428 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3,503 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44548165"/>
          <w:jc w:val="center"/>
        </w:trPr>
        <w:tc>
          <w:tcPr>
            <w:tcW w:w="0" w:type="auto"/>
            <w:gridSpan w:val="3"/>
            <w:shd w:val="clear" w:color="auto" w:fill="CCEE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8"/>
                <w:szCs w:val="18"/>
              </w:rPr>
              <w:t>Inventories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9,643 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9,871 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44548165"/>
          <w:jc w:val="center"/>
        </w:trPr>
        <w:tc>
          <w:tcPr>
            <w:tcW w:w="0" w:type="auto"/>
            <w:gridSpan w:val="3"/>
            <w:shd w:val="clear" w:color="auto" w:fill="FFFF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8"/>
                <w:szCs w:val="18"/>
              </w:rPr>
              <w:t>Prepaid expenses and other assets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2,759 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5,386 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44548165"/>
          <w:jc w:val="center"/>
        </w:trPr>
        <w:tc>
          <w:tcPr>
            <w:tcW w:w="0" w:type="auto"/>
            <w:gridSpan w:val="3"/>
            <w:shd w:val="clear" w:color="auto" w:fill="CCEE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8"/>
                <w:szCs w:val="18"/>
              </w:rPr>
              <w:t>Income tax receivable</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44 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103 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44548165"/>
          <w:jc w:val="center"/>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Total current assets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23,714 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29,322 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44548165"/>
          <w:jc w:val="center"/>
        </w:trPr>
        <w:tc>
          <w:tcPr>
            <w:tcW w:w="0" w:type="auto"/>
            <w:gridSpan w:val="3"/>
            <w:shd w:val="clear" w:color="auto" w:fill="CCEE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8"/>
                <w:szCs w:val="18"/>
              </w:rPr>
              <w:t>Property and equipment, net</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122,917 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128,867 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44548165"/>
          <w:jc w:val="center"/>
        </w:trPr>
        <w:tc>
          <w:tcPr>
            <w:tcW w:w="0" w:type="auto"/>
            <w:gridSpan w:val="3"/>
            <w:shd w:val="clear" w:color="auto" w:fill="FFFF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8"/>
                <w:szCs w:val="18"/>
              </w:rPr>
              <w:t>Operating lease assets, net</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195,618 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209,717 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44548165"/>
          <w:jc w:val="center"/>
        </w:trPr>
        <w:tc>
          <w:tcPr>
            <w:tcW w:w="0" w:type="auto"/>
            <w:gridSpan w:val="3"/>
            <w:shd w:val="clear" w:color="auto" w:fill="CCEE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8"/>
                <w:szCs w:val="18"/>
              </w:rPr>
              <w:t>Goodwill</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7,154 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7,154 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44548165"/>
          <w:jc w:val="center"/>
        </w:trPr>
        <w:tc>
          <w:tcPr>
            <w:tcW w:w="0" w:type="auto"/>
            <w:gridSpan w:val="3"/>
            <w:shd w:val="clear" w:color="auto" w:fill="FFFF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8"/>
                <w:szCs w:val="18"/>
              </w:rPr>
              <w:t>Intangibles, net</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757 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883 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44548165"/>
          <w:jc w:val="center"/>
        </w:trPr>
        <w:tc>
          <w:tcPr>
            <w:tcW w:w="0" w:type="auto"/>
            <w:gridSpan w:val="3"/>
            <w:shd w:val="clear" w:color="auto" w:fill="CCEE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8"/>
                <w:szCs w:val="18"/>
              </w:rPr>
              <w:t>Other assets, net</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3,471 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2,576 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44548165"/>
          <w:jc w:val="center"/>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Total long-term assets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329,917 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349,197 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44548165"/>
          <w:jc w:val="center"/>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Total assets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353,631 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378,519 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44548165"/>
          <w:jc w:val="center"/>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18"/>
                <w:szCs w:val="18"/>
              </w:rPr>
              <w:t>Liabilities and Stockholders’ Equity</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 </w:t>
            </w:r>
          </w:p>
        </w:tc>
      </w:tr>
      <w:tr w:rsidR="00000000">
        <w:trPr>
          <w:divId w:val="2044548165"/>
          <w:jc w:val="center"/>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Current liabilities: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 </w:t>
            </w:r>
          </w:p>
        </w:tc>
      </w:tr>
      <w:tr w:rsidR="00000000">
        <w:trPr>
          <w:divId w:val="2044548165"/>
          <w:jc w:val="center"/>
        </w:trPr>
        <w:tc>
          <w:tcPr>
            <w:tcW w:w="0" w:type="auto"/>
            <w:gridSpan w:val="3"/>
            <w:shd w:val="clear" w:color="auto" w:fill="FFFF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8"/>
                <w:szCs w:val="18"/>
              </w:rPr>
              <w:t>Accounts payable</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6,402 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9,351 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44548165"/>
          <w:jc w:val="center"/>
        </w:trPr>
        <w:tc>
          <w:tcPr>
            <w:tcW w:w="0" w:type="auto"/>
            <w:gridSpan w:val="3"/>
            <w:shd w:val="clear" w:color="auto" w:fill="CCEE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8"/>
                <w:szCs w:val="18"/>
              </w:rPr>
              <w:t>Accrued payroll and benefits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12,876 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13,479 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44548165"/>
          <w:jc w:val="center"/>
        </w:trPr>
        <w:tc>
          <w:tcPr>
            <w:tcW w:w="0" w:type="auto"/>
            <w:gridSpan w:val="3"/>
            <w:shd w:val="clear" w:color="auto" w:fill="FFFF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8"/>
                <w:szCs w:val="18"/>
              </w:rPr>
              <w:t>Accrued expenses and other current liabilities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11,632 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11,679 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44548165"/>
          <w:jc w:val="center"/>
        </w:trPr>
        <w:tc>
          <w:tcPr>
            <w:tcW w:w="0" w:type="auto"/>
            <w:gridSpan w:val="3"/>
            <w:shd w:val="clear" w:color="auto" w:fill="CCEE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8"/>
                <w:szCs w:val="18"/>
              </w:rPr>
              <w:t>Current operating lease liabilities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26,094 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22,775 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44548165"/>
          <w:jc w:val="center"/>
        </w:trPr>
        <w:tc>
          <w:tcPr>
            <w:tcW w:w="0" w:type="auto"/>
            <w:gridSpan w:val="3"/>
            <w:shd w:val="clear" w:color="auto" w:fill="FFFF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8"/>
                <w:szCs w:val="18"/>
              </w:rPr>
              <w:t>Current portion of long-term debt</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1,125 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750 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44548165"/>
          <w:jc w:val="center"/>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Total current liabilities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58,129 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58,034 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44548165"/>
          <w:jc w:val="center"/>
        </w:trPr>
        <w:tc>
          <w:tcPr>
            <w:tcW w:w="0" w:type="auto"/>
            <w:gridSpan w:val="3"/>
            <w:shd w:val="clear" w:color="auto" w:fill="FFFF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8"/>
                <w:szCs w:val="18"/>
              </w:rPr>
              <w:t>Long-term debt, net</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40,949 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40,497 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44548165"/>
          <w:jc w:val="center"/>
        </w:trPr>
        <w:tc>
          <w:tcPr>
            <w:tcW w:w="0" w:type="auto"/>
            <w:gridSpan w:val="3"/>
            <w:shd w:val="clear" w:color="auto" w:fill="CCEE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8"/>
                <w:szCs w:val="18"/>
              </w:rPr>
              <w:t>Long-term operating lease liabilities, net</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210,454 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225,014 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44548165"/>
          <w:jc w:val="center"/>
        </w:trPr>
        <w:tc>
          <w:tcPr>
            <w:tcW w:w="0" w:type="auto"/>
            <w:gridSpan w:val="3"/>
            <w:shd w:val="clear" w:color="auto" w:fill="FFFF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8"/>
                <w:szCs w:val="18"/>
              </w:rPr>
              <w:t>Deferred tax liabilities, net</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240 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200 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44548165"/>
          <w:jc w:val="center"/>
        </w:trPr>
        <w:tc>
          <w:tcPr>
            <w:tcW w:w="0" w:type="auto"/>
            <w:gridSpan w:val="3"/>
            <w:shd w:val="clear" w:color="auto" w:fill="CCEE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8"/>
                <w:szCs w:val="18"/>
              </w:rPr>
              <w:t>Other long-term liabilities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14,160 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4,203 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44548165"/>
          <w:jc w:val="center"/>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323,932 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327,948 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44548165"/>
          <w:jc w:val="center"/>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Commitments and contingencies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2044548165"/>
          <w:jc w:val="center"/>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Stockholders’ equity:</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 </w:t>
            </w:r>
          </w:p>
        </w:tc>
      </w:tr>
      <w:tr w:rsidR="00000000">
        <w:trPr>
          <w:divId w:val="2044548165"/>
          <w:jc w:val="center"/>
        </w:trPr>
        <w:tc>
          <w:tcPr>
            <w:tcW w:w="0" w:type="auto"/>
            <w:gridSpan w:val="3"/>
            <w:shd w:val="clear" w:color="auto" w:fill="CCEEFF"/>
            <w:tcMar>
              <w:top w:w="30" w:type="dxa"/>
              <w:left w:w="20" w:type="dxa"/>
              <w:bottom w:w="30" w:type="dxa"/>
              <w:right w:w="20" w:type="dxa"/>
            </w:tcMar>
            <w:vAlign w:val="bottom"/>
            <w:hideMark/>
          </w:tcPr>
          <w:p w:rsidR="00000000" w:rsidRDefault="0061405A">
            <w:pPr>
              <w:ind w:hanging="180"/>
              <w:divId w:val="606735037"/>
              <w:rPr>
                <w:rFonts w:eastAsia="Times New Roman"/>
              </w:rPr>
            </w:pPr>
            <w:r>
              <w:rPr>
                <w:rFonts w:eastAsia="Times New Roman"/>
                <w:color w:val="000000"/>
                <w:sz w:val="18"/>
                <w:szCs w:val="18"/>
              </w:rPr>
              <w:t xml:space="preserve">Preferred stock—$0.01 par value, 1,000,000 </w:t>
            </w:r>
            <w:r>
              <w:rPr>
                <w:rFonts w:eastAsia="Times New Roman"/>
                <w:color w:val="000000"/>
                <w:sz w:val="18"/>
                <w:szCs w:val="18"/>
              </w:rPr>
              <w:t>shares authorized and undesignated as of December 29, 2020 and December 31, 2019; no shares issued or outstanding</w:t>
            </w:r>
          </w:p>
        </w:tc>
        <w:tc>
          <w:tcPr>
            <w:tcW w:w="0" w:type="auto"/>
            <w:gridSpan w:val="3"/>
            <w:shd w:val="clear" w:color="auto" w:fill="CCEEFF"/>
            <w:tcMar>
              <w:top w:w="0" w:type="dxa"/>
              <w:left w:w="20" w:type="dxa"/>
              <w:bottom w:w="0" w:type="dxa"/>
              <w:right w:w="20" w:type="dxa"/>
            </w:tcMar>
            <w:vAlign w:val="center"/>
            <w:hideMark/>
          </w:tcPr>
          <w:p w:rsidR="00000000" w:rsidRDefault="0061405A">
            <w:pPr>
              <w:ind w:hanging="18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44548165"/>
          <w:jc w:val="center"/>
        </w:trPr>
        <w:tc>
          <w:tcPr>
            <w:tcW w:w="0" w:type="auto"/>
            <w:gridSpan w:val="3"/>
            <w:shd w:val="clear" w:color="auto" w:fill="FFFFFF"/>
            <w:tcMar>
              <w:top w:w="30" w:type="dxa"/>
              <w:left w:w="20" w:type="dxa"/>
              <w:bottom w:w="30" w:type="dxa"/>
              <w:right w:w="20" w:type="dxa"/>
            </w:tcMar>
            <w:vAlign w:val="bottom"/>
            <w:hideMark/>
          </w:tcPr>
          <w:p w:rsidR="00000000" w:rsidRDefault="0061405A">
            <w:pPr>
              <w:ind w:hanging="180"/>
              <w:divId w:val="105079255"/>
              <w:rPr>
                <w:rFonts w:eastAsia="Times New Roman"/>
              </w:rPr>
            </w:pPr>
            <w:r>
              <w:rPr>
                <w:rFonts w:eastAsia="Times New Roman"/>
                <w:color w:val="000000"/>
                <w:sz w:val="18"/>
                <w:szCs w:val="18"/>
              </w:rPr>
              <w:t xml:space="preserve">Common stock—$0.01 par value, 180,000,000 shares authorized as of December 29, 2020 and December 31, 2019; </w:t>
            </w:r>
            <w:r>
              <w:rPr>
                <w:rFonts w:eastAsia="Times New Roman"/>
                <w:color w:val="000000"/>
                <w:sz w:val="18"/>
                <w:szCs w:val="18"/>
              </w:rPr>
              <w:t xml:space="preserve">46,807,587 issued and 44,383,716 outstanding as of December 29, 2020; 46,557,934 issued and 44,134,063 outstanding as of December 31, 2019 </w:t>
            </w:r>
          </w:p>
        </w:tc>
        <w:tc>
          <w:tcPr>
            <w:tcW w:w="0" w:type="auto"/>
            <w:gridSpan w:val="3"/>
            <w:shd w:val="clear" w:color="auto" w:fill="FFFFFF"/>
            <w:tcMar>
              <w:top w:w="0" w:type="dxa"/>
              <w:left w:w="20" w:type="dxa"/>
              <w:bottom w:w="0" w:type="dxa"/>
              <w:right w:w="20" w:type="dxa"/>
            </w:tcMar>
            <w:vAlign w:val="center"/>
            <w:hideMark/>
          </w:tcPr>
          <w:p w:rsidR="00000000" w:rsidRDefault="0061405A">
            <w:pPr>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468 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466 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44548165"/>
          <w:jc w:val="center"/>
        </w:trPr>
        <w:tc>
          <w:tcPr>
            <w:tcW w:w="0" w:type="auto"/>
            <w:gridSpan w:val="3"/>
            <w:shd w:val="clear" w:color="auto" w:fill="CCEEFF"/>
            <w:tcMar>
              <w:top w:w="30" w:type="dxa"/>
              <w:left w:w="20" w:type="dxa"/>
              <w:bottom w:w="30" w:type="dxa"/>
              <w:right w:w="20" w:type="dxa"/>
            </w:tcMar>
            <w:vAlign w:val="bottom"/>
            <w:hideMark/>
          </w:tcPr>
          <w:p w:rsidR="00000000" w:rsidRDefault="0061405A">
            <w:pPr>
              <w:ind w:hanging="180"/>
              <w:divId w:val="364674223"/>
              <w:rPr>
                <w:rFonts w:eastAsia="Times New Roman"/>
              </w:rPr>
            </w:pPr>
            <w:r>
              <w:rPr>
                <w:rFonts w:eastAsia="Times New Roman"/>
                <w:color w:val="000000"/>
                <w:sz w:val="18"/>
                <w:szCs w:val="18"/>
              </w:rPr>
              <w:t>Treasury stock, at cost, 2,423,871 shares as of December 29, 2020 and December 31, 2019, resp</w:t>
            </w:r>
            <w:r>
              <w:rPr>
                <w:rFonts w:eastAsia="Times New Roman"/>
                <w:color w:val="000000"/>
                <w:sz w:val="18"/>
                <w:szCs w:val="18"/>
              </w:rPr>
              <w:t>ectively</w:t>
            </w:r>
          </w:p>
        </w:tc>
        <w:tc>
          <w:tcPr>
            <w:tcW w:w="0" w:type="auto"/>
            <w:gridSpan w:val="3"/>
            <w:shd w:val="clear" w:color="auto" w:fill="CCEEFF"/>
            <w:tcMar>
              <w:top w:w="0" w:type="dxa"/>
              <w:left w:w="20" w:type="dxa"/>
              <w:bottom w:w="0" w:type="dxa"/>
              <w:right w:w="20" w:type="dxa"/>
            </w:tcMar>
            <w:vAlign w:val="center"/>
            <w:hideMark/>
          </w:tcPr>
          <w:p w:rsidR="00000000" w:rsidRDefault="0061405A">
            <w:pPr>
              <w:ind w:hanging="18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(35,000)</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(35,000)</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44548165"/>
          <w:jc w:val="center"/>
        </w:trPr>
        <w:tc>
          <w:tcPr>
            <w:tcW w:w="0" w:type="auto"/>
            <w:gridSpan w:val="3"/>
            <w:shd w:val="clear" w:color="auto" w:fill="FFFF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8"/>
                <w:szCs w:val="18"/>
              </w:rPr>
              <w:t>Additional paid-in capital</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202,970 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200,585 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44548165"/>
          <w:jc w:val="center"/>
        </w:trPr>
        <w:tc>
          <w:tcPr>
            <w:tcW w:w="0" w:type="auto"/>
            <w:gridSpan w:val="3"/>
            <w:shd w:val="clear" w:color="auto" w:fill="CCEE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8"/>
                <w:szCs w:val="18"/>
              </w:rPr>
              <w:t>Accumulated deficit</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(138,739)</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(115,480)</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44548165"/>
          <w:jc w:val="center"/>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Total stockholders’ equity</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29,699 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50,571 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44548165"/>
          <w:jc w:val="center"/>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Total liabilities and stockholders’ equity</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353,631 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378,519 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bl>
    <w:p w:rsidR="00000000" w:rsidRDefault="0061405A">
      <w:pPr>
        <w:jc w:val="center"/>
        <w:divId w:val="116141848"/>
        <w:rPr>
          <w:rFonts w:eastAsia="Times New Roman"/>
        </w:rPr>
      </w:pPr>
      <w:r>
        <w:rPr>
          <w:rFonts w:eastAsia="Times New Roman"/>
          <w:i/>
          <w:iCs/>
          <w:color w:val="000000"/>
          <w:sz w:val="20"/>
          <w:szCs w:val="20"/>
        </w:rPr>
        <w:t>S</w:t>
      </w:r>
      <w:r>
        <w:rPr>
          <w:rFonts w:eastAsia="Times New Roman"/>
          <w:i/>
          <w:iCs/>
          <w:color w:val="000000"/>
          <w:sz w:val="20"/>
          <w:szCs w:val="20"/>
        </w:rPr>
        <w:t>ee accompanying notes to consolidated financial statements.</w:t>
      </w:r>
    </w:p>
    <w:p w:rsidR="00000000" w:rsidRDefault="0061405A">
      <w:pPr>
        <w:jc w:val="center"/>
        <w:divId w:val="1191916465"/>
        <w:rPr>
          <w:rFonts w:eastAsia="Times New Roman"/>
        </w:rPr>
      </w:pPr>
      <w:r>
        <w:rPr>
          <w:rFonts w:eastAsia="Times New Roman"/>
          <w:color w:val="000000"/>
          <w:sz w:val="20"/>
          <w:szCs w:val="20"/>
        </w:rPr>
        <w:t>48</w:t>
      </w:r>
    </w:p>
    <w:p w:rsidR="00000000" w:rsidRDefault="0061405A">
      <w:pPr>
        <w:rPr>
          <w:rFonts w:eastAsia="Times New Roman"/>
        </w:rPr>
      </w:pPr>
      <w:r>
        <w:rPr>
          <w:rFonts w:eastAsia="Times New Roman"/>
        </w:rPr>
        <w:pict>
          <v:rect id="_x0000_i1075" style="width:0;height:1.5pt" o:hralign="center" o:hrstd="t" o:hr="t" fillcolor="#a0a0a0" stroked="f"/>
        </w:pict>
      </w:r>
    </w:p>
    <w:p w:rsidR="00000000" w:rsidRDefault="0061405A">
      <w:pPr>
        <w:divId w:val="1435051467"/>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center"/>
        <w:divId w:val="971057819"/>
        <w:rPr>
          <w:rFonts w:eastAsia="Times New Roman"/>
        </w:rPr>
      </w:pPr>
      <w:r>
        <w:rPr>
          <w:rFonts w:eastAsia="Times New Roman"/>
          <w:b/>
          <w:bCs/>
          <w:color w:val="000000"/>
          <w:sz w:val="20"/>
          <w:szCs w:val="20"/>
        </w:rPr>
        <w:t>Noodles &amp; Company</w:t>
      </w:r>
    </w:p>
    <w:p w:rsidR="00000000" w:rsidRDefault="0061405A">
      <w:pPr>
        <w:jc w:val="center"/>
        <w:divId w:val="971057819"/>
        <w:rPr>
          <w:rFonts w:eastAsia="Times New Roman"/>
        </w:rPr>
      </w:pPr>
      <w:r>
        <w:rPr>
          <w:rFonts w:eastAsia="Times New Roman"/>
          <w:b/>
          <w:bCs/>
          <w:color w:val="000000"/>
          <w:sz w:val="20"/>
          <w:szCs w:val="20"/>
        </w:rPr>
        <w:t>Consolidated Statements of Operations</w:t>
      </w:r>
    </w:p>
    <w:p w:rsidR="00000000" w:rsidRDefault="0061405A">
      <w:pPr>
        <w:jc w:val="center"/>
        <w:divId w:val="2113471396"/>
        <w:rPr>
          <w:rFonts w:eastAsia="Times New Roman"/>
        </w:rPr>
      </w:pPr>
      <w:r>
        <w:rPr>
          <w:rFonts w:eastAsia="Times New Roman"/>
          <w:b/>
          <w:bCs/>
          <w:color w:val="000000"/>
          <w:sz w:val="20"/>
          <w:szCs w:val="20"/>
        </w:rPr>
        <w:t>(in thousands, except share and per share data)</w:t>
      </w:r>
    </w:p>
    <w:tbl>
      <w:tblPr>
        <w:tblW w:w="4992" w:type="pct"/>
        <w:tblCellMar>
          <w:top w:w="15" w:type="dxa"/>
          <w:left w:w="15" w:type="dxa"/>
          <w:bottom w:w="15" w:type="dxa"/>
          <w:right w:w="15" w:type="dxa"/>
        </w:tblCellMar>
        <w:tblLook w:val="04A0" w:firstRow="1" w:lastRow="0" w:firstColumn="1" w:lastColumn="0" w:noHBand="0" w:noVBand="1"/>
      </w:tblPr>
      <w:tblGrid>
        <w:gridCol w:w="40"/>
        <w:gridCol w:w="5053"/>
        <w:gridCol w:w="38"/>
        <w:gridCol w:w="36"/>
        <w:gridCol w:w="36"/>
        <w:gridCol w:w="36"/>
        <w:gridCol w:w="112"/>
        <w:gridCol w:w="798"/>
        <w:gridCol w:w="36"/>
        <w:gridCol w:w="36"/>
        <w:gridCol w:w="36"/>
        <w:gridCol w:w="36"/>
        <w:gridCol w:w="112"/>
        <w:gridCol w:w="799"/>
        <w:gridCol w:w="36"/>
        <w:gridCol w:w="36"/>
        <w:gridCol w:w="36"/>
        <w:gridCol w:w="36"/>
        <w:gridCol w:w="111"/>
        <w:gridCol w:w="798"/>
        <w:gridCol w:w="36"/>
      </w:tblGrid>
      <w:tr w:rsidR="00000000">
        <w:trPr>
          <w:divId w:val="1219393215"/>
        </w:trPr>
        <w:tc>
          <w:tcPr>
            <w:tcW w:w="50" w:type="pct"/>
            <w:vAlign w:val="center"/>
            <w:hideMark/>
          </w:tcPr>
          <w:p w:rsidR="00000000" w:rsidRDefault="0061405A">
            <w:pPr>
              <w:jc w:val="center"/>
              <w:rPr>
                <w:rFonts w:eastAsia="Times New Roman"/>
              </w:rPr>
            </w:pPr>
          </w:p>
        </w:tc>
        <w:tc>
          <w:tcPr>
            <w:tcW w:w="3117"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13"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2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2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1219393215"/>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15"/>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8"/>
                <w:szCs w:val="18"/>
              </w:rPr>
              <w:t>Fiscal Year Ended</w:t>
            </w:r>
          </w:p>
        </w:tc>
      </w:tr>
      <w:tr w:rsidR="00000000">
        <w:trPr>
          <w:divId w:val="1219393215"/>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8"/>
                <w:szCs w:val="18"/>
              </w:rPr>
              <w:t>December 29,</w:t>
            </w:r>
            <w:r>
              <w:rPr>
                <w:rFonts w:eastAsia="Times New Roman"/>
                <w:b/>
                <w:bCs/>
                <w:color w:val="000000"/>
                <w:sz w:val="18"/>
                <w:szCs w:val="18"/>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8"/>
                <w:szCs w:val="18"/>
              </w:rPr>
              <w:t>December 31,</w:t>
            </w:r>
            <w:r>
              <w:rPr>
                <w:rFonts w:eastAsia="Times New Roman"/>
                <w:b/>
                <w:bCs/>
                <w:color w:val="000000"/>
                <w:sz w:val="18"/>
                <w:szCs w:val="18"/>
              </w:rPr>
              <w:b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8"/>
                <w:szCs w:val="18"/>
              </w:rPr>
              <w:t>January 1,</w:t>
            </w:r>
            <w:r>
              <w:rPr>
                <w:rFonts w:eastAsia="Times New Roman"/>
                <w:b/>
                <w:bCs/>
                <w:color w:val="000000"/>
                <w:sz w:val="18"/>
                <w:szCs w:val="18"/>
              </w:rPr>
              <w:br/>
              <w:t>2019</w:t>
            </w:r>
          </w:p>
        </w:tc>
      </w:tr>
      <w:tr w:rsidR="00000000">
        <w:trPr>
          <w:divId w:val="1219393215"/>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i/>
                <w:iCs/>
                <w:color w:val="000000"/>
                <w:sz w:val="18"/>
                <w:szCs w:val="18"/>
              </w:rPr>
              <w:t>Revenue:</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 </w:t>
            </w:r>
          </w:p>
        </w:tc>
      </w:tr>
      <w:tr w:rsidR="00000000">
        <w:trPr>
          <w:divId w:val="1219393215"/>
        </w:trPr>
        <w:tc>
          <w:tcPr>
            <w:tcW w:w="0" w:type="auto"/>
            <w:gridSpan w:val="3"/>
            <w:shd w:val="clear" w:color="auto" w:fill="FFFF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8"/>
                <w:szCs w:val="18"/>
              </w:rPr>
              <w:t>Restaurant revenue</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388,480 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456,671 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453,671 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219393215"/>
        </w:trPr>
        <w:tc>
          <w:tcPr>
            <w:tcW w:w="0" w:type="auto"/>
            <w:gridSpan w:val="3"/>
            <w:shd w:val="clear" w:color="auto" w:fill="CCEE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8"/>
                <w:szCs w:val="18"/>
              </w:rPr>
              <w:t>Franchising royalties and fees, and other</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5,175 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5,740 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4,170 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219393215"/>
        </w:trPr>
        <w:tc>
          <w:tcPr>
            <w:tcW w:w="0" w:type="auto"/>
            <w:gridSpan w:val="3"/>
            <w:shd w:val="clear" w:color="auto" w:fill="FFFFFF"/>
            <w:tcMar>
              <w:top w:w="30" w:type="dxa"/>
              <w:left w:w="515" w:type="dxa"/>
              <w:bottom w:w="30" w:type="dxa"/>
              <w:right w:w="20" w:type="dxa"/>
            </w:tcMar>
            <w:vAlign w:val="bottom"/>
            <w:hideMark/>
          </w:tcPr>
          <w:p w:rsidR="00000000" w:rsidRDefault="0061405A">
            <w:pPr>
              <w:rPr>
                <w:rFonts w:eastAsia="Times New Roman"/>
              </w:rPr>
            </w:pPr>
            <w:r>
              <w:rPr>
                <w:rFonts w:eastAsia="Times New Roman"/>
                <w:color w:val="000000"/>
                <w:sz w:val="18"/>
                <w:szCs w:val="18"/>
              </w:rPr>
              <w:t>Total revenue</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393,655 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462,411 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457,841 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219393215"/>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i/>
                <w:iCs/>
                <w:color w:val="000000"/>
                <w:sz w:val="18"/>
                <w:szCs w:val="18"/>
              </w:rPr>
              <w:t>Costs and expenses: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 </w:t>
            </w:r>
          </w:p>
        </w:tc>
      </w:tr>
      <w:tr w:rsidR="00000000">
        <w:trPr>
          <w:divId w:val="1219393215"/>
        </w:trPr>
        <w:tc>
          <w:tcPr>
            <w:tcW w:w="0" w:type="auto"/>
            <w:gridSpan w:val="3"/>
            <w:shd w:val="clear" w:color="auto" w:fill="FFFFFF"/>
            <w:tcMar>
              <w:top w:w="30" w:type="dxa"/>
              <w:left w:w="425" w:type="dxa"/>
              <w:bottom w:w="30" w:type="dxa"/>
              <w:right w:w="20" w:type="dxa"/>
            </w:tcMar>
            <w:vAlign w:val="bottom"/>
            <w:hideMark/>
          </w:tcPr>
          <w:p w:rsidR="00000000" w:rsidRDefault="0061405A">
            <w:pPr>
              <w:rPr>
                <w:rFonts w:eastAsia="Times New Roman"/>
              </w:rPr>
            </w:pPr>
            <w:r>
              <w:rPr>
                <w:rFonts w:eastAsia="Times New Roman"/>
                <w:color w:val="000000"/>
                <w:sz w:val="18"/>
                <w:szCs w:val="18"/>
              </w:rPr>
              <w:t>Restaurant operating costs (exclusive of depreciation and amortization shown separately below):</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 </w:t>
            </w:r>
          </w:p>
        </w:tc>
      </w:tr>
      <w:tr w:rsidR="00000000">
        <w:trPr>
          <w:divId w:val="1219393215"/>
        </w:trPr>
        <w:tc>
          <w:tcPr>
            <w:tcW w:w="0" w:type="auto"/>
            <w:gridSpan w:val="3"/>
            <w:shd w:val="clear" w:color="auto" w:fill="CCEEFF"/>
            <w:tcMar>
              <w:top w:w="30" w:type="dxa"/>
              <w:left w:w="515" w:type="dxa"/>
              <w:bottom w:w="30" w:type="dxa"/>
              <w:right w:w="20" w:type="dxa"/>
            </w:tcMar>
            <w:vAlign w:val="bottom"/>
            <w:hideMark/>
          </w:tcPr>
          <w:p w:rsidR="00000000" w:rsidRDefault="0061405A">
            <w:pPr>
              <w:rPr>
                <w:rFonts w:eastAsia="Times New Roman"/>
              </w:rPr>
            </w:pPr>
            <w:r>
              <w:rPr>
                <w:rFonts w:eastAsia="Times New Roman"/>
                <w:color w:val="000000"/>
                <w:sz w:val="18"/>
                <w:szCs w:val="18"/>
              </w:rPr>
              <w:t>Cost of sales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97,697 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117,179 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121,102 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219393215"/>
        </w:trPr>
        <w:tc>
          <w:tcPr>
            <w:tcW w:w="0" w:type="auto"/>
            <w:gridSpan w:val="3"/>
            <w:shd w:val="clear" w:color="auto" w:fill="FFFFFF"/>
            <w:tcMar>
              <w:top w:w="30" w:type="dxa"/>
              <w:left w:w="515" w:type="dxa"/>
              <w:bottom w:w="30" w:type="dxa"/>
              <w:right w:w="20" w:type="dxa"/>
            </w:tcMar>
            <w:vAlign w:val="bottom"/>
            <w:hideMark/>
          </w:tcPr>
          <w:p w:rsidR="00000000" w:rsidRDefault="0061405A">
            <w:pPr>
              <w:rPr>
                <w:rFonts w:eastAsia="Times New Roman"/>
              </w:rPr>
            </w:pPr>
            <w:r>
              <w:rPr>
                <w:rFonts w:eastAsia="Times New Roman"/>
                <w:color w:val="000000"/>
                <w:sz w:val="18"/>
                <w:szCs w:val="18"/>
              </w:rPr>
              <w:t>Labor</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126,424 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150,565 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149,746 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219393215"/>
        </w:trPr>
        <w:tc>
          <w:tcPr>
            <w:tcW w:w="0" w:type="auto"/>
            <w:gridSpan w:val="3"/>
            <w:shd w:val="clear" w:color="auto" w:fill="CCEEFF"/>
            <w:tcMar>
              <w:top w:w="30" w:type="dxa"/>
              <w:left w:w="515" w:type="dxa"/>
              <w:bottom w:w="30" w:type="dxa"/>
              <w:right w:w="20" w:type="dxa"/>
            </w:tcMar>
            <w:vAlign w:val="bottom"/>
            <w:hideMark/>
          </w:tcPr>
          <w:p w:rsidR="00000000" w:rsidRDefault="0061405A">
            <w:pPr>
              <w:rPr>
                <w:rFonts w:eastAsia="Times New Roman"/>
              </w:rPr>
            </w:pPr>
            <w:r>
              <w:rPr>
                <w:rFonts w:eastAsia="Times New Roman"/>
                <w:color w:val="000000"/>
                <w:sz w:val="18"/>
                <w:szCs w:val="18"/>
              </w:rPr>
              <w:t>Occupancy</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46,787 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48,863 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49,020 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219393215"/>
        </w:trPr>
        <w:tc>
          <w:tcPr>
            <w:tcW w:w="0" w:type="auto"/>
            <w:gridSpan w:val="3"/>
            <w:shd w:val="clear" w:color="auto" w:fill="FFFFFF"/>
            <w:tcMar>
              <w:top w:w="30" w:type="dxa"/>
              <w:left w:w="515" w:type="dxa"/>
              <w:bottom w:w="30" w:type="dxa"/>
              <w:right w:w="20" w:type="dxa"/>
            </w:tcMar>
            <w:vAlign w:val="bottom"/>
            <w:hideMark/>
          </w:tcPr>
          <w:p w:rsidR="00000000" w:rsidRDefault="0061405A">
            <w:pPr>
              <w:rPr>
                <w:rFonts w:eastAsia="Times New Roman"/>
              </w:rPr>
            </w:pPr>
            <w:r>
              <w:rPr>
                <w:rFonts w:eastAsia="Times New Roman"/>
                <w:color w:val="000000"/>
                <w:sz w:val="18"/>
                <w:szCs w:val="18"/>
              </w:rPr>
              <w:t>Other restaurant operating costs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71,208 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66,684 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65,575 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219393215"/>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General and administrative</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42,876 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43,446 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46,092 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219393215"/>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Depreciation and amortization</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21,709 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22,086 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22,872 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219393215"/>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Pre-opening</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443 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402 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50 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219393215"/>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Restaurant impairments, closure costs and asset disposals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6,540 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7,747 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7,142 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219393215"/>
        </w:trPr>
        <w:tc>
          <w:tcPr>
            <w:tcW w:w="0" w:type="auto"/>
            <w:gridSpan w:val="3"/>
            <w:shd w:val="clear" w:color="auto" w:fill="CCEEFF"/>
            <w:tcMar>
              <w:top w:w="30" w:type="dxa"/>
              <w:left w:w="515" w:type="dxa"/>
              <w:bottom w:w="30" w:type="dxa"/>
              <w:right w:w="20" w:type="dxa"/>
            </w:tcMar>
            <w:vAlign w:val="bottom"/>
            <w:hideMark/>
          </w:tcPr>
          <w:p w:rsidR="00000000" w:rsidRDefault="0061405A">
            <w:pPr>
              <w:rPr>
                <w:rFonts w:eastAsia="Times New Roman"/>
              </w:rPr>
            </w:pPr>
            <w:r>
              <w:rPr>
                <w:rFonts w:eastAsia="Times New Roman"/>
                <w:color w:val="000000"/>
                <w:sz w:val="18"/>
                <w:szCs w:val="18"/>
              </w:rPr>
              <w:t>Total costs and expenses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413,684 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456,972 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461,599 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219393215"/>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(Loss) income from operations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(20,029)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5,439 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(3,758)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219393215"/>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Loss on extinguishment of debt</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746 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626 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219393215"/>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Interest expense, net</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3,146 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2,942 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4,305 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219393215"/>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(Loss) income before income taxes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(23,175)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1,751 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(8,689)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219393215"/>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Provision (benefit) for income taxes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84 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104 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(248)</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219393215"/>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Net (loss) income</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(23,259)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1,647 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(8,441)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219393215"/>
          <w:trHeight w:val="300"/>
        </w:trPr>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1219393215"/>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(Loss) earnings per Class A and Class B common stock, combined</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 </w:t>
            </w:r>
          </w:p>
        </w:tc>
      </w:tr>
      <w:tr w:rsidR="00000000">
        <w:trPr>
          <w:divId w:val="1219393215"/>
        </w:trPr>
        <w:tc>
          <w:tcPr>
            <w:tcW w:w="0" w:type="auto"/>
            <w:gridSpan w:val="3"/>
            <w:shd w:val="clear" w:color="auto" w:fill="FFFFFF"/>
            <w:tcMar>
              <w:top w:w="30" w:type="dxa"/>
              <w:left w:w="515" w:type="dxa"/>
              <w:bottom w:w="30" w:type="dxa"/>
              <w:right w:w="20" w:type="dxa"/>
            </w:tcMar>
            <w:vAlign w:val="bottom"/>
            <w:hideMark/>
          </w:tcPr>
          <w:p w:rsidR="00000000" w:rsidRDefault="0061405A">
            <w:pPr>
              <w:rPr>
                <w:rFonts w:eastAsia="Times New Roman"/>
              </w:rPr>
            </w:pPr>
            <w:r>
              <w:rPr>
                <w:rFonts w:eastAsia="Times New Roman"/>
                <w:color w:val="000000"/>
                <w:sz w:val="18"/>
                <w:szCs w:val="18"/>
              </w:rPr>
              <w:t>Basic</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(0.53)</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0.04 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(0.20)</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219393215"/>
        </w:trPr>
        <w:tc>
          <w:tcPr>
            <w:tcW w:w="0" w:type="auto"/>
            <w:gridSpan w:val="3"/>
            <w:shd w:val="clear" w:color="auto" w:fill="CCEEFF"/>
            <w:tcMar>
              <w:top w:w="30" w:type="dxa"/>
              <w:left w:w="515" w:type="dxa"/>
              <w:bottom w:w="30" w:type="dxa"/>
              <w:right w:w="20" w:type="dxa"/>
            </w:tcMar>
            <w:vAlign w:val="bottom"/>
            <w:hideMark/>
          </w:tcPr>
          <w:p w:rsidR="00000000" w:rsidRDefault="0061405A">
            <w:pPr>
              <w:rPr>
                <w:rFonts w:eastAsia="Times New Roman"/>
              </w:rPr>
            </w:pPr>
            <w:r>
              <w:rPr>
                <w:rFonts w:eastAsia="Times New Roman"/>
                <w:color w:val="000000"/>
                <w:sz w:val="18"/>
                <w:szCs w:val="18"/>
              </w:rPr>
              <w:t>Diluted</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(0.53)</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0.04 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(0.20)</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219393215"/>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Weighted average Class A and Class B common stock outstanding, combined</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 </w:t>
            </w:r>
          </w:p>
        </w:tc>
      </w:tr>
      <w:tr w:rsidR="00000000">
        <w:trPr>
          <w:divId w:val="1219393215"/>
        </w:trPr>
        <w:tc>
          <w:tcPr>
            <w:tcW w:w="0" w:type="auto"/>
            <w:gridSpan w:val="3"/>
            <w:shd w:val="clear" w:color="auto" w:fill="CCEEFF"/>
            <w:tcMar>
              <w:top w:w="30" w:type="dxa"/>
              <w:left w:w="515" w:type="dxa"/>
              <w:bottom w:w="30" w:type="dxa"/>
              <w:right w:w="20" w:type="dxa"/>
            </w:tcMar>
            <w:vAlign w:val="bottom"/>
            <w:hideMark/>
          </w:tcPr>
          <w:p w:rsidR="00000000" w:rsidRDefault="0061405A">
            <w:pPr>
              <w:rPr>
                <w:rFonts w:eastAsia="Times New Roman"/>
              </w:rPr>
            </w:pPr>
            <w:r>
              <w:rPr>
                <w:rFonts w:eastAsia="Times New Roman"/>
                <w:color w:val="000000"/>
                <w:sz w:val="18"/>
                <w:szCs w:val="18"/>
              </w:rPr>
              <w:t>Basic</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44,272,474 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44,036,947 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42,329,556 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219393215"/>
        </w:trPr>
        <w:tc>
          <w:tcPr>
            <w:tcW w:w="0" w:type="auto"/>
            <w:gridSpan w:val="3"/>
            <w:shd w:val="clear" w:color="auto" w:fill="FFFFFF"/>
            <w:tcMar>
              <w:top w:w="30" w:type="dxa"/>
              <w:left w:w="515" w:type="dxa"/>
              <w:bottom w:w="30" w:type="dxa"/>
              <w:right w:w="20" w:type="dxa"/>
            </w:tcMar>
            <w:vAlign w:val="bottom"/>
            <w:hideMark/>
          </w:tcPr>
          <w:p w:rsidR="00000000" w:rsidRDefault="0061405A">
            <w:pPr>
              <w:rPr>
                <w:rFonts w:eastAsia="Times New Roman"/>
              </w:rPr>
            </w:pPr>
            <w:r>
              <w:rPr>
                <w:rFonts w:eastAsia="Times New Roman"/>
                <w:color w:val="000000"/>
                <w:sz w:val="18"/>
                <w:szCs w:val="18"/>
              </w:rPr>
              <w:t>Diluted</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44,272,474 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44,976,436 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42,329,556 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bl>
    <w:p w:rsidR="00000000" w:rsidRDefault="0061405A">
      <w:pPr>
        <w:ind w:firstLine="360"/>
        <w:jc w:val="center"/>
        <w:divId w:val="822161457"/>
        <w:rPr>
          <w:rFonts w:eastAsia="Times New Roman"/>
        </w:rPr>
      </w:pPr>
      <w:r>
        <w:rPr>
          <w:rFonts w:eastAsia="Times New Roman"/>
          <w:i/>
          <w:iCs/>
          <w:color w:val="000000"/>
          <w:sz w:val="20"/>
          <w:szCs w:val="20"/>
        </w:rPr>
        <w:t>See accompanying notes to consolidated financial statements.</w:t>
      </w:r>
    </w:p>
    <w:p w:rsidR="00000000" w:rsidRDefault="0061405A">
      <w:pPr>
        <w:jc w:val="center"/>
        <w:divId w:val="1454861061"/>
        <w:rPr>
          <w:rFonts w:eastAsia="Times New Roman"/>
        </w:rPr>
      </w:pPr>
      <w:r>
        <w:rPr>
          <w:rFonts w:eastAsia="Times New Roman"/>
          <w:color w:val="000000"/>
          <w:sz w:val="20"/>
          <w:szCs w:val="20"/>
        </w:rPr>
        <w:t>49</w:t>
      </w:r>
    </w:p>
    <w:p w:rsidR="00000000" w:rsidRDefault="0061405A">
      <w:pPr>
        <w:rPr>
          <w:rFonts w:eastAsia="Times New Roman"/>
        </w:rPr>
      </w:pPr>
      <w:r>
        <w:rPr>
          <w:rFonts w:eastAsia="Times New Roman"/>
        </w:rPr>
        <w:pict>
          <v:rect id="_x0000_i1076" style="width:0;height:1.5pt" o:hralign="center" o:hrstd="t" o:hr="t" fillcolor="#a0a0a0" stroked="f"/>
        </w:pict>
      </w:r>
    </w:p>
    <w:p w:rsidR="00000000" w:rsidRDefault="0061405A">
      <w:pPr>
        <w:divId w:val="1295674274"/>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center"/>
        <w:divId w:val="1857311079"/>
        <w:rPr>
          <w:rFonts w:eastAsia="Times New Roman"/>
        </w:rPr>
      </w:pPr>
      <w:r>
        <w:rPr>
          <w:rFonts w:eastAsia="Times New Roman"/>
          <w:b/>
          <w:bCs/>
          <w:color w:val="000000"/>
          <w:sz w:val="20"/>
          <w:szCs w:val="20"/>
        </w:rPr>
        <w:t>Noodles &amp; Company</w:t>
      </w:r>
    </w:p>
    <w:p w:rsidR="00000000" w:rsidRDefault="0061405A">
      <w:pPr>
        <w:jc w:val="center"/>
        <w:divId w:val="1857311079"/>
        <w:rPr>
          <w:rFonts w:eastAsia="Times New Roman"/>
        </w:rPr>
      </w:pPr>
      <w:r>
        <w:rPr>
          <w:rFonts w:eastAsia="Times New Roman"/>
          <w:b/>
          <w:bCs/>
          <w:color w:val="000000"/>
          <w:sz w:val="20"/>
          <w:szCs w:val="20"/>
        </w:rPr>
        <w:t>Consolidated Statements of Stockholders’ Equity</w:t>
      </w:r>
    </w:p>
    <w:p w:rsidR="00000000" w:rsidRDefault="0061405A">
      <w:pPr>
        <w:jc w:val="center"/>
        <w:divId w:val="1453162164"/>
        <w:rPr>
          <w:rFonts w:eastAsia="Times New Roman"/>
        </w:rPr>
      </w:pPr>
      <w:r>
        <w:rPr>
          <w:rFonts w:eastAsia="Times New Roman"/>
          <w:b/>
          <w:bCs/>
          <w:color w:val="000000"/>
          <w:sz w:val="20"/>
          <w:szCs w:val="20"/>
        </w:rPr>
        <w:t>(in thousands, except share data)</w:t>
      </w:r>
    </w:p>
    <w:tbl>
      <w:tblPr>
        <w:tblW w:w="5000" w:type="pct"/>
        <w:tblCellMar>
          <w:top w:w="15" w:type="dxa"/>
          <w:left w:w="15" w:type="dxa"/>
          <w:bottom w:w="15" w:type="dxa"/>
          <w:right w:w="15" w:type="dxa"/>
        </w:tblCellMar>
        <w:tblLook w:val="04A0" w:firstRow="1" w:lastRow="0" w:firstColumn="1" w:lastColumn="0" w:noHBand="0" w:noVBand="1"/>
      </w:tblPr>
      <w:tblGrid>
        <w:gridCol w:w="40"/>
        <w:gridCol w:w="2318"/>
        <w:gridCol w:w="39"/>
        <w:gridCol w:w="36"/>
        <w:gridCol w:w="36"/>
        <w:gridCol w:w="36"/>
        <w:gridCol w:w="81"/>
        <w:gridCol w:w="604"/>
        <w:gridCol w:w="38"/>
        <w:gridCol w:w="36"/>
        <w:gridCol w:w="36"/>
        <w:gridCol w:w="36"/>
        <w:gridCol w:w="91"/>
        <w:gridCol w:w="463"/>
        <w:gridCol w:w="37"/>
        <w:gridCol w:w="36"/>
        <w:gridCol w:w="36"/>
        <w:gridCol w:w="36"/>
        <w:gridCol w:w="73"/>
        <w:gridCol w:w="542"/>
        <w:gridCol w:w="36"/>
        <w:gridCol w:w="36"/>
        <w:gridCol w:w="36"/>
        <w:gridCol w:w="36"/>
        <w:gridCol w:w="90"/>
        <w:gridCol w:w="479"/>
        <w:gridCol w:w="36"/>
        <w:gridCol w:w="36"/>
        <w:gridCol w:w="36"/>
        <w:gridCol w:w="36"/>
        <w:gridCol w:w="91"/>
        <w:gridCol w:w="622"/>
        <w:gridCol w:w="36"/>
        <w:gridCol w:w="36"/>
        <w:gridCol w:w="36"/>
        <w:gridCol w:w="36"/>
        <w:gridCol w:w="102"/>
        <w:gridCol w:w="768"/>
        <w:gridCol w:w="36"/>
        <w:gridCol w:w="36"/>
        <w:gridCol w:w="36"/>
        <w:gridCol w:w="36"/>
        <w:gridCol w:w="100"/>
        <w:gridCol w:w="756"/>
        <w:gridCol w:w="36"/>
        <w:gridCol w:w="36"/>
      </w:tblGrid>
      <w:tr w:rsidR="00000000">
        <w:trPr>
          <w:divId w:val="112018806"/>
        </w:trPr>
        <w:tc>
          <w:tcPr>
            <w:tcW w:w="50" w:type="pct"/>
            <w:vAlign w:val="center"/>
            <w:hideMark/>
          </w:tcPr>
          <w:p w:rsidR="00000000" w:rsidRDefault="0061405A">
            <w:pPr>
              <w:jc w:val="center"/>
              <w:rPr>
                <w:rFonts w:eastAsia="Times New Roman"/>
              </w:rPr>
            </w:pPr>
          </w:p>
        </w:tc>
        <w:tc>
          <w:tcPr>
            <w:tcW w:w="1729"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16"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377"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16"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377"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16"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377"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16"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377"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16"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377"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16"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377"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16"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378"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0" w:type="auto"/>
            <w:vAlign w:val="center"/>
            <w:hideMark/>
          </w:tcPr>
          <w:p w:rsidR="00000000" w:rsidRDefault="0061405A">
            <w:pPr>
              <w:rPr>
                <w:rFonts w:eastAsia="Times New Roman"/>
                <w:sz w:val="20"/>
                <w:szCs w:val="20"/>
              </w:rPr>
            </w:pPr>
          </w:p>
        </w:tc>
      </w:tr>
      <w:tr w:rsidR="00000000">
        <w:trPr>
          <w:divId w:val="112018806"/>
          <w:trHeight w:val="240"/>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Common Stoc</w:t>
            </w:r>
            <w:r>
              <w:rPr>
                <w:rFonts w:eastAsia="Times New Roman"/>
                <w:b/>
                <w:bCs/>
                <w:color w:val="000000"/>
                <w:sz w:val="14"/>
                <w:szCs w:val="14"/>
              </w:rPr>
              <w:t>k</w:t>
            </w:r>
            <w:r>
              <w:rPr>
                <w:rFonts w:eastAsia="Times New Roman"/>
                <w:b/>
                <w:bCs/>
                <w:color w:val="000000"/>
                <w:sz w:val="9"/>
                <w:szCs w:val="9"/>
              </w:rPr>
              <w:t>(1) (2</w:t>
            </w:r>
            <w:r>
              <w:rPr>
                <w:rFonts w:eastAsia="Times New Roman"/>
                <w:b/>
                <w:bCs/>
                <w:color w:val="000000"/>
                <w:sz w:val="9"/>
                <w:szCs w:val="9"/>
              </w:rPr>
              <w:t>)</w:t>
            </w:r>
          </w:p>
        </w:tc>
        <w:tc>
          <w:tcPr>
            <w:tcW w:w="0" w:type="auto"/>
            <w:gridSpan w:val="3"/>
            <w:vMerge w:val="restart"/>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Treasury</w:t>
            </w:r>
          </w:p>
        </w:tc>
        <w:tc>
          <w:tcPr>
            <w:tcW w:w="0" w:type="auto"/>
            <w:gridSpan w:val="3"/>
            <w:vMerge w:val="restart"/>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 Additional</w:t>
            </w:r>
            <w:r>
              <w:rPr>
                <w:rFonts w:eastAsia="Times New Roman"/>
                <w:b/>
                <w:bCs/>
                <w:color w:val="000000"/>
                <w:sz w:val="14"/>
                <w:szCs w:val="14"/>
              </w:rPr>
              <w:br/>
              <w:t>Paid-In</w:t>
            </w:r>
            <w:r>
              <w:rPr>
                <w:rFonts w:eastAsia="Times New Roman"/>
                <w:b/>
                <w:bCs/>
                <w:color w:val="000000"/>
                <w:sz w:val="14"/>
                <w:szCs w:val="14"/>
              </w:rPr>
              <w:br/>
              <w:t>Capital</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Retained</w:t>
            </w:r>
            <w:r>
              <w:rPr>
                <w:rFonts w:eastAsia="Times New Roman"/>
                <w:b/>
                <w:bCs/>
                <w:color w:val="000000"/>
                <w:sz w:val="14"/>
                <w:szCs w:val="14"/>
              </w:rPr>
              <w:br/>
              <w:t>Earnings</w:t>
            </w:r>
            <w:r>
              <w:rPr>
                <w:rFonts w:eastAsia="Times New Roman"/>
                <w:b/>
                <w:bCs/>
                <w:color w:val="000000"/>
                <w:sz w:val="14"/>
                <w:szCs w:val="14"/>
              </w:rPr>
              <w:br/>
              <w:t>(Accumulated</w:t>
            </w:r>
            <w:r>
              <w:rPr>
                <w:rFonts w:eastAsia="Times New Roman"/>
                <w:b/>
                <w:bCs/>
                <w:color w:val="000000"/>
                <w:sz w:val="14"/>
                <w:szCs w:val="14"/>
              </w:rPr>
              <w:br/>
              <w:t>Deficit)</w:t>
            </w:r>
          </w:p>
        </w:tc>
        <w:tc>
          <w:tcPr>
            <w:tcW w:w="0" w:type="auto"/>
            <w:gridSpan w:val="3"/>
            <w:vMerge w:val="restart"/>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Total</w:t>
            </w:r>
            <w:r>
              <w:rPr>
                <w:rFonts w:eastAsia="Times New Roman"/>
                <w:b/>
                <w:bCs/>
                <w:color w:val="000000"/>
                <w:sz w:val="14"/>
                <w:szCs w:val="14"/>
              </w:rPr>
              <w:br/>
              <w:t>Stockholders’</w:t>
            </w:r>
            <w:r>
              <w:rPr>
                <w:rFonts w:eastAsia="Times New Roman"/>
                <w:b/>
                <w:bCs/>
                <w:color w:val="000000"/>
                <w:sz w:val="14"/>
                <w:szCs w:val="14"/>
              </w:rPr>
              <w:br/>
              <w:t>Equity</w:t>
            </w:r>
          </w:p>
        </w:tc>
        <w:tc>
          <w:tcPr>
            <w:tcW w:w="0" w:type="auto"/>
            <w:vAlign w:val="center"/>
            <w:hideMark/>
          </w:tcPr>
          <w:p w:rsidR="00000000" w:rsidRDefault="0061405A">
            <w:pPr>
              <w:jc w:val="center"/>
              <w:rPr>
                <w:rFonts w:eastAsia="Times New Roman"/>
              </w:rPr>
            </w:pPr>
          </w:p>
        </w:tc>
      </w:tr>
      <w:tr w:rsidR="00000000">
        <w:trPr>
          <w:divId w:val="112018806"/>
          <w:trHeight w:val="240"/>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9"/>
            <w:vMerge/>
            <w:vAlign w:val="center"/>
            <w:hideMark/>
          </w:tcPr>
          <w:p w:rsidR="00000000" w:rsidRDefault="0061405A">
            <w:pPr>
              <w:rPr>
                <w:rFonts w:eastAsia="Times New Roman"/>
              </w:rPr>
            </w:pPr>
          </w:p>
        </w:tc>
        <w:tc>
          <w:tcPr>
            <w:tcW w:w="0" w:type="auto"/>
            <w:gridSpan w:val="3"/>
            <w:vMerge/>
            <w:vAlign w:val="center"/>
            <w:hideMark/>
          </w:tcPr>
          <w:p w:rsidR="00000000" w:rsidRDefault="0061405A">
            <w:pPr>
              <w:rPr>
                <w:rFonts w:eastAsia="Times New Roman"/>
              </w:rPr>
            </w:pPr>
          </w:p>
        </w:tc>
        <w:tc>
          <w:tcPr>
            <w:tcW w:w="0" w:type="auto"/>
            <w:gridSpan w:val="9"/>
            <w:vMerge/>
            <w:vAlign w:val="center"/>
            <w:hideMark/>
          </w:tcPr>
          <w:p w:rsidR="00000000" w:rsidRDefault="0061405A">
            <w:pPr>
              <w:rPr>
                <w:rFonts w:eastAsia="Times New Roman"/>
              </w:rPr>
            </w:pPr>
          </w:p>
        </w:tc>
        <w:tc>
          <w:tcPr>
            <w:tcW w:w="0" w:type="auto"/>
            <w:gridSpan w:val="3"/>
            <w:vMerge/>
            <w:vAlign w:val="center"/>
            <w:hideMark/>
          </w:tcPr>
          <w:p w:rsidR="00000000" w:rsidRDefault="0061405A">
            <w:pPr>
              <w:rPr>
                <w:rFonts w:eastAsia="Times New Roman"/>
              </w:rPr>
            </w:pPr>
          </w:p>
        </w:tc>
        <w:tc>
          <w:tcPr>
            <w:tcW w:w="0" w:type="auto"/>
            <w:gridSpan w:val="3"/>
            <w:vMerge/>
            <w:vAlign w:val="center"/>
            <w:hideMark/>
          </w:tcPr>
          <w:p w:rsidR="00000000" w:rsidRDefault="0061405A">
            <w:pPr>
              <w:rPr>
                <w:rFonts w:eastAsia="Times New Roman"/>
              </w:rPr>
            </w:pPr>
          </w:p>
        </w:tc>
        <w:tc>
          <w:tcPr>
            <w:tcW w:w="0" w:type="auto"/>
            <w:gridSpan w:val="3"/>
            <w:vMerge w:val="restart"/>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vMerge/>
            <w:vAlign w:val="center"/>
            <w:hideMark/>
          </w:tcPr>
          <w:p w:rsidR="00000000" w:rsidRDefault="0061405A">
            <w:pPr>
              <w:rPr>
                <w:rFonts w:eastAsia="Times New Roman"/>
              </w:rPr>
            </w:pPr>
          </w:p>
        </w:tc>
        <w:tc>
          <w:tcPr>
            <w:tcW w:w="0" w:type="auto"/>
            <w:gridSpan w:val="3"/>
            <w:vMerge/>
            <w:vAlign w:val="center"/>
            <w:hideMark/>
          </w:tcPr>
          <w:p w:rsidR="00000000" w:rsidRDefault="0061405A">
            <w:pPr>
              <w:rPr>
                <w:rFonts w:eastAsia="Times New Roman"/>
              </w:rPr>
            </w:pPr>
          </w:p>
        </w:tc>
        <w:tc>
          <w:tcPr>
            <w:tcW w:w="0" w:type="auto"/>
            <w:gridSpan w:val="3"/>
            <w:vMerge/>
            <w:vAlign w:val="center"/>
            <w:hideMark/>
          </w:tcPr>
          <w:p w:rsidR="00000000" w:rsidRDefault="0061405A">
            <w:pPr>
              <w:rPr>
                <w:rFonts w:eastAsia="Times New Roman"/>
              </w:rPr>
            </w:pPr>
          </w:p>
        </w:tc>
        <w:tc>
          <w:tcPr>
            <w:tcW w:w="0" w:type="auto"/>
            <w:vAlign w:val="center"/>
            <w:hideMark/>
          </w:tcPr>
          <w:p w:rsidR="00000000" w:rsidRDefault="0061405A">
            <w:pPr>
              <w:rPr>
                <w:rFonts w:eastAsia="Times New Roman"/>
                <w:sz w:val="20"/>
                <w:szCs w:val="20"/>
              </w:rPr>
            </w:pPr>
          </w:p>
        </w:tc>
      </w:tr>
      <w:tr w:rsidR="00000000">
        <w:trPr>
          <w:divId w:val="112018806"/>
          <w:trHeight w:val="240"/>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Amount</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4"/>
                <w:szCs w:val="14"/>
              </w:rPr>
              <w:t>Amount</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vMerge/>
            <w:vAlign w:val="center"/>
            <w:hideMark/>
          </w:tcPr>
          <w:p w:rsidR="00000000" w:rsidRDefault="0061405A">
            <w:pPr>
              <w:rPr>
                <w:rFonts w:eastAsia="Times New Roman"/>
              </w:rPr>
            </w:pPr>
          </w:p>
        </w:tc>
        <w:tc>
          <w:tcPr>
            <w:tcW w:w="0" w:type="auto"/>
            <w:gridSpan w:val="3"/>
            <w:vMerge/>
            <w:vAlign w:val="center"/>
            <w:hideMark/>
          </w:tcPr>
          <w:p w:rsidR="00000000" w:rsidRDefault="0061405A">
            <w:pPr>
              <w:rPr>
                <w:rFonts w:eastAsia="Times New Roman"/>
                <w:sz w:val="20"/>
                <w:szCs w:val="20"/>
              </w:rPr>
            </w:pPr>
          </w:p>
        </w:tc>
        <w:tc>
          <w:tcPr>
            <w:tcW w:w="0" w:type="auto"/>
            <w:gridSpan w:val="3"/>
            <w:vMerge/>
            <w:vAlign w:val="center"/>
            <w:hideMark/>
          </w:tcPr>
          <w:p w:rsidR="00000000" w:rsidRDefault="0061405A">
            <w:pPr>
              <w:rPr>
                <w:rFonts w:eastAsia="Times New Roman"/>
              </w:rPr>
            </w:pPr>
          </w:p>
        </w:tc>
        <w:tc>
          <w:tcPr>
            <w:tcW w:w="0" w:type="auto"/>
            <w:gridSpan w:val="3"/>
            <w:vMerge/>
            <w:vAlign w:val="center"/>
            <w:hideMark/>
          </w:tcPr>
          <w:p w:rsidR="00000000" w:rsidRDefault="0061405A">
            <w:pPr>
              <w:rPr>
                <w:rFonts w:eastAsia="Times New Roman"/>
              </w:rPr>
            </w:pPr>
          </w:p>
        </w:tc>
        <w:tc>
          <w:tcPr>
            <w:tcW w:w="0" w:type="auto"/>
            <w:gridSpan w:val="3"/>
            <w:vMerge/>
            <w:vAlign w:val="center"/>
            <w:hideMark/>
          </w:tcPr>
          <w:p w:rsidR="00000000" w:rsidRDefault="0061405A">
            <w:pPr>
              <w:rPr>
                <w:rFonts w:eastAsia="Times New Roman"/>
              </w:rPr>
            </w:pPr>
          </w:p>
        </w:tc>
        <w:tc>
          <w:tcPr>
            <w:tcW w:w="0" w:type="auto"/>
            <w:vAlign w:val="center"/>
            <w:hideMark/>
          </w:tcPr>
          <w:p w:rsidR="00000000" w:rsidRDefault="0061405A">
            <w:pPr>
              <w:rPr>
                <w:rFonts w:eastAsia="Times New Roman"/>
                <w:sz w:val="20"/>
                <w:szCs w:val="20"/>
              </w:rPr>
            </w:pPr>
          </w:p>
        </w:tc>
      </w:tr>
      <w:tr w:rsidR="0061405A">
        <w:trPr>
          <w:divId w:val="112018806"/>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Balance—January 2, 2018</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43,550,329 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2,423,871 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(35,000)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171,613 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(101,188)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35,861 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vAlign w:val="center"/>
            <w:hideMark/>
          </w:tcPr>
          <w:p w:rsidR="00000000" w:rsidRDefault="0061405A">
            <w:pPr>
              <w:jc w:val="right"/>
              <w:rPr>
                <w:rFonts w:eastAsia="Times New Roman"/>
                <w:sz w:val="20"/>
                <w:szCs w:val="20"/>
              </w:rPr>
            </w:pPr>
          </w:p>
        </w:tc>
      </w:tr>
      <w:tr w:rsidR="00000000">
        <w:trPr>
          <w:divId w:val="112018806"/>
        </w:trPr>
        <w:tc>
          <w:tcPr>
            <w:tcW w:w="0" w:type="auto"/>
            <w:gridSpan w:val="3"/>
            <w:shd w:val="clear" w:color="auto" w:fill="FFFFFF"/>
            <w:tcMar>
              <w:top w:w="30" w:type="dxa"/>
              <w:left w:w="155" w:type="dxa"/>
              <w:bottom w:w="30" w:type="dxa"/>
              <w:right w:w="20" w:type="dxa"/>
            </w:tcMar>
            <w:vAlign w:val="bottom"/>
            <w:hideMark/>
          </w:tcPr>
          <w:p w:rsidR="00000000" w:rsidRDefault="0061405A">
            <w:pPr>
              <w:rPr>
                <w:rFonts w:eastAsia="Times New Roman"/>
              </w:rPr>
            </w:pPr>
            <w:r>
              <w:rPr>
                <w:rFonts w:eastAsia="Times New Roman"/>
                <w:color w:val="000000"/>
                <w:sz w:val="14"/>
                <w:szCs w:val="14"/>
              </w:rPr>
              <w:t>Issuance of common stock in connection with a public offering, net of transaction expenses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2,500,000 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25 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22,967 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22,992 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vAlign w:val="center"/>
            <w:hideMark/>
          </w:tcPr>
          <w:p w:rsidR="00000000" w:rsidRDefault="0061405A">
            <w:pPr>
              <w:jc w:val="right"/>
              <w:rPr>
                <w:rFonts w:eastAsia="Times New Roman"/>
                <w:sz w:val="20"/>
                <w:szCs w:val="20"/>
              </w:rPr>
            </w:pPr>
          </w:p>
        </w:tc>
      </w:tr>
      <w:tr w:rsidR="00000000">
        <w:trPr>
          <w:divId w:val="112018806"/>
        </w:trPr>
        <w:tc>
          <w:tcPr>
            <w:tcW w:w="0" w:type="auto"/>
            <w:gridSpan w:val="3"/>
            <w:shd w:val="clear" w:color="auto" w:fill="CCEEFF"/>
            <w:tcMar>
              <w:top w:w="30" w:type="dxa"/>
              <w:left w:w="155" w:type="dxa"/>
              <w:bottom w:w="30" w:type="dxa"/>
              <w:right w:w="20" w:type="dxa"/>
            </w:tcMar>
            <w:vAlign w:val="bottom"/>
            <w:hideMark/>
          </w:tcPr>
          <w:p w:rsidR="00000000" w:rsidRDefault="0061405A">
            <w:pPr>
              <w:rPr>
                <w:rFonts w:eastAsia="Times New Roman"/>
              </w:rPr>
            </w:pPr>
            <w:r>
              <w:rPr>
                <w:rFonts w:eastAsia="Times New Roman"/>
                <w:color w:val="000000"/>
                <w:sz w:val="14"/>
                <w:szCs w:val="14"/>
              </w:rPr>
              <w:t>Stock plan transactions and other</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302,980 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746 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749 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vAlign w:val="center"/>
            <w:hideMark/>
          </w:tcPr>
          <w:p w:rsidR="00000000" w:rsidRDefault="0061405A">
            <w:pPr>
              <w:jc w:val="right"/>
              <w:rPr>
                <w:rFonts w:eastAsia="Times New Roman"/>
                <w:sz w:val="20"/>
                <w:szCs w:val="20"/>
              </w:rPr>
            </w:pPr>
          </w:p>
        </w:tc>
      </w:tr>
      <w:tr w:rsidR="00000000">
        <w:trPr>
          <w:divId w:val="112018806"/>
        </w:trPr>
        <w:tc>
          <w:tcPr>
            <w:tcW w:w="0" w:type="auto"/>
            <w:gridSpan w:val="3"/>
            <w:shd w:val="clear" w:color="auto" w:fill="FFFFFF"/>
            <w:tcMar>
              <w:top w:w="30" w:type="dxa"/>
              <w:left w:w="155" w:type="dxa"/>
              <w:bottom w:w="30" w:type="dxa"/>
              <w:right w:w="20" w:type="dxa"/>
            </w:tcMar>
            <w:vAlign w:val="bottom"/>
            <w:hideMark/>
          </w:tcPr>
          <w:p w:rsidR="00000000" w:rsidRDefault="0061405A">
            <w:pPr>
              <w:rPr>
                <w:rFonts w:eastAsia="Times New Roman"/>
              </w:rPr>
            </w:pPr>
            <w:r>
              <w:rPr>
                <w:rFonts w:eastAsia="Times New Roman"/>
                <w:color w:val="000000"/>
                <w:sz w:val="14"/>
                <w:szCs w:val="14"/>
              </w:rPr>
              <w:t>Stock-based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3,026 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3,026 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vAlign w:val="center"/>
            <w:hideMark/>
          </w:tcPr>
          <w:p w:rsidR="00000000" w:rsidRDefault="0061405A">
            <w:pPr>
              <w:jc w:val="right"/>
              <w:rPr>
                <w:rFonts w:eastAsia="Times New Roman"/>
                <w:sz w:val="20"/>
                <w:szCs w:val="20"/>
              </w:rPr>
            </w:pPr>
          </w:p>
        </w:tc>
      </w:tr>
      <w:tr w:rsidR="00000000">
        <w:trPr>
          <w:divId w:val="112018806"/>
        </w:trPr>
        <w:tc>
          <w:tcPr>
            <w:tcW w:w="0" w:type="auto"/>
            <w:gridSpan w:val="3"/>
            <w:shd w:val="clear" w:color="auto" w:fill="CCEEFF"/>
            <w:tcMar>
              <w:top w:w="30" w:type="dxa"/>
              <w:left w:w="155" w:type="dxa"/>
              <w:bottom w:w="30" w:type="dxa"/>
              <w:right w:w="20" w:type="dxa"/>
            </w:tcMar>
            <w:vAlign w:val="bottom"/>
            <w:hideMark/>
          </w:tcPr>
          <w:p w:rsidR="00000000" w:rsidRDefault="0061405A">
            <w:pPr>
              <w:rPr>
                <w:rFonts w:eastAsia="Times New Roman"/>
              </w:rPr>
            </w:pPr>
            <w:r>
              <w:rPr>
                <w:rFonts w:eastAsia="Times New Roman"/>
                <w:color w:val="000000"/>
                <w:sz w:val="14"/>
                <w:szCs w:val="14"/>
              </w:rPr>
              <w:t>Cumulative catch-up adjustment for ASC 60</w:t>
            </w:r>
            <w:r>
              <w:rPr>
                <w:rFonts w:eastAsia="Times New Roman"/>
                <w:color w:val="000000"/>
                <w:sz w:val="14"/>
                <w:szCs w:val="14"/>
              </w:rPr>
              <w:t>6</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(1,506)</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(1,506)</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vAlign w:val="center"/>
            <w:hideMark/>
          </w:tcPr>
          <w:p w:rsidR="00000000" w:rsidRDefault="0061405A">
            <w:pPr>
              <w:jc w:val="right"/>
              <w:rPr>
                <w:rFonts w:eastAsia="Times New Roman"/>
                <w:sz w:val="20"/>
                <w:szCs w:val="20"/>
              </w:rPr>
            </w:pPr>
          </w:p>
        </w:tc>
      </w:tr>
      <w:tr w:rsidR="00000000">
        <w:trPr>
          <w:divId w:val="112018806"/>
        </w:trPr>
        <w:tc>
          <w:tcPr>
            <w:tcW w:w="0" w:type="auto"/>
            <w:gridSpan w:val="3"/>
            <w:shd w:val="clear" w:color="auto" w:fill="FFFFFF"/>
            <w:tcMar>
              <w:top w:w="30" w:type="dxa"/>
              <w:left w:w="155" w:type="dxa"/>
              <w:bottom w:w="30" w:type="dxa"/>
              <w:right w:w="20" w:type="dxa"/>
            </w:tcMar>
            <w:vAlign w:val="bottom"/>
            <w:hideMark/>
          </w:tcPr>
          <w:p w:rsidR="00000000" w:rsidRDefault="0061405A">
            <w:pPr>
              <w:rPr>
                <w:rFonts w:eastAsia="Times New Roman"/>
              </w:rPr>
            </w:pPr>
            <w:r>
              <w:rPr>
                <w:rFonts w:eastAsia="Times New Roman"/>
                <w:color w:val="000000"/>
                <w:sz w:val="14"/>
                <w:szCs w:val="14"/>
              </w:rPr>
              <w:t>Net loss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(8,441)</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(8,441)</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vAlign w:val="center"/>
            <w:hideMark/>
          </w:tcPr>
          <w:p w:rsidR="00000000" w:rsidRDefault="0061405A">
            <w:pPr>
              <w:jc w:val="right"/>
              <w:rPr>
                <w:rFonts w:eastAsia="Times New Roman"/>
                <w:sz w:val="20"/>
                <w:szCs w:val="20"/>
              </w:rPr>
            </w:pPr>
          </w:p>
        </w:tc>
      </w:tr>
      <w:tr w:rsidR="00000000">
        <w:trPr>
          <w:divId w:val="112018806"/>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Balance—January 1, 2019</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46,353,309 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2,423,871 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(35,000)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198,352 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(111,135)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52,681 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vAlign w:val="center"/>
            <w:hideMark/>
          </w:tcPr>
          <w:p w:rsidR="00000000" w:rsidRDefault="0061405A">
            <w:pPr>
              <w:jc w:val="right"/>
              <w:rPr>
                <w:rFonts w:eastAsia="Times New Roman"/>
                <w:sz w:val="20"/>
                <w:szCs w:val="20"/>
              </w:rPr>
            </w:pPr>
          </w:p>
        </w:tc>
      </w:tr>
      <w:tr w:rsidR="00000000">
        <w:trPr>
          <w:divId w:val="112018806"/>
        </w:trPr>
        <w:tc>
          <w:tcPr>
            <w:tcW w:w="0" w:type="auto"/>
            <w:gridSpan w:val="3"/>
            <w:shd w:val="clear" w:color="auto" w:fill="FFFFFF"/>
            <w:tcMar>
              <w:top w:w="30" w:type="dxa"/>
              <w:left w:w="155" w:type="dxa"/>
              <w:bottom w:w="30" w:type="dxa"/>
              <w:right w:w="20" w:type="dxa"/>
            </w:tcMar>
            <w:vAlign w:val="bottom"/>
            <w:hideMark/>
          </w:tcPr>
          <w:p w:rsidR="00000000" w:rsidRDefault="0061405A">
            <w:pPr>
              <w:rPr>
                <w:rFonts w:eastAsia="Times New Roman"/>
              </w:rPr>
            </w:pPr>
            <w:r>
              <w:rPr>
                <w:rFonts w:eastAsia="Times New Roman"/>
                <w:color w:val="000000"/>
                <w:sz w:val="14"/>
                <w:szCs w:val="14"/>
              </w:rPr>
              <w:t>Stock plan transactions and other</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204,625 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(254)</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(252)</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vAlign w:val="center"/>
            <w:hideMark/>
          </w:tcPr>
          <w:p w:rsidR="00000000" w:rsidRDefault="0061405A">
            <w:pPr>
              <w:jc w:val="right"/>
              <w:rPr>
                <w:rFonts w:eastAsia="Times New Roman"/>
                <w:sz w:val="20"/>
                <w:szCs w:val="20"/>
              </w:rPr>
            </w:pPr>
          </w:p>
        </w:tc>
      </w:tr>
      <w:tr w:rsidR="00000000">
        <w:trPr>
          <w:divId w:val="112018806"/>
        </w:trPr>
        <w:tc>
          <w:tcPr>
            <w:tcW w:w="0" w:type="auto"/>
            <w:gridSpan w:val="3"/>
            <w:shd w:val="clear" w:color="auto" w:fill="CCEEFF"/>
            <w:tcMar>
              <w:top w:w="30" w:type="dxa"/>
              <w:left w:w="155" w:type="dxa"/>
              <w:bottom w:w="30" w:type="dxa"/>
              <w:right w:w="20" w:type="dxa"/>
            </w:tcMar>
            <w:vAlign w:val="bottom"/>
            <w:hideMark/>
          </w:tcPr>
          <w:p w:rsidR="00000000" w:rsidRDefault="0061405A">
            <w:pPr>
              <w:rPr>
                <w:rFonts w:eastAsia="Times New Roman"/>
              </w:rPr>
            </w:pPr>
            <w:r>
              <w:rPr>
                <w:rFonts w:eastAsia="Times New Roman"/>
                <w:color w:val="000000"/>
                <w:sz w:val="14"/>
                <w:szCs w:val="14"/>
              </w:rPr>
              <w:t>Stock-based compensation expense</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2,487 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2,487 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vAlign w:val="center"/>
            <w:hideMark/>
          </w:tcPr>
          <w:p w:rsidR="00000000" w:rsidRDefault="0061405A">
            <w:pPr>
              <w:jc w:val="right"/>
              <w:rPr>
                <w:rFonts w:eastAsia="Times New Roman"/>
                <w:sz w:val="20"/>
                <w:szCs w:val="20"/>
              </w:rPr>
            </w:pPr>
          </w:p>
        </w:tc>
      </w:tr>
      <w:tr w:rsidR="00000000">
        <w:trPr>
          <w:divId w:val="112018806"/>
        </w:trPr>
        <w:tc>
          <w:tcPr>
            <w:tcW w:w="0" w:type="auto"/>
            <w:gridSpan w:val="3"/>
            <w:shd w:val="clear" w:color="auto" w:fill="FFFFFF"/>
            <w:tcMar>
              <w:top w:w="30" w:type="dxa"/>
              <w:left w:w="155" w:type="dxa"/>
              <w:bottom w:w="30" w:type="dxa"/>
              <w:right w:w="20" w:type="dxa"/>
            </w:tcMar>
            <w:vAlign w:val="bottom"/>
            <w:hideMark/>
          </w:tcPr>
          <w:p w:rsidR="00000000" w:rsidRDefault="0061405A">
            <w:pPr>
              <w:rPr>
                <w:rFonts w:eastAsia="Times New Roman"/>
              </w:rPr>
            </w:pPr>
            <w:r>
              <w:rPr>
                <w:rFonts w:eastAsia="Times New Roman"/>
                <w:color w:val="000000"/>
                <w:sz w:val="14"/>
                <w:szCs w:val="14"/>
              </w:rPr>
              <w:t>Cumulative catch-up adjustment for ASC 84</w:t>
            </w:r>
            <w:r>
              <w:rPr>
                <w:rFonts w:eastAsia="Times New Roman"/>
                <w:color w:val="000000"/>
                <w:sz w:val="14"/>
                <w:szCs w:val="14"/>
              </w:rPr>
              <w:t>2</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(5,992)</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(5,992)</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vAlign w:val="center"/>
            <w:hideMark/>
          </w:tcPr>
          <w:p w:rsidR="00000000" w:rsidRDefault="0061405A">
            <w:pPr>
              <w:jc w:val="right"/>
              <w:rPr>
                <w:rFonts w:eastAsia="Times New Roman"/>
                <w:sz w:val="20"/>
                <w:szCs w:val="20"/>
              </w:rPr>
            </w:pPr>
          </w:p>
        </w:tc>
      </w:tr>
      <w:tr w:rsidR="00000000">
        <w:trPr>
          <w:divId w:val="112018806"/>
        </w:trPr>
        <w:tc>
          <w:tcPr>
            <w:tcW w:w="0" w:type="auto"/>
            <w:gridSpan w:val="3"/>
            <w:shd w:val="clear" w:color="auto" w:fill="CCEEFF"/>
            <w:tcMar>
              <w:top w:w="30" w:type="dxa"/>
              <w:left w:w="155" w:type="dxa"/>
              <w:bottom w:w="30" w:type="dxa"/>
              <w:right w:w="20" w:type="dxa"/>
            </w:tcMar>
            <w:vAlign w:val="bottom"/>
            <w:hideMark/>
          </w:tcPr>
          <w:p w:rsidR="00000000" w:rsidRDefault="0061405A">
            <w:pPr>
              <w:rPr>
                <w:rFonts w:eastAsia="Times New Roman"/>
              </w:rPr>
            </w:pPr>
            <w:r>
              <w:rPr>
                <w:rFonts w:eastAsia="Times New Roman"/>
                <w:color w:val="000000"/>
                <w:sz w:val="14"/>
                <w:szCs w:val="14"/>
              </w:rPr>
              <w:t>Net income</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1,647 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1,647 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vAlign w:val="center"/>
            <w:hideMark/>
          </w:tcPr>
          <w:p w:rsidR="00000000" w:rsidRDefault="0061405A">
            <w:pPr>
              <w:jc w:val="right"/>
              <w:rPr>
                <w:rFonts w:eastAsia="Times New Roman"/>
                <w:sz w:val="20"/>
                <w:szCs w:val="20"/>
              </w:rPr>
            </w:pPr>
          </w:p>
        </w:tc>
      </w:tr>
      <w:tr w:rsidR="00000000">
        <w:trPr>
          <w:divId w:val="112018806"/>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Balance—December 31, 2019</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46,557,934 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2,423,871 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(35,000)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200,585 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(115,480)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50,571 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vAlign w:val="center"/>
            <w:hideMark/>
          </w:tcPr>
          <w:p w:rsidR="00000000" w:rsidRDefault="0061405A">
            <w:pPr>
              <w:jc w:val="right"/>
              <w:rPr>
                <w:rFonts w:eastAsia="Times New Roman"/>
                <w:sz w:val="20"/>
                <w:szCs w:val="20"/>
              </w:rPr>
            </w:pPr>
          </w:p>
        </w:tc>
      </w:tr>
      <w:tr w:rsidR="00000000">
        <w:trPr>
          <w:divId w:val="112018806"/>
        </w:trPr>
        <w:tc>
          <w:tcPr>
            <w:tcW w:w="0" w:type="auto"/>
            <w:gridSpan w:val="3"/>
            <w:shd w:val="clear" w:color="auto" w:fill="CCEEFF"/>
            <w:tcMar>
              <w:top w:w="30" w:type="dxa"/>
              <w:left w:w="155" w:type="dxa"/>
              <w:bottom w:w="30" w:type="dxa"/>
              <w:right w:w="20" w:type="dxa"/>
            </w:tcMar>
            <w:vAlign w:val="bottom"/>
            <w:hideMark/>
          </w:tcPr>
          <w:p w:rsidR="00000000" w:rsidRDefault="0061405A">
            <w:pPr>
              <w:rPr>
                <w:rFonts w:eastAsia="Times New Roman"/>
              </w:rPr>
            </w:pPr>
            <w:r>
              <w:rPr>
                <w:rFonts w:eastAsia="Times New Roman"/>
                <w:color w:val="000000"/>
                <w:sz w:val="14"/>
                <w:szCs w:val="14"/>
              </w:rPr>
              <w:t>Stock plan transactions and other</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249,653 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(176)</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(174)</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vAlign w:val="center"/>
            <w:hideMark/>
          </w:tcPr>
          <w:p w:rsidR="00000000" w:rsidRDefault="0061405A">
            <w:pPr>
              <w:jc w:val="right"/>
              <w:rPr>
                <w:rFonts w:eastAsia="Times New Roman"/>
                <w:sz w:val="20"/>
                <w:szCs w:val="20"/>
              </w:rPr>
            </w:pPr>
          </w:p>
        </w:tc>
      </w:tr>
      <w:tr w:rsidR="00000000">
        <w:trPr>
          <w:divId w:val="112018806"/>
        </w:trPr>
        <w:tc>
          <w:tcPr>
            <w:tcW w:w="0" w:type="auto"/>
            <w:gridSpan w:val="3"/>
            <w:shd w:val="clear" w:color="auto" w:fill="FFFFFF"/>
            <w:tcMar>
              <w:top w:w="30" w:type="dxa"/>
              <w:left w:w="155" w:type="dxa"/>
              <w:bottom w:w="30" w:type="dxa"/>
              <w:right w:w="20" w:type="dxa"/>
            </w:tcMar>
            <w:vAlign w:val="bottom"/>
            <w:hideMark/>
          </w:tcPr>
          <w:p w:rsidR="00000000" w:rsidRDefault="0061405A">
            <w:pPr>
              <w:rPr>
                <w:rFonts w:eastAsia="Times New Roman"/>
              </w:rPr>
            </w:pPr>
            <w:r>
              <w:rPr>
                <w:rFonts w:eastAsia="Times New Roman"/>
                <w:color w:val="000000"/>
                <w:sz w:val="14"/>
                <w:szCs w:val="14"/>
              </w:rPr>
              <w:t>Stock-based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2,561 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2,561 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vAlign w:val="center"/>
            <w:hideMark/>
          </w:tcPr>
          <w:p w:rsidR="00000000" w:rsidRDefault="0061405A">
            <w:pPr>
              <w:jc w:val="right"/>
              <w:rPr>
                <w:rFonts w:eastAsia="Times New Roman"/>
                <w:sz w:val="20"/>
                <w:szCs w:val="20"/>
              </w:rPr>
            </w:pPr>
          </w:p>
        </w:tc>
      </w:tr>
      <w:tr w:rsidR="00000000">
        <w:trPr>
          <w:divId w:val="112018806"/>
        </w:trPr>
        <w:tc>
          <w:tcPr>
            <w:tcW w:w="0" w:type="auto"/>
            <w:gridSpan w:val="3"/>
            <w:shd w:val="clear" w:color="auto" w:fill="CCEEFF"/>
            <w:tcMar>
              <w:top w:w="30" w:type="dxa"/>
              <w:left w:w="155" w:type="dxa"/>
              <w:bottom w:w="30" w:type="dxa"/>
              <w:right w:w="20" w:type="dxa"/>
            </w:tcMar>
            <w:vAlign w:val="bottom"/>
            <w:hideMark/>
          </w:tcPr>
          <w:p w:rsidR="00000000" w:rsidRDefault="0061405A">
            <w:pPr>
              <w:rPr>
                <w:rFonts w:eastAsia="Times New Roman"/>
              </w:rPr>
            </w:pPr>
            <w:r>
              <w:rPr>
                <w:rFonts w:eastAsia="Times New Roman"/>
                <w:color w:val="000000"/>
                <w:sz w:val="14"/>
                <w:szCs w:val="14"/>
              </w:rPr>
              <w:t>Net loss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(23,259)</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(23,259)</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vAlign w:val="center"/>
            <w:hideMark/>
          </w:tcPr>
          <w:p w:rsidR="00000000" w:rsidRDefault="0061405A">
            <w:pPr>
              <w:jc w:val="right"/>
              <w:rPr>
                <w:rFonts w:eastAsia="Times New Roman"/>
                <w:sz w:val="20"/>
                <w:szCs w:val="20"/>
              </w:rPr>
            </w:pPr>
          </w:p>
        </w:tc>
      </w:tr>
      <w:tr w:rsidR="0061405A">
        <w:trPr>
          <w:divId w:val="112018806"/>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4"/>
                <w:szCs w:val="14"/>
              </w:rPr>
              <w:t>Balance—December 29, 2020</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46,807,587 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468 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2,423,871 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(35,000)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202,970 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(138,739)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4"/>
                <w:szCs w:val="14"/>
              </w:rPr>
              <w:t>29,699 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vAlign w:val="center"/>
            <w:hideMark/>
          </w:tcPr>
          <w:p w:rsidR="00000000" w:rsidRDefault="0061405A">
            <w:pPr>
              <w:jc w:val="right"/>
              <w:rPr>
                <w:rFonts w:eastAsia="Times New Roman"/>
                <w:sz w:val="20"/>
                <w:szCs w:val="20"/>
              </w:rPr>
            </w:pPr>
          </w:p>
        </w:tc>
      </w:tr>
    </w:tbl>
    <w:p w:rsidR="00000000" w:rsidRDefault="0061405A">
      <w:pPr>
        <w:divId w:val="1550846810"/>
        <w:rPr>
          <w:rFonts w:eastAsia="Times New Roman"/>
        </w:rPr>
      </w:pPr>
      <w:r>
        <w:rPr>
          <w:rFonts w:eastAsia="Times New Roman"/>
          <w:color w:val="000000"/>
          <w:sz w:val="20"/>
          <w:szCs w:val="20"/>
        </w:rPr>
        <w:t>_____________</w:t>
      </w:r>
    </w:p>
    <w:p w:rsidR="00000000" w:rsidRDefault="0061405A">
      <w:pPr>
        <w:ind w:hanging="720"/>
        <w:divId w:val="393621527"/>
        <w:rPr>
          <w:rFonts w:eastAsia="Times New Roman"/>
        </w:rPr>
      </w:pPr>
      <w:r>
        <w:rPr>
          <w:rFonts w:eastAsia="Times New Roman"/>
          <w:color w:val="000000"/>
          <w:sz w:val="16"/>
          <w:szCs w:val="16"/>
        </w:rPr>
        <w:t>(1)Unless otherwise noted, activity relates to Class A common stock.</w:t>
      </w:r>
    </w:p>
    <w:p w:rsidR="00000000" w:rsidRDefault="0061405A">
      <w:pPr>
        <w:ind w:hanging="720"/>
        <w:divId w:val="1784181589"/>
        <w:rPr>
          <w:rFonts w:eastAsia="Times New Roman"/>
        </w:rPr>
      </w:pPr>
      <w:r>
        <w:rPr>
          <w:rFonts w:eastAsia="Times New Roman"/>
          <w:color w:val="000000"/>
          <w:sz w:val="16"/>
          <w:szCs w:val="16"/>
        </w:rPr>
        <w:t>(2)On May 24, 2018, 1,522,098 shares of Class B common stock were converted into the same number of the Company’s Cl</w:t>
      </w:r>
      <w:r>
        <w:rPr>
          <w:rFonts w:eastAsia="Times New Roman"/>
          <w:color w:val="000000"/>
          <w:sz w:val="16"/>
          <w:szCs w:val="16"/>
        </w:rPr>
        <w:t>ass A common stock. As a result of the conversion, no shares of the Company’s Class B common stock are outstanding following the conversion.</w:t>
      </w:r>
    </w:p>
    <w:p w:rsidR="00000000" w:rsidRDefault="0061405A">
      <w:pPr>
        <w:jc w:val="center"/>
        <w:rPr>
          <w:rFonts w:eastAsia="Times New Roman"/>
        </w:rPr>
      </w:pPr>
    </w:p>
    <w:p w:rsidR="00000000" w:rsidRDefault="0061405A">
      <w:pPr>
        <w:jc w:val="center"/>
        <w:rPr>
          <w:rFonts w:eastAsia="Times New Roman"/>
        </w:rPr>
      </w:pPr>
      <w:r>
        <w:rPr>
          <w:rFonts w:eastAsia="Times New Roman"/>
          <w:i/>
          <w:iCs/>
          <w:color w:val="000000"/>
          <w:sz w:val="20"/>
          <w:szCs w:val="20"/>
        </w:rPr>
        <w:t>See accompanying notes to consolidated financial statements.</w:t>
      </w:r>
    </w:p>
    <w:p w:rsidR="00000000" w:rsidRDefault="0061405A">
      <w:pPr>
        <w:jc w:val="center"/>
        <w:divId w:val="999121028"/>
        <w:rPr>
          <w:rFonts w:eastAsia="Times New Roman"/>
        </w:rPr>
      </w:pPr>
      <w:r>
        <w:rPr>
          <w:rFonts w:eastAsia="Times New Roman"/>
          <w:color w:val="000000"/>
          <w:sz w:val="20"/>
          <w:szCs w:val="20"/>
        </w:rPr>
        <w:t>50</w:t>
      </w:r>
    </w:p>
    <w:p w:rsidR="00000000" w:rsidRDefault="0061405A">
      <w:pPr>
        <w:rPr>
          <w:rFonts w:eastAsia="Times New Roman"/>
        </w:rPr>
      </w:pPr>
      <w:r>
        <w:rPr>
          <w:rFonts w:eastAsia="Times New Roman"/>
        </w:rPr>
        <w:pict>
          <v:rect id="_x0000_i1077" style="width:0;height:1.5pt" o:hralign="center" o:hrstd="t" o:hr="t" fillcolor="#a0a0a0" stroked="f"/>
        </w:pict>
      </w:r>
    </w:p>
    <w:p w:rsidR="00000000" w:rsidRDefault="0061405A">
      <w:pPr>
        <w:divId w:val="83108205"/>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center"/>
        <w:divId w:val="169955410"/>
        <w:rPr>
          <w:rFonts w:eastAsia="Times New Roman"/>
        </w:rPr>
      </w:pPr>
      <w:r>
        <w:rPr>
          <w:rFonts w:eastAsia="Times New Roman"/>
          <w:b/>
          <w:bCs/>
          <w:color w:val="000000"/>
          <w:sz w:val="20"/>
          <w:szCs w:val="20"/>
        </w:rPr>
        <w:t>Noodles &amp; Company</w:t>
      </w:r>
    </w:p>
    <w:p w:rsidR="00000000" w:rsidRDefault="0061405A">
      <w:pPr>
        <w:jc w:val="center"/>
        <w:divId w:val="169955410"/>
        <w:rPr>
          <w:rFonts w:eastAsia="Times New Roman"/>
        </w:rPr>
      </w:pPr>
      <w:r>
        <w:rPr>
          <w:rFonts w:eastAsia="Times New Roman"/>
          <w:b/>
          <w:bCs/>
          <w:color w:val="000000"/>
          <w:sz w:val="20"/>
          <w:szCs w:val="20"/>
        </w:rPr>
        <w:t>Consolidated Statements of Cash Flows</w:t>
      </w:r>
    </w:p>
    <w:p w:rsidR="00000000" w:rsidRDefault="0061405A">
      <w:pPr>
        <w:jc w:val="center"/>
        <w:divId w:val="1924298373"/>
        <w:rPr>
          <w:rFonts w:eastAsia="Times New Roman"/>
        </w:rPr>
      </w:pPr>
      <w:r>
        <w:rPr>
          <w:rFonts w:eastAsia="Times New Roman"/>
          <w:b/>
          <w:bCs/>
          <w:color w:val="000000"/>
          <w:sz w:val="20"/>
          <w:szCs w:val="20"/>
        </w:rPr>
        <w:t>(in thousands)</w:t>
      </w:r>
    </w:p>
    <w:tbl>
      <w:tblPr>
        <w:tblW w:w="4992" w:type="pct"/>
        <w:tblCellMar>
          <w:top w:w="15" w:type="dxa"/>
          <w:left w:w="15" w:type="dxa"/>
          <w:bottom w:w="15" w:type="dxa"/>
          <w:right w:w="15" w:type="dxa"/>
        </w:tblCellMar>
        <w:tblLook w:val="04A0" w:firstRow="1" w:lastRow="0" w:firstColumn="1" w:lastColumn="0" w:noHBand="0" w:noVBand="1"/>
      </w:tblPr>
      <w:tblGrid>
        <w:gridCol w:w="40"/>
        <w:gridCol w:w="5114"/>
        <w:gridCol w:w="39"/>
        <w:gridCol w:w="36"/>
        <w:gridCol w:w="36"/>
        <w:gridCol w:w="36"/>
        <w:gridCol w:w="111"/>
        <w:gridCol w:w="777"/>
        <w:gridCol w:w="36"/>
        <w:gridCol w:w="36"/>
        <w:gridCol w:w="36"/>
        <w:gridCol w:w="36"/>
        <w:gridCol w:w="111"/>
        <w:gridCol w:w="779"/>
        <w:gridCol w:w="36"/>
        <w:gridCol w:w="36"/>
        <w:gridCol w:w="36"/>
        <w:gridCol w:w="36"/>
        <w:gridCol w:w="111"/>
        <w:gridCol w:w="779"/>
        <w:gridCol w:w="36"/>
      </w:tblGrid>
      <w:tr w:rsidR="00000000">
        <w:trPr>
          <w:divId w:val="867064390"/>
        </w:trPr>
        <w:tc>
          <w:tcPr>
            <w:tcW w:w="50" w:type="pct"/>
            <w:vAlign w:val="center"/>
            <w:hideMark/>
          </w:tcPr>
          <w:p w:rsidR="00000000" w:rsidRDefault="0061405A">
            <w:pPr>
              <w:jc w:val="center"/>
              <w:rPr>
                <w:rFonts w:eastAsia="Times New Roman"/>
              </w:rPr>
            </w:pPr>
          </w:p>
        </w:tc>
        <w:tc>
          <w:tcPr>
            <w:tcW w:w="311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2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2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2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867064390"/>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18"/>
                <w:szCs w:val="18"/>
              </w:rPr>
              <w:t> </w:t>
            </w:r>
          </w:p>
        </w:tc>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15"/>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8"/>
                <w:szCs w:val="18"/>
              </w:rPr>
              <w:t>Fiscal Year Ended</w:t>
            </w:r>
          </w:p>
        </w:tc>
      </w:tr>
      <w:tr w:rsidR="00000000">
        <w:trPr>
          <w:divId w:val="867064390"/>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18"/>
                <w:szCs w:val="18"/>
              </w:rPr>
              <w:t> </w:t>
            </w:r>
          </w:p>
        </w:tc>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8"/>
                <w:szCs w:val="18"/>
              </w:rPr>
              <w:t>December 29,</w:t>
            </w:r>
            <w:r>
              <w:rPr>
                <w:rFonts w:eastAsia="Times New Roman"/>
                <w:b/>
                <w:bCs/>
                <w:color w:val="000000"/>
                <w:sz w:val="18"/>
                <w:szCs w:val="18"/>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8"/>
                <w:szCs w:val="18"/>
              </w:rPr>
              <w:t>December 31,</w:t>
            </w:r>
            <w:r>
              <w:rPr>
                <w:rFonts w:eastAsia="Times New Roman"/>
                <w:b/>
                <w:bCs/>
                <w:color w:val="000000"/>
                <w:sz w:val="18"/>
                <w:szCs w:val="18"/>
              </w:rPr>
              <w:b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8"/>
                <w:szCs w:val="18"/>
              </w:rPr>
              <w:t>January 1,</w:t>
            </w:r>
            <w:r>
              <w:rPr>
                <w:rFonts w:eastAsia="Times New Roman"/>
                <w:b/>
                <w:bCs/>
                <w:color w:val="000000"/>
                <w:sz w:val="18"/>
                <w:szCs w:val="18"/>
              </w:rPr>
              <w:br/>
              <w:t>2019</w:t>
            </w:r>
          </w:p>
        </w:tc>
      </w:tr>
      <w:tr w:rsidR="00000000">
        <w:trPr>
          <w:divId w:val="867064390"/>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18"/>
                <w:szCs w:val="18"/>
              </w:rPr>
              <w:t>Operating activities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 </w:t>
            </w:r>
          </w:p>
        </w:tc>
      </w:tr>
      <w:tr w:rsidR="00000000">
        <w:trPr>
          <w:divId w:val="867064390"/>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Net (loss) income</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(23,259)</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1,647 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(8,441)</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867064390"/>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Adjustments to reconcile net (loss) income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 </w:t>
            </w:r>
          </w:p>
        </w:tc>
      </w:tr>
      <w:tr w:rsidR="00000000">
        <w:trPr>
          <w:divId w:val="867064390"/>
        </w:trPr>
        <w:tc>
          <w:tcPr>
            <w:tcW w:w="0" w:type="auto"/>
            <w:gridSpan w:val="3"/>
            <w:shd w:val="clear" w:color="auto" w:fill="FFFF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8"/>
                <w:szCs w:val="18"/>
              </w:rPr>
              <w:t>Depreciation and amortization</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21,709 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22,086 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22,872 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867064390"/>
        </w:trPr>
        <w:tc>
          <w:tcPr>
            <w:tcW w:w="0" w:type="auto"/>
            <w:gridSpan w:val="3"/>
            <w:shd w:val="clear" w:color="auto" w:fill="CCEE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8"/>
                <w:szCs w:val="18"/>
              </w:rPr>
              <w:t>Deferred income taxes, net</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68 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(283)</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867064390"/>
        </w:trPr>
        <w:tc>
          <w:tcPr>
            <w:tcW w:w="0" w:type="auto"/>
            <w:gridSpan w:val="3"/>
            <w:shd w:val="clear" w:color="auto" w:fill="FFFF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8"/>
                <w:szCs w:val="18"/>
              </w:rPr>
              <w:t>Restaurant impairments, closure costs and asset disposals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4,782 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7,808 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6,992 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867064390"/>
        </w:trPr>
        <w:tc>
          <w:tcPr>
            <w:tcW w:w="0" w:type="auto"/>
            <w:gridSpan w:val="3"/>
            <w:shd w:val="clear" w:color="auto" w:fill="CCEE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8"/>
                <w:szCs w:val="18"/>
              </w:rPr>
              <w:t>Loss on extinguishment of debt</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746 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626 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867064390"/>
        </w:trPr>
        <w:tc>
          <w:tcPr>
            <w:tcW w:w="0" w:type="auto"/>
            <w:gridSpan w:val="3"/>
            <w:shd w:val="clear" w:color="auto" w:fill="FFFF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8"/>
                <w:szCs w:val="18"/>
              </w:rPr>
              <w:t>Amortization of debt issuance costs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371 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474 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607 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867064390"/>
        </w:trPr>
        <w:tc>
          <w:tcPr>
            <w:tcW w:w="0" w:type="auto"/>
            <w:gridSpan w:val="3"/>
            <w:shd w:val="clear" w:color="auto" w:fill="CCEE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8"/>
                <w:szCs w:val="18"/>
              </w:rPr>
              <w:t>Stock-based compensation</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2,497 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2,443 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2,979 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867064390"/>
        </w:trPr>
        <w:tc>
          <w:tcPr>
            <w:tcW w:w="0" w:type="auto"/>
            <w:gridSpan w:val="3"/>
            <w:shd w:val="clear" w:color="auto" w:fill="FFFF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8"/>
                <w:szCs w:val="18"/>
              </w:rPr>
              <w:t>Gain on insurance proceeds received for property damage</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(200)</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(489)</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(370)</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867064390"/>
        </w:trPr>
        <w:tc>
          <w:tcPr>
            <w:tcW w:w="0" w:type="auto"/>
            <w:gridSpan w:val="3"/>
            <w:shd w:val="clear" w:color="auto" w:fill="CCEE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8"/>
                <w:szCs w:val="18"/>
              </w:rPr>
              <w:t>Changes in operating assets and liabilities: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 </w:t>
            </w:r>
          </w:p>
        </w:tc>
      </w:tr>
      <w:tr w:rsidR="00000000">
        <w:trPr>
          <w:divId w:val="867064390"/>
        </w:trPr>
        <w:tc>
          <w:tcPr>
            <w:tcW w:w="0" w:type="auto"/>
            <w:gridSpan w:val="3"/>
            <w:shd w:val="clear" w:color="auto" w:fill="FFFFFF"/>
            <w:tcMar>
              <w:top w:w="30" w:type="dxa"/>
              <w:left w:w="515" w:type="dxa"/>
              <w:bottom w:w="30" w:type="dxa"/>
              <w:right w:w="20" w:type="dxa"/>
            </w:tcMar>
            <w:vAlign w:val="bottom"/>
            <w:hideMark/>
          </w:tcPr>
          <w:p w:rsidR="00000000" w:rsidRDefault="0061405A">
            <w:pPr>
              <w:rPr>
                <w:rFonts w:eastAsia="Times New Roman"/>
              </w:rPr>
            </w:pPr>
            <w:r>
              <w:rPr>
                <w:rFonts w:eastAsia="Times New Roman"/>
                <w:color w:val="000000"/>
                <w:sz w:val="18"/>
                <w:szCs w:val="18"/>
              </w:rPr>
              <w:t>Accounts receivable</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(392)</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(630)</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91 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867064390"/>
        </w:trPr>
        <w:tc>
          <w:tcPr>
            <w:tcW w:w="0" w:type="auto"/>
            <w:gridSpan w:val="3"/>
            <w:shd w:val="clear" w:color="auto" w:fill="CCEEFF"/>
            <w:tcMar>
              <w:top w:w="30" w:type="dxa"/>
              <w:left w:w="515" w:type="dxa"/>
              <w:bottom w:w="30" w:type="dxa"/>
              <w:right w:w="20" w:type="dxa"/>
            </w:tcMar>
            <w:vAlign w:val="bottom"/>
            <w:hideMark/>
          </w:tcPr>
          <w:p w:rsidR="00000000" w:rsidRDefault="0061405A">
            <w:pPr>
              <w:rPr>
                <w:rFonts w:eastAsia="Times New Roman"/>
              </w:rPr>
            </w:pPr>
            <w:r>
              <w:rPr>
                <w:rFonts w:eastAsia="Times New Roman"/>
                <w:color w:val="000000"/>
                <w:sz w:val="18"/>
                <w:szCs w:val="18"/>
              </w:rPr>
              <w:t>Inventories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61 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(625)</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(541)</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867064390"/>
        </w:trPr>
        <w:tc>
          <w:tcPr>
            <w:tcW w:w="0" w:type="auto"/>
            <w:gridSpan w:val="3"/>
            <w:shd w:val="clear" w:color="auto" w:fill="FFFFFF"/>
            <w:tcMar>
              <w:top w:w="30" w:type="dxa"/>
              <w:left w:w="515" w:type="dxa"/>
              <w:bottom w:w="30" w:type="dxa"/>
              <w:right w:w="20" w:type="dxa"/>
            </w:tcMar>
            <w:vAlign w:val="bottom"/>
            <w:hideMark/>
          </w:tcPr>
          <w:p w:rsidR="00000000" w:rsidRDefault="0061405A">
            <w:pPr>
              <w:rPr>
                <w:rFonts w:eastAsia="Times New Roman"/>
              </w:rPr>
            </w:pPr>
            <w:r>
              <w:rPr>
                <w:rFonts w:eastAsia="Times New Roman"/>
                <w:color w:val="000000"/>
                <w:sz w:val="18"/>
                <w:szCs w:val="18"/>
              </w:rPr>
              <w:t>Prepaid expenses and other assets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(14)</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(690)</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185 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867064390"/>
        </w:trPr>
        <w:tc>
          <w:tcPr>
            <w:tcW w:w="0" w:type="auto"/>
            <w:gridSpan w:val="3"/>
            <w:shd w:val="clear" w:color="auto" w:fill="CCEEFF"/>
            <w:tcMar>
              <w:top w:w="30" w:type="dxa"/>
              <w:left w:w="515" w:type="dxa"/>
              <w:bottom w:w="30" w:type="dxa"/>
              <w:right w:w="20" w:type="dxa"/>
            </w:tcMar>
            <w:vAlign w:val="bottom"/>
            <w:hideMark/>
          </w:tcPr>
          <w:p w:rsidR="00000000" w:rsidRDefault="0061405A">
            <w:pPr>
              <w:rPr>
                <w:rFonts w:eastAsia="Times New Roman"/>
              </w:rPr>
            </w:pPr>
            <w:r>
              <w:rPr>
                <w:rFonts w:eastAsia="Times New Roman"/>
                <w:color w:val="000000"/>
                <w:sz w:val="18"/>
                <w:szCs w:val="18"/>
              </w:rPr>
              <w:t>Accounts payable</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(1,287)</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406 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(1,580)</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867064390"/>
        </w:trPr>
        <w:tc>
          <w:tcPr>
            <w:tcW w:w="0" w:type="auto"/>
            <w:gridSpan w:val="3"/>
            <w:shd w:val="clear" w:color="auto" w:fill="FFFFFF"/>
            <w:tcMar>
              <w:top w:w="30" w:type="dxa"/>
              <w:left w:w="515" w:type="dxa"/>
              <w:bottom w:w="30" w:type="dxa"/>
              <w:right w:w="20" w:type="dxa"/>
            </w:tcMar>
            <w:vAlign w:val="bottom"/>
            <w:hideMark/>
          </w:tcPr>
          <w:p w:rsidR="00000000" w:rsidRDefault="0061405A">
            <w:pPr>
              <w:rPr>
                <w:rFonts w:eastAsia="Times New Roman"/>
              </w:rPr>
            </w:pPr>
            <w:r>
              <w:rPr>
                <w:rFonts w:eastAsia="Times New Roman"/>
                <w:color w:val="000000"/>
                <w:sz w:val="18"/>
                <w:szCs w:val="18"/>
              </w:rPr>
              <w:t>Deferred rent</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(1,396)</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867064390"/>
        </w:trPr>
        <w:tc>
          <w:tcPr>
            <w:tcW w:w="0" w:type="auto"/>
            <w:gridSpan w:val="3"/>
            <w:shd w:val="clear" w:color="auto" w:fill="CCEEFF"/>
            <w:tcMar>
              <w:top w:w="30" w:type="dxa"/>
              <w:left w:w="515" w:type="dxa"/>
              <w:bottom w:w="30" w:type="dxa"/>
              <w:right w:w="20" w:type="dxa"/>
            </w:tcMar>
            <w:vAlign w:val="bottom"/>
            <w:hideMark/>
          </w:tcPr>
          <w:p w:rsidR="00000000" w:rsidRDefault="0061405A">
            <w:pPr>
              <w:rPr>
                <w:rFonts w:eastAsia="Times New Roman"/>
              </w:rPr>
            </w:pPr>
            <w:r>
              <w:rPr>
                <w:rFonts w:eastAsia="Times New Roman"/>
                <w:color w:val="000000"/>
                <w:sz w:val="18"/>
                <w:szCs w:val="18"/>
              </w:rPr>
              <w:t>Operating lease assets and liabilities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2,847 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(2,202)</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867064390"/>
        </w:trPr>
        <w:tc>
          <w:tcPr>
            <w:tcW w:w="0" w:type="auto"/>
            <w:gridSpan w:val="3"/>
            <w:shd w:val="clear" w:color="auto" w:fill="FFFFFF"/>
            <w:tcMar>
              <w:top w:w="30" w:type="dxa"/>
              <w:left w:w="515" w:type="dxa"/>
              <w:bottom w:w="30" w:type="dxa"/>
              <w:right w:w="20" w:type="dxa"/>
            </w:tcMar>
            <w:vAlign w:val="bottom"/>
            <w:hideMark/>
          </w:tcPr>
          <w:p w:rsidR="00000000" w:rsidRDefault="0061405A">
            <w:pPr>
              <w:rPr>
                <w:rFonts w:eastAsia="Times New Roman"/>
              </w:rPr>
            </w:pPr>
            <w:r>
              <w:rPr>
                <w:rFonts w:eastAsia="Times New Roman"/>
                <w:color w:val="000000"/>
                <w:sz w:val="18"/>
                <w:szCs w:val="18"/>
              </w:rPr>
              <w:t>Income taxes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59 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82 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(109)</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867064390"/>
        </w:trPr>
        <w:tc>
          <w:tcPr>
            <w:tcW w:w="0" w:type="auto"/>
            <w:gridSpan w:val="3"/>
            <w:shd w:val="clear" w:color="auto" w:fill="CCEEFF"/>
            <w:tcMar>
              <w:top w:w="30" w:type="dxa"/>
              <w:left w:w="515" w:type="dxa"/>
              <w:bottom w:w="30" w:type="dxa"/>
              <w:right w:w="20" w:type="dxa"/>
            </w:tcMar>
            <w:vAlign w:val="bottom"/>
            <w:hideMark/>
          </w:tcPr>
          <w:p w:rsidR="00000000" w:rsidRDefault="0061405A">
            <w:pPr>
              <w:rPr>
                <w:rFonts w:eastAsia="Times New Roman"/>
              </w:rPr>
            </w:pPr>
            <w:r>
              <w:rPr>
                <w:rFonts w:eastAsia="Times New Roman"/>
                <w:color w:val="000000"/>
                <w:sz w:val="18"/>
                <w:szCs w:val="18"/>
              </w:rPr>
              <w:t>Accrued expenses and other liabilities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1,910 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(1,064)</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(16,286)</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867064390"/>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Net cash provided by operating activities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9,124 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30,060 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5,346 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867064390"/>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18"/>
                <w:szCs w:val="18"/>
              </w:rPr>
              <w:t>Investing activities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 </w:t>
            </w:r>
          </w:p>
        </w:tc>
      </w:tr>
      <w:tr w:rsidR="00000000">
        <w:trPr>
          <w:divId w:val="867064390"/>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Purchases of property and equipment</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(11,782)</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(17,404)</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(14,338)</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867064390"/>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Franchise restaurant acquisition, net of cash acquired</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(1,387)</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867064390"/>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Proceeds from disposal of property and equipment</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352 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867064390"/>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Insurance proceeds received for property damage</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837 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500 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867064390"/>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Net cash used in investing activities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(10,945)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(18,439)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(13,838)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867064390"/>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18"/>
                <w:szCs w:val="18"/>
              </w:rPr>
              <w:t>Financing activities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 </w:t>
            </w:r>
          </w:p>
        </w:tc>
      </w:tr>
      <w:tr w:rsidR="00000000">
        <w:trPr>
          <w:divId w:val="867064390"/>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Net repayments from swing line loan</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(101)</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867064390"/>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Proceeds from borrowings on long-term debt</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55,500 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1,917 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74,889 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867064390"/>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Payments on long-term debt</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(54,313)</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(5,875)</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w:t>
            </w:r>
            <w:r>
              <w:rPr>
                <w:rFonts w:eastAsia="Times New Roman"/>
                <w:color w:val="000000"/>
                <w:sz w:val="18"/>
                <w:szCs w:val="18"/>
              </w:rPr>
              <w:t>87,030)</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867064390"/>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Debt issuance costs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(731)</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(917)</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(1,713)</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867064390"/>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Payment of finance leases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(1,080)</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(690)</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867064390"/>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Issuance of common stock, net of transaction expenses (see Note 8)</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22,992 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867064390"/>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Stock plan transactions and tax withholding on share-based compensation awards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(174)</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(252)</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749 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867064390"/>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Net cash (used in) provided by financing activities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(798)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(5,817)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9,786 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867064390"/>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Net (decrease) increase in 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(2,619)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5,804 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1,294 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867064390"/>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18"/>
                <w:szCs w:val="18"/>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 </w:t>
            </w:r>
          </w:p>
        </w:tc>
      </w:tr>
      <w:tr w:rsidR="00000000">
        <w:trPr>
          <w:divId w:val="867064390"/>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Beginning of year</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10,459 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4,655 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3,361 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867064390"/>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End of year</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7,840 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10,459 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8"/>
                <w:szCs w:val="18"/>
              </w:rPr>
              <w:t>4,655 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bl>
    <w:p w:rsidR="00000000" w:rsidRDefault="0061405A">
      <w:pPr>
        <w:ind w:firstLine="360"/>
        <w:jc w:val="center"/>
        <w:divId w:val="1648361620"/>
        <w:rPr>
          <w:rFonts w:eastAsia="Times New Roman"/>
        </w:rPr>
      </w:pPr>
      <w:r>
        <w:rPr>
          <w:rFonts w:eastAsia="Times New Roman"/>
          <w:i/>
          <w:iCs/>
          <w:color w:val="000000"/>
          <w:sz w:val="20"/>
          <w:szCs w:val="20"/>
        </w:rPr>
        <w:t>See accompanying notes to consolidated financial statements.</w:t>
      </w:r>
    </w:p>
    <w:p w:rsidR="00000000" w:rsidRDefault="0061405A">
      <w:pPr>
        <w:jc w:val="center"/>
        <w:divId w:val="790056068"/>
        <w:rPr>
          <w:rFonts w:eastAsia="Times New Roman"/>
        </w:rPr>
      </w:pPr>
      <w:r>
        <w:rPr>
          <w:rFonts w:eastAsia="Times New Roman"/>
          <w:color w:val="000000"/>
          <w:sz w:val="20"/>
          <w:szCs w:val="20"/>
        </w:rPr>
        <w:t>51</w:t>
      </w:r>
    </w:p>
    <w:p w:rsidR="00000000" w:rsidRDefault="0061405A">
      <w:pPr>
        <w:rPr>
          <w:rFonts w:eastAsia="Times New Roman"/>
        </w:rPr>
      </w:pPr>
      <w:r>
        <w:rPr>
          <w:rFonts w:eastAsia="Times New Roman"/>
        </w:rPr>
        <w:pict>
          <v:rect id="_x0000_i1078" style="width:0;height:1.5pt" o:hralign="center" o:hrstd="t" o:hr="t" fillcolor="#a0a0a0" stroked="f"/>
        </w:pict>
      </w:r>
    </w:p>
    <w:p w:rsidR="00000000" w:rsidRDefault="0061405A">
      <w:pPr>
        <w:divId w:val="1818718897"/>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center"/>
        <w:divId w:val="621108664"/>
        <w:rPr>
          <w:rFonts w:eastAsia="Times New Roman"/>
        </w:rPr>
      </w:pPr>
      <w:r>
        <w:rPr>
          <w:rFonts w:eastAsia="Times New Roman"/>
          <w:b/>
          <w:bCs/>
          <w:color w:val="000000"/>
          <w:sz w:val="20"/>
          <w:szCs w:val="20"/>
        </w:rPr>
        <w:t>NOODLES &amp; COMPANY</w:t>
      </w:r>
    </w:p>
    <w:p w:rsidR="00000000" w:rsidRDefault="0061405A">
      <w:pPr>
        <w:jc w:val="center"/>
        <w:divId w:val="1862621873"/>
        <w:rPr>
          <w:rFonts w:eastAsia="Times New Roman"/>
        </w:rPr>
      </w:pPr>
      <w:r>
        <w:rPr>
          <w:rFonts w:eastAsia="Times New Roman"/>
          <w:b/>
          <w:bCs/>
          <w:color w:val="000000"/>
          <w:sz w:val="20"/>
          <w:szCs w:val="20"/>
        </w:rPr>
        <w:t>NOTES TO CONSOLIDATED FINANCIAL STATEMENTS</w:t>
      </w:r>
    </w:p>
    <w:p w:rsidR="00000000" w:rsidRDefault="0061405A">
      <w:pPr>
        <w:divId w:val="1287541050"/>
        <w:rPr>
          <w:rFonts w:eastAsia="Times New Roman"/>
        </w:rPr>
      </w:pPr>
    </w:p>
    <w:p w:rsidR="00000000" w:rsidRDefault="0061405A">
      <w:pPr>
        <w:jc w:val="center"/>
        <w:divId w:val="4593982"/>
        <w:rPr>
          <w:rFonts w:eastAsia="Times New Roman"/>
        </w:rPr>
      </w:pPr>
    </w:p>
    <w:p w:rsidR="00000000" w:rsidRDefault="0061405A">
      <w:pPr>
        <w:jc w:val="both"/>
        <w:divId w:val="1580603822"/>
        <w:rPr>
          <w:rFonts w:eastAsia="Times New Roman"/>
        </w:rPr>
      </w:pPr>
      <w:r>
        <w:rPr>
          <w:rFonts w:eastAsia="Times New Roman"/>
          <w:b/>
          <w:bCs/>
          <w:color w:val="000000"/>
          <w:sz w:val="20"/>
          <w:szCs w:val="20"/>
        </w:rPr>
        <w:t>1. Business and Summary of Significant Accounting Policies</w:t>
      </w:r>
    </w:p>
    <w:p w:rsidR="00000000" w:rsidRDefault="0061405A">
      <w:pPr>
        <w:jc w:val="both"/>
        <w:divId w:val="932858067"/>
        <w:rPr>
          <w:rFonts w:eastAsia="Times New Roman"/>
        </w:rPr>
      </w:pPr>
      <w:r>
        <w:rPr>
          <w:rFonts w:eastAsia="Times New Roman"/>
          <w:b/>
          <w:bCs/>
          <w:i/>
          <w:iCs/>
          <w:color w:val="000000"/>
          <w:sz w:val="20"/>
          <w:szCs w:val="20"/>
        </w:rPr>
        <w:t>Business</w:t>
      </w:r>
    </w:p>
    <w:p w:rsidR="00000000" w:rsidRDefault="0061405A">
      <w:pPr>
        <w:jc w:val="both"/>
        <w:divId w:val="1926723610"/>
        <w:rPr>
          <w:rFonts w:eastAsia="Times New Roman"/>
        </w:rPr>
      </w:pPr>
      <w:r>
        <w:rPr>
          <w:rFonts w:eastAsia="Times New Roman"/>
          <w:color w:val="000000"/>
          <w:sz w:val="20"/>
          <w:szCs w:val="20"/>
        </w:rPr>
        <w:t>Noodles &amp; Company (the “Company” or “Noodles &amp; Company”</w:t>
      </w:r>
      <w:r>
        <w:rPr>
          <w:rFonts w:eastAsia="Times New Roman"/>
          <w:color w:val="000000"/>
          <w:sz w:val="20"/>
          <w:szCs w:val="20"/>
        </w:rPr>
        <w:t>), a Delaware corporation, develops and operates fast-casual restaurants that serve globally-inspired noodle and pasta dishes, soups, salads and appetizers. As of December 29, 2020, the Company had 378 company-owned restaurants and 76 franchise restaurants</w:t>
      </w:r>
      <w:r>
        <w:rPr>
          <w:rFonts w:eastAsia="Times New Roman"/>
          <w:color w:val="000000"/>
          <w:sz w:val="20"/>
          <w:szCs w:val="20"/>
        </w:rPr>
        <w:t xml:space="preserve"> in 29 states. The Company operates its business as one operating and reportable segment.</w:t>
      </w:r>
    </w:p>
    <w:p w:rsidR="00000000" w:rsidRDefault="0061405A">
      <w:pPr>
        <w:jc w:val="both"/>
        <w:divId w:val="986514491"/>
        <w:rPr>
          <w:rFonts w:eastAsia="Times New Roman"/>
        </w:rPr>
      </w:pPr>
      <w:r>
        <w:rPr>
          <w:rFonts w:eastAsia="Times New Roman"/>
          <w:b/>
          <w:bCs/>
          <w:i/>
          <w:iCs/>
          <w:color w:val="000000"/>
          <w:sz w:val="20"/>
          <w:szCs w:val="20"/>
        </w:rPr>
        <w:t>Principles of Consolidation and Basis of Presentation</w:t>
      </w:r>
    </w:p>
    <w:p w:rsidR="00000000" w:rsidRDefault="0061405A">
      <w:pPr>
        <w:jc w:val="both"/>
        <w:divId w:val="1102071489"/>
        <w:rPr>
          <w:rFonts w:eastAsia="Times New Roman"/>
        </w:rPr>
      </w:pPr>
      <w:r>
        <w:rPr>
          <w:rFonts w:eastAsia="Times New Roman"/>
          <w:color w:val="000000"/>
          <w:sz w:val="20"/>
          <w:szCs w:val="20"/>
        </w:rPr>
        <w:t>The accompanying consolidated financial statements include the accounts of Noodles &amp; Company and its subsidiarie</w:t>
      </w:r>
      <w:r>
        <w:rPr>
          <w:rFonts w:eastAsia="Times New Roman"/>
          <w:color w:val="000000"/>
          <w:sz w:val="20"/>
          <w:szCs w:val="20"/>
        </w:rPr>
        <w:t xml:space="preserve">s. All intercompany balances and transactions are eliminated in consolidation. </w:t>
      </w:r>
    </w:p>
    <w:p w:rsidR="00000000" w:rsidRDefault="0061405A">
      <w:pPr>
        <w:jc w:val="both"/>
        <w:divId w:val="1971863509"/>
        <w:rPr>
          <w:rFonts w:eastAsia="Times New Roman"/>
        </w:rPr>
      </w:pPr>
      <w:r>
        <w:rPr>
          <w:rFonts w:eastAsia="Times New Roman"/>
          <w:b/>
          <w:bCs/>
          <w:i/>
          <w:iCs/>
          <w:color w:val="000000"/>
          <w:sz w:val="20"/>
          <w:szCs w:val="20"/>
        </w:rPr>
        <w:t>Fiscal Year</w:t>
      </w:r>
    </w:p>
    <w:p w:rsidR="00000000" w:rsidRDefault="0061405A">
      <w:pPr>
        <w:jc w:val="both"/>
        <w:divId w:val="1613053159"/>
        <w:rPr>
          <w:rFonts w:eastAsia="Times New Roman"/>
        </w:rPr>
      </w:pPr>
      <w:r>
        <w:rPr>
          <w:rFonts w:eastAsia="Times New Roman"/>
          <w:color w:val="000000"/>
          <w:sz w:val="20"/>
          <w:szCs w:val="20"/>
        </w:rPr>
        <w:t>The Company operates on a 52- or 53-week fiscal year ending on the Tuesday closest to December 31. Fiscal years 2020, 2019 and 2018, which ended on December 29, 202</w:t>
      </w:r>
      <w:r>
        <w:rPr>
          <w:rFonts w:eastAsia="Times New Roman"/>
          <w:color w:val="000000"/>
          <w:sz w:val="20"/>
          <w:szCs w:val="20"/>
        </w:rPr>
        <w:t xml:space="preserve">0, December 31, 2019, and January 1, 2019, respectively, each contained 52 weeks. </w:t>
      </w:r>
    </w:p>
    <w:p w:rsidR="00000000" w:rsidRDefault="0061405A">
      <w:pPr>
        <w:jc w:val="both"/>
        <w:rPr>
          <w:rFonts w:eastAsia="Times New Roman"/>
        </w:rPr>
      </w:pPr>
      <w:r>
        <w:rPr>
          <w:rFonts w:eastAsia="Times New Roman"/>
          <w:b/>
          <w:bCs/>
          <w:i/>
          <w:iCs/>
          <w:color w:val="212529"/>
          <w:sz w:val="20"/>
          <w:szCs w:val="20"/>
        </w:rPr>
        <w:t>Risks and Uncertainties</w:t>
      </w:r>
    </w:p>
    <w:p w:rsidR="00000000" w:rsidRDefault="0061405A">
      <w:pPr>
        <w:jc w:val="both"/>
        <w:divId w:val="2137983616"/>
        <w:rPr>
          <w:rFonts w:eastAsia="Times New Roman"/>
        </w:rPr>
      </w:pPr>
      <w:r>
        <w:rPr>
          <w:rFonts w:eastAsia="Times New Roman"/>
          <w:color w:val="000000"/>
          <w:sz w:val="20"/>
          <w:szCs w:val="20"/>
        </w:rPr>
        <w:t>We are subject to risks and uncertainties as a result of the ongoing COVID-19 pandemic. The extent of the future impact of the COVID-19 pandemic on t</w:t>
      </w:r>
      <w:r>
        <w:rPr>
          <w:rFonts w:eastAsia="Times New Roman"/>
          <w:color w:val="000000"/>
          <w:sz w:val="20"/>
          <w:szCs w:val="20"/>
        </w:rPr>
        <w:t>he Company’s business is uncertain and difficult to predict. Our operational and financial performance will depend on future developments, including the duration of the outbreak, limitations imposed by federal, state and local governments with respect to r</w:t>
      </w:r>
      <w:r>
        <w:rPr>
          <w:rFonts w:eastAsia="Times New Roman"/>
          <w:color w:val="000000"/>
          <w:sz w:val="20"/>
          <w:szCs w:val="20"/>
        </w:rPr>
        <w:t>educed seating capacity in our restaurants and other social distancing measures, and our customers’ future willingness to eat at restaurants. Furthermore, several industries have been negatively impacted by the COVID-19 pandemic, and it is possible that it</w:t>
      </w:r>
      <w:r>
        <w:rPr>
          <w:rFonts w:eastAsia="Times New Roman"/>
          <w:color w:val="000000"/>
          <w:sz w:val="20"/>
          <w:szCs w:val="20"/>
        </w:rPr>
        <w:t xml:space="preserve"> could cause an extended economic recession. All of the effects of the COVID-19 pandemic could have a material adverse effect on our business. Although the ultimate severity of the COVID-19 pandemic is uncertain at this time, we have implemented several ne</w:t>
      </w:r>
      <w:r>
        <w:rPr>
          <w:rFonts w:eastAsia="Times New Roman"/>
          <w:color w:val="000000"/>
          <w:sz w:val="20"/>
          <w:szCs w:val="20"/>
        </w:rPr>
        <w:t>w initiatives to adapt our operations to the current environment, including direct delivery and curbside pickup, to further bolster our existing off premise capabilities.</w:t>
      </w:r>
    </w:p>
    <w:p w:rsidR="00000000" w:rsidRDefault="0061405A">
      <w:pPr>
        <w:jc w:val="both"/>
        <w:divId w:val="1291476236"/>
        <w:rPr>
          <w:rFonts w:eastAsia="Times New Roman"/>
        </w:rPr>
      </w:pPr>
      <w:r>
        <w:rPr>
          <w:rFonts w:eastAsia="Times New Roman"/>
          <w:b/>
          <w:bCs/>
          <w:i/>
          <w:iCs/>
          <w:color w:val="000000"/>
          <w:sz w:val="20"/>
          <w:szCs w:val="20"/>
        </w:rPr>
        <w:t>Estimates</w:t>
      </w:r>
    </w:p>
    <w:p w:rsidR="00000000" w:rsidRDefault="0061405A">
      <w:pPr>
        <w:jc w:val="both"/>
        <w:divId w:val="1041056978"/>
        <w:rPr>
          <w:rFonts w:eastAsia="Times New Roman"/>
        </w:rPr>
      </w:pPr>
      <w:r>
        <w:rPr>
          <w:rFonts w:eastAsia="Times New Roman"/>
          <w:color w:val="000000"/>
          <w:sz w:val="20"/>
          <w:szCs w:val="20"/>
        </w:rPr>
        <w:t>The preparation of financial statements in conformity with accounting princ</w:t>
      </w:r>
      <w:r>
        <w:rPr>
          <w:rFonts w:eastAsia="Times New Roman"/>
          <w:color w:val="000000"/>
          <w:sz w:val="20"/>
          <w:szCs w:val="20"/>
        </w:rPr>
        <w:t>iples generally accepted in the United States of America (“GAAP”) requires management to make estimates and assumptions that affect the reported amounts of assets and liabilities and disclosure of contingent assets and liabilities as of the date of the fin</w:t>
      </w:r>
      <w:r>
        <w:rPr>
          <w:rFonts w:eastAsia="Times New Roman"/>
          <w:color w:val="000000"/>
          <w:sz w:val="20"/>
          <w:szCs w:val="20"/>
        </w:rPr>
        <w:t>ancial statements and the reported amounts of revenue and expenses during the reporting period. Actual results could differ from those estimates.</w:t>
      </w:r>
    </w:p>
    <w:p w:rsidR="00000000" w:rsidRDefault="0061405A">
      <w:pPr>
        <w:jc w:val="both"/>
        <w:divId w:val="1506090582"/>
        <w:rPr>
          <w:rFonts w:eastAsia="Times New Roman"/>
        </w:rPr>
      </w:pPr>
      <w:r>
        <w:rPr>
          <w:rFonts w:eastAsia="Times New Roman"/>
          <w:b/>
          <w:bCs/>
          <w:i/>
          <w:iCs/>
          <w:color w:val="000000"/>
          <w:sz w:val="20"/>
          <w:szCs w:val="20"/>
        </w:rPr>
        <w:t>Cash and Cash Equivalents</w:t>
      </w:r>
    </w:p>
    <w:p w:rsidR="00000000" w:rsidRDefault="0061405A">
      <w:pPr>
        <w:jc w:val="both"/>
        <w:divId w:val="1383364537"/>
        <w:rPr>
          <w:rFonts w:eastAsia="Times New Roman"/>
        </w:rPr>
      </w:pPr>
      <w:r>
        <w:rPr>
          <w:rFonts w:eastAsia="Times New Roman"/>
          <w:color w:val="000000"/>
          <w:sz w:val="20"/>
          <w:szCs w:val="20"/>
        </w:rPr>
        <w:t>The Company considers all highly liquid investment instruments with an initial matur</w:t>
      </w:r>
      <w:r>
        <w:rPr>
          <w:rFonts w:eastAsia="Times New Roman"/>
          <w:color w:val="000000"/>
          <w:sz w:val="20"/>
          <w:szCs w:val="20"/>
        </w:rPr>
        <w:t>ity of three months or less when purchased to be cash equivalents. Amounts receivable from credit card processors are converted to cash shortly after the related sales transaction and are considered to be cash equivalents because they are both short-term a</w:t>
      </w:r>
      <w:r>
        <w:rPr>
          <w:rFonts w:eastAsia="Times New Roman"/>
          <w:color w:val="000000"/>
          <w:sz w:val="20"/>
          <w:szCs w:val="20"/>
        </w:rPr>
        <w:t>nd highly liquid in nature. Amounts receivable from credit card processors as of December 29, 2020 and December 31, 2019, which are included in cash and cash equivalents, were $0.9 million and $1.0 million, respectively. Additionally, the Company records “</w:t>
      </w:r>
      <w:r>
        <w:rPr>
          <w:rFonts w:eastAsia="Times New Roman"/>
          <w:color w:val="000000"/>
          <w:sz w:val="20"/>
          <w:szCs w:val="20"/>
        </w:rPr>
        <w:t>book overdrafts” when outstanding checks at year end are in excess of cash and cash equivalents. Such book overdrafts are recorded within accounts payable in the accompanying Consolidated Balance Sheets and within operating activities in the accompanying C</w:t>
      </w:r>
      <w:r>
        <w:rPr>
          <w:rFonts w:eastAsia="Times New Roman"/>
          <w:color w:val="000000"/>
          <w:sz w:val="20"/>
          <w:szCs w:val="20"/>
        </w:rPr>
        <w:t>onsolidated Statements of Cash Flows.</w:t>
      </w:r>
    </w:p>
    <w:p w:rsidR="00000000" w:rsidRDefault="0061405A">
      <w:pPr>
        <w:jc w:val="both"/>
        <w:divId w:val="770781666"/>
        <w:rPr>
          <w:rFonts w:eastAsia="Times New Roman"/>
        </w:rPr>
      </w:pPr>
      <w:r>
        <w:rPr>
          <w:rFonts w:eastAsia="Times New Roman"/>
          <w:b/>
          <w:bCs/>
          <w:i/>
          <w:iCs/>
          <w:color w:val="000000"/>
          <w:sz w:val="20"/>
          <w:szCs w:val="20"/>
        </w:rPr>
        <w:t>Accounts Receivable</w:t>
      </w:r>
    </w:p>
    <w:p w:rsidR="00000000" w:rsidRDefault="0061405A">
      <w:pPr>
        <w:jc w:val="both"/>
        <w:divId w:val="1156070237"/>
        <w:rPr>
          <w:rFonts w:eastAsia="Times New Roman"/>
        </w:rPr>
      </w:pPr>
      <w:r>
        <w:rPr>
          <w:rFonts w:eastAsia="Times New Roman"/>
          <w:color w:val="000000"/>
          <w:sz w:val="20"/>
          <w:szCs w:val="20"/>
        </w:rPr>
        <w:t xml:space="preserve">Accounts receivable consists primarily of franchise receivables and vendor rebates, as well insurance receivables and other miscellaneous receivables arising from the normal course of business. The </w:t>
      </w:r>
      <w:r>
        <w:rPr>
          <w:rFonts w:eastAsia="Times New Roman"/>
          <w:color w:val="000000"/>
          <w:sz w:val="20"/>
          <w:szCs w:val="20"/>
        </w:rPr>
        <w:t>Company believes all amounts to be collectible and does not have a history of losses. Accordingly, no allowance for doubtful accounts has been recorded as of December 29, 2020 or December 31, 2019.</w:t>
      </w:r>
    </w:p>
    <w:p w:rsidR="00000000" w:rsidRDefault="0061405A">
      <w:pPr>
        <w:jc w:val="both"/>
        <w:divId w:val="2062898789"/>
        <w:rPr>
          <w:rFonts w:eastAsia="Times New Roman"/>
        </w:rPr>
      </w:pPr>
      <w:r>
        <w:rPr>
          <w:rFonts w:eastAsia="Times New Roman"/>
          <w:b/>
          <w:bCs/>
          <w:i/>
          <w:iCs/>
          <w:color w:val="000000"/>
          <w:sz w:val="20"/>
          <w:szCs w:val="20"/>
        </w:rPr>
        <w:t>Inventories</w:t>
      </w:r>
    </w:p>
    <w:p w:rsidR="00000000" w:rsidRDefault="0061405A">
      <w:pPr>
        <w:jc w:val="both"/>
        <w:divId w:val="161745438"/>
        <w:rPr>
          <w:rFonts w:eastAsia="Times New Roman"/>
        </w:rPr>
      </w:pPr>
      <w:r>
        <w:rPr>
          <w:rFonts w:eastAsia="Times New Roman"/>
          <w:color w:val="000000"/>
          <w:sz w:val="20"/>
          <w:szCs w:val="20"/>
        </w:rPr>
        <w:t>Inventories consist of food, beverages, suppli</w:t>
      </w:r>
      <w:r>
        <w:rPr>
          <w:rFonts w:eastAsia="Times New Roman"/>
          <w:color w:val="000000"/>
          <w:sz w:val="20"/>
          <w:szCs w:val="20"/>
        </w:rPr>
        <w:t>es and smallwares, and are stated at the lower of cost (first-in, first-out method) or net realizable value. Smallwares inventory, which consist of the plates, silverware and cooking utensils used in the restaurants, are frequently replaced and are therefo</w:t>
      </w:r>
      <w:r>
        <w:rPr>
          <w:rFonts w:eastAsia="Times New Roman"/>
          <w:color w:val="000000"/>
          <w:sz w:val="20"/>
          <w:szCs w:val="20"/>
        </w:rPr>
        <w:t xml:space="preserve">re considered current assets. Replacement costs of smallwares inventory are recorded as other </w:t>
      </w:r>
    </w:p>
    <w:p w:rsidR="00000000" w:rsidRDefault="0061405A">
      <w:pPr>
        <w:jc w:val="center"/>
        <w:divId w:val="690298824"/>
        <w:rPr>
          <w:rFonts w:eastAsia="Times New Roman"/>
        </w:rPr>
      </w:pPr>
      <w:r>
        <w:rPr>
          <w:rFonts w:eastAsia="Times New Roman"/>
          <w:color w:val="000000"/>
          <w:sz w:val="20"/>
          <w:szCs w:val="20"/>
        </w:rPr>
        <w:t>52</w:t>
      </w:r>
    </w:p>
    <w:p w:rsidR="00000000" w:rsidRDefault="0061405A">
      <w:pPr>
        <w:rPr>
          <w:rFonts w:eastAsia="Times New Roman"/>
        </w:rPr>
      </w:pPr>
      <w:r>
        <w:rPr>
          <w:rFonts w:eastAsia="Times New Roman"/>
        </w:rPr>
        <w:pict>
          <v:rect id="_x0000_i1079" style="width:0;height:1.5pt" o:hralign="center" o:hrstd="t" o:hr="t" fillcolor="#a0a0a0" stroked="f"/>
        </w:pict>
      </w:r>
    </w:p>
    <w:p w:rsidR="00000000" w:rsidRDefault="0061405A">
      <w:pPr>
        <w:divId w:val="1031804833"/>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center"/>
        <w:divId w:val="387413122"/>
        <w:rPr>
          <w:rFonts w:eastAsia="Times New Roman"/>
        </w:rPr>
      </w:pPr>
      <w:r>
        <w:rPr>
          <w:rFonts w:eastAsia="Times New Roman"/>
          <w:b/>
          <w:bCs/>
          <w:color w:val="000000"/>
          <w:sz w:val="20"/>
          <w:szCs w:val="20"/>
        </w:rPr>
        <w:t>NOODLES &amp; COMPANY</w:t>
      </w:r>
    </w:p>
    <w:p w:rsidR="00000000" w:rsidRDefault="0061405A">
      <w:pPr>
        <w:jc w:val="center"/>
        <w:divId w:val="1430153410"/>
        <w:rPr>
          <w:rFonts w:eastAsia="Times New Roman"/>
        </w:rPr>
      </w:pPr>
      <w:r>
        <w:rPr>
          <w:rFonts w:eastAsia="Times New Roman"/>
          <w:b/>
          <w:bCs/>
          <w:color w:val="000000"/>
          <w:sz w:val="20"/>
          <w:szCs w:val="20"/>
        </w:rPr>
        <w:t>NOTES TO CONSOLIDATED FI</w:t>
      </w:r>
      <w:r>
        <w:rPr>
          <w:rFonts w:eastAsia="Times New Roman"/>
          <w:b/>
          <w:bCs/>
          <w:color w:val="000000"/>
          <w:sz w:val="20"/>
          <w:szCs w:val="20"/>
        </w:rPr>
        <w:t>NANCIAL STATEMENTS (Continued)</w:t>
      </w:r>
    </w:p>
    <w:p w:rsidR="00000000" w:rsidRDefault="0061405A">
      <w:pPr>
        <w:jc w:val="center"/>
        <w:divId w:val="4209100"/>
        <w:rPr>
          <w:rFonts w:eastAsia="Times New Roman"/>
        </w:rPr>
      </w:pPr>
    </w:p>
    <w:p w:rsidR="00000000" w:rsidRDefault="0061405A">
      <w:pPr>
        <w:jc w:val="both"/>
        <w:divId w:val="412703019"/>
        <w:rPr>
          <w:rFonts w:eastAsia="Times New Roman"/>
        </w:rPr>
      </w:pPr>
      <w:r>
        <w:rPr>
          <w:rFonts w:eastAsia="Times New Roman"/>
          <w:color w:val="000000"/>
          <w:sz w:val="20"/>
          <w:szCs w:val="20"/>
        </w:rPr>
        <w:t>restaurant operating costs in the Consolidated Statements of Operations and are expensed as incurred. As of December 29, 2020 and December 31, 2019, smallwares inventory o</w:t>
      </w:r>
      <w:r>
        <w:rPr>
          <w:rFonts w:eastAsia="Times New Roman"/>
          <w:color w:val="000000"/>
          <w:sz w:val="20"/>
          <w:szCs w:val="20"/>
          <w:shd w:val="clear" w:color="auto" w:fill="FFFFFF"/>
        </w:rPr>
        <w:t>f $6.6 million</w:t>
      </w:r>
      <w:r>
        <w:rPr>
          <w:rFonts w:eastAsia="Times New Roman"/>
          <w:color w:val="000000"/>
          <w:sz w:val="20"/>
          <w:szCs w:val="20"/>
        </w:rPr>
        <w:t>, was included in the accompanying Consolidated Balance Sheets.</w:t>
      </w:r>
    </w:p>
    <w:p w:rsidR="00000000" w:rsidRDefault="0061405A">
      <w:pPr>
        <w:jc w:val="both"/>
        <w:divId w:val="1620649077"/>
        <w:rPr>
          <w:rFonts w:eastAsia="Times New Roman"/>
        </w:rPr>
      </w:pPr>
      <w:r>
        <w:rPr>
          <w:rFonts w:eastAsia="Times New Roman"/>
          <w:b/>
          <w:bCs/>
          <w:i/>
          <w:iCs/>
          <w:color w:val="000000"/>
          <w:sz w:val="20"/>
          <w:szCs w:val="20"/>
        </w:rPr>
        <w:t>Property and Equipment</w:t>
      </w:r>
    </w:p>
    <w:p w:rsidR="00000000" w:rsidRDefault="0061405A">
      <w:pPr>
        <w:jc w:val="both"/>
        <w:divId w:val="655374780"/>
        <w:rPr>
          <w:rFonts w:eastAsia="Times New Roman"/>
        </w:rPr>
      </w:pPr>
      <w:r>
        <w:rPr>
          <w:rFonts w:eastAsia="Times New Roman"/>
          <w:color w:val="000000"/>
          <w:sz w:val="20"/>
          <w:szCs w:val="20"/>
        </w:rPr>
        <w:t xml:space="preserve">Property and equipment are stated at cost, less accumulated depreciation. Expenditures for major renewals and improvements are capitalized, while expenditures for minor </w:t>
      </w:r>
      <w:r>
        <w:rPr>
          <w:rFonts w:eastAsia="Times New Roman"/>
          <w:color w:val="000000"/>
          <w:sz w:val="20"/>
          <w:szCs w:val="20"/>
        </w:rPr>
        <w:t>replacements and maintenance and repairs are expensed as incurred. Upon retirement or disposal of assets, the accounts are relieved of cost and accumulated depreciation and the related gain or loss is reflected in earnings. Depreciation is calculated using</w:t>
      </w:r>
      <w:r>
        <w:rPr>
          <w:rFonts w:eastAsia="Times New Roman"/>
          <w:color w:val="000000"/>
          <w:sz w:val="20"/>
          <w:szCs w:val="20"/>
        </w:rPr>
        <w:t xml:space="preserve"> the straight-line method over the estimated useful lives of the assets. Leasehold improvements are amortized over the shorter of the estimated useful life or the lease term, which generally includes option periods that are reasonably assured to be exercis</w:t>
      </w:r>
      <w:r>
        <w:rPr>
          <w:rFonts w:eastAsia="Times New Roman"/>
          <w:color w:val="000000"/>
          <w:sz w:val="20"/>
          <w:szCs w:val="20"/>
        </w:rPr>
        <w:t xml:space="preserve">ed. Depreciation and amortization expense on property and equipment, including assets recorded as finance leases, was $21.6 million, $22.0 million and $22.7 million in 2020, 2019 and 2018, respectively. </w:t>
      </w:r>
    </w:p>
    <w:p w:rsidR="00000000" w:rsidRDefault="0061405A">
      <w:pPr>
        <w:jc w:val="both"/>
        <w:divId w:val="2016029456"/>
        <w:rPr>
          <w:rFonts w:eastAsia="Times New Roman"/>
        </w:rPr>
      </w:pPr>
      <w:r>
        <w:rPr>
          <w:rFonts w:eastAsia="Times New Roman"/>
          <w:color w:val="000000"/>
          <w:sz w:val="20"/>
          <w:szCs w:val="20"/>
        </w:rPr>
        <w:t>The estimated useful lives for property and equipment are:</w:t>
      </w:r>
    </w:p>
    <w:tbl>
      <w:tblPr>
        <w:tblW w:w="4992" w:type="pct"/>
        <w:tblCellMar>
          <w:top w:w="15" w:type="dxa"/>
          <w:left w:w="15" w:type="dxa"/>
          <w:bottom w:w="15" w:type="dxa"/>
          <w:right w:w="15" w:type="dxa"/>
        </w:tblCellMar>
        <w:tblLook w:val="04A0" w:firstRow="1" w:lastRow="0" w:firstColumn="1" w:lastColumn="0" w:noHBand="0" w:noVBand="1"/>
      </w:tblPr>
      <w:tblGrid>
        <w:gridCol w:w="61"/>
        <w:gridCol w:w="4003"/>
        <w:gridCol w:w="37"/>
        <w:gridCol w:w="36"/>
        <w:gridCol w:w="36"/>
        <w:gridCol w:w="36"/>
        <w:gridCol w:w="44"/>
        <w:gridCol w:w="4004"/>
        <w:gridCol w:w="36"/>
      </w:tblGrid>
      <w:tr w:rsidR="00000000">
        <w:trPr>
          <w:divId w:val="811597898"/>
        </w:trPr>
        <w:tc>
          <w:tcPr>
            <w:tcW w:w="50" w:type="pct"/>
            <w:vAlign w:val="center"/>
            <w:hideMark/>
          </w:tcPr>
          <w:p w:rsidR="00000000" w:rsidRDefault="0061405A">
            <w:pPr>
              <w:jc w:val="both"/>
              <w:rPr>
                <w:rFonts w:eastAsia="Times New Roman"/>
              </w:rPr>
            </w:pPr>
          </w:p>
        </w:tc>
        <w:tc>
          <w:tcPr>
            <w:tcW w:w="2427"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2427"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811597898"/>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20"/>
                <w:szCs w:val="20"/>
              </w:rPr>
              <w:t>Property and Equipment</w:t>
            </w:r>
          </w:p>
        </w:tc>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20"/>
                <w:szCs w:val="20"/>
              </w:rPr>
              <w:t>Estimated Useful Lives</w:t>
            </w:r>
          </w:p>
        </w:tc>
      </w:tr>
      <w:tr w:rsidR="00000000">
        <w:trPr>
          <w:divId w:val="811597898"/>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20"/>
                <w:szCs w:val="20"/>
              </w:rPr>
              <w:t>Leasehold improvements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61405A">
            <w:pPr>
              <w:divId w:val="303122797"/>
              <w:rPr>
                <w:rFonts w:eastAsia="Times New Roman"/>
              </w:rPr>
            </w:pPr>
            <w:r>
              <w:rPr>
                <w:rFonts w:eastAsia="Times New Roman"/>
                <w:color w:val="000000"/>
                <w:sz w:val="20"/>
                <w:szCs w:val="20"/>
              </w:rPr>
              <w:t>Shorter of lease term or estimated useful life, not to exceed 20 years</w:t>
            </w:r>
          </w:p>
        </w:tc>
      </w:tr>
      <w:tr w:rsidR="00000000">
        <w:trPr>
          <w:divId w:val="811597898"/>
        </w:trPr>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20"/>
                <w:szCs w:val="20"/>
              </w:rPr>
              <w:t>Furniture and fixtures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divId w:val="1806193422"/>
              <w:rPr>
                <w:rFonts w:eastAsia="Times New Roman"/>
              </w:rPr>
            </w:pPr>
            <w:r>
              <w:rPr>
                <w:rFonts w:eastAsia="Times New Roman"/>
                <w:color w:val="000000"/>
                <w:sz w:val="20"/>
                <w:szCs w:val="20"/>
              </w:rPr>
              <w:t>3 to 15 years</w:t>
            </w:r>
          </w:p>
        </w:tc>
      </w:tr>
      <w:tr w:rsidR="00000000">
        <w:trPr>
          <w:divId w:val="811597898"/>
        </w:trPr>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20"/>
                <w:szCs w:val="20"/>
              </w:rPr>
              <w:t>Equipment</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divId w:val="1838155487"/>
              <w:rPr>
                <w:rFonts w:eastAsia="Times New Roman"/>
              </w:rPr>
            </w:pPr>
            <w:r>
              <w:rPr>
                <w:rFonts w:eastAsia="Times New Roman"/>
                <w:color w:val="000000"/>
                <w:sz w:val="20"/>
                <w:szCs w:val="20"/>
              </w:rPr>
              <w:t>3 to 7 years</w:t>
            </w:r>
          </w:p>
        </w:tc>
      </w:tr>
    </w:tbl>
    <w:p w:rsidR="00000000" w:rsidRDefault="0061405A">
      <w:pPr>
        <w:jc w:val="both"/>
        <w:divId w:val="756947775"/>
        <w:rPr>
          <w:rFonts w:eastAsia="Times New Roman"/>
        </w:rPr>
      </w:pPr>
      <w:r>
        <w:rPr>
          <w:rFonts w:eastAsia="Times New Roman"/>
          <w:color w:val="000000"/>
          <w:sz w:val="20"/>
          <w:szCs w:val="20"/>
        </w:rPr>
        <w:t>The Company capitalizes internal payroll and payroll-related costs directly related to the successful acquisition, development, design and construction of its new restaurants. Capitalized internal costs were $0.2 million, $0.4 million and $0.2 million in 2</w:t>
      </w:r>
      <w:r>
        <w:rPr>
          <w:rFonts w:eastAsia="Times New Roman"/>
          <w:color w:val="000000"/>
          <w:sz w:val="20"/>
          <w:szCs w:val="20"/>
        </w:rPr>
        <w:t>020, 2019 and 2018, respectively. Interest incurred on funds used to construct company-owned restaurants is capitalized and amortized over the estimated useful life of the related assets. Capitalized interest totaled $0.2 million, $0.3 million and $0.1 mil</w:t>
      </w:r>
      <w:r>
        <w:rPr>
          <w:rFonts w:eastAsia="Times New Roman"/>
          <w:color w:val="000000"/>
          <w:sz w:val="20"/>
          <w:szCs w:val="20"/>
        </w:rPr>
        <w:t>lion in 2020, 2019 and 2018, respectively.</w:t>
      </w:r>
    </w:p>
    <w:p w:rsidR="00000000" w:rsidRDefault="0061405A">
      <w:pPr>
        <w:jc w:val="both"/>
        <w:divId w:val="1655715005"/>
        <w:rPr>
          <w:rFonts w:eastAsia="Times New Roman"/>
        </w:rPr>
      </w:pPr>
      <w:r>
        <w:rPr>
          <w:rFonts w:eastAsia="Times New Roman"/>
          <w:b/>
          <w:bCs/>
          <w:i/>
          <w:iCs/>
          <w:color w:val="000000"/>
          <w:sz w:val="20"/>
          <w:szCs w:val="20"/>
        </w:rPr>
        <w:t>Goodwill</w:t>
      </w:r>
    </w:p>
    <w:p w:rsidR="00000000" w:rsidRDefault="0061405A">
      <w:pPr>
        <w:jc w:val="both"/>
        <w:divId w:val="1248416548"/>
        <w:rPr>
          <w:rFonts w:eastAsia="Times New Roman"/>
        </w:rPr>
      </w:pPr>
      <w:r>
        <w:rPr>
          <w:rFonts w:eastAsia="Times New Roman"/>
          <w:color w:val="000000"/>
          <w:sz w:val="20"/>
          <w:szCs w:val="20"/>
        </w:rPr>
        <w:t>Goodwill represents the excess of purchase price over the fair value of identifiable net assets acquired. Goodwill is not subject to amortization, but instead is tested for impairment at least annually (o</w:t>
      </w:r>
      <w:r>
        <w:rPr>
          <w:rFonts w:eastAsia="Times New Roman"/>
          <w:color w:val="000000"/>
          <w:sz w:val="20"/>
          <w:szCs w:val="20"/>
        </w:rPr>
        <w:t xml:space="preserve">r more often, if necessary) as of the first day of the Company’s fourth fiscal quarter. </w:t>
      </w:r>
    </w:p>
    <w:p w:rsidR="00000000" w:rsidRDefault="0061405A">
      <w:pPr>
        <w:jc w:val="both"/>
        <w:divId w:val="708455509"/>
        <w:rPr>
          <w:rFonts w:eastAsia="Times New Roman"/>
        </w:rPr>
      </w:pPr>
      <w:r>
        <w:rPr>
          <w:rFonts w:eastAsia="Times New Roman"/>
          <w:color w:val="000000"/>
          <w:sz w:val="20"/>
          <w:szCs w:val="20"/>
        </w:rPr>
        <w:t>Goodwill is evaluated at the level of the Company’s single operating segment, which also represents the Company’s only reporting unit. In 2020 and 2019, the Company pe</w:t>
      </w:r>
      <w:r>
        <w:rPr>
          <w:rFonts w:eastAsia="Times New Roman"/>
          <w:color w:val="000000"/>
          <w:sz w:val="20"/>
          <w:szCs w:val="20"/>
        </w:rPr>
        <w:t>rformed a qualitative impairment assessment. Under this approach, the Company first assesses qualitative factors to determine whether it is more likely than not that the fair value of its reporting unit is less than its carrying amount as a basis for deter</w:t>
      </w:r>
      <w:r>
        <w:rPr>
          <w:rFonts w:eastAsia="Times New Roman"/>
          <w:color w:val="000000"/>
          <w:sz w:val="20"/>
          <w:szCs w:val="20"/>
        </w:rPr>
        <w:t>mining whether it is necessary to perform the two-step goodwill impairment test. The more-likely-than-not threshold is defined as having a likelihood of more than 50 percent. If after performing the qualitative assessment, the Company determines there is l</w:t>
      </w:r>
      <w:r>
        <w:rPr>
          <w:rFonts w:eastAsia="Times New Roman"/>
          <w:color w:val="000000"/>
          <w:sz w:val="20"/>
          <w:szCs w:val="20"/>
        </w:rPr>
        <w:t>ess than a 50 percent chance that the fair value of its reporting unit is less than its carrying amount, then performing the two-step test is unnecessary. Based on the qualitative assessment performed, management did not believe that it is more likely than</w:t>
      </w:r>
      <w:r>
        <w:rPr>
          <w:rFonts w:eastAsia="Times New Roman"/>
          <w:color w:val="000000"/>
          <w:sz w:val="20"/>
          <w:szCs w:val="20"/>
        </w:rPr>
        <w:t xml:space="preserve"> not that the Company’s goodwill has been impaired.</w:t>
      </w:r>
    </w:p>
    <w:p w:rsidR="00000000" w:rsidRDefault="0061405A">
      <w:pPr>
        <w:jc w:val="both"/>
        <w:divId w:val="1433429063"/>
        <w:rPr>
          <w:rFonts w:eastAsia="Times New Roman"/>
        </w:rPr>
      </w:pPr>
      <w:r>
        <w:rPr>
          <w:rFonts w:eastAsia="Times New Roman"/>
          <w:color w:val="000000"/>
          <w:sz w:val="20"/>
          <w:szCs w:val="20"/>
        </w:rPr>
        <w:t xml:space="preserve">Based on the Company’s analysis, no impairment charges were recognized on goodwill in 2020, 2019 or 2018. </w:t>
      </w:r>
    </w:p>
    <w:p w:rsidR="00000000" w:rsidRDefault="0061405A">
      <w:pPr>
        <w:jc w:val="both"/>
        <w:divId w:val="451093091"/>
        <w:rPr>
          <w:rFonts w:eastAsia="Times New Roman"/>
        </w:rPr>
      </w:pPr>
      <w:r>
        <w:rPr>
          <w:rFonts w:eastAsia="Times New Roman"/>
          <w:b/>
          <w:bCs/>
          <w:i/>
          <w:iCs/>
          <w:color w:val="000000"/>
          <w:sz w:val="20"/>
          <w:szCs w:val="20"/>
        </w:rPr>
        <w:t>Intangibles, net</w:t>
      </w:r>
    </w:p>
    <w:p w:rsidR="00000000" w:rsidRDefault="0061405A">
      <w:pPr>
        <w:jc w:val="both"/>
        <w:divId w:val="1277516292"/>
        <w:rPr>
          <w:rFonts w:eastAsia="Times New Roman"/>
        </w:rPr>
      </w:pPr>
      <w:r>
        <w:rPr>
          <w:rFonts w:eastAsia="Times New Roman"/>
          <w:color w:val="000000"/>
          <w:sz w:val="20"/>
          <w:szCs w:val="20"/>
        </w:rPr>
        <w:t>Intangibles, net consists primarily of reacquired franchise rights and trademark</w:t>
      </w:r>
      <w:r>
        <w:rPr>
          <w:rFonts w:eastAsia="Times New Roman"/>
          <w:color w:val="000000"/>
          <w:sz w:val="20"/>
          <w:szCs w:val="20"/>
        </w:rPr>
        <w:t>s. The Company amortizes the fair value of reacquired franchise rights over the remaining contractual terms of the reacquired franchise area development agreements at the time of acquisition, which ranged from approximately five years to 13 years as of Dec</w:t>
      </w:r>
      <w:r>
        <w:rPr>
          <w:rFonts w:eastAsia="Times New Roman"/>
          <w:color w:val="000000"/>
          <w:sz w:val="20"/>
          <w:szCs w:val="20"/>
        </w:rPr>
        <w:t xml:space="preserve">ember 29, 2020. Trademark rights are considered indefinite-lived intangible assets, the carrying value of which are analyzed for impairment at least annually (or more often, if necessary). </w:t>
      </w:r>
    </w:p>
    <w:p w:rsidR="00000000" w:rsidRDefault="0061405A">
      <w:pPr>
        <w:jc w:val="center"/>
        <w:divId w:val="2036225037"/>
        <w:rPr>
          <w:rFonts w:eastAsia="Times New Roman"/>
        </w:rPr>
      </w:pPr>
      <w:r>
        <w:rPr>
          <w:rFonts w:eastAsia="Times New Roman"/>
          <w:color w:val="000000"/>
          <w:sz w:val="20"/>
          <w:szCs w:val="20"/>
        </w:rPr>
        <w:t>53</w:t>
      </w:r>
    </w:p>
    <w:p w:rsidR="00000000" w:rsidRDefault="0061405A">
      <w:pPr>
        <w:rPr>
          <w:rFonts w:eastAsia="Times New Roman"/>
        </w:rPr>
      </w:pPr>
      <w:r>
        <w:rPr>
          <w:rFonts w:eastAsia="Times New Roman"/>
        </w:rPr>
        <w:pict>
          <v:rect id="_x0000_i1080" style="width:0;height:1.5pt" o:hralign="center" o:hrstd="t" o:hr="t" fillcolor="#a0a0a0" stroked="f"/>
        </w:pict>
      </w:r>
    </w:p>
    <w:p w:rsidR="00000000" w:rsidRDefault="0061405A">
      <w:pPr>
        <w:divId w:val="2048066745"/>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center"/>
        <w:divId w:val="849178689"/>
        <w:rPr>
          <w:rFonts w:eastAsia="Times New Roman"/>
        </w:rPr>
      </w:pPr>
      <w:r>
        <w:rPr>
          <w:rFonts w:eastAsia="Times New Roman"/>
          <w:b/>
          <w:bCs/>
          <w:color w:val="000000"/>
          <w:sz w:val="20"/>
          <w:szCs w:val="20"/>
        </w:rPr>
        <w:t>NOODLES &amp; COMPANY</w:t>
      </w:r>
    </w:p>
    <w:p w:rsidR="00000000" w:rsidRDefault="0061405A">
      <w:pPr>
        <w:jc w:val="center"/>
        <w:divId w:val="290594705"/>
        <w:rPr>
          <w:rFonts w:eastAsia="Times New Roman"/>
        </w:rPr>
      </w:pPr>
      <w:r>
        <w:rPr>
          <w:rFonts w:eastAsia="Times New Roman"/>
          <w:b/>
          <w:bCs/>
          <w:color w:val="000000"/>
          <w:sz w:val="20"/>
          <w:szCs w:val="20"/>
        </w:rPr>
        <w:t>NOTES TO CONSOLIDATED FINANCIAL STATEMENTS (Continued)</w:t>
      </w:r>
    </w:p>
    <w:p w:rsidR="00000000" w:rsidRDefault="0061405A">
      <w:pPr>
        <w:jc w:val="center"/>
        <w:divId w:val="54471145"/>
        <w:rPr>
          <w:rFonts w:eastAsia="Times New Roman"/>
        </w:rPr>
      </w:pPr>
    </w:p>
    <w:p w:rsidR="00000000" w:rsidRDefault="0061405A">
      <w:pPr>
        <w:jc w:val="both"/>
        <w:divId w:val="307051433"/>
        <w:rPr>
          <w:rFonts w:eastAsia="Times New Roman"/>
        </w:rPr>
      </w:pPr>
      <w:r>
        <w:rPr>
          <w:rFonts w:eastAsia="Times New Roman"/>
          <w:b/>
          <w:bCs/>
          <w:i/>
          <w:iCs/>
          <w:color w:val="000000"/>
          <w:sz w:val="20"/>
          <w:szCs w:val="20"/>
        </w:rPr>
        <w:t>Impairment of Long-Lived Assets</w:t>
      </w:r>
    </w:p>
    <w:p w:rsidR="00000000" w:rsidRDefault="0061405A">
      <w:pPr>
        <w:jc w:val="both"/>
        <w:divId w:val="1817793200"/>
        <w:rPr>
          <w:rFonts w:eastAsia="Times New Roman"/>
        </w:rPr>
      </w:pPr>
      <w:r>
        <w:rPr>
          <w:rFonts w:eastAsia="Times New Roman"/>
          <w:color w:val="000000"/>
          <w:sz w:val="20"/>
          <w:szCs w:val="20"/>
        </w:rPr>
        <w:t>Long-lived assets are reviewed for impairment whenever events or changes in circumstances indicate that the carrying amount of an asset may not be recoverable. Recoverability of assets is measured by a comparison of the carrying amount of the assets to the</w:t>
      </w:r>
      <w:r>
        <w:rPr>
          <w:rFonts w:eastAsia="Times New Roman"/>
          <w:color w:val="000000"/>
          <w:sz w:val="20"/>
          <w:szCs w:val="20"/>
        </w:rPr>
        <w:t xml:space="preserve"> future undiscounted net cash flows expected to be generated by the assets. Identifiable cash flows are measured at the lowest level for which they are largely independent of the cash flows of other groups of assets and liabilities, generally at the restau</w:t>
      </w:r>
      <w:r>
        <w:rPr>
          <w:rFonts w:eastAsia="Times New Roman"/>
          <w:color w:val="000000"/>
          <w:sz w:val="20"/>
          <w:szCs w:val="20"/>
        </w:rPr>
        <w:t>rant level. If the assets are determined to be impaired, the amount of impairment recognized is measured by the amount by which the carrying amount of the assets exceeds their fair value. Estimates of future cash flows are based on the Company’s experience</w:t>
      </w:r>
      <w:r>
        <w:rPr>
          <w:rFonts w:eastAsia="Times New Roman"/>
          <w:color w:val="000000"/>
          <w:sz w:val="20"/>
          <w:szCs w:val="20"/>
        </w:rPr>
        <w:t xml:space="preserve"> and knowledge of local operations. During 2020, 2019 and 2018, the Company recorded impairment charges of certain long-lived assets which are included in restaurant impairments, closure costs and asset disposals in the Consolidated Statements of Operation</w:t>
      </w:r>
      <w:r>
        <w:rPr>
          <w:rFonts w:eastAsia="Times New Roman"/>
          <w:color w:val="000000"/>
          <w:sz w:val="20"/>
          <w:szCs w:val="20"/>
        </w:rPr>
        <w:t>s. See Note 6, Restaurant Impairments, Closure Costs and Asset Disposals. Fair value of the restaurant assets was determined using Level 3 inputs (as described in Note 5, Fair Value Measurements).</w:t>
      </w:r>
    </w:p>
    <w:p w:rsidR="00000000" w:rsidRDefault="0061405A">
      <w:pPr>
        <w:jc w:val="both"/>
        <w:divId w:val="1165391412"/>
        <w:rPr>
          <w:rFonts w:eastAsia="Times New Roman"/>
        </w:rPr>
      </w:pPr>
      <w:r>
        <w:rPr>
          <w:rFonts w:eastAsia="Times New Roman"/>
          <w:b/>
          <w:bCs/>
          <w:i/>
          <w:iCs/>
          <w:color w:val="000000"/>
          <w:sz w:val="20"/>
          <w:szCs w:val="20"/>
        </w:rPr>
        <w:t>Debt Issuance Costs</w:t>
      </w:r>
    </w:p>
    <w:p w:rsidR="00000000" w:rsidRDefault="0061405A">
      <w:pPr>
        <w:jc w:val="both"/>
        <w:divId w:val="1165508185"/>
        <w:rPr>
          <w:rFonts w:eastAsia="Times New Roman"/>
        </w:rPr>
      </w:pPr>
      <w:r>
        <w:rPr>
          <w:rFonts w:eastAsia="Times New Roman"/>
          <w:color w:val="000000"/>
          <w:sz w:val="20"/>
          <w:szCs w:val="20"/>
        </w:rPr>
        <w:t>Certain fees and costs incurred to obta</w:t>
      </w:r>
      <w:r>
        <w:rPr>
          <w:rFonts w:eastAsia="Times New Roman"/>
          <w:color w:val="000000"/>
          <w:sz w:val="20"/>
          <w:szCs w:val="20"/>
        </w:rPr>
        <w:t>in long-term financing are capitalized and included as a reduction in the net carrying value of long-term debt, net of accumulated amortization. These costs are amortized to interest expense over the term of the related debt. When debt is extinguished prio</w:t>
      </w:r>
      <w:r>
        <w:rPr>
          <w:rFonts w:eastAsia="Times New Roman"/>
          <w:color w:val="000000"/>
          <w:sz w:val="20"/>
          <w:szCs w:val="20"/>
        </w:rPr>
        <w:t xml:space="preserve">r to its maturity date, the amortization of the remaining unamortized debt issuance costs, or pro-rata portion thereof, is charged to loss on extinguishment of debt. Debt issuance costs of $1.7 million and $1.4 million, net of accumulated amortization, as </w:t>
      </w:r>
      <w:r>
        <w:rPr>
          <w:rFonts w:eastAsia="Times New Roman"/>
          <w:color w:val="000000"/>
          <w:sz w:val="20"/>
          <w:szCs w:val="20"/>
        </w:rPr>
        <w:t xml:space="preserve">of December 29, 2020 and December 31, 2019, respectively, are included as a reduction of long-term debt in the Consolidated Balance Sheets. </w:t>
      </w:r>
    </w:p>
    <w:p w:rsidR="00000000" w:rsidRDefault="0061405A">
      <w:pPr>
        <w:jc w:val="both"/>
        <w:divId w:val="1988364938"/>
        <w:rPr>
          <w:rFonts w:eastAsia="Times New Roman"/>
        </w:rPr>
      </w:pPr>
      <w:r>
        <w:rPr>
          <w:rFonts w:eastAsia="Times New Roman"/>
          <w:b/>
          <w:bCs/>
          <w:i/>
          <w:iCs/>
          <w:color w:val="000000"/>
          <w:sz w:val="20"/>
          <w:szCs w:val="20"/>
        </w:rPr>
        <w:t>Self-Insurance Programs</w:t>
      </w:r>
    </w:p>
    <w:p w:rsidR="00000000" w:rsidRDefault="0061405A">
      <w:pPr>
        <w:jc w:val="both"/>
        <w:divId w:val="1701934338"/>
        <w:rPr>
          <w:rFonts w:eastAsia="Times New Roman"/>
        </w:rPr>
      </w:pPr>
      <w:r>
        <w:rPr>
          <w:rFonts w:eastAsia="Times New Roman"/>
          <w:color w:val="000000"/>
          <w:sz w:val="20"/>
          <w:szCs w:val="20"/>
        </w:rPr>
        <w:t xml:space="preserve">The Company self-insures for health, workers’ </w:t>
      </w:r>
      <w:r>
        <w:rPr>
          <w:rFonts w:eastAsia="Times New Roman"/>
          <w:color w:val="000000"/>
          <w:sz w:val="20"/>
          <w:szCs w:val="20"/>
        </w:rPr>
        <w:t>compensation, general liability and property damage. Predetermined loss limits have been arranged with insurance companies to limit the Company’s per occurrence cash outlay. Estimated costs to settle reported claims and incurred but unreported claims for h</w:t>
      </w:r>
      <w:r>
        <w:rPr>
          <w:rFonts w:eastAsia="Times New Roman"/>
          <w:color w:val="000000"/>
          <w:sz w:val="20"/>
          <w:szCs w:val="20"/>
        </w:rPr>
        <w:t>ealth and workers’ compensation self-insured plans are recorded in accrued payroll and benefits and for general liability and property damage in accrued expenses and other liabilities in the Consolidated Balance Sheets.</w:t>
      </w:r>
    </w:p>
    <w:p w:rsidR="00000000" w:rsidRDefault="0061405A">
      <w:pPr>
        <w:jc w:val="both"/>
        <w:divId w:val="1899826565"/>
        <w:rPr>
          <w:rFonts w:eastAsia="Times New Roman"/>
        </w:rPr>
      </w:pPr>
      <w:r>
        <w:rPr>
          <w:rFonts w:eastAsia="Times New Roman"/>
          <w:b/>
          <w:bCs/>
          <w:i/>
          <w:iCs/>
          <w:color w:val="000000"/>
          <w:sz w:val="20"/>
          <w:szCs w:val="20"/>
        </w:rPr>
        <w:t>Concentrations of Credit Risk</w:t>
      </w:r>
    </w:p>
    <w:p w:rsidR="00000000" w:rsidRDefault="0061405A">
      <w:pPr>
        <w:jc w:val="both"/>
        <w:divId w:val="1061292989"/>
        <w:rPr>
          <w:rFonts w:eastAsia="Times New Roman"/>
        </w:rPr>
      </w:pPr>
      <w:r>
        <w:rPr>
          <w:rFonts w:eastAsia="Times New Roman"/>
          <w:color w:val="000000"/>
          <w:sz w:val="20"/>
          <w:szCs w:val="20"/>
        </w:rPr>
        <w:t>Financ</w:t>
      </w:r>
      <w:r>
        <w:rPr>
          <w:rFonts w:eastAsia="Times New Roman"/>
          <w:color w:val="000000"/>
          <w:sz w:val="20"/>
          <w:szCs w:val="20"/>
        </w:rPr>
        <w:t>ial instruments that potentially subject the Company to concentrations of credit risk consist primarily of cash and cash equivalents and accounts receivable. The Company’s cash balances may exceed federally insured limits. Credit card transactions at the C</w:t>
      </w:r>
      <w:r>
        <w:rPr>
          <w:rFonts w:eastAsia="Times New Roman"/>
          <w:color w:val="000000"/>
          <w:sz w:val="20"/>
          <w:szCs w:val="20"/>
        </w:rPr>
        <w:t>ompany’s restaurants are processed by one service provider. Concentration of credit risk related to accounts receivable are limited, as the Company’s receivables are primarily amounts due from franchisees and the Company directly pulls the amounts owed fro</w:t>
      </w:r>
      <w:r>
        <w:rPr>
          <w:rFonts w:eastAsia="Times New Roman"/>
          <w:color w:val="000000"/>
          <w:sz w:val="20"/>
          <w:szCs w:val="20"/>
        </w:rPr>
        <w:t>m the franchisees bank accounts.</w:t>
      </w:r>
    </w:p>
    <w:p w:rsidR="00000000" w:rsidRDefault="0061405A">
      <w:pPr>
        <w:jc w:val="both"/>
        <w:divId w:val="1423911913"/>
        <w:rPr>
          <w:rFonts w:eastAsia="Times New Roman"/>
        </w:rPr>
      </w:pPr>
      <w:r>
        <w:rPr>
          <w:rFonts w:eastAsia="Times New Roman"/>
          <w:b/>
          <w:bCs/>
          <w:i/>
          <w:iCs/>
          <w:color w:val="000000"/>
          <w:sz w:val="20"/>
          <w:szCs w:val="20"/>
        </w:rPr>
        <w:t>Revenue Recognition</w:t>
      </w:r>
    </w:p>
    <w:p w:rsidR="00000000" w:rsidRDefault="0061405A">
      <w:pPr>
        <w:jc w:val="both"/>
        <w:divId w:val="834102266"/>
        <w:rPr>
          <w:rFonts w:eastAsia="Times New Roman"/>
        </w:rPr>
      </w:pPr>
      <w:r>
        <w:rPr>
          <w:rFonts w:eastAsia="Times New Roman"/>
          <w:color w:val="000000"/>
          <w:sz w:val="20"/>
          <w:szCs w:val="20"/>
        </w:rPr>
        <w:t>Revenue consists of sales from restaurant operations and franchise royalties and fees. Revenue from the operation of company-owned restaurants are recognized when sales occur. The Company reports revenue</w:t>
      </w:r>
      <w:r>
        <w:rPr>
          <w:rFonts w:eastAsia="Times New Roman"/>
          <w:color w:val="000000"/>
          <w:sz w:val="20"/>
          <w:szCs w:val="20"/>
        </w:rPr>
        <w:t xml:space="preserve"> net of sales and use taxes collected from customers and remitted to governmental taxing authorities.</w:t>
      </w:r>
    </w:p>
    <w:p w:rsidR="00000000" w:rsidRDefault="0061405A">
      <w:pPr>
        <w:jc w:val="both"/>
        <w:divId w:val="422655144"/>
        <w:rPr>
          <w:rFonts w:eastAsia="Times New Roman"/>
        </w:rPr>
      </w:pPr>
      <w:r>
        <w:rPr>
          <w:rFonts w:eastAsia="Times New Roman"/>
          <w:i/>
          <w:iCs/>
          <w:color w:val="000000"/>
          <w:sz w:val="20"/>
          <w:szCs w:val="20"/>
        </w:rPr>
        <w:t>Gift Cards</w:t>
      </w:r>
    </w:p>
    <w:p w:rsidR="00000000" w:rsidRDefault="0061405A">
      <w:pPr>
        <w:jc w:val="both"/>
        <w:divId w:val="989603415"/>
        <w:rPr>
          <w:rFonts w:eastAsia="Times New Roman"/>
        </w:rPr>
      </w:pPr>
      <w:r>
        <w:rPr>
          <w:rFonts w:eastAsia="Times New Roman"/>
          <w:color w:val="000000"/>
          <w:sz w:val="20"/>
          <w:szCs w:val="20"/>
        </w:rPr>
        <w:t>The Company sells gift cards which do not have an expiration date, and it does not deduct non-usage fees from outstanding gift card balances. T</w:t>
      </w:r>
      <w:r>
        <w:rPr>
          <w:rFonts w:eastAsia="Times New Roman"/>
          <w:color w:val="000000"/>
          <w:sz w:val="20"/>
          <w:szCs w:val="20"/>
        </w:rPr>
        <w:t>he Company recognizes revenue from gift cards when the gift card is redeemed by the customer or the Company determines the likelihood of the gift card being redeemed by the customer is remote (“gift card breakage”). The determination of the gift card break</w:t>
      </w:r>
      <w:r>
        <w:rPr>
          <w:rFonts w:eastAsia="Times New Roman"/>
          <w:color w:val="000000"/>
          <w:sz w:val="20"/>
          <w:szCs w:val="20"/>
        </w:rPr>
        <w:t>age rate is based upon Company-specific historical redemption patterns. The Company has determined that approximately 9% of gift cards will not be redeemed, which is recognized ratably over the estimated redemption period of the gift card, approximately 24</w:t>
      </w:r>
      <w:r>
        <w:rPr>
          <w:rFonts w:eastAsia="Times New Roman"/>
          <w:color w:val="000000"/>
          <w:sz w:val="20"/>
          <w:szCs w:val="20"/>
        </w:rPr>
        <w:t> months.</w:t>
      </w:r>
    </w:p>
    <w:p w:rsidR="00000000" w:rsidRDefault="0061405A">
      <w:pPr>
        <w:jc w:val="both"/>
        <w:divId w:val="2099131342"/>
        <w:rPr>
          <w:rFonts w:eastAsia="Times New Roman"/>
        </w:rPr>
      </w:pPr>
      <w:r>
        <w:rPr>
          <w:rFonts w:eastAsia="Times New Roman"/>
          <w:i/>
          <w:iCs/>
          <w:color w:val="000000"/>
          <w:sz w:val="20"/>
          <w:szCs w:val="20"/>
        </w:rPr>
        <w:t>Loyalty Program</w:t>
      </w:r>
    </w:p>
    <w:p w:rsidR="00000000" w:rsidRDefault="0061405A">
      <w:pPr>
        <w:jc w:val="both"/>
        <w:divId w:val="1968850964"/>
        <w:rPr>
          <w:rFonts w:eastAsia="Times New Roman"/>
        </w:rPr>
      </w:pPr>
      <w:r>
        <w:rPr>
          <w:rFonts w:eastAsia="Times New Roman"/>
          <w:color w:val="000000"/>
          <w:sz w:val="20"/>
          <w:szCs w:val="20"/>
        </w:rPr>
        <w:t>The Company operates the Noodles Rewards program, which is primarily a spend-based loyalty program. With each purchase, Noodles Rewards members earn loyalty points that can be redeemed for rewards, including free products. Using an</w:t>
      </w:r>
      <w:r>
        <w:rPr>
          <w:rFonts w:eastAsia="Times New Roman"/>
          <w:color w:val="000000"/>
          <w:sz w:val="20"/>
          <w:szCs w:val="20"/>
        </w:rPr>
        <w:t xml:space="preserve"> estimate of the value of reward redemptions, we defer revenue associated with points earned, net of estimated points that will not be redeemed. Points generally expire after six months. Revenue is recognized in a future period when the reward points are r</w:t>
      </w:r>
      <w:r>
        <w:rPr>
          <w:rFonts w:eastAsia="Times New Roman"/>
          <w:color w:val="000000"/>
          <w:sz w:val="20"/>
          <w:szCs w:val="20"/>
        </w:rPr>
        <w:t>edeemed.</w:t>
      </w:r>
    </w:p>
    <w:p w:rsidR="00000000" w:rsidRDefault="0061405A">
      <w:pPr>
        <w:jc w:val="both"/>
        <w:rPr>
          <w:rFonts w:eastAsia="Times New Roman"/>
        </w:rPr>
      </w:pPr>
    </w:p>
    <w:p w:rsidR="00000000" w:rsidRDefault="0061405A">
      <w:pPr>
        <w:jc w:val="center"/>
        <w:divId w:val="1336222950"/>
        <w:rPr>
          <w:rFonts w:eastAsia="Times New Roman"/>
        </w:rPr>
      </w:pPr>
      <w:r>
        <w:rPr>
          <w:rFonts w:eastAsia="Times New Roman"/>
          <w:color w:val="000000"/>
          <w:sz w:val="20"/>
          <w:szCs w:val="20"/>
        </w:rPr>
        <w:t>54</w:t>
      </w:r>
    </w:p>
    <w:p w:rsidR="00000000" w:rsidRDefault="0061405A">
      <w:pPr>
        <w:rPr>
          <w:rFonts w:eastAsia="Times New Roman"/>
        </w:rPr>
      </w:pPr>
      <w:r>
        <w:rPr>
          <w:rFonts w:eastAsia="Times New Roman"/>
        </w:rPr>
        <w:pict>
          <v:rect id="_x0000_i1081" style="width:0;height:1.5pt" o:hralign="center" o:hrstd="t" o:hr="t" fillcolor="#a0a0a0" stroked="f"/>
        </w:pict>
      </w:r>
    </w:p>
    <w:p w:rsidR="00000000" w:rsidRDefault="0061405A">
      <w:pPr>
        <w:divId w:val="1702629302"/>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center"/>
        <w:divId w:val="1258638732"/>
        <w:rPr>
          <w:rFonts w:eastAsia="Times New Roman"/>
        </w:rPr>
      </w:pPr>
      <w:r>
        <w:rPr>
          <w:rFonts w:eastAsia="Times New Roman"/>
          <w:b/>
          <w:bCs/>
          <w:color w:val="000000"/>
          <w:sz w:val="20"/>
          <w:szCs w:val="20"/>
        </w:rPr>
        <w:t>NOODLES &amp; COMPANY</w:t>
      </w:r>
    </w:p>
    <w:p w:rsidR="00000000" w:rsidRDefault="0061405A">
      <w:pPr>
        <w:jc w:val="center"/>
        <w:divId w:val="455294132"/>
        <w:rPr>
          <w:rFonts w:eastAsia="Times New Roman"/>
        </w:rPr>
      </w:pPr>
      <w:r>
        <w:rPr>
          <w:rFonts w:eastAsia="Times New Roman"/>
          <w:b/>
          <w:bCs/>
          <w:color w:val="000000"/>
          <w:sz w:val="20"/>
          <w:szCs w:val="20"/>
        </w:rPr>
        <w:t>NOTES TO CONSOLIDATED FINANCIAL STATEMENTS (Continued)</w:t>
      </w:r>
    </w:p>
    <w:p w:rsidR="00000000" w:rsidRDefault="0061405A">
      <w:pPr>
        <w:jc w:val="center"/>
        <w:divId w:val="1521746071"/>
        <w:rPr>
          <w:rFonts w:eastAsia="Times New Roman"/>
        </w:rPr>
      </w:pPr>
    </w:p>
    <w:p w:rsidR="00000000" w:rsidRDefault="0061405A">
      <w:pPr>
        <w:jc w:val="both"/>
        <w:divId w:val="204370588"/>
        <w:rPr>
          <w:rFonts w:eastAsia="Times New Roman"/>
        </w:rPr>
      </w:pPr>
      <w:r>
        <w:rPr>
          <w:rFonts w:eastAsia="Times New Roman"/>
          <w:i/>
          <w:iCs/>
          <w:color w:val="000000"/>
          <w:sz w:val="20"/>
          <w:szCs w:val="20"/>
        </w:rPr>
        <w:t>Franchise Royalties</w:t>
      </w:r>
    </w:p>
    <w:p w:rsidR="00000000" w:rsidRDefault="0061405A">
      <w:pPr>
        <w:jc w:val="both"/>
        <w:divId w:val="111437100"/>
        <w:rPr>
          <w:rFonts w:eastAsia="Times New Roman"/>
        </w:rPr>
      </w:pPr>
      <w:r>
        <w:rPr>
          <w:rFonts w:eastAsia="Times New Roman"/>
          <w:color w:val="000000"/>
          <w:sz w:val="20"/>
          <w:szCs w:val="20"/>
        </w:rPr>
        <w:t>Royalties from franchise restau</w:t>
      </w:r>
      <w:r>
        <w:rPr>
          <w:rFonts w:eastAsia="Times New Roman"/>
          <w:color w:val="000000"/>
          <w:sz w:val="20"/>
          <w:szCs w:val="20"/>
        </w:rPr>
        <w:t>rants are based on a percentage of restaurant revenues and are recognized in the period the related franchised restaurants’ sales occur. Development fees and franchise fees, portions of which are collected in advance, are nonrefundable. The Company has det</w:t>
      </w:r>
      <w:r>
        <w:rPr>
          <w:rFonts w:eastAsia="Times New Roman"/>
          <w:color w:val="000000"/>
          <w:sz w:val="20"/>
          <w:szCs w:val="20"/>
        </w:rPr>
        <w:t>ermined that the initial franchise services are not distinct from the continuing rights or services offered during the term of the franchise agreement and should be treated as a single performance obligation; therefore, such fees are recognized in income r</w:t>
      </w:r>
      <w:r>
        <w:rPr>
          <w:rFonts w:eastAsia="Times New Roman"/>
          <w:color w:val="000000"/>
          <w:sz w:val="20"/>
          <w:szCs w:val="20"/>
        </w:rPr>
        <w:t xml:space="preserve">atably over the term of the related franchise agreement or recognized upon the termination of the agreement between the Company and the franchisee. </w:t>
      </w:r>
    </w:p>
    <w:p w:rsidR="00000000" w:rsidRDefault="0061405A">
      <w:pPr>
        <w:jc w:val="both"/>
        <w:divId w:val="2050765384"/>
        <w:rPr>
          <w:rFonts w:eastAsia="Times New Roman"/>
        </w:rPr>
      </w:pPr>
      <w:r>
        <w:rPr>
          <w:rFonts w:eastAsia="Times New Roman"/>
          <w:color w:val="000000"/>
          <w:sz w:val="20"/>
          <w:szCs w:val="20"/>
        </w:rPr>
        <w:t>As of December 29, 2020, December 31, 2019 and January 1, 2019, there were 76, 68 and 65 franchise restaura</w:t>
      </w:r>
      <w:r>
        <w:rPr>
          <w:rFonts w:eastAsia="Times New Roman"/>
          <w:color w:val="000000"/>
          <w:sz w:val="20"/>
          <w:szCs w:val="20"/>
        </w:rPr>
        <w:t>nts in operation, respectively. Franchisees acquired nine company-owned locations in 2020 and five locations in 2019 and closed one restaurant in 2020. Franchisees did not open any restaurants in 2020 or 2018. Franchisees opened one restaurant in 2019.</w:t>
      </w:r>
    </w:p>
    <w:p w:rsidR="00000000" w:rsidRDefault="0061405A">
      <w:pPr>
        <w:jc w:val="both"/>
        <w:divId w:val="379092277"/>
        <w:rPr>
          <w:rFonts w:eastAsia="Times New Roman"/>
        </w:rPr>
      </w:pPr>
      <w:r>
        <w:rPr>
          <w:rFonts w:eastAsia="Times New Roman"/>
          <w:b/>
          <w:bCs/>
          <w:i/>
          <w:iCs/>
          <w:color w:val="000000"/>
          <w:sz w:val="20"/>
          <w:szCs w:val="20"/>
        </w:rPr>
        <w:t>Pre</w:t>
      </w:r>
      <w:r>
        <w:rPr>
          <w:rFonts w:eastAsia="Times New Roman"/>
          <w:b/>
          <w:bCs/>
          <w:i/>
          <w:iCs/>
          <w:color w:val="000000"/>
          <w:sz w:val="20"/>
          <w:szCs w:val="20"/>
        </w:rPr>
        <w:t>-Opening Costs</w:t>
      </w:r>
    </w:p>
    <w:p w:rsidR="00000000" w:rsidRDefault="0061405A">
      <w:pPr>
        <w:jc w:val="both"/>
        <w:divId w:val="273447132"/>
        <w:rPr>
          <w:rFonts w:eastAsia="Times New Roman"/>
        </w:rPr>
      </w:pPr>
      <w:r>
        <w:rPr>
          <w:rFonts w:eastAsia="Times New Roman"/>
          <w:color w:val="000000"/>
          <w:sz w:val="20"/>
          <w:szCs w:val="20"/>
        </w:rPr>
        <w:t>Pre-opening costs, including rent, wages, benefits and travel for the training and opening teams, food, beverage and other restaurant operating costs, are expensed as incurred prior to a restaurant opening for business.</w:t>
      </w:r>
    </w:p>
    <w:p w:rsidR="00000000" w:rsidRDefault="0061405A">
      <w:pPr>
        <w:jc w:val="both"/>
        <w:divId w:val="776874268"/>
        <w:rPr>
          <w:rFonts w:eastAsia="Times New Roman"/>
        </w:rPr>
      </w:pPr>
      <w:r>
        <w:rPr>
          <w:rFonts w:eastAsia="Times New Roman"/>
          <w:b/>
          <w:bCs/>
          <w:i/>
          <w:iCs/>
          <w:color w:val="000000"/>
          <w:sz w:val="20"/>
          <w:szCs w:val="20"/>
        </w:rPr>
        <w:t>Advertising and Marketing Costs</w:t>
      </w:r>
    </w:p>
    <w:p w:rsidR="00000000" w:rsidRDefault="0061405A">
      <w:pPr>
        <w:jc w:val="both"/>
        <w:divId w:val="634945177"/>
        <w:rPr>
          <w:rFonts w:eastAsia="Times New Roman"/>
        </w:rPr>
      </w:pPr>
      <w:r>
        <w:rPr>
          <w:rFonts w:eastAsia="Times New Roman"/>
          <w:color w:val="000000"/>
          <w:sz w:val="20"/>
          <w:szCs w:val="20"/>
        </w:rPr>
        <w:t>Advertising and marketing costs are expensed as incurred and were $7.9 million, $6.1 million and $6.0 million in 2020, 2019 and 2018, respectively. These costs are included in restaurant operating costs, general and administ</w:t>
      </w:r>
      <w:r>
        <w:rPr>
          <w:rFonts w:eastAsia="Times New Roman"/>
          <w:color w:val="000000"/>
          <w:sz w:val="20"/>
          <w:szCs w:val="20"/>
        </w:rPr>
        <w:t>rative expenses and pre-opening costs based on the nature of the advertising and marketing costs incurred.</w:t>
      </w:r>
    </w:p>
    <w:p w:rsidR="00000000" w:rsidRDefault="0061405A">
      <w:pPr>
        <w:jc w:val="both"/>
        <w:divId w:val="1328048212"/>
        <w:rPr>
          <w:rFonts w:eastAsia="Times New Roman"/>
        </w:rPr>
      </w:pPr>
      <w:r>
        <w:rPr>
          <w:rFonts w:eastAsia="Times New Roman"/>
          <w:b/>
          <w:bCs/>
          <w:i/>
          <w:iCs/>
          <w:color w:val="000000"/>
          <w:sz w:val="20"/>
          <w:szCs w:val="20"/>
        </w:rPr>
        <w:t>Rent</w:t>
      </w:r>
    </w:p>
    <w:p w:rsidR="00000000" w:rsidRDefault="0061405A">
      <w:pPr>
        <w:jc w:val="both"/>
        <w:divId w:val="185603622"/>
        <w:rPr>
          <w:rFonts w:eastAsia="Times New Roman"/>
        </w:rPr>
      </w:pPr>
      <w:r>
        <w:rPr>
          <w:rFonts w:eastAsia="Times New Roman"/>
          <w:color w:val="000000"/>
          <w:sz w:val="20"/>
          <w:szCs w:val="20"/>
        </w:rPr>
        <w:t xml:space="preserve">Rent expense for the Company’s leases, which generally have escalating rentals over the term of the lease, is recorded on a straight-line basis </w:t>
      </w:r>
      <w:r>
        <w:rPr>
          <w:rFonts w:eastAsia="Times New Roman"/>
          <w:color w:val="000000"/>
          <w:sz w:val="20"/>
          <w:szCs w:val="20"/>
        </w:rPr>
        <w:t>over the lease term. Additionally, tenant incentives used to fund leasehold improvements are recognized when earned and reduce the right-of-use asset related to the lease. These are amortized through the right-of-use asset as reductions of expense over the</w:t>
      </w:r>
      <w:r>
        <w:rPr>
          <w:rFonts w:eastAsia="Times New Roman"/>
          <w:color w:val="000000"/>
          <w:sz w:val="20"/>
          <w:szCs w:val="20"/>
        </w:rPr>
        <w:t xml:space="preserve"> lease term. Some of the Company’s leases include rent escalations based on inflation indexes and fair market value adjustments. Certain leases contain contingent rental provisions that include a fixed base rent plus an additional percentage of the restaur</w:t>
      </w:r>
      <w:r>
        <w:rPr>
          <w:rFonts w:eastAsia="Times New Roman"/>
          <w:color w:val="000000"/>
          <w:sz w:val="20"/>
          <w:szCs w:val="20"/>
        </w:rPr>
        <w:t>ant’s sales in excess of stipulated amounts. Lease expense associated with rent escalation and contingent rental provisions is not material and is included within operating lease cost. Operating lease liabilities are calculated using the prevailing index o</w:t>
      </w:r>
      <w:r>
        <w:rPr>
          <w:rFonts w:eastAsia="Times New Roman"/>
          <w:color w:val="000000"/>
          <w:sz w:val="20"/>
          <w:szCs w:val="20"/>
        </w:rPr>
        <w:t>r rate at lease commencement. Subsequent escalations in the index or rate and contingent rental payments are recognized as variable lease expenses. Our lease agreements do not contain any material residual value guarantees or material restrictive covenants</w:t>
      </w:r>
      <w:r>
        <w:rPr>
          <w:rFonts w:eastAsia="Times New Roman"/>
          <w:color w:val="000000"/>
          <w:sz w:val="20"/>
          <w:szCs w:val="20"/>
        </w:rPr>
        <w:t xml:space="preserve">. </w:t>
      </w:r>
    </w:p>
    <w:p w:rsidR="00000000" w:rsidRDefault="0061405A">
      <w:pPr>
        <w:divId w:val="1257249982"/>
        <w:rPr>
          <w:rFonts w:eastAsia="Times New Roman"/>
        </w:rPr>
      </w:pPr>
      <w:r>
        <w:rPr>
          <w:rFonts w:eastAsia="Times New Roman"/>
          <w:color w:val="000000"/>
          <w:sz w:val="20"/>
          <w:szCs w:val="20"/>
        </w:rPr>
        <w:t xml:space="preserve">As most of the Company’s leases do not provide an implicit rate, the Company used its incremental borrowing rate based on the information available at commencement date in determining the present value of lease payments. </w:t>
      </w:r>
    </w:p>
    <w:p w:rsidR="00000000" w:rsidRDefault="0061405A">
      <w:pPr>
        <w:jc w:val="both"/>
        <w:divId w:val="701516060"/>
        <w:rPr>
          <w:rFonts w:eastAsia="Times New Roman"/>
        </w:rPr>
      </w:pPr>
      <w:r>
        <w:rPr>
          <w:rFonts w:eastAsia="Times New Roman"/>
          <w:b/>
          <w:bCs/>
          <w:i/>
          <w:iCs/>
          <w:color w:val="000000"/>
          <w:sz w:val="20"/>
          <w:szCs w:val="20"/>
        </w:rPr>
        <w:t xml:space="preserve">Provision (Benefit) for Income </w:t>
      </w:r>
      <w:r>
        <w:rPr>
          <w:rFonts w:eastAsia="Times New Roman"/>
          <w:b/>
          <w:bCs/>
          <w:i/>
          <w:iCs/>
          <w:color w:val="000000"/>
          <w:sz w:val="20"/>
          <w:szCs w:val="20"/>
        </w:rPr>
        <w:t>Taxes</w:t>
      </w:r>
    </w:p>
    <w:p w:rsidR="00000000" w:rsidRDefault="0061405A">
      <w:pPr>
        <w:jc w:val="both"/>
        <w:divId w:val="1609921021"/>
        <w:rPr>
          <w:rFonts w:eastAsia="Times New Roman"/>
        </w:rPr>
      </w:pPr>
      <w:r>
        <w:rPr>
          <w:rFonts w:eastAsia="Times New Roman"/>
          <w:color w:val="000000"/>
          <w:sz w:val="20"/>
          <w:szCs w:val="20"/>
        </w:rPr>
        <w:t>Provision (benefit) for income taxes is accounted for under the asset and liability method. Deferred tax assets and liabilities are recognized for the future tax consequences attributable to differences between the financial statement carrying amounts of e</w:t>
      </w:r>
      <w:r>
        <w:rPr>
          <w:rFonts w:eastAsia="Times New Roman"/>
          <w:color w:val="000000"/>
          <w:sz w:val="20"/>
          <w:szCs w:val="20"/>
        </w:rPr>
        <w:t>xisting assets and liabilities and their respective tax bases and operating loss and tax credit carry forwards. Deferred tax assets and liabilities are measured using enacted tax rates expected to apply to taxable income in the years in which those deferre</w:t>
      </w:r>
      <w:r>
        <w:rPr>
          <w:rFonts w:eastAsia="Times New Roman"/>
          <w:color w:val="000000"/>
          <w:sz w:val="20"/>
          <w:szCs w:val="20"/>
        </w:rPr>
        <w:t xml:space="preserve">d amounts are expected to be recovered or settled. Valuation allowances are recorded for deferred tax assets that more likely than not will not be realized. The effect on deferred tax assets and liabilities of a change in tax rates is recognized in income </w:t>
      </w:r>
      <w:r>
        <w:rPr>
          <w:rFonts w:eastAsia="Times New Roman"/>
          <w:color w:val="000000"/>
          <w:sz w:val="20"/>
          <w:szCs w:val="20"/>
        </w:rPr>
        <w:t xml:space="preserve">in the period that includes the enactment date. The Company’s policy is to recognize interest to be paid on an underpayment of income taxes in interest expense and any related statutory penalties in provision (benefit) for income taxes in the Consolidated </w:t>
      </w:r>
      <w:r>
        <w:rPr>
          <w:rFonts w:eastAsia="Times New Roman"/>
          <w:color w:val="000000"/>
          <w:sz w:val="20"/>
          <w:szCs w:val="20"/>
        </w:rPr>
        <w:t>Statements of Operations.</w:t>
      </w:r>
    </w:p>
    <w:p w:rsidR="00000000" w:rsidRDefault="0061405A">
      <w:pPr>
        <w:jc w:val="both"/>
        <w:divId w:val="357046786"/>
        <w:rPr>
          <w:rFonts w:eastAsia="Times New Roman"/>
        </w:rPr>
      </w:pPr>
      <w:r>
        <w:rPr>
          <w:rFonts w:eastAsia="Times New Roman"/>
          <w:b/>
          <w:bCs/>
          <w:i/>
          <w:iCs/>
          <w:color w:val="000000"/>
          <w:sz w:val="20"/>
          <w:szCs w:val="20"/>
        </w:rPr>
        <w:t>Stock-Based Compensation Expense</w:t>
      </w:r>
    </w:p>
    <w:p w:rsidR="00000000" w:rsidRDefault="0061405A">
      <w:pPr>
        <w:jc w:val="both"/>
        <w:divId w:val="1346322739"/>
        <w:rPr>
          <w:rFonts w:eastAsia="Times New Roman"/>
        </w:rPr>
      </w:pPr>
      <w:r>
        <w:rPr>
          <w:rFonts w:eastAsia="Times New Roman"/>
          <w:color w:val="000000"/>
          <w:sz w:val="20"/>
          <w:szCs w:val="20"/>
        </w:rPr>
        <w:t xml:space="preserve">Stock-based compensation expense is measured at the grant date based upon the estimated fair value of the portion of the award that is ultimately expected to vest and is recognized as expense over </w:t>
      </w:r>
      <w:r>
        <w:rPr>
          <w:rFonts w:eastAsia="Times New Roman"/>
          <w:color w:val="000000"/>
          <w:sz w:val="20"/>
          <w:szCs w:val="20"/>
        </w:rPr>
        <w:t>the applicable vesting period of the award generally using the straight-line method (see Note 9, Stock-Based Compensation for more information).</w:t>
      </w:r>
    </w:p>
    <w:p w:rsidR="00000000" w:rsidRDefault="0061405A">
      <w:pPr>
        <w:jc w:val="both"/>
        <w:divId w:val="1546717559"/>
        <w:rPr>
          <w:rFonts w:eastAsia="Times New Roman"/>
        </w:rPr>
      </w:pPr>
      <w:r>
        <w:rPr>
          <w:rFonts w:eastAsia="Times New Roman"/>
          <w:b/>
          <w:bCs/>
          <w:i/>
          <w:iCs/>
          <w:color w:val="000000"/>
          <w:sz w:val="20"/>
          <w:szCs w:val="20"/>
        </w:rPr>
        <w:t>Recently Issued Accounting Pronouncements</w:t>
      </w:r>
    </w:p>
    <w:p w:rsidR="00000000" w:rsidRDefault="0061405A">
      <w:pPr>
        <w:jc w:val="center"/>
        <w:divId w:val="857936805"/>
        <w:rPr>
          <w:rFonts w:eastAsia="Times New Roman"/>
        </w:rPr>
      </w:pPr>
      <w:r>
        <w:rPr>
          <w:rFonts w:eastAsia="Times New Roman"/>
          <w:color w:val="000000"/>
          <w:sz w:val="20"/>
          <w:szCs w:val="20"/>
        </w:rPr>
        <w:t>55</w:t>
      </w:r>
    </w:p>
    <w:p w:rsidR="00000000" w:rsidRDefault="0061405A">
      <w:pPr>
        <w:rPr>
          <w:rFonts w:eastAsia="Times New Roman"/>
        </w:rPr>
      </w:pPr>
      <w:r>
        <w:rPr>
          <w:rFonts w:eastAsia="Times New Roman"/>
        </w:rPr>
        <w:pict>
          <v:rect id="_x0000_i1082" style="width:0;height:1.5pt" o:hralign="center" o:hrstd="t" o:hr="t" fillcolor="#a0a0a0" stroked="f"/>
        </w:pict>
      </w:r>
    </w:p>
    <w:p w:rsidR="00000000" w:rsidRDefault="0061405A">
      <w:pPr>
        <w:divId w:val="1524128748"/>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center"/>
        <w:divId w:val="122622684"/>
        <w:rPr>
          <w:rFonts w:eastAsia="Times New Roman"/>
        </w:rPr>
      </w:pPr>
      <w:r>
        <w:rPr>
          <w:rFonts w:eastAsia="Times New Roman"/>
          <w:b/>
          <w:bCs/>
          <w:color w:val="000000"/>
          <w:sz w:val="20"/>
          <w:szCs w:val="20"/>
        </w:rPr>
        <w:t>NOODLES &amp; COMPANY</w:t>
      </w:r>
    </w:p>
    <w:p w:rsidR="00000000" w:rsidRDefault="0061405A">
      <w:pPr>
        <w:jc w:val="center"/>
        <w:divId w:val="205875751"/>
        <w:rPr>
          <w:rFonts w:eastAsia="Times New Roman"/>
        </w:rPr>
      </w:pPr>
      <w:r>
        <w:rPr>
          <w:rFonts w:eastAsia="Times New Roman"/>
          <w:b/>
          <w:bCs/>
          <w:color w:val="000000"/>
          <w:sz w:val="20"/>
          <w:szCs w:val="20"/>
        </w:rPr>
        <w:t>NOTES TO CONSOLIDATED FINANCIAL STATEMENTS (Continued)</w:t>
      </w:r>
    </w:p>
    <w:p w:rsidR="00000000" w:rsidRDefault="0061405A">
      <w:pPr>
        <w:jc w:val="center"/>
        <w:divId w:val="1858737925"/>
        <w:rPr>
          <w:rFonts w:eastAsia="Times New Roman"/>
        </w:rPr>
      </w:pPr>
    </w:p>
    <w:p w:rsidR="00000000" w:rsidRDefault="0061405A">
      <w:pPr>
        <w:jc w:val="both"/>
        <w:divId w:val="525873569"/>
        <w:rPr>
          <w:rFonts w:eastAsia="Times New Roman"/>
        </w:rPr>
      </w:pPr>
      <w:r>
        <w:rPr>
          <w:rFonts w:eastAsia="Times New Roman"/>
          <w:color w:val="000000"/>
          <w:sz w:val="20"/>
          <w:szCs w:val="20"/>
        </w:rPr>
        <w:t>In March 2020, the FASB issued ASU No. 2020-04, Facilitation of the Effects of Reference Rate Reform on Financial Reporting. The AS</w:t>
      </w:r>
      <w:r>
        <w:rPr>
          <w:rFonts w:eastAsia="Times New Roman"/>
          <w:color w:val="000000"/>
          <w:sz w:val="20"/>
          <w:szCs w:val="20"/>
        </w:rPr>
        <w:t>U is intended to provide temporary optional expedients and exceptions to the U.S. GAAP guidance on contract modifications and hedge accounting to ease the financial reporting burdens related to the expected market transition from the London Interbank Offer</w:t>
      </w:r>
      <w:r>
        <w:rPr>
          <w:rFonts w:eastAsia="Times New Roman"/>
          <w:color w:val="000000"/>
          <w:sz w:val="20"/>
          <w:szCs w:val="20"/>
        </w:rPr>
        <w:t>ed Rate (LIBOR) and other interbank offered rates to alternative reference rates. The Company may elect to apply the amendments prospectively through December 31, 2022. The Company is currently evaluating the impact this guidance may have on its consolidat</w:t>
      </w:r>
      <w:r>
        <w:rPr>
          <w:rFonts w:eastAsia="Times New Roman"/>
          <w:color w:val="000000"/>
          <w:sz w:val="20"/>
          <w:szCs w:val="20"/>
        </w:rPr>
        <w:t>ed financial statements and related disclosures.</w:t>
      </w:r>
    </w:p>
    <w:p w:rsidR="00000000" w:rsidRDefault="0061405A">
      <w:pPr>
        <w:jc w:val="both"/>
        <w:divId w:val="1923679610"/>
        <w:rPr>
          <w:rFonts w:eastAsia="Times New Roman"/>
        </w:rPr>
      </w:pPr>
      <w:r>
        <w:rPr>
          <w:rFonts w:eastAsia="Times New Roman"/>
          <w:color w:val="000000"/>
          <w:sz w:val="20"/>
          <w:szCs w:val="20"/>
        </w:rPr>
        <w:t xml:space="preserve">In December 2019, the FASB issued ASU No. 2019-12, </w:t>
      </w:r>
      <w:r>
        <w:rPr>
          <w:rFonts w:eastAsia="Times New Roman"/>
          <w:i/>
          <w:iCs/>
          <w:color w:val="000000"/>
          <w:sz w:val="20"/>
          <w:szCs w:val="20"/>
        </w:rPr>
        <w:t>Income Taxes (Topic 740): Simplifying the Accounting for Income Taxes</w:t>
      </w:r>
      <w:r>
        <w:rPr>
          <w:rFonts w:eastAsia="Times New Roman"/>
          <w:color w:val="000000"/>
          <w:sz w:val="20"/>
          <w:szCs w:val="20"/>
        </w:rPr>
        <w:t xml:space="preserve"> (“ASU 2019-12”). ASU 2019-12 was issued as a means to reduce the complexity of account</w:t>
      </w:r>
      <w:r>
        <w:rPr>
          <w:rFonts w:eastAsia="Times New Roman"/>
          <w:color w:val="000000"/>
          <w:sz w:val="20"/>
          <w:szCs w:val="20"/>
        </w:rPr>
        <w:t>ing for income taxes for those entities that fall within the scope of the accounting standard.  This guidance is effective for public companies for annual reporting periods beginning after December 15, 2020 and interim periods within those reporting period</w:t>
      </w:r>
      <w:r>
        <w:rPr>
          <w:rFonts w:eastAsia="Times New Roman"/>
          <w:color w:val="000000"/>
          <w:sz w:val="20"/>
          <w:szCs w:val="20"/>
        </w:rPr>
        <w:t>s. Interim period adoption is permitted. The guidance is to be applied using a prospective method, excluding amendments related to franchise taxes, which should be applied on either a retrospective basis for all periods presented or a modified retrospectiv</w:t>
      </w:r>
      <w:r>
        <w:rPr>
          <w:rFonts w:eastAsia="Times New Roman"/>
          <w:color w:val="000000"/>
          <w:sz w:val="20"/>
          <w:szCs w:val="20"/>
        </w:rPr>
        <w:t>e basis through a cumulative-effect adjustment to retained earnings as of the beginning of the fiscal year of adoption. The adoption of ASU 2019-12 is not expected to have a material impact to the Company’s consolidated financial statements.</w:t>
      </w:r>
    </w:p>
    <w:p w:rsidR="00000000" w:rsidRDefault="0061405A">
      <w:pPr>
        <w:jc w:val="both"/>
        <w:divId w:val="403458591"/>
        <w:rPr>
          <w:rFonts w:eastAsia="Times New Roman"/>
        </w:rPr>
      </w:pPr>
      <w:r>
        <w:rPr>
          <w:rFonts w:eastAsia="Times New Roman"/>
          <w:b/>
          <w:bCs/>
          <w:i/>
          <w:iCs/>
          <w:color w:val="000000"/>
          <w:sz w:val="20"/>
          <w:szCs w:val="20"/>
        </w:rPr>
        <w:t>Recently Adopt</w:t>
      </w:r>
      <w:r>
        <w:rPr>
          <w:rFonts w:eastAsia="Times New Roman"/>
          <w:b/>
          <w:bCs/>
          <w:i/>
          <w:iCs/>
          <w:color w:val="000000"/>
          <w:sz w:val="20"/>
          <w:szCs w:val="20"/>
        </w:rPr>
        <w:t>ed Accounting Pronouncements</w:t>
      </w:r>
    </w:p>
    <w:p w:rsidR="00000000" w:rsidRDefault="0061405A">
      <w:pPr>
        <w:jc w:val="both"/>
        <w:divId w:val="500581731"/>
        <w:rPr>
          <w:rFonts w:eastAsia="Times New Roman"/>
        </w:rPr>
      </w:pPr>
      <w:r>
        <w:rPr>
          <w:rFonts w:eastAsia="Times New Roman"/>
          <w:color w:val="000000"/>
          <w:sz w:val="20"/>
          <w:szCs w:val="20"/>
        </w:rPr>
        <w:t xml:space="preserve">In June 2016, the FASB issued ASU No. 2016-13, </w:t>
      </w:r>
      <w:r>
        <w:rPr>
          <w:rFonts w:eastAsia="Times New Roman"/>
          <w:i/>
          <w:iCs/>
          <w:color w:val="000000"/>
          <w:sz w:val="20"/>
          <w:szCs w:val="20"/>
        </w:rPr>
        <w:t>Financial Instruments-Credit Losses (Topic 326): Measurement of Credit Losses on Financial Instruments</w:t>
      </w:r>
      <w:r>
        <w:rPr>
          <w:rFonts w:eastAsia="Times New Roman"/>
          <w:color w:val="000000"/>
          <w:sz w:val="20"/>
          <w:szCs w:val="20"/>
        </w:rPr>
        <w:t>, followed by other related ASUs that provided targeted improvements (collecti</w:t>
      </w:r>
      <w:r>
        <w:rPr>
          <w:rFonts w:eastAsia="Times New Roman"/>
          <w:color w:val="000000"/>
          <w:sz w:val="20"/>
          <w:szCs w:val="20"/>
        </w:rPr>
        <w:t>vely “ASU 2016-13”). ASU 2016-13 provides financial statement users with more decision-useful information about the expected credit losses on financial instruments and other commitments to extend credit held by a reporting entity at each reporting date. Th</w:t>
      </w:r>
      <w:r>
        <w:rPr>
          <w:rFonts w:eastAsia="Times New Roman"/>
          <w:color w:val="000000"/>
          <w:sz w:val="20"/>
          <w:szCs w:val="20"/>
        </w:rPr>
        <w:t>e guidance is to be applied using a modified retrospective method and is effective for fiscal years beginning after December 15, 2022 for smaller reporting companies, with early adoption permitted. The Company adopted ASU 2016-13 on January 1, 2020. The ad</w:t>
      </w:r>
      <w:r>
        <w:rPr>
          <w:rFonts w:eastAsia="Times New Roman"/>
          <w:color w:val="000000"/>
          <w:sz w:val="20"/>
          <w:szCs w:val="20"/>
        </w:rPr>
        <w:t>option of ASU 2016-13 did not result in a material impact to the Company’s consolidated financial statements or disclosures.</w:t>
      </w:r>
    </w:p>
    <w:p w:rsidR="00000000" w:rsidRDefault="0061405A">
      <w:pPr>
        <w:jc w:val="both"/>
        <w:divId w:val="1957251261"/>
        <w:rPr>
          <w:rFonts w:eastAsia="Times New Roman"/>
        </w:rPr>
      </w:pPr>
      <w:r>
        <w:rPr>
          <w:rFonts w:eastAsia="Times New Roman"/>
          <w:color w:val="000000"/>
          <w:sz w:val="20"/>
          <w:szCs w:val="20"/>
        </w:rPr>
        <w:t>On January 2, 2019, the Company adopted ASU 2016-02, “</w:t>
      </w:r>
      <w:r>
        <w:rPr>
          <w:rFonts w:eastAsia="Times New Roman"/>
          <w:i/>
          <w:iCs/>
          <w:color w:val="000000"/>
          <w:sz w:val="20"/>
          <w:szCs w:val="20"/>
        </w:rPr>
        <w:t>Leases (Topic 842)</w:t>
      </w:r>
      <w:r>
        <w:rPr>
          <w:rFonts w:eastAsia="Times New Roman"/>
          <w:color w:val="000000"/>
          <w:sz w:val="20"/>
          <w:szCs w:val="20"/>
        </w:rPr>
        <w:t>,” along with related clarifications and improvements. This</w:t>
      </w:r>
      <w:r>
        <w:rPr>
          <w:rFonts w:eastAsia="Times New Roman"/>
          <w:color w:val="000000"/>
          <w:sz w:val="20"/>
          <w:szCs w:val="20"/>
        </w:rPr>
        <w:t xml:space="preserve"> pronouncement requires a lessee to recognize a liability for lease obligations, which represents the discounted obligation to make future lease payments, and a corresponding right-of-use asset on the balance sheet. The guidance also requires certain quali</w:t>
      </w:r>
      <w:r>
        <w:rPr>
          <w:rFonts w:eastAsia="Times New Roman"/>
          <w:color w:val="000000"/>
          <w:sz w:val="20"/>
          <w:szCs w:val="20"/>
        </w:rPr>
        <w:t>tative and quantitative disclosures about the amount, timing and uncertainty of cash flows arising from leases. The Company elected the alternative transition method to apply the standard as of the beginning of the period of adoption; therefore, the Compan</w:t>
      </w:r>
      <w:r>
        <w:rPr>
          <w:rFonts w:eastAsia="Times New Roman"/>
          <w:color w:val="000000"/>
          <w:sz w:val="20"/>
          <w:szCs w:val="20"/>
        </w:rPr>
        <w:t xml:space="preserve">y has not applied the standard to the comparative periods presented on its condensed consolidated financial statements. </w:t>
      </w:r>
    </w:p>
    <w:p w:rsidR="00000000" w:rsidRDefault="0061405A">
      <w:pPr>
        <w:jc w:val="both"/>
        <w:rPr>
          <w:rFonts w:eastAsia="Times New Roman"/>
        </w:rPr>
      </w:pPr>
    </w:p>
    <w:p w:rsidR="00000000" w:rsidRDefault="0061405A">
      <w:pPr>
        <w:jc w:val="both"/>
        <w:rPr>
          <w:rFonts w:eastAsia="Times New Roman"/>
        </w:rPr>
      </w:pPr>
      <w:r>
        <w:rPr>
          <w:rFonts w:eastAsia="Times New Roman"/>
          <w:color w:val="000000"/>
          <w:sz w:val="20"/>
          <w:szCs w:val="20"/>
        </w:rPr>
        <w:t xml:space="preserve">The adoption of this lease guidance did have a material impact on the Company’s Consolidated Balance Sheets by materially increasing </w:t>
      </w:r>
      <w:r>
        <w:rPr>
          <w:rFonts w:eastAsia="Times New Roman"/>
          <w:color w:val="000000"/>
          <w:sz w:val="20"/>
          <w:szCs w:val="20"/>
        </w:rPr>
        <w:t>its non-current assets and current and non-current liabilities due to the recognition of the right-of-use assets and related lease liabilities primarily related to the Company’s restaurant operating leases and corporate office space. Upon adoption, the rig</w:t>
      </w:r>
      <w:r>
        <w:rPr>
          <w:rFonts w:eastAsia="Times New Roman"/>
          <w:color w:val="000000"/>
          <w:sz w:val="20"/>
          <w:szCs w:val="20"/>
        </w:rPr>
        <w:t>ht-of-use assets were based upon the operating lease liabilities adjusted for prepaid and deferred rent, liabilities associated with lease termination costs and impairment of right-of-use assets. The impairment of right-of-use assets upon adoption was reco</w:t>
      </w:r>
      <w:r>
        <w:rPr>
          <w:rFonts w:eastAsia="Times New Roman"/>
          <w:color w:val="000000"/>
          <w:sz w:val="20"/>
          <w:szCs w:val="20"/>
        </w:rPr>
        <w:t xml:space="preserve">gnized in retained earnings as of January 2, 2019. </w:t>
      </w:r>
    </w:p>
    <w:p w:rsidR="00000000" w:rsidRDefault="0061405A">
      <w:pPr>
        <w:jc w:val="both"/>
        <w:rPr>
          <w:rFonts w:eastAsia="Times New Roman"/>
        </w:rPr>
      </w:pPr>
    </w:p>
    <w:p w:rsidR="00000000" w:rsidRDefault="0061405A">
      <w:pPr>
        <w:jc w:val="both"/>
        <w:rPr>
          <w:rFonts w:eastAsia="Times New Roman"/>
        </w:rPr>
      </w:pPr>
      <w:r>
        <w:rPr>
          <w:rFonts w:eastAsia="Times New Roman"/>
          <w:color w:val="000000"/>
          <w:sz w:val="20"/>
          <w:szCs w:val="20"/>
        </w:rPr>
        <w:t>The adoption of the standard did not have a material impact on the Company’s Consolidated Statements of Operations in 2019. The adoption also included the enhancement of the Company’s disclosures relate</w:t>
      </w:r>
      <w:r>
        <w:rPr>
          <w:rFonts w:eastAsia="Times New Roman"/>
          <w:color w:val="000000"/>
          <w:sz w:val="20"/>
          <w:szCs w:val="20"/>
        </w:rPr>
        <w:t xml:space="preserve">d to leases. See disclosure in Note 12, Leases. </w:t>
      </w:r>
    </w:p>
    <w:p w:rsidR="00000000" w:rsidRDefault="0061405A">
      <w:pPr>
        <w:jc w:val="center"/>
        <w:divId w:val="266543498"/>
        <w:rPr>
          <w:rFonts w:eastAsia="Times New Roman"/>
        </w:rPr>
      </w:pPr>
      <w:r>
        <w:rPr>
          <w:rFonts w:eastAsia="Times New Roman"/>
          <w:color w:val="000000"/>
          <w:sz w:val="20"/>
          <w:szCs w:val="20"/>
        </w:rPr>
        <w:t>56</w:t>
      </w:r>
    </w:p>
    <w:p w:rsidR="00000000" w:rsidRDefault="0061405A">
      <w:pPr>
        <w:rPr>
          <w:rFonts w:eastAsia="Times New Roman"/>
        </w:rPr>
      </w:pPr>
      <w:r>
        <w:rPr>
          <w:rFonts w:eastAsia="Times New Roman"/>
        </w:rPr>
        <w:pict>
          <v:rect id="_x0000_i1083" style="width:0;height:1.5pt" o:hralign="center" o:hrstd="t" o:hr="t" fillcolor="#a0a0a0" stroked="f"/>
        </w:pict>
      </w:r>
    </w:p>
    <w:p w:rsidR="00000000" w:rsidRDefault="0061405A">
      <w:pPr>
        <w:divId w:val="840971816"/>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center"/>
        <w:divId w:val="1026172123"/>
        <w:rPr>
          <w:rFonts w:eastAsia="Times New Roman"/>
        </w:rPr>
      </w:pPr>
      <w:r>
        <w:rPr>
          <w:rFonts w:eastAsia="Times New Roman"/>
          <w:b/>
          <w:bCs/>
          <w:color w:val="000000"/>
          <w:sz w:val="20"/>
          <w:szCs w:val="20"/>
        </w:rPr>
        <w:t>NOODLES &amp; COMPANY</w:t>
      </w:r>
    </w:p>
    <w:p w:rsidR="00000000" w:rsidRDefault="0061405A">
      <w:pPr>
        <w:jc w:val="center"/>
        <w:divId w:val="1801259668"/>
        <w:rPr>
          <w:rFonts w:eastAsia="Times New Roman"/>
        </w:rPr>
      </w:pPr>
      <w:r>
        <w:rPr>
          <w:rFonts w:eastAsia="Times New Roman"/>
          <w:b/>
          <w:bCs/>
          <w:color w:val="000000"/>
          <w:sz w:val="20"/>
          <w:szCs w:val="20"/>
        </w:rPr>
        <w:t>NOTES TO CONSOLIDATED FINANCIAL STATEMENTS (Continued)</w:t>
      </w:r>
    </w:p>
    <w:p w:rsidR="00000000" w:rsidRDefault="0061405A">
      <w:pPr>
        <w:jc w:val="center"/>
        <w:divId w:val="1681543109"/>
        <w:rPr>
          <w:rFonts w:eastAsia="Times New Roman"/>
        </w:rPr>
      </w:pPr>
    </w:p>
    <w:p w:rsidR="00000000" w:rsidRDefault="0061405A">
      <w:pPr>
        <w:jc w:val="both"/>
        <w:rPr>
          <w:rFonts w:eastAsia="Times New Roman"/>
        </w:rPr>
      </w:pPr>
    </w:p>
    <w:p w:rsidR="00000000" w:rsidRDefault="0061405A">
      <w:pPr>
        <w:jc w:val="both"/>
        <w:rPr>
          <w:rFonts w:eastAsia="Times New Roman"/>
        </w:rPr>
      </w:pPr>
      <w:r>
        <w:rPr>
          <w:rFonts w:eastAsia="Times New Roman"/>
          <w:color w:val="000000"/>
          <w:sz w:val="20"/>
          <w:szCs w:val="20"/>
        </w:rPr>
        <w:t xml:space="preserve">The impact on the Consolidated Balance Sheet on the date of adoption was as follows: </w:t>
      </w: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3964"/>
        <w:gridCol w:w="36"/>
        <w:gridCol w:w="100"/>
        <w:gridCol w:w="1170"/>
        <w:gridCol w:w="36"/>
        <w:gridCol w:w="36"/>
        <w:gridCol w:w="36"/>
        <w:gridCol w:w="36"/>
        <w:gridCol w:w="101"/>
        <w:gridCol w:w="1448"/>
        <w:gridCol w:w="36"/>
        <w:gridCol w:w="36"/>
        <w:gridCol w:w="36"/>
        <w:gridCol w:w="36"/>
        <w:gridCol w:w="100"/>
        <w:gridCol w:w="1019"/>
        <w:gridCol w:w="36"/>
      </w:tblGrid>
      <w:tr w:rsidR="00000000">
        <w:trPr>
          <w:divId w:val="1134565602"/>
          <w:jc w:val="center"/>
        </w:trPr>
        <w:tc>
          <w:tcPr>
            <w:tcW w:w="50" w:type="pct"/>
            <w:vAlign w:val="center"/>
            <w:hideMark/>
          </w:tcPr>
          <w:p w:rsidR="00000000" w:rsidRDefault="0061405A">
            <w:pPr>
              <w:jc w:val="both"/>
              <w:rPr>
                <w:rFonts w:eastAsia="Times New Roman"/>
              </w:rPr>
            </w:pPr>
          </w:p>
        </w:tc>
        <w:tc>
          <w:tcPr>
            <w:tcW w:w="2409"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728"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914"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656"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1134565602"/>
          <w:jc w:val="center"/>
        </w:trPr>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January 1,</w:t>
            </w:r>
            <w:r>
              <w:rPr>
                <w:rFonts w:eastAsia="Times New Roman"/>
                <w:b/>
                <w:bCs/>
                <w:color w:val="000000"/>
                <w:sz w:val="16"/>
                <w:szCs w:val="16"/>
              </w:rPr>
              <w:br/>
              <w:t>2019</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Adjustments Due to the Adoption of Topic 842</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January 2,</w:t>
            </w:r>
            <w:r>
              <w:rPr>
                <w:rFonts w:eastAsia="Times New Roman"/>
                <w:b/>
                <w:bCs/>
                <w:color w:val="000000"/>
                <w:sz w:val="16"/>
                <w:szCs w:val="16"/>
              </w:rPr>
              <w:br/>
              <w:t>2019</w:t>
            </w:r>
          </w:p>
        </w:tc>
      </w:tr>
      <w:tr w:rsidR="00000000">
        <w:trPr>
          <w:divId w:val="1134565602"/>
          <w:jc w:val="center"/>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16"/>
                <w:szCs w:val="16"/>
              </w:rPr>
              <w:t>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rPr>
                <w:rFonts w:eastAsia="Times New Roman"/>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1134565602"/>
          <w:jc w:val="center"/>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6"/>
                <w:szCs w:val="16"/>
              </w:rPr>
              <w:t>Current assets:</w:t>
            </w:r>
          </w:p>
        </w:tc>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1134565602"/>
          <w:jc w:val="center"/>
        </w:trPr>
        <w:tc>
          <w:tcPr>
            <w:tcW w:w="0" w:type="auto"/>
            <w:gridSpan w:val="3"/>
            <w:shd w:val="clear" w:color="auto" w:fill="CCEE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6"/>
                <w:szCs w:val="16"/>
              </w:rPr>
              <w:t>Cash and cash equivalents</w:t>
            </w: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4,655 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4,655 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34565602"/>
          <w:jc w:val="center"/>
        </w:trPr>
        <w:tc>
          <w:tcPr>
            <w:tcW w:w="0" w:type="auto"/>
            <w:gridSpan w:val="3"/>
            <w:shd w:val="clear" w:color="auto" w:fill="FFFF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6"/>
                <w:szCs w:val="16"/>
              </w:rPr>
              <w:t>Accounts receivable</w:t>
            </w: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2,391 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225 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2,616 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34565602"/>
          <w:jc w:val="center"/>
        </w:trPr>
        <w:tc>
          <w:tcPr>
            <w:tcW w:w="0" w:type="auto"/>
            <w:gridSpan w:val="3"/>
            <w:shd w:val="clear" w:color="auto" w:fill="CCEE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6"/>
                <w:szCs w:val="16"/>
              </w:rPr>
              <w:t>Inventories</w:t>
            </w: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9,646 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9,646 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34565602"/>
          <w:jc w:val="center"/>
        </w:trPr>
        <w:tc>
          <w:tcPr>
            <w:tcW w:w="0" w:type="auto"/>
            <w:gridSpan w:val="3"/>
            <w:shd w:val="clear" w:color="auto" w:fill="FFFF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6"/>
                <w:szCs w:val="16"/>
              </w:rPr>
              <w:t>Prepaid expenses and other assets</w:t>
            </w: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6,474 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(3,243)</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3,231 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34565602"/>
          <w:jc w:val="center"/>
        </w:trPr>
        <w:tc>
          <w:tcPr>
            <w:tcW w:w="0" w:type="auto"/>
            <w:gridSpan w:val="3"/>
            <w:shd w:val="clear" w:color="auto" w:fill="CCEE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6"/>
                <w:szCs w:val="16"/>
              </w:rPr>
              <w:t>Income tax receivable</w:t>
            </w: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185 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185 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34565602"/>
          <w:jc w:val="center"/>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6"/>
                <w:szCs w:val="16"/>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23,351 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(3,018)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20,333 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34565602"/>
          <w:jc w:val="center"/>
        </w:trPr>
        <w:tc>
          <w:tcPr>
            <w:tcW w:w="0" w:type="auto"/>
            <w:gridSpan w:val="3"/>
            <w:shd w:val="clear" w:color="auto" w:fill="CCEE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6"/>
                <w:szCs w:val="16"/>
              </w:rPr>
              <w:t>Property and equipment, net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138,774 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844 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139,618 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34565602"/>
          <w:jc w:val="center"/>
        </w:trPr>
        <w:tc>
          <w:tcPr>
            <w:tcW w:w="0" w:type="auto"/>
            <w:gridSpan w:val="3"/>
            <w:shd w:val="clear" w:color="auto" w:fill="FFFF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6"/>
                <w:szCs w:val="16"/>
              </w:rPr>
              <w:t>Operating lease assets, net</w:t>
            </w: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219,883 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219,883 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34565602"/>
          <w:jc w:val="center"/>
        </w:trPr>
        <w:tc>
          <w:tcPr>
            <w:tcW w:w="0" w:type="auto"/>
            <w:gridSpan w:val="3"/>
            <w:shd w:val="clear" w:color="auto" w:fill="CCEE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6"/>
                <w:szCs w:val="16"/>
              </w:rPr>
              <w:t>Goodwill</w:t>
            </w: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6,400 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6,400 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34565602"/>
          <w:jc w:val="center"/>
        </w:trPr>
        <w:tc>
          <w:tcPr>
            <w:tcW w:w="0" w:type="auto"/>
            <w:gridSpan w:val="3"/>
            <w:shd w:val="clear" w:color="auto" w:fill="FFFF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6"/>
                <w:szCs w:val="16"/>
              </w:rPr>
              <w:t>Intangibles, net</w:t>
            </w: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1,291 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(67)</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1,224 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34565602"/>
          <w:jc w:val="center"/>
        </w:trPr>
        <w:tc>
          <w:tcPr>
            <w:tcW w:w="0" w:type="auto"/>
            <w:gridSpan w:val="3"/>
            <w:shd w:val="clear" w:color="auto" w:fill="CCEE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6"/>
                <w:szCs w:val="16"/>
              </w:rPr>
              <w:t>Other assets, net</w:t>
            </w: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2,216 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2,216 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34565602"/>
          <w:jc w:val="center"/>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6"/>
                <w:szCs w:val="16"/>
              </w:rPr>
              <w:t>Total long-term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148,681 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220,660 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369,341 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34565602"/>
          <w:jc w:val="center"/>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6"/>
                <w:szCs w:val="16"/>
              </w:rPr>
              <w:t>Total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172,032 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217,642 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389,674 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34565602"/>
          <w:jc w:val="center"/>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16"/>
                <w:szCs w:val="16"/>
              </w:rPr>
              <w:t>Liabilities and Stockholders’ Equity</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1134565602"/>
          <w:jc w:val="center"/>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6"/>
                <w:szCs w:val="16"/>
              </w:rPr>
              <w:t>Current liabilities: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1134565602"/>
          <w:jc w:val="center"/>
        </w:trPr>
        <w:tc>
          <w:tcPr>
            <w:tcW w:w="0" w:type="auto"/>
            <w:gridSpan w:val="3"/>
            <w:shd w:val="clear" w:color="auto" w:fill="FFFF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6"/>
                <w:szCs w:val="16"/>
              </w:rPr>
              <w:t>Accounts payable</w:t>
            </w: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7,854 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7,854 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34565602"/>
          <w:jc w:val="center"/>
        </w:trPr>
        <w:tc>
          <w:tcPr>
            <w:tcW w:w="0" w:type="auto"/>
            <w:gridSpan w:val="3"/>
            <w:shd w:val="clear" w:color="auto" w:fill="CCEE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6"/>
                <w:szCs w:val="16"/>
              </w:rPr>
              <w:t>Accrued payroll and benefits</w:t>
            </w: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13,391 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13,391 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34565602"/>
          <w:jc w:val="center"/>
        </w:trPr>
        <w:tc>
          <w:tcPr>
            <w:tcW w:w="0" w:type="auto"/>
            <w:gridSpan w:val="3"/>
            <w:shd w:val="clear" w:color="auto" w:fill="FFFF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6"/>
                <w:szCs w:val="16"/>
              </w:rPr>
              <w:t>Accrued expenses and other current liabilities</w:t>
            </w: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11,183 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(553)</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10,630 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34565602"/>
          <w:jc w:val="center"/>
        </w:trPr>
        <w:tc>
          <w:tcPr>
            <w:tcW w:w="0" w:type="auto"/>
            <w:gridSpan w:val="3"/>
            <w:shd w:val="clear" w:color="auto" w:fill="CCEE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6"/>
                <w:szCs w:val="16"/>
              </w:rPr>
              <w:t>Current operating lease liabilities</w:t>
            </w: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34565602"/>
          <w:jc w:val="center"/>
        </w:trPr>
        <w:tc>
          <w:tcPr>
            <w:tcW w:w="0" w:type="auto"/>
            <w:gridSpan w:val="3"/>
            <w:shd w:val="clear" w:color="auto" w:fill="FFFF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6"/>
                <w:szCs w:val="16"/>
              </w:rPr>
              <w:t>Current portion of long-term debt</w:t>
            </w: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719 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719 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34565602"/>
          <w:jc w:val="center"/>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6"/>
                <w:szCs w:val="16"/>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33,147 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(553)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32,594 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34565602"/>
          <w:jc w:val="center"/>
        </w:trPr>
        <w:tc>
          <w:tcPr>
            <w:tcW w:w="0" w:type="auto"/>
            <w:gridSpan w:val="3"/>
            <w:shd w:val="clear" w:color="auto" w:fill="FFFF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6"/>
                <w:szCs w:val="16"/>
              </w:rPr>
              <w:t>Long-term debt, net</w:t>
            </w: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44,183 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44,183 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34565602"/>
          <w:jc w:val="center"/>
        </w:trPr>
        <w:tc>
          <w:tcPr>
            <w:tcW w:w="0" w:type="auto"/>
            <w:gridSpan w:val="3"/>
            <w:shd w:val="clear" w:color="auto" w:fill="CCEE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6"/>
                <w:szCs w:val="16"/>
              </w:rPr>
              <w:t>Long-term operating lease liabilities, net</w:t>
            </w: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260,931 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260,931 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34565602"/>
          <w:jc w:val="center"/>
        </w:trPr>
        <w:tc>
          <w:tcPr>
            <w:tcW w:w="0" w:type="auto"/>
            <w:gridSpan w:val="3"/>
            <w:shd w:val="clear" w:color="auto" w:fill="FFFF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6"/>
                <w:szCs w:val="16"/>
              </w:rPr>
              <w:t>Deferred rent</w:t>
            </w: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37,334 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(37,186)</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148 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34565602"/>
          <w:jc w:val="center"/>
        </w:trPr>
        <w:tc>
          <w:tcPr>
            <w:tcW w:w="0" w:type="auto"/>
            <w:gridSpan w:val="3"/>
            <w:shd w:val="clear" w:color="auto" w:fill="CCEE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6"/>
                <w:szCs w:val="16"/>
              </w:rPr>
              <w:t>Deferred tax liabilities, net</w:t>
            </w: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133 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133 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34565602"/>
          <w:jc w:val="center"/>
        </w:trPr>
        <w:tc>
          <w:tcPr>
            <w:tcW w:w="0" w:type="auto"/>
            <w:gridSpan w:val="3"/>
            <w:shd w:val="clear" w:color="auto" w:fill="FFFF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16"/>
                <w:szCs w:val="16"/>
              </w:rPr>
              <w:t>Other long-term liabilities</w:t>
            </w: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4,554 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442 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4,996 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34565602"/>
          <w:jc w:val="center"/>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6"/>
                <w:szCs w:val="16"/>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119,351 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223,634 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342,985 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34565602"/>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1134565602"/>
          <w:jc w:val="center"/>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6"/>
                <w:szCs w:val="16"/>
              </w:rPr>
              <w:t>Stockholders’ equity:</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1134565602"/>
          <w:jc w:val="center"/>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6"/>
                <w:szCs w:val="16"/>
              </w:rPr>
              <w:t>Preferred stock—</w:t>
            </w:r>
            <w:r>
              <w:rPr>
                <w:rFonts w:eastAsia="Times New Roman"/>
                <w:color w:val="000000"/>
                <w:sz w:val="16"/>
                <w:szCs w:val="16"/>
              </w:rPr>
              <w:t>$0.01 par value, 1,000,000 shares authorized and undesignated as of January 1, 2019; no shares issued or outstanding</w:t>
            </w: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34565602"/>
          <w:jc w:val="center"/>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6"/>
                <w:szCs w:val="16"/>
              </w:rPr>
              <w:t>Common stock—</w:t>
            </w:r>
            <w:r>
              <w:rPr>
                <w:rFonts w:eastAsia="Times New Roman"/>
                <w:color w:val="000000"/>
                <w:sz w:val="16"/>
                <w:szCs w:val="16"/>
              </w:rPr>
              <w:t>$0.01 par value, 180,000,000 shares authorized as of January 1, 2019; 46,353,309 issued and 43,929,438 outstanding as of January 1, 2019</w:t>
            </w: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464 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464 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34565602"/>
          <w:jc w:val="center"/>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6"/>
                <w:szCs w:val="16"/>
              </w:rPr>
              <w:t>Treasury stock, at cost, 2,423,871 shares as of January 1, 2019</w:t>
            </w: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(35,000)</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(35,000)</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34565602"/>
          <w:jc w:val="center"/>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6"/>
                <w:szCs w:val="16"/>
              </w:rPr>
              <w:t>Additional paid-in capital</w:t>
            </w: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198,352 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198,352 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34565602"/>
          <w:jc w:val="center"/>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6"/>
                <w:szCs w:val="16"/>
              </w:rPr>
              <w:t>Accumulated deficit</w:t>
            </w: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(111,135)</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(5,992)</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(117,127)</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34565602"/>
          <w:jc w:val="center"/>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6"/>
                <w:szCs w:val="16"/>
              </w:rPr>
              <w:t>Total stockholders’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52,681 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(5,992)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46,689 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34565602"/>
          <w:jc w:val="center"/>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6"/>
                <w:szCs w:val="16"/>
              </w:rPr>
              <w:t>Total liabilities and stockholders’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172,032 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217,642 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16"/>
                <w:szCs w:val="16"/>
              </w:rPr>
              <w:t>389,674 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bl>
    <w:p w:rsidR="00000000" w:rsidRDefault="0061405A">
      <w:pPr>
        <w:jc w:val="both"/>
        <w:rPr>
          <w:rFonts w:eastAsia="Times New Roman"/>
        </w:rPr>
      </w:pPr>
    </w:p>
    <w:p w:rsidR="00000000" w:rsidRDefault="0061405A">
      <w:pPr>
        <w:jc w:val="center"/>
        <w:divId w:val="864514016"/>
        <w:rPr>
          <w:rFonts w:eastAsia="Times New Roman"/>
        </w:rPr>
      </w:pPr>
      <w:r>
        <w:rPr>
          <w:rFonts w:eastAsia="Times New Roman"/>
          <w:color w:val="000000"/>
          <w:sz w:val="20"/>
          <w:szCs w:val="20"/>
        </w:rPr>
        <w:t>57</w:t>
      </w:r>
    </w:p>
    <w:p w:rsidR="00000000" w:rsidRDefault="0061405A">
      <w:pPr>
        <w:rPr>
          <w:rFonts w:eastAsia="Times New Roman"/>
        </w:rPr>
      </w:pPr>
      <w:r>
        <w:rPr>
          <w:rFonts w:eastAsia="Times New Roman"/>
        </w:rPr>
        <w:pict>
          <v:rect id="_x0000_i1084" style="width:0;height:1.5pt" o:hralign="center" o:hrstd="t" o:hr="t" fillcolor="#a0a0a0" stroked="f"/>
        </w:pict>
      </w:r>
    </w:p>
    <w:p w:rsidR="00000000" w:rsidRDefault="0061405A">
      <w:pPr>
        <w:divId w:val="1822960954"/>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center"/>
        <w:divId w:val="632246606"/>
        <w:rPr>
          <w:rFonts w:eastAsia="Times New Roman"/>
        </w:rPr>
      </w:pPr>
      <w:r>
        <w:rPr>
          <w:rFonts w:eastAsia="Times New Roman"/>
          <w:b/>
          <w:bCs/>
          <w:color w:val="000000"/>
          <w:sz w:val="20"/>
          <w:szCs w:val="20"/>
        </w:rPr>
        <w:t>NOODLES &amp; COMPANY</w:t>
      </w:r>
    </w:p>
    <w:p w:rsidR="00000000" w:rsidRDefault="0061405A">
      <w:pPr>
        <w:jc w:val="center"/>
        <w:divId w:val="974334427"/>
        <w:rPr>
          <w:rFonts w:eastAsia="Times New Roman"/>
        </w:rPr>
      </w:pPr>
      <w:r>
        <w:rPr>
          <w:rFonts w:eastAsia="Times New Roman"/>
          <w:b/>
          <w:bCs/>
          <w:color w:val="000000"/>
          <w:sz w:val="20"/>
          <w:szCs w:val="20"/>
        </w:rPr>
        <w:t>NOTES TO CONSOLIDATED FINANCIAL STATEMENTS (</w:t>
      </w:r>
      <w:r>
        <w:rPr>
          <w:rFonts w:eastAsia="Times New Roman"/>
          <w:b/>
          <w:bCs/>
          <w:color w:val="000000"/>
          <w:sz w:val="20"/>
          <w:szCs w:val="20"/>
        </w:rPr>
        <w:t>Continued)</w:t>
      </w:r>
    </w:p>
    <w:p w:rsidR="00000000" w:rsidRDefault="0061405A">
      <w:pPr>
        <w:jc w:val="center"/>
        <w:divId w:val="1123108540"/>
        <w:rPr>
          <w:rFonts w:eastAsia="Times New Roman"/>
        </w:rPr>
      </w:pPr>
    </w:p>
    <w:p w:rsidR="00000000" w:rsidRDefault="0061405A">
      <w:pPr>
        <w:divId w:val="192883694"/>
        <w:rPr>
          <w:rFonts w:eastAsia="Times New Roman"/>
        </w:rPr>
      </w:pPr>
    </w:p>
    <w:p w:rsidR="00000000" w:rsidRDefault="0061405A">
      <w:pPr>
        <w:divId w:val="1416585515"/>
        <w:rPr>
          <w:rFonts w:eastAsia="Times New Roman"/>
        </w:rPr>
      </w:pPr>
      <w:r>
        <w:rPr>
          <w:rFonts w:eastAsia="Times New Roman"/>
          <w:b/>
          <w:bCs/>
          <w:color w:val="000000"/>
          <w:sz w:val="20"/>
          <w:szCs w:val="20"/>
        </w:rPr>
        <w:t>2. Supplemental Financial Information</w:t>
      </w:r>
    </w:p>
    <w:p w:rsidR="00000000" w:rsidRDefault="0061405A">
      <w:pPr>
        <w:jc w:val="both"/>
        <w:divId w:val="1640844050"/>
        <w:rPr>
          <w:rFonts w:eastAsia="Times New Roman"/>
        </w:rPr>
      </w:pPr>
      <w:r>
        <w:rPr>
          <w:rFonts w:eastAsia="Times New Roman"/>
          <w:color w:val="000000"/>
          <w:sz w:val="20"/>
          <w:szCs w:val="20"/>
        </w:rPr>
        <w:t>Accounts receivable consist of the following (in thousands):</w:t>
      </w:r>
    </w:p>
    <w:tbl>
      <w:tblPr>
        <w:tblW w:w="5000" w:type="pct"/>
        <w:tblCellMar>
          <w:top w:w="15" w:type="dxa"/>
          <w:left w:w="15" w:type="dxa"/>
          <w:bottom w:w="15" w:type="dxa"/>
          <w:right w:w="15" w:type="dxa"/>
        </w:tblCellMar>
        <w:tblLook w:val="04A0" w:firstRow="1" w:lastRow="0" w:firstColumn="1" w:lastColumn="0" w:noHBand="0" w:noVBand="1"/>
      </w:tblPr>
      <w:tblGrid>
        <w:gridCol w:w="38"/>
        <w:gridCol w:w="5975"/>
        <w:gridCol w:w="36"/>
        <w:gridCol w:w="36"/>
        <w:gridCol w:w="36"/>
        <w:gridCol w:w="36"/>
        <w:gridCol w:w="120"/>
        <w:gridCol w:w="864"/>
        <w:gridCol w:w="36"/>
        <w:gridCol w:w="36"/>
        <w:gridCol w:w="36"/>
        <w:gridCol w:w="36"/>
        <w:gridCol w:w="120"/>
        <w:gridCol w:w="865"/>
        <w:gridCol w:w="36"/>
      </w:tblGrid>
      <w:tr w:rsidR="00000000">
        <w:trPr>
          <w:divId w:val="1027366281"/>
        </w:trPr>
        <w:tc>
          <w:tcPr>
            <w:tcW w:w="50" w:type="pct"/>
            <w:vAlign w:val="center"/>
            <w:hideMark/>
          </w:tcPr>
          <w:p w:rsidR="00000000" w:rsidRDefault="0061405A">
            <w:pPr>
              <w:jc w:val="both"/>
              <w:rPr>
                <w:rFonts w:eastAsia="Times New Roman"/>
              </w:rPr>
            </w:pPr>
          </w:p>
        </w:tc>
        <w:tc>
          <w:tcPr>
            <w:tcW w:w="3623"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7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7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1027366281"/>
        </w:trPr>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2019</w:t>
            </w:r>
          </w:p>
        </w:tc>
      </w:tr>
      <w:tr w:rsidR="00000000">
        <w:trPr>
          <w:divId w:val="1027366281"/>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Delivery program receivables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1,268 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636 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027366281"/>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Vendor rebate receivables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641 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788 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027366281"/>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Insurance receivable</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74 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744 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027366281"/>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Franchise receivables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564 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527 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027366281"/>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Other receivables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881 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808 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027366281"/>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Accounts receivable</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3,428 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3,503 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bl>
    <w:p w:rsidR="00000000" w:rsidRDefault="0061405A">
      <w:pPr>
        <w:ind w:firstLine="360"/>
        <w:jc w:val="both"/>
        <w:rPr>
          <w:rFonts w:eastAsia="Times New Roman"/>
        </w:rPr>
      </w:pPr>
    </w:p>
    <w:p w:rsidR="00000000" w:rsidRDefault="0061405A">
      <w:pPr>
        <w:jc w:val="both"/>
        <w:rPr>
          <w:rFonts w:eastAsia="Times New Roman"/>
        </w:rPr>
      </w:pPr>
      <w:r>
        <w:rPr>
          <w:rFonts w:eastAsia="Times New Roman"/>
          <w:color w:val="000000"/>
          <w:sz w:val="20"/>
          <w:szCs w:val="20"/>
        </w:rPr>
        <w:t>P</w:t>
      </w:r>
      <w:r>
        <w:rPr>
          <w:rFonts w:eastAsia="Times New Roman"/>
          <w:color w:val="000000"/>
          <w:sz w:val="20"/>
          <w:szCs w:val="20"/>
        </w:rPr>
        <w:t>repaid expenses and other assets consist of the following (in thousands):</w:t>
      </w:r>
    </w:p>
    <w:tbl>
      <w:tblPr>
        <w:tblW w:w="5000" w:type="pct"/>
        <w:tblCellMar>
          <w:top w:w="15" w:type="dxa"/>
          <w:left w:w="15" w:type="dxa"/>
          <w:bottom w:w="15" w:type="dxa"/>
          <w:right w:w="15" w:type="dxa"/>
        </w:tblCellMar>
        <w:tblLook w:val="04A0" w:firstRow="1" w:lastRow="0" w:firstColumn="1" w:lastColumn="0" w:noHBand="0" w:noVBand="1"/>
      </w:tblPr>
      <w:tblGrid>
        <w:gridCol w:w="38"/>
        <w:gridCol w:w="5975"/>
        <w:gridCol w:w="36"/>
        <w:gridCol w:w="36"/>
        <w:gridCol w:w="36"/>
        <w:gridCol w:w="36"/>
        <w:gridCol w:w="120"/>
        <w:gridCol w:w="864"/>
        <w:gridCol w:w="36"/>
        <w:gridCol w:w="36"/>
        <w:gridCol w:w="36"/>
        <w:gridCol w:w="36"/>
        <w:gridCol w:w="120"/>
        <w:gridCol w:w="865"/>
        <w:gridCol w:w="36"/>
      </w:tblGrid>
      <w:tr w:rsidR="00000000">
        <w:trPr>
          <w:divId w:val="984355214"/>
        </w:trPr>
        <w:tc>
          <w:tcPr>
            <w:tcW w:w="50" w:type="pct"/>
            <w:vAlign w:val="center"/>
            <w:hideMark/>
          </w:tcPr>
          <w:p w:rsidR="00000000" w:rsidRDefault="0061405A">
            <w:pPr>
              <w:jc w:val="both"/>
              <w:rPr>
                <w:rFonts w:eastAsia="Times New Roman"/>
              </w:rPr>
            </w:pPr>
          </w:p>
        </w:tc>
        <w:tc>
          <w:tcPr>
            <w:tcW w:w="3623"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7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7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984355214"/>
        </w:trPr>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2019</w:t>
            </w:r>
          </w:p>
        </w:tc>
      </w:tr>
      <w:tr w:rsidR="00000000">
        <w:trPr>
          <w:divId w:val="984355214"/>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Prepaid occupancy related costs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884 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834 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984355214"/>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Prepaid insurance</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744 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724 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984355214"/>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Other prepaid expenses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1,092 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2,075 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984355214"/>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Other current assets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1,753 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984355214"/>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Prepaid expenses and other assets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2,759 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5,386 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bl>
    <w:p w:rsidR="00000000" w:rsidRDefault="0061405A">
      <w:pPr>
        <w:ind w:hanging="450"/>
        <w:jc w:val="both"/>
        <w:divId w:val="1902056093"/>
        <w:rPr>
          <w:rFonts w:eastAsia="Times New Roman"/>
        </w:rPr>
      </w:pPr>
    </w:p>
    <w:p w:rsidR="00000000" w:rsidRDefault="0061405A">
      <w:pPr>
        <w:jc w:val="both"/>
        <w:divId w:val="532230297"/>
        <w:rPr>
          <w:rFonts w:eastAsia="Times New Roman"/>
        </w:rPr>
      </w:pPr>
      <w:r>
        <w:rPr>
          <w:rFonts w:eastAsia="Times New Roman"/>
          <w:color w:val="000000"/>
          <w:sz w:val="20"/>
          <w:szCs w:val="20"/>
        </w:rPr>
        <w:t>P</w:t>
      </w:r>
      <w:r>
        <w:rPr>
          <w:rFonts w:eastAsia="Times New Roman"/>
          <w:color w:val="000000"/>
          <w:sz w:val="20"/>
          <w:szCs w:val="20"/>
        </w:rPr>
        <w:t>roperty and equipment, net, consist of the following (in thousands):</w:t>
      </w:r>
    </w:p>
    <w:tbl>
      <w:tblPr>
        <w:tblW w:w="5000" w:type="pct"/>
        <w:tblCellMar>
          <w:top w:w="15" w:type="dxa"/>
          <w:left w:w="15" w:type="dxa"/>
          <w:bottom w:w="15" w:type="dxa"/>
          <w:right w:w="15" w:type="dxa"/>
        </w:tblCellMar>
        <w:tblLook w:val="04A0" w:firstRow="1" w:lastRow="0" w:firstColumn="1" w:lastColumn="0" w:noHBand="0" w:noVBand="1"/>
      </w:tblPr>
      <w:tblGrid>
        <w:gridCol w:w="38"/>
        <w:gridCol w:w="5975"/>
        <w:gridCol w:w="36"/>
        <w:gridCol w:w="36"/>
        <w:gridCol w:w="36"/>
        <w:gridCol w:w="36"/>
        <w:gridCol w:w="120"/>
        <w:gridCol w:w="864"/>
        <w:gridCol w:w="36"/>
        <w:gridCol w:w="36"/>
        <w:gridCol w:w="36"/>
        <w:gridCol w:w="36"/>
        <w:gridCol w:w="120"/>
        <w:gridCol w:w="865"/>
        <w:gridCol w:w="36"/>
      </w:tblGrid>
      <w:tr w:rsidR="00000000">
        <w:trPr>
          <w:divId w:val="1156186976"/>
        </w:trPr>
        <w:tc>
          <w:tcPr>
            <w:tcW w:w="50" w:type="pct"/>
            <w:vAlign w:val="center"/>
            <w:hideMark/>
          </w:tcPr>
          <w:p w:rsidR="00000000" w:rsidRDefault="0061405A">
            <w:pPr>
              <w:jc w:val="both"/>
              <w:rPr>
                <w:rFonts w:eastAsia="Times New Roman"/>
              </w:rPr>
            </w:pPr>
          </w:p>
        </w:tc>
        <w:tc>
          <w:tcPr>
            <w:tcW w:w="3623"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7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7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1156186976"/>
        </w:trPr>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2019</w:t>
            </w:r>
          </w:p>
        </w:tc>
      </w:tr>
      <w:tr w:rsidR="00000000">
        <w:trPr>
          <w:divId w:val="1156186976"/>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Leasehold improvements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199,782 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200,580 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56186976"/>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Furniture, fixtures and equipment</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132,756 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122,752 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56186976"/>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Construction in progress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1,713 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2,890 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56186976"/>
        </w:trPr>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334,251 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326,222 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56186976"/>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Accumulated 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(211,334)</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(197,355)</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56186976"/>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Property and equipment, net</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122,917 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128,867 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bl>
    <w:p w:rsidR="00000000" w:rsidRDefault="0061405A">
      <w:pPr>
        <w:divId w:val="1874345179"/>
        <w:rPr>
          <w:rFonts w:eastAsia="Times New Roman"/>
        </w:rPr>
      </w:pPr>
    </w:p>
    <w:p w:rsidR="00000000" w:rsidRDefault="0061405A">
      <w:pPr>
        <w:divId w:val="721637749"/>
        <w:rPr>
          <w:rFonts w:eastAsia="Times New Roman"/>
        </w:rPr>
      </w:pPr>
      <w:r>
        <w:rPr>
          <w:rFonts w:eastAsia="Times New Roman"/>
          <w:b/>
          <w:bCs/>
          <w:i/>
          <w:iCs/>
          <w:color w:val="000000"/>
          <w:sz w:val="20"/>
          <w:szCs w:val="20"/>
        </w:rPr>
        <w:t>A</w:t>
      </w:r>
      <w:r>
        <w:rPr>
          <w:rFonts w:eastAsia="Times New Roman"/>
          <w:b/>
          <w:bCs/>
          <w:i/>
          <w:iCs/>
          <w:color w:val="000000"/>
          <w:sz w:val="20"/>
          <w:szCs w:val="20"/>
        </w:rPr>
        <w:t>ssets and Liabilities Held for Sale</w:t>
      </w:r>
    </w:p>
    <w:p w:rsidR="00000000" w:rsidRDefault="0061405A">
      <w:pPr>
        <w:jc w:val="both"/>
        <w:divId w:val="547113282"/>
        <w:rPr>
          <w:rFonts w:eastAsia="Times New Roman"/>
        </w:rPr>
      </w:pPr>
      <w:r>
        <w:rPr>
          <w:rFonts w:eastAsia="Times New Roman"/>
          <w:color w:val="000000"/>
          <w:sz w:val="20"/>
          <w:szCs w:val="20"/>
        </w:rPr>
        <w:t xml:space="preserve">In December 2019, the Company entered into a definitive agreement to sell nine restaurants to a franchisee (“RCRG Sale”). In January 2020, the Company closed the RCRG Sale. The assets and liabilities associated with the </w:t>
      </w:r>
      <w:r>
        <w:rPr>
          <w:rFonts w:eastAsia="Times New Roman"/>
          <w:color w:val="000000"/>
          <w:sz w:val="20"/>
          <w:szCs w:val="20"/>
        </w:rPr>
        <w:t>RCRG Sale have been recorded in “Prepaid expenses and other assets” and “Accrued expenses and other current liabilities” on the Consolidated Balance Sheets as of December 31, 2019. In addition, the Company recorded a $3.6 million write down of assets relat</w:t>
      </w:r>
      <w:r>
        <w:rPr>
          <w:rFonts w:eastAsia="Times New Roman"/>
          <w:color w:val="000000"/>
          <w:sz w:val="20"/>
          <w:szCs w:val="20"/>
        </w:rPr>
        <w:t xml:space="preserve">ed to this transaction during the year ended December 31, 2019, included in "Restaurant impairments, closure costs and asset disposals" on the Consolidated Statements of Operations. The following table presents the carrying amounts of the major classes of </w:t>
      </w:r>
      <w:r>
        <w:rPr>
          <w:rFonts w:eastAsia="Times New Roman"/>
          <w:color w:val="000000"/>
          <w:sz w:val="20"/>
          <w:szCs w:val="20"/>
        </w:rPr>
        <w:t>assets and liabilities classified as held for sale (in thousands):</w:t>
      </w:r>
    </w:p>
    <w:tbl>
      <w:tblPr>
        <w:tblW w:w="4992" w:type="pct"/>
        <w:jc w:val="center"/>
        <w:tblCellMar>
          <w:top w:w="15" w:type="dxa"/>
          <w:left w:w="15" w:type="dxa"/>
          <w:bottom w:w="15" w:type="dxa"/>
          <w:right w:w="15" w:type="dxa"/>
        </w:tblCellMar>
        <w:tblLook w:val="04A0" w:firstRow="1" w:lastRow="0" w:firstColumn="1" w:lastColumn="0" w:noHBand="0" w:noVBand="1"/>
      </w:tblPr>
      <w:tblGrid>
        <w:gridCol w:w="45"/>
        <w:gridCol w:w="6902"/>
        <w:gridCol w:w="38"/>
        <w:gridCol w:w="36"/>
        <w:gridCol w:w="36"/>
        <w:gridCol w:w="36"/>
        <w:gridCol w:w="121"/>
        <w:gridCol w:w="1043"/>
        <w:gridCol w:w="36"/>
      </w:tblGrid>
      <w:tr w:rsidR="00000000">
        <w:trPr>
          <w:divId w:val="33237307"/>
          <w:jc w:val="center"/>
        </w:trPr>
        <w:tc>
          <w:tcPr>
            <w:tcW w:w="50" w:type="pct"/>
            <w:vAlign w:val="center"/>
            <w:hideMark/>
          </w:tcPr>
          <w:p w:rsidR="00000000" w:rsidRDefault="0061405A">
            <w:pPr>
              <w:jc w:val="both"/>
              <w:rPr>
                <w:rFonts w:eastAsia="Times New Roman"/>
              </w:rPr>
            </w:pPr>
          </w:p>
        </w:tc>
        <w:tc>
          <w:tcPr>
            <w:tcW w:w="4182"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671"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33237307"/>
          <w:jc w:val="center"/>
        </w:trPr>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2019</w:t>
            </w:r>
          </w:p>
        </w:tc>
      </w:tr>
      <w:tr w:rsidR="00000000">
        <w:trPr>
          <w:divId w:val="33237307"/>
          <w:jc w:val="center"/>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b/>
                <w:bCs/>
                <w:i/>
                <w:iCs/>
                <w:color w:val="000000"/>
                <w:sz w:val="20"/>
                <w:szCs w:val="20"/>
              </w:rPr>
              <w:t>Assets</w:t>
            </w:r>
          </w:p>
        </w:tc>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33237307"/>
          <w:jc w:val="center"/>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Current assets, total</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339 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33237307"/>
          <w:jc w:val="center"/>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Current operating lease assets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1,408 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33237307"/>
          <w:jc w:val="center"/>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Current assets held for sale</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1,747 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33237307"/>
          <w:jc w:val="center"/>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b/>
                <w:bCs/>
                <w:i/>
                <w:i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33237307"/>
          <w:jc w:val="center"/>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Current operating lease liabilities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1,710 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33237307"/>
          <w:jc w:val="center"/>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Net assets held for sale</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bl>
    <w:p w:rsidR="00000000" w:rsidRDefault="0061405A">
      <w:pPr>
        <w:jc w:val="center"/>
        <w:divId w:val="1318924870"/>
        <w:rPr>
          <w:rFonts w:eastAsia="Times New Roman"/>
        </w:rPr>
      </w:pPr>
      <w:r>
        <w:rPr>
          <w:rFonts w:eastAsia="Times New Roman"/>
          <w:color w:val="000000"/>
          <w:sz w:val="20"/>
          <w:szCs w:val="20"/>
        </w:rPr>
        <w:t>58</w:t>
      </w:r>
    </w:p>
    <w:p w:rsidR="00000000" w:rsidRDefault="0061405A">
      <w:pPr>
        <w:rPr>
          <w:rFonts w:eastAsia="Times New Roman"/>
        </w:rPr>
      </w:pPr>
      <w:r>
        <w:rPr>
          <w:rFonts w:eastAsia="Times New Roman"/>
        </w:rPr>
        <w:pict>
          <v:rect id="_x0000_i1085" style="width:0;height:1.5pt" o:hralign="center" o:hrstd="t" o:hr="t" fillcolor="#a0a0a0" stroked="f"/>
        </w:pict>
      </w:r>
    </w:p>
    <w:p w:rsidR="00000000" w:rsidRDefault="0061405A">
      <w:pPr>
        <w:divId w:val="1680809208"/>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center"/>
        <w:divId w:val="1995327715"/>
        <w:rPr>
          <w:rFonts w:eastAsia="Times New Roman"/>
        </w:rPr>
      </w:pPr>
      <w:r>
        <w:rPr>
          <w:rFonts w:eastAsia="Times New Roman"/>
          <w:b/>
          <w:bCs/>
          <w:color w:val="000000"/>
          <w:sz w:val="20"/>
          <w:szCs w:val="20"/>
        </w:rPr>
        <w:t>NOODLES &amp; COMPANY</w:t>
      </w:r>
    </w:p>
    <w:p w:rsidR="00000000" w:rsidRDefault="0061405A">
      <w:pPr>
        <w:jc w:val="center"/>
        <w:divId w:val="1107964633"/>
        <w:rPr>
          <w:rFonts w:eastAsia="Times New Roman"/>
        </w:rPr>
      </w:pPr>
      <w:r>
        <w:rPr>
          <w:rFonts w:eastAsia="Times New Roman"/>
          <w:b/>
          <w:bCs/>
          <w:color w:val="000000"/>
          <w:sz w:val="20"/>
          <w:szCs w:val="20"/>
        </w:rPr>
        <w:t>NOTES TO CONSOLIDATED FINANCIAL STATEMENTS (Continued)</w:t>
      </w:r>
    </w:p>
    <w:p w:rsidR="00000000" w:rsidRDefault="0061405A">
      <w:pPr>
        <w:jc w:val="center"/>
        <w:divId w:val="1143738771"/>
        <w:rPr>
          <w:rFonts w:eastAsia="Times New Roman"/>
        </w:rPr>
      </w:pPr>
    </w:p>
    <w:p w:rsidR="00000000" w:rsidRDefault="0061405A">
      <w:pPr>
        <w:jc w:val="both"/>
        <w:divId w:val="1429545140"/>
        <w:rPr>
          <w:rFonts w:eastAsia="Times New Roman"/>
        </w:rPr>
      </w:pPr>
    </w:p>
    <w:p w:rsidR="00000000" w:rsidRDefault="0061405A">
      <w:pPr>
        <w:jc w:val="both"/>
        <w:divId w:val="794328449"/>
        <w:rPr>
          <w:rFonts w:eastAsia="Times New Roman"/>
        </w:rPr>
      </w:pPr>
      <w:r>
        <w:rPr>
          <w:rFonts w:eastAsia="Times New Roman"/>
          <w:color w:val="000000"/>
          <w:sz w:val="20"/>
          <w:szCs w:val="20"/>
        </w:rPr>
        <w:t>Accrued payroll and benefits consist of the following (in thousands):</w:t>
      </w:r>
    </w:p>
    <w:tbl>
      <w:tblPr>
        <w:tblW w:w="5000" w:type="pct"/>
        <w:tblCellMar>
          <w:top w:w="15" w:type="dxa"/>
          <w:left w:w="15" w:type="dxa"/>
          <w:bottom w:w="15" w:type="dxa"/>
          <w:right w:w="15" w:type="dxa"/>
        </w:tblCellMar>
        <w:tblLook w:val="04A0" w:firstRow="1" w:lastRow="0" w:firstColumn="1" w:lastColumn="0" w:noHBand="0" w:noVBand="1"/>
      </w:tblPr>
      <w:tblGrid>
        <w:gridCol w:w="38"/>
        <w:gridCol w:w="5975"/>
        <w:gridCol w:w="36"/>
        <w:gridCol w:w="36"/>
        <w:gridCol w:w="36"/>
        <w:gridCol w:w="36"/>
        <w:gridCol w:w="120"/>
        <w:gridCol w:w="864"/>
        <w:gridCol w:w="36"/>
        <w:gridCol w:w="36"/>
        <w:gridCol w:w="36"/>
        <w:gridCol w:w="36"/>
        <w:gridCol w:w="120"/>
        <w:gridCol w:w="865"/>
        <w:gridCol w:w="36"/>
      </w:tblGrid>
      <w:tr w:rsidR="00000000">
        <w:trPr>
          <w:divId w:val="1571648541"/>
        </w:trPr>
        <w:tc>
          <w:tcPr>
            <w:tcW w:w="50" w:type="pct"/>
            <w:vAlign w:val="center"/>
            <w:hideMark/>
          </w:tcPr>
          <w:p w:rsidR="00000000" w:rsidRDefault="0061405A">
            <w:pPr>
              <w:jc w:val="both"/>
              <w:rPr>
                <w:rFonts w:eastAsia="Times New Roman"/>
              </w:rPr>
            </w:pPr>
          </w:p>
        </w:tc>
        <w:tc>
          <w:tcPr>
            <w:tcW w:w="3623"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7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7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1571648541"/>
        </w:trPr>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2019</w:t>
            </w:r>
          </w:p>
        </w:tc>
      </w:tr>
      <w:tr w:rsidR="00000000">
        <w:trPr>
          <w:divId w:val="1571648541"/>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Accrued payroll and related liabilities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6,812 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6,364 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571648541"/>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Accrued bonus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2,364 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3,505 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571648541"/>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Insurance liabilities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3,700 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3,610 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571648541"/>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Accrued payroll and benefits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12,876 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13,479 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bl>
    <w:p w:rsidR="00000000" w:rsidRDefault="0061405A">
      <w:pPr>
        <w:jc w:val="both"/>
        <w:divId w:val="371464493"/>
        <w:rPr>
          <w:rFonts w:eastAsia="Times New Roman"/>
        </w:rPr>
      </w:pPr>
      <w:r>
        <w:rPr>
          <w:rFonts w:eastAsia="Times New Roman"/>
          <w:color w:val="000000"/>
          <w:sz w:val="20"/>
          <w:szCs w:val="20"/>
        </w:rPr>
        <w:t>Acc</w:t>
      </w:r>
      <w:r>
        <w:rPr>
          <w:rFonts w:eastAsia="Times New Roman"/>
          <w:color w:val="000000"/>
          <w:sz w:val="20"/>
          <w:szCs w:val="20"/>
        </w:rPr>
        <w:t>rued expenses and other current liabilities consist of the following (in thousands):</w:t>
      </w:r>
    </w:p>
    <w:tbl>
      <w:tblPr>
        <w:tblW w:w="5000" w:type="pct"/>
        <w:tblCellMar>
          <w:top w:w="15" w:type="dxa"/>
          <w:left w:w="15" w:type="dxa"/>
          <w:bottom w:w="15" w:type="dxa"/>
          <w:right w:w="15" w:type="dxa"/>
        </w:tblCellMar>
        <w:tblLook w:val="04A0" w:firstRow="1" w:lastRow="0" w:firstColumn="1" w:lastColumn="0" w:noHBand="0" w:noVBand="1"/>
      </w:tblPr>
      <w:tblGrid>
        <w:gridCol w:w="38"/>
        <w:gridCol w:w="5975"/>
        <w:gridCol w:w="37"/>
        <w:gridCol w:w="36"/>
        <w:gridCol w:w="36"/>
        <w:gridCol w:w="36"/>
        <w:gridCol w:w="120"/>
        <w:gridCol w:w="863"/>
        <w:gridCol w:w="36"/>
        <w:gridCol w:w="36"/>
        <w:gridCol w:w="36"/>
        <w:gridCol w:w="36"/>
        <w:gridCol w:w="120"/>
        <w:gridCol w:w="865"/>
        <w:gridCol w:w="36"/>
      </w:tblGrid>
      <w:tr w:rsidR="00000000">
        <w:trPr>
          <w:divId w:val="1024478206"/>
        </w:trPr>
        <w:tc>
          <w:tcPr>
            <w:tcW w:w="50" w:type="pct"/>
            <w:vAlign w:val="center"/>
            <w:hideMark/>
          </w:tcPr>
          <w:p w:rsidR="00000000" w:rsidRDefault="0061405A">
            <w:pPr>
              <w:jc w:val="both"/>
              <w:rPr>
                <w:rFonts w:eastAsia="Times New Roman"/>
              </w:rPr>
            </w:pPr>
          </w:p>
        </w:tc>
        <w:tc>
          <w:tcPr>
            <w:tcW w:w="3623"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7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7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1024478206"/>
        </w:trPr>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2019</w:t>
            </w:r>
          </w:p>
        </w:tc>
      </w:tr>
      <w:tr w:rsidR="00000000">
        <w:trPr>
          <w:divId w:val="1024478206"/>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Gift card liability</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2,551 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2,398 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024478206"/>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Occupancy related</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1,322 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1,458 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024478206"/>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Utilities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1,338 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1,379 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024478206"/>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Deferred revenue</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427 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555 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024478206"/>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Current portion of finance lease liability</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1,800 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510 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024478206"/>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Other current liabilities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4,194 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5,379 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024478206"/>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Accrued expenses and other current liabilities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11,632 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11,679 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bl>
    <w:p w:rsidR="00000000" w:rsidRDefault="0061405A">
      <w:pPr>
        <w:divId w:val="1856921241"/>
        <w:rPr>
          <w:rFonts w:eastAsia="Times New Roman"/>
        </w:rPr>
      </w:pPr>
    </w:p>
    <w:p w:rsidR="00000000" w:rsidRDefault="0061405A">
      <w:pPr>
        <w:jc w:val="both"/>
        <w:divId w:val="623733988"/>
        <w:rPr>
          <w:rFonts w:eastAsia="Times New Roman"/>
        </w:rPr>
      </w:pPr>
      <w:r>
        <w:rPr>
          <w:rFonts w:eastAsia="Times New Roman"/>
          <w:b/>
          <w:bCs/>
          <w:color w:val="000000"/>
          <w:sz w:val="20"/>
          <w:szCs w:val="20"/>
        </w:rPr>
        <w:t>3</w:t>
      </w:r>
      <w:r>
        <w:rPr>
          <w:rFonts w:eastAsia="Times New Roman"/>
          <w:b/>
          <w:bCs/>
          <w:color w:val="000000"/>
          <w:sz w:val="20"/>
          <w:szCs w:val="20"/>
        </w:rPr>
        <w:t>. Goodwill and Intangible Assets</w:t>
      </w:r>
    </w:p>
    <w:p w:rsidR="00000000" w:rsidRDefault="0061405A">
      <w:pPr>
        <w:jc w:val="both"/>
        <w:divId w:val="479227518"/>
        <w:rPr>
          <w:rFonts w:eastAsia="Times New Roman"/>
        </w:rPr>
      </w:pPr>
      <w:r>
        <w:rPr>
          <w:rFonts w:eastAsia="Times New Roman"/>
          <w:color w:val="000000"/>
          <w:sz w:val="20"/>
          <w:szCs w:val="20"/>
        </w:rPr>
        <w:t>The following table presents goodwill as of December 29, 2020 and December 31, 2019, (in thousands):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975"/>
        <w:gridCol w:w="37"/>
        <w:gridCol w:w="36"/>
        <w:gridCol w:w="36"/>
        <w:gridCol w:w="36"/>
        <w:gridCol w:w="120"/>
        <w:gridCol w:w="863"/>
        <w:gridCol w:w="36"/>
        <w:gridCol w:w="36"/>
        <w:gridCol w:w="36"/>
        <w:gridCol w:w="36"/>
        <w:gridCol w:w="120"/>
        <w:gridCol w:w="865"/>
        <w:gridCol w:w="36"/>
      </w:tblGrid>
      <w:tr w:rsidR="00000000">
        <w:trPr>
          <w:divId w:val="922223455"/>
          <w:jc w:val="center"/>
        </w:trPr>
        <w:tc>
          <w:tcPr>
            <w:tcW w:w="50" w:type="pct"/>
            <w:vAlign w:val="center"/>
            <w:hideMark/>
          </w:tcPr>
          <w:p w:rsidR="00000000" w:rsidRDefault="0061405A">
            <w:pPr>
              <w:jc w:val="both"/>
              <w:rPr>
                <w:rFonts w:eastAsia="Times New Roman"/>
              </w:rPr>
            </w:pPr>
          </w:p>
        </w:tc>
        <w:tc>
          <w:tcPr>
            <w:tcW w:w="3623"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7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7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922223455"/>
          <w:jc w:val="center"/>
        </w:trPr>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2019</w:t>
            </w:r>
          </w:p>
        </w:tc>
      </w:tr>
      <w:tr w:rsidR="00000000">
        <w:trPr>
          <w:divId w:val="922223455"/>
          <w:jc w:val="center"/>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Balance at beginning of year</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7,154 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6,400 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922223455"/>
          <w:jc w:val="center"/>
        </w:trPr>
        <w:tc>
          <w:tcPr>
            <w:tcW w:w="0" w:type="auto"/>
            <w:gridSpan w:val="3"/>
            <w:shd w:val="clear" w:color="auto" w:fill="FFFFFF"/>
            <w:tcMar>
              <w:top w:w="30" w:type="dxa"/>
              <w:left w:w="20" w:type="dxa"/>
              <w:bottom w:w="30" w:type="dxa"/>
              <w:right w:w="20" w:type="dxa"/>
            </w:tcMar>
            <w:vAlign w:val="bottom"/>
            <w:hideMark/>
          </w:tcPr>
          <w:p w:rsidR="00000000" w:rsidRDefault="0061405A">
            <w:pPr>
              <w:divId w:val="2073457981"/>
              <w:rPr>
                <w:rFonts w:eastAsia="Times New Roman"/>
              </w:rPr>
            </w:pPr>
            <w:r>
              <w:rPr>
                <w:rFonts w:eastAsia="Times New Roman"/>
                <w:color w:val="000000"/>
                <w:sz w:val="20"/>
                <w:szCs w:val="20"/>
              </w:rPr>
              <w:t>Acquisitio</w:t>
            </w:r>
            <w:r>
              <w:rPr>
                <w:rFonts w:eastAsia="Times New Roman"/>
                <w:color w:val="000000"/>
                <w:sz w:val="20"/>
                <w:szCs w:val="20"/>
              </w:rPr>
              <w:t>n</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754 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922223455"/>
          <w:jc w:val="center"/>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Balance at end of year</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7,154 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7,154 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bl>
    <w:p w:rsidR="00000000" w:rsidRDefault="0061405A">
      <w:pPr>
        <w:divId w:val="1348287690"/>
        <w:rPr>
          <w:rFonts w:eastAsia="Times New Roman"/>
        </w:rPr>
      </w:pPr>
      <w:r>
        <w:rPr>
          <w:rFonts w:eastAsia="Times New Roman"/>
          <w:color w:val="000000"/>
          <w:sz w:val="22"/>
          <w:szCs w:val="22"/>
        </w:rPr>
        <w:t>_</w:t>
      </w:r>
      <w:r>
        <w:rPr>
          <w:rFonts w:eastAsia="Times New Roman"/>
          <w:color w:val="000000"/>
          <w:sz w:val="22"/>
          <w:szCs w:val="22"/>
        </w:rPr>
        <w:t>___________________</w:t>
      </w:r>
    </w:p>
    <w:p w:rsidR="00000000" w:rsidRDefault="0061405A">
      <w:pPr>
        <w:ind w:hanging="360"/>
        <w:divId w:val="909581143"/>
        <w:rPr>
          <w:rFonts w:eastAsia="Times New Roman"/>
        </w:rPr>
      </w:pPr>
      <w:r>
        <w:rPr>
          <w:rFonts w:eastAsia="Times New Roman"/>
          <w:color w:val="000000"/>
          <w:sz w:val="16"/>
          <w:szCs w:val="16"/>
        </w:rPr>
        <w:t xml:space="preserve">(1)During the first quarter of 2019, we acquired one franchise restaurant. </w:t>
      </w:r>
    </w:p>
    <w:p w:rsidR="00000000" w:rsidRDefault="0061405A">
      <w:pPr>
        <w:divId w:val="1513689475"/>
        <w:rPr>
          <w:rFonts w:eastAsia="Times New Roman"/>
        </w:rPr>
      </w:pPr>
    </w:p>
    <w:p w:rsidR="00000000" w:rsidRDefault="0061405A">
      <w:pPr>
        <w:divId w:val="1752969135"/>
        <w:rPr>
          <w:rFonts w:eastAsia="Times New Roman"/>
        </w:rPr>
      </w:pPr>
      <w:r>
        <w:rPr>
          <w:rFonts w:eastAsia="Times New Roman"/>
          <w:color w:val="000000"/>
          <w:sz w:val="20"/>
          <w:szCs w:val="20"/>
        </w:rPr>
        <w:t xml:space="preserve">The Company had no goodwill impairment charges in 2020, 2019 or 2018. </w:t>
      </w:r>
    </w:p>
    <w:p w:rsidR="00000000" w:rsidRDefault="0061405A">
      <w:pPr>
        <w:divId w:val="1581869799"/>
        <w:rPr>
          <w:rFonts w:eastAsia="Times New Roman"/>
        </w:rPr>
      </w:pPr>
    </w:p>
    <w:p w:rsidR="00000000" w:rsidRDefault="0061405A">
      <w:pPr>
        <w:divId w:val="1239167057"/>
        <w:rPr>
          <w:rFonts w:eastAsia="Times New Roman"/>
        </w:rPr>
      </w:pPr>
      <w:r>
        <w:rPr>
          <w:rFonts w:eastAsia="Times New Roman"/>
          <w:color w:val="000000"/>
          <w:sz w:val="20"/>
          <w:szCs w:val="20"/>
        </w:rPr>
        <w:t>The following table presents intangible assets subject to amortization as of December 29, 2020 and December 31, 2019, (in thousands):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975"/>
        <w:gridCol w:w="37"/>
        <w:gridCol w:w="36"/>
        <w:gridCol w:w="36"/>
        <w:gridCol w:w="36"/>
        <w:gridCol w:w="120"/>
        <w:gridCol w:w="863"/>
        <w:gridCol w:w="36"/>
        <w:gridCol w:w="36"/>
        <w:gridCol w:w="36"/>
        <w:gridCol w:w="36"/>
        <w:gridCol w:w="120"/>
        <w:gridCol w:w="865"/>
        <w:gridCol w:w="36"/>
      </w:tblGrid>
      <w:tr w:rsidR="00000000">
        <w:trPr>
          <w:divId w:val="1129975538"/>
          <w:jc w:val="center"/>
        </w:trPr>
        <w:tc>
          <w:tcPr>
            <w:tcW w:w="50" w:type="pct"/>
            <w:vAlign w:val="center"/>
            <w:hideMark/>
          </w:tcPr>
          <w:p w:rsidR="00000000" w:rsidRDefault="0061405A">
            <w:pPr>
              <w:rPr>
                <w:rFonts w:eastAsia="Times New Roman"/>
              </w:rPr>
            </w:pPr>
          </w:p>
        </w:tc>
        <w:tc>
          <w:tcPr>
            <w:tcW w:w="3623"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7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7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1129975538"/>
          <w:jc w:val="center"/>
        </w:trPr>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2019</w:t>
            </w:r>
          </w:p>
        </w:tc>
      </w:tr>
      <w:tr w:rsidR="00000000">
        <w:trPr>
          <w:divId w:val="1129975538"/>
          <w:jc w:val="center"/>
        </w:trPr>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20"/>
                <w:szCs w:val="20"/>
              </w:rPr>
              <w:t>Amortized intangible assets:</w:t>
            </w:r>
          </w:p>
        </w:tc>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1129975538"/>
          <w:jc w:val="center"/>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Reacquired franchise rights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992 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992 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29975538"/>
          <w:jc w:val="center"/>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Accumulated Amortization</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(458)</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(388)</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29975538"/>
          <w:jc w:val="center"/>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Amortized intangible assets, net</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604 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29975538"/>
          <w:jc w:val="center"/>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20"/>
                <w:szCs w:val="20"/>
              </w:rPr>
              <w:t>Non-amortized intangible assets: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1129975538"/>
          <w:jc w:val="center"/>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Trademark rights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223 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279 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29975538"/>
          <w:jc w:val="center"/>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Intangibles, net</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757 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883 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bl>
    <w:p w:rsidR="00000000" w:rsidRDefault="0061405A">
      <w:pPr>
        <w:divId w:val="1789734451"/>
        <w:rPr>
          <w:rFonts w:eastAsia="Times New Roman"/>
        </w:rPr>
      </w:pPr>
      <w:r>
        <w:rPr>
          <w:rFonts w:eastAsia="Times New Roman"/>
          <w:color w:val="000000"/>
          <w:sz w:val="20"/>
          <w:szCs w:val="20"/>
        </w:rPr>
        <w:t>U</w:t>
      </w:r>
      <w:r>
        <w:rPr>
          <w:rFonts w:eastAsia="Times New Roman"/>
          <w:color w:val="000000"/>
          <w:sz w:val="20"/>
          <w:szCs w:val="20"/>
        </w:rPr>
        <w:t xml:space="preserve">pon adoption of the new lease guidance on January 2, 2019, the net book value of favorable lease intangible assets amounting to $0.1 million was reclassified to the right-of-use asset. </w:t>
      </w:r>
    </w:p>
    <w:p w:rsidR="00000000" w:rsidRDefault="0061405A">
      <w:pPr>
        <w:jc w:val="center"/>
        <w:divId w:val="2053847020"/>
        <w:rPr>
          <w:rFonts w:eastAsia="Times New Roman"/>
        </w:rPr>
      </w:pPr>
      <w:r>
        <w:rPr>
          <w:rFonts w:eastAsia="Times New Roman"/>
          <w:color w:val="000000"/>
          <w:sz w:val="20"/>
          <w:szCs w:val="20"/>
        </w:rPr>
        <w:t>59</w:t>
      </w:r>
    </w:p>
    <w:p w:rsidR="00000000" w:rsidRDefault="0061405A">
      <w:pPr>
        <w:rPr>
          <w:rFonts w:eastAsia="Times New Roman"/>
        </w:rPr>
      </w:pPr>
      <w:r>
        <w:rPr>
          <w:rFonts w:eastAsia="Times New Roman"/>
        </w:rPr>
        <w:pict>
          <v:rect id="_x0000_i1086" style="width:0;height:1.5pt" o:hralign="center" o:hrstd="t" o:hr="t" fillcolor="#a0a0a0" stroked="f"/>
        </w:pict>
      </w:r>
    </w:p>
    <w:p w:rsidR="00000000" w:rsidRDefault="0061405A">
      <w:pPr>
        <w:divId w:val="1334256525"/>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center"/>
        <w:divId w:val="1583444248"/>
        <w:rPr>
          <w:rFonts w:eastAsia="Times New Roman"/>
        </w:rPr>
      </w:pPr>
      <w:r>
        <w:rPr>
          <w:rFonts w:eastAsia="Times New Roman"/>
          <w:b/>
          <w:bCs/>
          <w:color w:val="000000"/>
          <w:sz w:val="20"/>
          <w:szCs w:val="20"/>
        </w:rPr>
        <w:t>NOODLES &amp; COMPANY</w:t>
      </w:r>
    </w:p>
    <w:p w:rsidR="00000000" w:rsidRDefault="0061405A">
      <w:pPr>
        <w:jc w:val="center"/>
        <w:divId w:val="1064719265"/>
        <w:rPr>
          <w:rFonts w:eastAsia="Times New Roman"/>
        </w:rPr>
      </w:pPr>
      <w:r>
        <w:rPr>
          <w:rFonts w:eastAsia="Times New Roman"/>
          <w:b/>
          <w:bCs/>
          <w:color w:val="000000"/>
          <w:sz w:val="20"/>
          <w:szCs w:val="20"/>
        </w:rPr>
        <w:t>NOTES TO CONSOLIDATED FINANCIAL STATEMENTS (Continued)</w:t>
      </w:r>
    </w:p>
    <w:p w:rsidR="00000000" w:rsidRDefault="0061405A">
      <w:pPr>
        <w:jc w:val="center"/>
        <w:divId w:val="2026394115"/>
        <w:rPr>
          <w:rFonts w:eastAsia="Times New Roman"/>
        </w:rPr>
      </w:pPr>
    </w:p>
    <w:p w:rsidR="00000000" w:rsidRDefault="0061405A">
      <w:pPr>
        <w:divId w:val="1835801685"/>
        <w:rPr>
          <w:rFonts w:eastAsia="Times New Roman"/>
        </w:rPr>
      </w:pPr>
      <w:r>
        <w:rPr>
          <w:rFonts w:eastAsia="Times New Roman"/>
          <w:color w:val="000000"/>
          <w:sz w:val="20"/>
          <w:szCs w:val="20"/>
        </w:rPr>
        <w:t>The estimated aggregate future amortization expense as of December 29, 2020 is as follows, (in thousands):</w:t>
      </w:r>
    </w:p>
    <w:tbl>
      <w:tblPr>
        <w:tblW w:w="5000" w:type="pct"/>
        <w:tblCellMar>
          <w:top w:w="15" w:type="dxa"/>
          <w:left w:w="15" w:type="dxa"/>
          <w:bottom w:w="15" w:type="dxa"/>
          <w:right w:w="15" w:type="dxa"/>
        </w:tblCellMar>
        <w:tblLook w:val="04A0" w:firstRow="1" w:lastRow="0" w:firstColumn="1" w:lastColumn="0" w:noHBand="0" w:noVBand="1"/>
      </w:tblPr>
      <w:tblGrid>
        <w:gridCol w:w="46"/>
        <w:gridCol w:w="6349"/>
        <w:gridCol w:w="36"/>
        <w:gridCol w:w="36"/>
        <w:gridCol w:w="36"/>
        <w:gridCol w:w="36"/>
        <w:gridCol w:w="120"/>
        <w:gridCol w:w="1611"/>
        <w:gridCol w:w="36"/>
      </w:tblGrid>
      <w:tr w:rsidR="00000000">
        <w:trPr>
          <w:divId w:val="2054579501"/>
        </w:trPr>
        <w:tc>
          <w:tcPr>
            <w:tcW w:w="50" w:type="pct"/>
            <w:vAlign w:val="center"/>
            <w:hideMark/>
          </w:tcPr>
          <w:p w:rsidR="00000000" w:rsidRDefault="0061405A">
            <w:pPr>
              <w:rPr>
                <w:rFonts w:eastAsia="Times New Roman"/>
              </w:rPr>
            </w:pPr>
          </w:p>
        </w:tc>
        <w:tc>
          <w:tcPr>
            <w:tcW w:w="3843"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1011"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2054579501"/>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2021</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70 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54579501"/>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2022</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72 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54579501"/>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2023</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70 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54579501"/>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2024</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70 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54579501"/>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2025</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70 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54579501"/>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Thereafter</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182 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54579501"/>
        </w:trPr>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bl>
    <w:p w:rsidR="00000000" w:rsidRDefault="0061405A">
      <w:pPr>
        <w:ind w:hanging="180"/>
        <w:divId w:val="105975114"/>
        <w:rPr>
          <w:rFonts w:eastAsia="Times New Roman"/>
        </w:rPr>
      </w:pPr>
    </w:p>
    <w:p w:rsidR="00000000" w:rsidRDefault="0061405A">
      <w:pPr>
        <w:divId w:val="1344631601"/>
        <w:rPr>
          <w:rFonts w:eastAsia="Times New Roman"/>
        </w:rPr>
      </w:pPr>
      <w:r>
        <w:rPr>
          <w:rFonts w:eastAsia="Times New Roman"/>
          <w:color w:val="000000"/>
          <w:sz w:val="20"/>
          <w:szCs w:val="20"/>
        </w:rPr>
        <w:t xml:space="preserve">No </w:t>
      </w:r>
      <w:r>
        <w:rPr>
          <w:rFonts w:eastAsia="Times New Roman"/>
          <w:color w:val="000000"/>
          <w:sz w:val="20"/>
          <w:szCs w:val="20"/>
        </w:rPr>
        <w:t>impairment charges were recorded related to non-amortized intangible assets in 2020, 2019 or 2018.</w:t>
      </w:r>
    </w:p>
    <w:p w:rsidR="00000000" w:rsidRDefault="0061405A">
      <w:pPr>
        <w:jc w:val="both"/>
        <w:rPr>
          <w:rFonts w:eastAsia="Times New Roman"/>
        </w:rPr>
      </w:pPr>
    </w:p>
    <w:p w:rsidR="00000000" w:rsidRDefault="0061405A">
      <w:pPr>
        <w:divId w:val="975572522"/>
        <w:rPr>
          <w:rFonts w:eastAsia="Times New Roman"/>
        </w:rPr>
      </w:pPr>
      <w:r>
        <w:rPr>
          <w:rFonts w:eastAsia="Times New Roman"/>
          <w:b/>
          <w:bCs/>
          <w:color w:val="000000"/>
          <w:sz w:val="20"/>
          <w:szCs w:val="20"/>
        </w:rPr>
        <w:t>4. Long-Term Debt</w:t>
      </w:r>
    </w:p>
    <w:p w:rsidR="00000000" w:rsidRDefault="0061405A">
      <w:pPr>
        <w:divId w:val="1640912039"/>
        <w:rPr>
          <w:rFonts w:eastAsia="Times New Roman"/>
        </w:rPr>
      </w:pPr>
      <w:r>
        <w:rPr>
          <w:rFonts w:eastAsia="Times New Roman"/>
          <w:b/>
          <w:bCs/>
          <w:i/>
          <w:iCs/>
          <w:color w:val="000000"/>
          <w:sz w:val="20"/>
          <w:szCs w:val="20"/>
        </w:rPr>
        <w:t>2018 Credit Facility</w:t>
      </w:r>
    </w:p>
    <w:p w:rsidR="00000000" w:rsidRDefault="0061405A">
      <w:pPr>
        <w:jc w:val="both"/>
        <w:divId w:val="810950705"/>
        <w:rPr>
          <w:rFonts w:eastAsia="Times New Roman"/>
        </w:rPr>
      </w:pPr>
      <w:r>
        <w:rPr>
          <w:rFonts w:eastAsia="Times New Roman"/>
          <w:color w:val="000000"/>
          <w:sz w:val="20"/>
          <w:szCs w:val="20"/>
        </w:rPr>
        <w:t>On May 9, 2018, the Company entered into a credit facility with U.S. Bank National Association (the “2018 Credit Fac</w:t>
      </w:r>
      <w:r>
        <w:rPr>
          <w:rFonts w:eastAsia="Times New Roman"/>
          <w:color w:val="000000"/>
          <w:sz w:val="20"/>
          <w:szCs w:val="20"/>
        </w:rPr>
        <w:t>ility”). The 2018 Credit Facility consisted of a term loan facility in an aggregate principal amount of $25.0 million and a revolving line of credit of $65.0 million, which included a letter of credit subfacility in the amount of $15.0 million and a swingl</w:t>
      </w:r>
      <w:r>
        <w:rPr>
          <w:rFonts w:eastAsia="Times New Roman"/>
          <w:color w:val="000000"/>
          <w:sz w:val="20"/>
          <w:szCs w:val="20"/>
        </w:rPr>
        <w:t xml:space="preserve">ine subfacility in the amount of $10.0 million. The 2018 Credit Facility had a four-year term with a maturity date of May 9, 2022. </w:t>
      </w:r>
    </w:p>
    <w:p w:rsidR="00000000" w:rsidRDefault="0061405A">
      <w:pPr>
        <w:jc w:val="both"/>
        <w:divId w:val="308290936"/>
        <w:rPr>
          <w:rFonts w:eastAsia="Times New Roman"/>
        </w:rPr>
      </w:pPr>
      <w:r>
        <w:rPr>
          <w:rFonts w:eastAsia="Times New Roman"/>
          <w:b/>
          <w:bCs/>
          <w:i/>
          <w:iCs/>
          <w:color w:val="000000"/>
          <w:sz w:val="20"/>
          <w:szCs w:val="20"/>
        </w:rPr>
        <w:t>Amended Credit Facility</w:t>
      </w:r>
    </w:p>
    <w:p w:rsidR="00000000" w:rsidRDefault="0061405A">
      <w:pPr>
        <w:jc w:val="both"/>
        <w:divId w:val="1941139667"/>
        <w:rPr>
          <w:rFonts w:eastAsia="Times New Roman"/>
        </w:rPr>
      </w:pPr>
      <w:r>
        <w:rPr>
          <w:rFonts w:eastAsia="Times New Roman"/>
          <w:color w:val="000000"/>
          <w:sz w:val="20"/>
          <w:szCs w:val="20"/>
        </w:rPr>
        <w:t>On November 20, 2019, the Company amended its 2018 Credit Facility by entering into the First Amendm</w:t>
      </w:r>
      <w:r>
        <w:rPr>
          <w:rFonts w:eastAsia="Times New Roman"/>
          <w:color w:val="000000"/>
          <w:sz w:val="20"/>
          <w:szCs w:val="20"/>
        </w:rPr>
        <w:t>ent to the Credit Facility (the “Amendment” or “Amended Credit Facility”). Among other things, the Amendment: (i) extended the maturity date to November 20, 2024; (ii) increased the revolving credit facility from $65.0 million to $75.0 million; (iii) delay</w:t>
      </w:r>
      <w:r>
        <w:rPr>
          <w:rFonts w:eastAsia="Times New Roman"/>
          <w:color w:val="000000"/>
          <w:sz w:val="20"/>
          <w:szCs w:val="20"/>
        </w:rPr>
        <w:t>ed step downs of the Company’s leverage covenant; and (iv) increased the limit on capital expenditures to $37.0 million in 2020 and to $45.0 million in 2021 and each fiscal year thereafter. We wrote off unamortized debt issuance costs related to the 2018 C</w:t>
      </w:r>
      <w:r>
        <w:rPr>
          <w:rFonts w:eastAsia="Times New Roman"/>
          <w:color w:val="000000"/>
          <w:sz w:val="20"/>
          <w:szCs w:val="20"/>
        </w:rPr>
        <w:t xml:space="preserve">redit Facility and recognized a loss on extinguishment of debt in the amount of $0.7 million in 2019. </w:t>
      </w:r>
    </w:p>
    <w:p w:rsidR="00000000" w:rsidRDefault="0061405A">
      <w:pPr>
        <w:jc w:val="both"/>
        <w:divId w:val="1922566710"/>
        <w:rPr>
          <w:rFonts w:eastAsia="Times New Roman"/>
        </w:rPr>
      </w:pPr>
      <w:r>
        <w:rPr>
          <w:rFonts w:eastAsia="Times New Roman"/>
          <w:color w:val="000000"/>
          <w:sz w:val="20"/>
          <w:szCs w:val="20"/>
        </w:rPr>
        <w:t>Borrowings under the Amended Credit Facility, including the term loan facility, bore interest annually, at the Company’s option, at either (i) LIBOR plus</w:t>
      </w:r>
      <w:r>
        <w:rPr>
          <w:rFonts w:eastAsia="Times New Roman"/>
          <w:color w:val="000000"/>
          <w:sz w:val="20"/>
          <w:szCs w:val="20"/>
        </w:rPr>
        <w:t xml:space="preserve"> a margin of 2.00% to 2.75% per annum, based upon the consolidated total lease-adjusted leverage ratio or (ii) the highest of the following base rates plus a margin of 1.00% to 1.75% per annum: (a) the federal funds rate plus 0.50%; (b) the U.S. Bank prime</w:t>
      </w:r>
      <w:r>
        <w:rPr>
          <w:rFonts w:eastAsia="Times New Roman"/>
          <w:color w:val="000000"/>
          <w:sz w:val="20"/>
          <w:szCs w:val="20"/>
        </w:rPr>
        <w:t xml:space="preserve"> rate or (c) the one-month LIBOR plus 1.00%. The Amendment included a commitment fee of 0.20% to 0.35% per annum, based upon the consolidated total lease-adjusted leverage ratio, on any unused portion of the revolving credit facility.</w:t>
      </w:r>
    </w:p>
    <w:p w:rsidR="00000000" w:rsidRDefault="0061405A">
      <w:pPr>
        <w:jc w:val="both"/>
        <w:divId w:val="1073623607"/>
        <w:rPr>
          <w:rFonts w:eastAsia="Times New Roman"/>
        </w:rPr>
      </w:pPr>
      <w:r>
        <w:rPr>
          <w:rFonts w:eastAsia="Times New Roman"/>
          <w:b/>
          <w:bCs/>
          <w:i/>
          <w:iCs/>
          <w:color w:val="000000"/>
          <w:sz w:val="20"/>
          <w:szCs w:val="20"/>
        </w:rPr>
        <w:t>Second Amended Credit</w:t>
      </w:r>
      <w:r>
        <w:rPr>
          <w:rFonts w:eastAsia="Times New Roman"/>
          <w:b/>
          <w:bCs/>
          <w:i/>
          <w:iCs/>
          <w:color w:val="000000"/>
          <w:sz w:val="20"/>
          <w:szCs w:val="20"/>
        </w:rPr>
        <w:t xml:space="preserve"> Facility</w:t>
      </w:r>
    </w:p>
    <w:p w:rsidR="00000000" w:rsidRDefault="0061405A">
      <w:pPr>
        <w:jc w:val="both"/>
        <w:divId w:val="1999649367"/>
        <w:rPr>
          <w:rFonts w:eastAsia="Times New Roman"/>
        </w:rPr>
      </w:pPr>
      <w:r>
        <w:rPr>
          <w:rFonts w:eastAsia="Times New Roman"/>
          <w:color w:val="000000"/>
          <w:sz w:val="20"/>
          <w:szCs w:val="20"/>
        </w:rPr>
        <w:t>On June 16, 2020 (the “Effective Date”), the Company amended its 2018 Credit Facility by entering into the Second Amendment to the Credit Facility (the “Second Amendment” or the “Second Amended Credit Facility”). Beginning on the Effective Date a</w:t>
      </w:r>
      <w:r>
        <w:rPr>
          <w:rFonts w:eastAsia="Times New Roman"/>
          <w:color w:val="000000"/>
          <w:sz w:val="20"/>
          <w:szCs w:val="20"/>
        </w:rPr>
        <w:t>nd through the third quarter of 2021 (the “Amendment Period”), borrowings under the Second Amended Credit Facility, including the term loan facility (“Borrowings”), will bear interest at LIBOR plus 3.25% per annum. Following the Amendment Period, borrowing</w:t>
      </w:r>
      <w:r>
        <w:rPr>
          <w:rFonts w:eastAsia="Times New Roman"/>
          <w:color w:val="000000"/>
          <w:sz w:val="20"/>
          <w:szCs w:val="20"/>
        </w:rPr>
        <w:t>s will bear interest at LIBOR plus a margin of 2.00% to 3.00% per annum, based upon the consolidated total lease-adjusted leverage ratio. Among other things, the Second Amendment (i) waives the lease-adjusted leverage ratio and fixed charge ratio covenants</w:t>
      </w:r>
      <w:r>
        <w:rPr>
          <w:rFonts w:eastAsia="Times New Roman"/>
          <w:color w:val="000000"/>
          <w:sz w:val="20"/>
          <w:szCs w:val="20"/>
        </w:rPr>
        <w:t xml:space="preserve"> through the first quarter of 2021; (ii) amends the Company’s lease-adjusted leverage ratio and fixed coverage ratio covenant thresholds beginning in the second quarter of 2021 through the third quarter of 2022 and the first quarter of 2022, respectively a</w:t>
      </w:r>
      <w:r>
        <w:rPr>
          <w:rFonts w:eastAsia="Times New Roman"/>
          <w:color w:val="000000"/>
          <w:sz w:val="20"/>
          <w:szCs w:val="20"/>
        </w:rPr>
        <w:t xml:space="preserve">nd (iii) limits capital expenditures to $12.0 million in 2020, $12.0 million plus a liquidity-based performance basket up to an additional $12.0 million in 2021, $34.0 million in 2022, $37.0 million in 2023 and $45.0 million annually thereafter. </w:t>
      </w:r>
    </w:p>
    <w:p w:rsidR="00000000" w:rsidRDefault="0061405A">
      <w:pPr>
        <w:jc w:val="both"/>
        <w:divId w:val="1105350338"/>
        <w:rPr>
          <w:rFonts w:eastAsia="Times New Roman"/>
        </w:rPr>
      </w:pPr>
      <w:r>
        <w:rPr>
          <w:rFonts w:eastAsia="Times New Roman"/>
          <w:color w:val="000000"/>
          <w:sz w:val="20"/>
          <w:szCs w:val="20"/>
        </w:rPr>
        <w:t xml:space="preserve">As of December 29, 2020, the Company had $43.8 million of indebtedness (excluding $1.7 million of unamortized debt issuance costs) and $3.2 million of letters of credit outstanding under the Second Amended Credit Facility. The term loan requires principal </w:t>
      </w:r>
      <w:r>
        <w:rPr>
          <w:rFonts w:eastAsia="Times New Roman"/>
          <w:color w:val="000000"/>
          <w:sz w:val="20"/>
          <w:szCs w:val="20"/>
        </w:rPr>
        <w:t>payments of $187,500 per quarter through the third quarter of 2021, $375,000 through the third quarter of 2022, $531,250 through the third quarter of 2023 and $625,000 per quarter thereafter through maturity.</w:t>
      </w:r>
    </w:p>
    <w:p w:rsidR="00000000" w:rsidRDefault="0061405A">
      <w:pPr>
        <w:jc w:val="center"/>
        <w:divId w:val="94980300"/>
        <w:rPr>
          <w:rFonts w:eastAsia="Times New Roman"/>
        </w:rPr>
      </w:pPr>
      <w:r>
        <w:rPr>
          <w:rFonts w:eastAsia="Times New Roman"/>
          <w:color w:val="000000"/>
          <w:sz w:val="20"/>
          <w:szCs w:val="20"/>
        </w:rPr>
        <w:t>60</w:t>
      </w:r>
    </w:p>
    <w:p w:rsidR="00000000" w:rsidRDefault="0061405A">
      <w:pPr>
        <w:rPr>
          <w:rFonts w:eastAsia="Times New Roman"/>
        </w:rPr>
      </w:pPr>
      <w:r>
        <w:rPr>
          <w:rFonts w:eastAsia="Times New Roman"/>
        </w:rPr>
        <w:pict>
          <v:rect id="_x0000_i1087" style="width:0;height:1.5pt" o:hralign="center" o:hrstd="t" o:hr="t" fillcolor="#a0a0a0" stroked="f"/>
        </w:pict>
      </w:r>
    </w:p>
    <w:p w:rsidR="00000000" w:rsidRDefault="0061405A">
      <w:pPr>
        <w:divId w:val="1845784491"/>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center"/>
        <w:divId w:val="494301859"/>
        <w:rPr>
          <w:rFonts w:eastAsia="Times New Roman"/>
        </w:rPr>
      </w:pPr>
      <w:r>
        <w:rPr>
          <w:rFonts w:eastAsia="Times New Roman"/>
          <w:b/>
          <w:bCs/>
          <w:color w:val="000000"/>
          <w:sz w:val="20"/>
          <w:szCs w:val="20"/>
        </w:rPr>
        <w:t>NOODLES &amp; COMPANY</w:t>
      </w:r>
    </w:p>
    <w:p w:rsidR="00000000" w:rsidRDefault="0061405A">
      <w:pPr>
        <w:jc w:val="center"/>
        <w:divId w:val="2007394249"/>
        <w:rPr>
          <w:rFonts w:eastAsia="Times New Roman"/>
        </w:rPr>
      </w:pPr>
      <w:r>
        <w:rPr>
          <w:rFonts w:eastAsia="Times New Roman"/>
          <w:b/>
          <w:bCs/>
          <w:color w:val="000000"/>
          <w:sz w:val="20"/>
          <w:szCs w:val="20"/>
        </w:rPr>
        <w:t>NOTES TO CONSOLIDATED FINANCIAL STATEMENTS (Continued)</w:t>
      </w:r>
    </w:p>
    <w:p w:rsidR="00000000" w:rsidRDefault="0061405A">
      <w:pPr>
        <w:jc w:val="center"/>
        <w:divId w:val="1003514166"/>
        <w:rPr>
          <w:rFonts w:eastAsia="Times New Roman"/>
        </w:rPr>
      </w:pPr>
    </w:p>
    <w:p w:rsidR="00000000" w:rsidRDefault="0061405A">
      <w:pPr>
        <w:jc w:val="both"/>
        <w:divId w:val="1264416523"/>
        <w:rPr>
          <w:rFonts w:eastAsia="Times New Roman"/>
        </w:rPr>
      </w:pPr>
    </w:p>
    <w:p w:rsidR="00000000" w:rsidRDefault="0061405A">
      <w:pPr>
        <w:jc w:val="both"/>
        <w:divId w:val="401949109"/>
        <w:rPr>
          <w:rFonts w:eastAsia="Times New Roman"/>
        </w:rPr>
      </w:pPr>
      <w:r>
        <w:rPr>
          <w:rFonts w:eastAsia="Times New Roman"/>
          <w:color w:val="000000"/>
          <w:sz w:val="20"/>
          <w:szCs w:val="20"/>
        </w:rPr>
        <w:t>Aggregate maturities for debt outstanding as of December 29, 2020 are as follows (in thousands):</w:t>
      </w:r>
    </w:p>
    <w:tbl>
      <w:tblPr>
        <w:tblW w:w="4906" w:type="pct"/>
        <w:jc w:val="center"/>
        <w:tblCellMar>
          <w:top w:w="15" w:type="dxa"/>
          <w:left w:w="15" w:type="dxa"/>
          <w:bottom w:w="15" w:type="dxa"/>
          <w:right w:w="15" w:type="dxa"/>
        </w:tblCellMar>
        <w:tblLook w:val="04A0" w:firstRow="1" w:lastRow="0" w:firstColumn="1" w:lastColumn="0" w:noHBand="0" w:noVBand="1"/>
      </w:tblPr>
      <w:tblGrid>
        <w:gridCol w:w="50"/>
        <w:gridCol w:w="6550"/>
        <w:gridCol w:w="36"/>
        <w:gridCol w:w="120"/>
        <w:gridCol w:w="1358"/>
        <w:gridCol w:w="36"/>
      </w:tblGrid>
      <w:tr w:rsidR="00000000">
        <w:trPr>
          <w:divId w:val="1410662840"/>
          <w:jc w:val="center"/>
        </w:trPr>
        <w:tc>
          <w:tcPr>
            <w:tcW w:w="50" w:type="pct"/>
            <w:vAlign w:val="center"/>
            <w:hideMark/>
          </w:tcPr>
          <w:p w:rsidR="00000000" w:rsidRDefault="0061405A">
            <w:pPr>
              <w:jc w:val="both"/>
              <w:rPr>
                <w:rFonts w:eastAsia="Times New Roman"/>
              </w:rPr>
            </w:pPr>
          </w:p>
        </w:tc>
        <w:tc>
          <w:tcPr>
            <w:tcW w:w="4037"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852"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1410662840"/>
          <w:jc w:val="center"/>
        </w:trPr>
        <w:tc>
          <w:tcPr>
            <w:tcW w:w="0" w:type="auto"/>
            <w:gridSpan w:val="3"/>
            <w:shd w:val="clear" w:color="auto" w:fill="CCEEFF"/>
            <w:tcMar>
              <w:top w:w="30" w:type="dxa"/>
              <w:left w:w="515" w:type="dxa"/>
              <w:bottom w:w="30" w:type="dxa"/>
              <w:right w:w="20" w:type="dxa"/>
            </w:tcMar>
            <w:vAlign w:val="bottom"/>
            <w:hideMark/>
          </w:tcPr>
          <w:p w:rsidR="00000000" w:rsidRDefault="0061405A">
            <w:pPr>
              <w:rPr>
                <w:rFonts w:eastAsia="Times New Roman"/>
              </w:rPr>
            </w:pPr>
            <w:r>
              <w:rPr>
                <w:rFonts w:eastAsia="Times New Roman"/>
                <w:color w:val="000000"/>
                <w:sz w:val="20"/>
                <w:szCs w:val="20"/>
              </w:rPr>
              <w:t>Year 1</w:t>
            </w: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1,125 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410662840"/>
          <w:jc w:val="center"/>
        </w:trPr>
        <w:tc>
          <w:tcPr>
            <w:tcW w:w="0" w:type="auto"/>
            <w:gridSpan w:val="3"/>
            <w:shd w:val="clear" w:color="auto" w:fill="FFFFFF"/>
            <w:tcMar>
              <w:top w:w="30" w:type="dxa"/>
              <w:left w:w="515" w:type="dxa"/>
              <w:bottom w:w="30" w:type="dxa"/>
              <w:right w:w="20" w:type="dxa"/>
            </w:tcMar>
            <w:vAlign w:val="bottom"/>
            <w:hideMark/>
          </w:tcPr>
          <w:p w:rsidR="00000000" w:rsidRDefault="0061405A">
            <w:pPr>
              <w:rPr>
                <w:rFonts w:eastAsia="Times New Roman"/>
              </w:rPr>
            </w:pPr>
            <w:r>
              <w:rPr>
                <w:rFonts w:eastAsia="Times New Roman"/>
                <w:color w:val="000000"/>
                <w:sz w:val="20"/>
                <w:szCs w:val="20"/>
              </w:rPr>
              <w:t>Year 2</w:t>
            </w: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1,656 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410662840"/>
          <w:jc w:val="center"/>
        </w:trPr>
        <w:tc>
          <w:tcPr>
            <w:tcW w:w="0" w:type="auto"/>
            <w:gridSpan w:val="3"/>
            <w:shd w:val="clear" w:color="auto" w:fill="CCEEFF"/>
            <w:tcMar>
              <w:top w:w="30" w:type="dxa"/>
              <w:left w:w="515" w:type="dxa"/>
              <w:bottom w:w="30" w:type="dxa"/>
              <w:right w:w="20" w:type="dxa"/>
            </w:tcMar>
            <w:vAlign w:val="bottom"/>
            <w:hideMark/>
          </w:tcPr>
          <w:p w:rsidR="00000000" w:rsidRDefault="0061405A">
            <w:pPr>
              <w:rPr>
                <w:rFonts w:eastAsia="Times New Roman"/>
              </w:rPr>
            </w:pPr>
            <w:r>
              <w:rPr>
                <w:rFonts w:eastAsia="Times New Roman"/>
                <w:color w:val="000000"/>
                <w:sz w:val="20"/>
                <w:szCs w:val="20"/>
              </w:rPr>
              <w:t>Year 3</w:t>
            </w: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2,219 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410662840"/>
          <w:jc w:val="center"/>
        </w:trPr>
        <w:tc>
          <w:tcPr>
            <w:tcW w:w="0" w:type="auto"/>
            <w:gridSpan w:val="3"/>
            <w:shd w:val="clear" w:color="auto" w:fill="FFFFFF"/>
            <w:tcMar>
              <w:top w:w="30" w:type="dxa"/>
              <w:left w:w="515" w:type="dxa"/>
              <w:bottom w:w="30" w:type="dxa"/>
              <w:right w:w="20" w:type="dxa"/>
            </w:tcMar>
            <w:vAlign w:val="bottom"/>
            <w:hideMark/>
          </w:tcPr>
          <w:p w:rsidR="00000000" w:rsidRDefault="0061405A">
            <w:pPr>
              <w:rPr>
                <w:rFonts w:eastAsia="Times New Roman"/>
              </w:rPr>
            </w:pPr>
            <w:r>
              <w:rPr>
                <w:rFonts w:eastAsia="Times New Roman"/>
                <w:color w:val="000000"/>
                <w:sz w:val="20"/>
                <w:szCs w:val="20"/>
              </w:rPr>
              <w:t>Year 4</w:t>
            </w: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38,805 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410662840"/>
          <w:jc w:val="center"/>
        </w:trPr>
        <w:tc>
          <w:tcPr>
            <w:tcW w:w="0" w:type="auto"/>
            <w:gridSpan w:val="3"/>
            <w:shd w:val="clear" w:color="auto" w:fill="CCEEFF"/>
            <w:tcMar>
              <w:top w:w="30" w:type="dxa"/>
              <w:left w:w="740" w:type="dxa"/>
              <w:bottom w:w="30" w:type="dxa"/>
              <w:right w:w="20" w:type="dxa"/>
            </w:tcMar>
            <w:vAlign w:val="bottom"/>
            <w:hideMark/>
          </w:tcPr>
          <w:p w:rsidR="00000000" w:rsidRDefault="0061405A">
            <w:pPr>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43,805 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bl>
    <w:p w:rsidR="00000000" w:rsidRDefault="0061405A">
      <w:pPr>
        <w:jc w:val="both"/>
        <w:divId w:val="2123647205"/>
        <w:rPr>
          <w:rFonts w:eastAsia="Times New Roman"/>
        </w:rPr>
      </w:pPr>
      <w:r>
        <w:rPr>
          <w:rFonts w:eastAsia="Times New Roman"/>
          <w:color w:val="000000"/>
          <w:sz w:val="20"/>
          <w:szCs w:val="20"/>
        </w:rPr>
        <w:t>The Company also maintains outstanding letters of credit to secure obligations under its workers’ compensation program and certain lease obligations. As of December 29, 2020, the Company was in compliance with all of its debt covenants.</w:t>
      </w:r>
    </w:p>
    <w:p w:rsidR="00000000" w:rsidRDefault="0061405A">
      <w:pPr>
        <w:jc w:val="both"/>
        <w:divId w:val="621569477"/>
        <w:rPr>
          <w:rFonts w:eastAsia="Times New Roman"/>
        </w:rPr>
      </w:pPr>
      <w:r>
        <w:rPr>
          <w:rFonts w:eastAsia="Times New Roman"/>
          <w:color w:val="000000"/>
          <w:sz w:val="20"/>
          <w:szCs w:val="20"/>
        </w:rPr>
        <w:t xml:space="preserve">The Second Amended </w:t>
      </w:r>
      <w:r>
        <w:rPr>
          <w:rFonts w:eastAsia="Times New Roman"/>
          <w:color w:val="000000"/>
          <w:sz w:val="20"/>
          <w:szCs w:val="20"/>
        </w:rPr>
        <w:t>Credit Facility is secured by a pledge of stock of substantially all of the Company’s subsidiaries and a lien on substantially all of the personal property assets of the Company and its subsidiaries.</w:t>
      </w:r>
    </w:p>
    <w:p w:rsidR="00000000" w:rsidRDefault="0061405A">
      <w:pPr>
        <w:jc w:val="both"/>
        <w:divId w:val="1710298742"/>
        <w:rPr>
          <w:rFonts w:eastAsia="Times New Roman"/>
        </w:rPr>
      </w:pPr>
      <w:r>
        <w:rPr>
          <w:rFonts w:eastAsia="Times New Roman"/>
          <w:color w:val="000000"/>
          <w:sz w:val="20"/>
          <w:szCs w:val="20"/>
        </w:rPr>
        <w:t>The Company’s indebtedness bore interest at a range of 3</w:t>
      </w:r>
      <w:r>
        <w:rPr>
          <w:rFonts w:eastAsia="Times New Roman"/>
          <w:color w:val="000000"/>
          <w:sz w:val="20"/>
          <w:szCs w:val="20"/>
        </w:rPr>
        <w:t xml:space="preserve">.07% to 6.25% during 2020. The Company recorded interest expense of $3.1 million, $2.9 million and $4.3 million for 2020, 2019 and 2018, respectively, of which $0.4 million, $0.5 million, and $0.6 million was amortization of debt issuance costs in each of </w:t>
      </w:r>
      <w:r>
        <w:rPr>
          <w:rFonts w:eastAsia="Times New Roman"/>
          <w:color w:val="000000"/>
          <w:sz w:val="20"/>
          <w:szCs w:val="20"/>
        </w:rPr>
        <w:t>the respective years.</w:t>
      </w:r>
    </w:p>
    <w:p w:rsidR="00000000" w:rsidRDefault="0061405A">
      <w:pPr>
        <w:divId w:val="1039860230"/>
        <w:rPr>
          <w:rFonts w:eastAsia="Times New Roman"/>
        </w:rPr>
      </w:pPr>
      <w:r>
        <w:rPr>
          <w:rFonts w:eastAsia="Times New Roman"/>
          <w:b/>
          <w:bCs/>
          <w:i/>
          <w:iCs/>
          <w:color w:val="000000"/>
          <w:sz w:val="20"/>
          <w:szCs w:val="20"/>
        </w:rPr>
        <w:t>Prior Credit Facility</w:t>
      </w:r>
    </w:p>
    <w:p w:rsidR="00000000" w:rsidRDefault="0061405A">
      <w:pPr>
        <w:jc w:val="both"/>
        <w:divId w:val="555970553"/>
        <w:rPr>
          <w:rFonts w:eastAsia="Times New Roman"/>
        </w:rPr>
      </w:pPr>
      <w:r>
        <w:rPr>
          <w:rFonts w:eastAsia="Times New Roman"/>
          <w:color w:val="000000"/>
          <w:sz w:val="20"/>
          <w:szCs w:val="20"/>
        </w:rPr>
        <w:t>Upon execution of the 2018 Credit Facility, the Company repaid in full its outstanding indebtedness with Bank of America, N.A. (the “Prior Credit Facility”) using funds drawn on the 2018 Credit Facility. Upon rep</w:t>
      </w:r>
      <w:r>
        <w:rPr>
          <w:rFonts w:eastAsia="Times New Roman"/>
          <w:color w:val="000000"/>
          <w:sz w:val="20"/>
          <w:szCs w:val="20"/>
        </w:rPr>
        <w:t>ayment, the Prior Credit Facility and all related agreements were terminated. A loss on extinguishment of debt in the amount of $0.6 million was recorded in 2018 in connection with this repayment.</w:t>
      </w:r>
    </w:p>
    <w:p w:rsidR="00000000" w:rsidRDefault="0061405A">
      <w:pPr>
        <w:jc w:val="both"/>
        <w:divId w:val="1130710292"/>
        <w:rPr>
          <w:rFonts w:eastAsia="Times New Roman"/>
        </w:rPr>
      </w:pPr>
    </w:p>
    <w:p w:rsidR="00000000" w:rsidRDefault="0061405A">
      <w:pPr>
        <w:jc w:val="both"/>
        <w:divId w:val="464852787"/>
        <w:rPr>
          <w:rFonts w:eastAsia="Times New Roman"/>
        </w:rPr>
      </w:pPr>
      <w:r>
        <w:rPr>
          <w:rFonts w:eastAsia="Times New Roman"/>
          <w:b/>
          <w:bCs/>
          <w:color w:val="000000"/>
          <w:sz w:val="20"/>
          <w:szCs w:val="20"/>
        </w:rPr>
        <w:t>5. Fair Value Measurements</w:t>
      </w:r>
    </w:p>
    <w:p w:rsidR="00000000" w:rsidRDefault="0061405A">
      <w:pPr>
        <w:jc w:val="both"/>
        <w:divId w:val="2086535587"/>
        <w:rPr>
          <w:rFonts w:eastAsia="Times New Roman"/>
        </w:rPr>
      </w:pPr>
      <w:r>
        <w:rPr>
          <w:rFonts w:eastAsia="Times New Roman"/>
          <w:color w:val="000000"/>
          <w:sz w:val="20"/>
          <w:szCs w:val="20"/>
        </w:rPr>
        <w:t>The carrying amounts of cash a</w:t>
      </w:r>
      <w:r>
        <w:rPr>
          <w:rFonts w:eastAsia="Times New Roman"/>
          <w:color w:val="000000"/>
          <w:sz w:val="20"/>
          <w:szCs w:val="20"/>
        </w:rPr>
        <w:t>nd cash equivalents, accounts receivable, accounts payable and all other current liabilities approximate fair values due to their short-term nature. The carrying amounts of borrowings approximate fair value as the line of credit and term borrowings vary wi</w:t>
      </w:r>
      <w:r>
        <w:rPr>
          <w:rFonts w:eastAsia="Times New Roman"/>
          <w:color w:val="000000"/>
          <w:sz w:val="20"/>
          <w:szCs w:val="20"/>
        </w:rPr>
        <w:t xml:space="preserve">th market interest rates and negotiated terms and conditions are consistent with current market rates. The fair value of the Company’s line of credit borrowings is measured using Level 2 inputs. </w:t>
      </w:r>
    </w:p>
    <w:p w:rsidR="00000000" w:rsidRDefault="0061405A">
      <w:pPr>
        <w:jc w:val="both"/>
        <w:divId w:val="1220483680"/>
        <w:rPr>
          <w:rFonts w:eastAsia="Times New Roman"/>
        </w:rPr>
      </w:pPr>
      <w:r>
        <w:rPr>
          <w:rFonts w:eastAsia="Times New Roman"/>
          <w:b/>
          <w:bCs/>
          <w:i/>
          <w:iCs/>
          <w:color w:val="000000"/>
          <w:sz w:val="20"/>
          <w:szCs w:val="20"/>
        </w:rPr>
        <w:t>Assets and Liabilities Measured at Fair Value on a Nonrecurr</w:t>
      </w:r>
      <w:r>
        <w:rPr>
          <w:rFonts w:eastAsia="Times New Roman"/>
          <w:b/>
          <w:bCs/>
          <w:i/>
          <w:iCs/>
          <w:color w:val="000000"/>
          <w:sz w:val="20"/>
          <w:szCs w:val="20"/>
        </w:rPr>
        <w:t>ing Basis</w:t>
      </w:r>
    </w:p>
    <w:p w:rsidR="00000000" w:rsidRDefault="0061405A">
      <w:pPr>
        <w:jc w:val="both"/>
        <w:divId w:val="1934391940"/>
        <w:rPr>
          <w:rFonts w:eastAsia="Times New Roman"/>
        </w:rPr>
      </w:pPr>
      <w:r>
        <w:rPr>
          <w:rFonts w:eastAsia="Times New Roman"/>
          <w:color w:val="000000"/>
          <w:sz w:val="20"/>
          <w:szCs w:val="20"/>
        </w:rPr>
        <w:t>Assets recognized or disclosed at fair value in the consolidated financial statements on a non-recurring basis include items such as property and equipment, operating lease assets, goodwill and other intangible assets. These assets are measured a</w:t>
      </w:r>
      <w:r>
        <w:rPr>
          <w:rFonts w:eastAsia="Times New Roman"/>
          <w:color w:val="000000"/>
          <w:sz w:val="20"/>
          <w:szCs w:val="20"/>
        </w:rPr>
        <w:t>t fair value if determined to be impaired or when acquired. Adjustments to the fair value of assets measured at fair value on a non-recurring basis as of December 29, 2020 and December 31, 2019, are discussed in Note 6, Restaurant Impairments, Closure Cost</w:t>
      </w:r>
      <w:r>
        <w:rPr>
          <w:rFonts w:eastAsia="Times New Roman"/>
          <w:color w:val="000000"/>
          <w:sz w:val="20"/>
          <w:szCs w:val="20"/>
        </w:rPr>
        <w:t xml:space="preserve">s and Asset Disposals. Assets held for sale are measured at fair value on a non-recurring basis using Level 3 inputs. </w:t>
      </w:r>
    </w:p>
    <w:p w:rsidR="00000000" w:rsidRDefault="0061405A">
      <w:pPr>
        <w:jc w:val="both"/>
        <w:divId w:val="1420712049"/>
        <w:rPr>
          <w:rFonts w:eastAsia="Times New Roman"/>
        </w:rPr>
      </w:pPr>
      <w:r>
        <w:rPr>
          <w:rFonts w:eastAsia="Times New Roman"/>
          <w:color w:val="000000"/>
          <w:sz w:val="20"/>
          <w:szCs w:val="20"/>
        </w:rPr>
        <w:t>The fair values are assigned a level within the fair value hierarchy, depending on the source of the inputs into the calculation.</w:t>
      </w:r>
    </w:p>
    <w:p w:rsidR="00000000" w:rsidRDefault="0061405A">
      <w:pPr>
        <w:jc w:val="both"/>
        <w:divId w:val="388773325"/>
        <w:rPr>
          <w:rFonts w:eastAsia="Times New Roman"/>
        </w:rPr>
      </w:pPr>
      <w:r>
        <w:rPr>
          <w:rFonts w:eastAsia="Times New Roman"/>
          <w:i/>
          <w:iCs/>
          <w:color w:val="000000"/>
          <w:sz w:val="20"/>
          <w:szCs w:val="20"/>
        </w:rPr>
        <w:t>Level 1</w:t>
      </w:r>
      <w:r>
        <w:rPr>
          <w:rFonts w:eastAsia="Times New Roman"/>
          <w:color w:val="000000"/>
          <w:sz w:val="20"/>
          <w:szCs w:val="20"/>
        </w:rPr>
        <w:t>—Unadjusted quoted prices in active markets that are accessible at the measurement date for identical, unrestricted assets or liabilities.</w:t>
      </w:r>
    </w:p>
    <w:p w:rsidR="00000000" w:rsidRDefault="0061405A">
      <w:pPr>
        <w:jc w:val="both"/>
        <w:divId w:val="138423997"/>
        <w:rPr>
          <w:rFonts w:eastAsia="Times New Roman"/>
        </w:rPr>
      </w:pPr>
      <w:r>
        <w:rPr>
          <w:rFonts w:eastAsia="Times New Roman"/>
          <w:i/>
          <w:iCs/>
          <w:color w:val="000000"/>
          <w:sz w:val="20"/>
          <w:szCs w:val="20"/>
        </w:rPr>
        <w:t>Level 2</w:t>
      </w:r>
      <w:r>
        <w:rPr>
          <w:rFonts w:eastAsia="Times New Roman"/>
          <w:color w:val="000000"/>
          <w:sz w:val="20"/>
          <w:szCs w:val="20"/>
        </w:rPr>
        <w:t>—</w:t>
      </w:r>
      <w:r>
        <w:rPr>
          <w:rFonts w:eastAsia="Times New Roman"/>
          <w:color w:val="000000"/>
          <w:sz w:val="20"/>
          <w:szCs w:val="20"/>
        </w:rPr>
        <w:t>Quoted prices in markets that are not active or inputs that are observable, either directly or indirectly, for substantially the full term of the asset or liability.</w:t>
      </w:r>
    </w:p>
    <w:p w:rsidR="00000000" w:rsidRDefault="0061405A">
      <w:pPr>
        <w:jc w:val="both"/>
        <w:divId w:val="210196580"/>
        <w:rPr>
          <w:rFonts w:eastAsia="Times New Roman"/>
        </w:rPr>
      </w:pPr>
      <w:r>
        <w:rPr>
          <w:rFonts w:eastAsia="Times New Roman"/>
          <w:i/>
          <w:iCs/>
          <w:color w:val="000000"/>
          <w:sz w:val="20"/>
          <w:szCs w:val="20"/>
        </w:rPr>
        <w:t>Level 3</w:t>
      </w:r>
      <w:r>
        <w:rPr>
          <w:rFonts w:eastAsia="Times New Roman"/>
          <w:color w:val="000000"/>
          <w:sz w:val="20"/>
          <w:szCs w:val="20"/>
        </w:rPr>
        <w:t>—Prices or valuation techniques which require inputs that are both significant to t</w:t>
      </w:r>
      <w:r>
        <w:rPr>
          <w:rFonts w:eastAsia="Times New Roman"/>
          <w:color w:val="000000"/>
          <w:sz w:val="20"/>
          <w:szCs w:val="20"/>
        </w:rPr>
        <w:t>he fair value measurement and unobservable (</w:t>
      </w:r>
      <w:r>
        <w:rPr>
          <w:rFonts w:eastAsia="Times New Roman"/>
          <w:i/>
          <w:iCs/>
          <w:color w:val="000000"/>
          <w:sz w:val="20"/>
          <w:szCs w:val="20"/>
        </w:rPr>
        <w:t>i.e.</w:t>
      </w:r>
      <w:r>
        <w:rPr>
          <w:rFonts w:eastAsia="Times New Roman"/>
          <w:color w:val="000000"/>
          <w:sz w:val="20"/>
          <w:szCs w:val="20"/>
        </w:rPr>
        <w:t>, supported by little or no market activity).</w:t>
      </w:r>
    </w:p>
    <w:p w:rsidR="00000000" w:rsidRDefault="0061405A">
      <w:pPr>
        <w:jc w:val="center"/>
        <w:divId w:val="288317812"/>
        <w:rPr>
          <w:rFonts w:eastAsia="Times New Roman"/>
        </w:rPr>
      </w:pPr>
      <w:r>
        <w:rPr>
          <w:rFonts w:eastAsia="Times New Roman"/>
          <w:color w:val="000000"/>
          <w:sz w:val="20"/>
          <w:szCs w:val="20"/>
        </w:rPr>
        <w:t>61</w:t>
      </w:r>
    </w:p>
    <w:p w:rsidR="00000000" w:rsidRDefault="0061405A">
      <w:pPr>
        <w:rPr>
          <w:rFonts w:eastAsia="Times New Roman"/>
        </w:rPr>
      </w:pPr>
      <w:r>
        <w:rPr>
          <w:rFonts w:eastAsia="Times New Roman"/>
        </w:rPr>
        <w:pict>
          <v:rect id="_x0000_i1088" style="width:0;height:1.5pt" o:hralign="center" o:hrstd="t" o:hr="t" fillcolor="#a0a0a0" stroked="f"/>
        </w:pict>
      </w:r>
    </w:p>
    <w:p w:rsidR="00000000" w:rsidRDefault="0061405A">
      <w:pPr>
        <w:divId w:val="49309512"/>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center"/>
        <w:divId w:val="1573202517"/>
        <w:rPr>
          <w:rFonts w:eastAsia="Times New Roman"/>
        </w:rPr>
      </w:pPr>
      <w:r>
        <w:rPr>
          <w:rFonts w:eastAsia="Times New Roman"/>
          <w:b/>
          <w:bCs/>
          <w:color w:val="000000"/>
          <w:sz w:val="20"/>
          <w:szCs w:val="20"/>
        </w:rPr>
        <w:t>NOODLES &amp; COMPANY</w:t>
      </w:r>
    </w:p>
    <w:p w:rsidR="00000000" w:rsidRDefault="0061405A">
      <w:pPr>
        <w:jc w:val="center"/>
        <w:divId w:val="119963371"/>
        <w:rPr>
          <w:rFonts w:eastAsia="Times New Roman"/>
        </w:rPr>
      </w:pPr>
      <w:r>
        <w:rPr>
          <w:rFonts w:eastAsia="Times New Roman"/>
          <w:b/>
          <w:bCs/>
          <w:color w:val="000000"/>
          <w:sz w:val="20"/>
          <w:szCs w:val="20"/>
        </w:rPr>
        <w:t>NOTES TO CONSOLIDATED FI</w:t>
      </w:r>
      <w:r>
        <w:rPr>
          <w:rFonts w:eastAsia="Times New Roman"/>
          <w:b/>
          <w:bCs/>
          <w:color w:val="000000"/>
          <w:sz w:val="20"/>
          <w:szCs w:val="20"/>
        </w:rPr>
        <w:t>NANCIAL STATEMENTS (Continued)</w:t>
      </w:r>
    </w:p>
    <w:p w:rsidR="00000000" w:rsidRDefault="0061405A">
      <w:pPr>
        <w:jc w:val="center"/>
        <w:divId w:val="854274028"/>
        <w:rPr>
          <w:rFonts w:eastAsia="Times New Roman"/>
        </w:rPr>
      </w:pPr>
    </w:p>
    <w:p w:rsidR="00000000" w:rsidRDefault="0061405A">
      <w:pPr>
        <w:jc w:val="both"/>
        <w:divId w:val="823666527"/>
        <w:rPr>
          <w:rFonts w:eastAsia="Times New Roman"/>
        </w:rPr>
      </w:pPr>
      <w:r>
        <w:rPr>
          <w:rFonts w:eastAsia="Times New Roman"/>
          <w:b/>
          <w:bCs/>
          <w:color w:val="000000"/>
          <w:sz w:val="20"/>
          <w:szCs w:val="20"/>
        </w:rPr>
        <w:t>6. Restaurant Impairments, Closure Costs and Asset Disposals</w:t>
      </w:r>
    </w:p>
    <w:p w:rsidR="00000000" w:rsidRDefault="0061405A">
      <w:pPr>
        <w:jc w:val="both"/>
        <w:divId w:val="239992840"/>
        <w:rPr>
          <w:rFonts w:eastAsia="Times New Roman"/>
        </w:rPr>
      </w:pPr>
      <w:r>
        <w:rPr>
          <w:rFonts w:eastAsia="Times New Roman"/>
          <w:color w:val="000000"/>
          <w:sz w:val="20"/>
          <w:szCs w:val="20"/>
        </w:rPr>
        <w:t>The following table presents restaurant impairments, closure costs and asset disposals for fiscal years 2020, 2019 and 2018 (in thousands):</w:t>
      </w:r>
    </w:p>
    <w:tbl>
      <w:tblPr>
        <w:tblW w:w="5000" w:type="pct"/>
        <w:tblCellMar>
          <w:top w:w="15" w:type="dxa"/>
          <w:left w:w="15" w:type="dxa"/>
          <w:bottom w:w="15" w:type="dxa"/>
          <w:right w:w="15" w:type="dxa"/>
        </w:tblCellMar>
        <w:tblLook w:val="04A0" w:firstRow="1" w:lastRow="0" w:firstColumn="1" w:lastColumn="0" w:noHBand="0" w:noVBand="1"/>
      </w:tblPr>
      <w:tblGrid>
        <w:gridCol w:w="37"/>
        <w:gridCol w:w="4718"/>
        <w:gridCol w:w="36"/>
        <w:gridCol w:w="120"/>
        <w:gridCol w:w="957"/>
        <w:gridCol w:w="36"/>
        <w:gridCol w:w="36"/>
        <w:gridCol w:w="36"/>
        <w:gridCol w:w="36"/>
        <w:gridCol w:w="120"/>
        <w:gridCol w:w="871"/>
        <w:gridCol w:w="36"/>
        <w:gridCol w:w="36"/>
        <w:gridCol w:w="43"/>
        <w:gridCol w:w="36"/>
        <w:gridCol w:w="120"/>
        <w:gridCol w:w="996"/>
        <w:gridCol w:w="36"/>
      </w:tblGrid>
      <w:tr w:rsidR="00000000">
        <w:trPr>
          <w:divId w:val="1714887579"/>
        </w:trPr>
        <w:tc>
          <w:tcPr>
            <w:tcW w:w="50" w:type="pct"/>
            <w:vAlign w:val="center"/>
            <w:hideMark/>
          </w:tcPr>
          <w:p w:rsidR="00000000" w:rsidRDefault="0061405A">
            <w:pPr>
              <w:jc w:val="both"/>
              <w:rPr>
                <w:rFonts w:eastAsia="Times New Roman"/>
              </w:rPr>
            </w:pPr>
          </w:p>
        </w:tc>
        <w:tc>
          <w:tcPr>
            <w:tcW w:w="2868"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60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77"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4"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627"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1714887579"/>
        </w:trPr>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2018</w:t>
            </w:r>
          </w:p>
        </w:tc>
      </w:tr>
      <w:tr w:rsidR="00000000">
        <w:trPr>
          <w:divId w:val="1714887579"/>
        </w:trPr>
        <w:tc>
          <w:tcPr>
            <w:tcW w:w="0" w:type="auto"/>
            <w:gridSpan w:val="3"/>
            <w:shd w:val="clear" w:color="auto" w:fill="CCEEFF"/>
            <w:tcMar>
              <w:top w:w="30" w:type="dxa"/>
              <w:left w:w="20" w:type="dxa"/>
              <w:bottom w:w="30" w:type="dxa"/>
              <w:right w:w="20" w:type="dxa"/>
            </w:tcMar>
            <w:vAlign w:val="bottom"/>
            <w:hideMark/>
          </w:tcPr>
          <w:p w:rsidR="00000000" w:rsidRDefault="0061405A">
            <w:pPr>
              <w:divId w:val="997224447"/>
              <w:rPr>
                <w:rFonts w:eastAsia="Times New Roman"/>
              </w:rPr>
            </w:pPr>
            <w:r>
              <w:rPr>
                <w:rFonts w:eastAsia="Times New Roman"/>
                <w:color w:val="000000"/>
                <w:sz w:val="20"/>
                <w:szCs w:val="20"/>
              </w:rPr>
              <w:t>Restaurant impairment</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4,113 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6,218 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1,453 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714887579"/>
        </w:trPr>
        <w:tc>
          <w:tcPr>
            <w:tcW w:w="0" w:type="auto"/>
            <w:gridSpan w:val="3"/>
            <w:shd w:val="clear" w:color="auto" w:fill="FFFFFF"/>
            <w:tcMar>
              <w:top w:w="30" w:type="dxa"/>
              <w:left w:w="20" w:type="dxa"/>
              <w:bottom w:w="30" w:type="dxa"/>
              <w:right w:w="20" w:type="dxa"/>
            </w:tcMar>
            <w:vAlign w:val="bottom"/>
            <w:hideMark/>
          </w:tcPr>
          <w:p w:rsidR="00000000" w:rsidRDefault="0061405A">
            <w:pPr>
              <w:divId w:val="1011420481"/>
              <w:rPr>
                <w:rFonts w:eastAsia="Times New Roman"/>
              </w:rPr>
            </w:pPr>
            <w:r>
              <w:rPr>
                <w:rFonts w:eastAsia="Times New Roman"/>
                <w:color w:val="000000"/>
                <w:sz w:val="20"/>
                <w:szCs w:val="20"/>
              </w:rPr>
              <w:t>Closure cost</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535 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(54)</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4,149 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714887579"/>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Loss on disposal of assets and other</w:t>
            </w: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1,892 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1,583 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1,540 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714887579"/>
        </w:trPr>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6,540 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7,747 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7,142 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bl>
    <w:p w:rsidR="00000000" w:rsidRDefault="0061405A">
      <w:pPr>
        <w:divId w:val="664867689"/>
        <w:rPr>
          <w:rFonts w:eastAsia="Times New Roman"/>
        </w:rPr>
      </w:pPr>
      <w:r>
        <w:rPr>
          <w:rFonts w:eastAsia="Times New Roman"/>
          <w:color w:val="000000"/>
        </w:rPr>
        <w:t>_____________________</w:t>
      </w:r>
    </w:p>
    <w:p w:rsidR="00000000" w:rsidRDefault="0061405A">
      <w:pPr>
        <w:ind w:hanging="540"/>
        <w:jc w:val="both"/>
        <w:divId w:val="1002274032"/>
        <w:rPr>
          <w:rFonts w:eastAsia="Times New Roman"/>
        </w:rPr>
      </w:pPr>
      <w:r>
        <w:rPr>
          <w:rFonts w:eastAsia="Times New Roman"/>
          <w:color w:val="000000"/>
          <w:sz w:val="16"/>
          <w:szCs w:val="16"/>
        </w:rPr>
        <w:t>(1)</w:t>
      </w:r>
      <w:r>
        <w:rPr>
          <w:rFonts w:eastAsia="Times New Roman"/>
          <w:color w:val="000000"/>
          <w:sz w:val="16"/>
          <w:szCs w:val="16"/>
        </w:rPr>
        <w:t xml:space="preserve">Restaurant impairments and closure costs in all periods presented above include amounts related to restaurants previously impaired or closed. </w:t>
      </w:r>
    </w:p>
    <w:p w:rsidR="00000000" w:rsidRDefault="0061405A">
      <w:pPr>
        <w:jc w:val="both"/>
        <w:divId w:val="870261321"/>
        <w:rPr>
          <w:rFonts w:eastAsia="Times New Roman"/>
        </w:rPr>
      </w:pPr>
      <w:r>
        <w:rPr>
          <w:rFonts w:eastAsia="Times New Roman"/>
          <w:b/>
          <w:bCs/>
          <w:i/>
          <w:iCs/>
          <w:color w:val="000000"/>
          <w:sz w:val="20"/>
          <w:szCs w:val="20"/>
        </w:rPr>
        <w:t>Restaurant Impairments</w:t>
      </w:r>
    </w:p>
    <w:p w:rsidR="00000000" w:rsidRDefault="0061405A">
      <w:pPr>
        <w:jc w:val="both"/>
        <w:divId w:val="1444226089"/>
        <w:rPr>
          <w:rFonts w:eastAsia="Times New Roman"/>
        </w:rPr>
      </w:pPr>
      <w:r>
        <w:rPr>
          <w:rFonts w:eastAsia="Times New Roman"/>
          <w:color w:val="000000"/>
          <w:sz w:val="20"/>
          <w:szCs w:val="20"/>
        </w:rPr>
        <w:t>During 2020, 2019 and 2018, eight restaurants, two restaurants and one restaurant were ide</w:t>
      </w:r>
      <w:r>
        <w:rPr>
          <w:rFonts w:eastAsia="Times New Roman"/>
          <w:color w:val="000000"/>
          <w:sz w:val="20"/>
          <w:szCs w:val="20"/>
        </w:rPr>
        <w:t>ntified as impaired, respectively. In 2019, the Company also recorded a $3.6 million write down of assets in connection with the sale of nine company-owned restaurants to a franchisee that completed in January of 2020. Both periods include ongoing equipmen</w:t>
      </w:r>
      <w:r>
        <w:rPr>
          <w:rFonts w:eastAsia="Times New Roman"/>
          <w:color w:val="000000"/>
          <w:sz w:val="20"/>
          <w:szCs w:val="20"/>
        </w:rPr>
        <w:t>t costs for restaurants previously impaired. Impairment is based on management’s current assessment of the expected future cash flows of various restaurants based on recent results and other specific market factors. Impairment expense is a Level 3 fair val</w:t>
      </w:r>
      <w:r>
        <w:rPr>
          <w:rFonts w:eastAsia="Times New Roman"/>
          <w:color w:val="000000"/>
          <w:sz w:val="20"/>
          <w:szCs w:val="20"/>
        </w:rPr>
        <w:t>ue measure and was determined by comparing the carrying value of restaurant assets to the estimated fair market value of the restaurant assets at resale value. The onset of the COVID-19 pandemic during 2020 resulted in significant disruption to the restaur</w:t>
      </w:r>
      <w:r>
        <w:rPr>
          <w:rFonts w:eastAsia="Times New Roman"/>
          <w:color w:val="000000"/>
          <w:sz w:val="20"/>
          <w:szCs w:val="20"/>
        </w:rPr>
        <w:t>ant industry and adversely affected the Company’s business. The extent of the COVID-19 pandemic impact on the Company’s operations depends on future developments and is highly uncertain due to unknown duration and severity of the outbreak. The Company will</w:t>
      </w:r>
      <w:r>
        <w:rPr>
          <w:rFonts w:eastAsia="Times New Roman"/>
          <w:color w:val="000000"/>
          <w:sz w:val="20"/>
          <w:szCs w:val="20"/>
        </w:rPr>
        <w:t xml:space="preserve"> continue to monitor the impact from the COVID-19 pandemic as it relates to recoverability of long-lived assets.</w:t>
      </w:r>
    </w:p>
    <w:p w:rsidR="00000000" w:rsidRDefault="0061405A">
      <w:pPr>
        <w:jc w:val="both"/>
        <w:divId w:val="1487476086"/>
        <w:rPr>
          <w:rFonts w:eastAsia="Times New Roman"/>
        </w:rPr>
      </w:pPr>
      <w:r>
        <w:rPr>
          <w:rFonts w:eastAsia="Times New Roman"/>
          <w:color w:val="000000"/>
          <w:sz w:val="20"/>
          <w:szCs w:val="20"/>
        </w:rPr>
        <w:t>In performing its impairment testing, the Company forecasts the future undiscounted cash flows by looking at recent restaurant level performanc</w:t>
      </w:r>
      <w:r>
        <w:rPr>
          <w:rFonts w:eastAsia="Times New Roman"/>
          <w:color w:val="000000"/>
          <w:sz w:val="20"/>
          <w:szCs w:val="20"/>
        </w:rPr>
        <w:t xml:space="preserve">e, restaurant level operating plans, sales trends and cost trends for cost of sales, labor and operating expenses. The Company compares this cash flow forecast to the asset’s carrying value at the restaurant. Based on this analysis, if the carrying amount </w:t>
      </w:r>
      <w:r>
        <w:rPr>
          <w:rFonts w:eastAsia="Times New Roman"/>
          <w:color w:val="000000"/>
          <w:sz w:val="20"/>
          <w:szCs w:val="20"/>
        </w:rPr>
        <w:t xml:space="preserve">of the assets is greater than the estimated future undiscounted cash flows, an impairment charge is recognized, measured as the amount by which the carrying amount exceeds the fair value of the asset. </w:t>
      </w:r>
    </w:p>
    <w:p w:rsidR="00000000" w:rsidRDefault="0061405A">
      <w:pPr>
        <w:jc w:val="both"/>
        <w:divId w:val="1533952516"/>
        <w:rPr>
          <w:rFonts w:eastAsia="Times New Roman"/>
        </w:rPr>
      </w:pPr>
      <w:r>
        <w:rPr>
          <w:rFonts w:eastAsia="Times New Roman"/>
          <w:b/>
          <w:bCs/>
          <w:i/>
          <w:iCs/>
          <w:color w:val="000000"/>
          <w:sz w:val="20"/>
          <w:szCs w:val="20"/>
        </w:rPr>
        <w:t>Restaurant Closures</w:t>
      </w:r>
    </w:p>
    <w:p w:rsidR="00000000" w:rsidRDefault="0061405A">
      <w:pPr>
        <w:jc w:val="both"/>
        <w:divId w:val="811948186"/>
        <w:rPr>
          <w:rFonts w:eastAsia="Times New Roman"/>
        </w:rPr>
      </w:pPr>
      <w:r>
        <w:rPr>
          <w:rFonts w:eastAsia="Times New Roman"/>
          <w:color w:val="000000"/>
          <w:sz w:val="20"/>
          <w:szCs w:val="20"/>
        </w:rPr>
        <w:t>Closure costs during 2020 and 2019</w:t>
      </w:r>
      <w:r>
        <w:rPr>
          <w:rFonts w:eastAsia="Times New Roman"/>
          <w:color w:val="000000"/>
          <w:sz w:val="20"/>
          <w:szCs w:val="20"/>
        </w:rPr>
        <w:t xml:space="preserve"> pertain to ongoing costs of restaurants that closed in previous years, as well as costs related to the closure of six and five restaurants, respectively. These closure costs were offset by gains of $0.6 million in 2020 and $0.4 million in 2019 resulting f</w:t>
      </w:r>
      <w:r>
        <w:rPr>
          <w:rFonts w:eastAsia="Times New Roman"/>
          <w:color w:val="000000"/>
          <w:sz w:val="20"/>
          <w:szCs w:val="20"/>
        </w:rPr>
        <w:t>rom the adjustments to liabilities as lease terminations occur. The closure costs recognized during 2018 are primarily related to the 19 restaurants closed throughout 2018, most of which were approaching the expiration of their leases, as well as ongoing c</w:t>
      </w:r>
      <w:r>
        <w:rPr>
          <w:rFonts w:eastAsia="Times New Roman"/>
          <w:color w:val="000000"/>
          <w:sz w:val="20"/>
          <w:szCs w:val="20"/>
        </w:rPr>
        <w:t xml:space="preserve">osts from restaurants closed in previous years. Closure costs can include fees from real estate advisors and brokers related to terminations of the leases and charges resulting from final adjustments to liabilities as lease terminations occur. </w:t>
      </w:r>
    </w:p>
    <w:p w:rsidR="00000000" w:rsidRDefault="0061405A">
      <w:pPr>
        <w:jc w:val="both"/>
        <w:rPr>
          <w:rFonts w:eastAsia="Times New Roman"/>
        </w:rPr>
      </w:pPr>
      <w:r>
        <w:rPr>
          <w:rFonts w:eastAsia="Times New Roman"/>
          <w:color w:val="000000"/>
          <w:sz w:val="20"/>
          <w:szCs w:val="20"/>
        </w:rPr>
        <w:t>Loss on dis</w:t>
      </w:r>
      <w:r>
        <w:rPr>
          <w:rFonts w:eastAsia="Times New Roman"/>
          <w:color w:val="000000"/>
          <w:sz w:val="20"/>
          <w:szCs w:val="20"/>
        </w:rPr>
        <w:t xml:space="preserve">posal of assets and other includes expenses related to the divestiture of company-owned restaurants to a franchisee in 2020 and 2019. </w:t>
      </w:r>
    </w:p>
    <w:p w:rsidR="00000000" w:rsidRDefault="0061405A">
      <w:pPr>
        <w:jc w:val="both"/>
        <w:divId w:val="768696388"/>
        <w:rPr>
          <w:rFonts w:eastAsia="Times New Roman"/>
        </w:rPr>
      </w:pPr>
      <w:r>
        <w:rPr>
          <w:rFonts w:eastAsia="Times New Roman"/>
          <w:b/>
          <w:bCs/>
          <w:color w:val="000000"/>
          <w:sz w:val="20"/>
          <w:szCs w:val="20"/>
        </w:rPr>
        <w:t>7. Income Taxes</w:t>
      </w:r>
    </w:p>
    <w:p w:rsidR="00000000" w:rsidRDefault="0061405A">
      <w:pPr>
        <w:jc w:val="both"/>
        <w:divId w:val="1034766393"/>
        <w:rPr>
          <w:rFonts w:eastAsia="Times New Roman"/>
        </w:rPr>
      </w:pPr>
      <w:r>
        <w:rPr>
          <w:rFonts w:eastAsia="Times New Roman"/>
          <w:color w:val="000000"/>
          <w:sz w:val="20"/>
          <w:szCs w:val="20"/>
        </w:rPr>
        <w:t>The components of the provision (benefit) for income taxes are as follows for 2020, 2019 and 2018 (in tho</w:t>
      </w:r>
      <w:r>
        <w:rPr>
          <w:rFonts w:eastAsia="Times New Roman"/>
          <w:color w:val="000000"/>
          <w:sz w:val="20"/>
          <w:szCs w:val="20"/>
        </w:rPr>
        <w:t>usands):</w:t>
      </w:r>
    </w:p>
    <w:p w:rsidR="00000000" w:rsidRDefault="0061405A">
      <w:pPr>
        <w:jc w:val="center"/>
        <w:divId w:val="1350835220"/>
        <w:rPr>
          <w:rFonts w:eastAsia="Times New Roman"/>
        </w:rPr>
      </w:pPr>
      <w:r>
        <w:rPr>
          <w:rFonts w:eastAsia="Times New Roman"/>
          <w:color w:val="000000"/>
          <w:sz w:val="20"/>
          <w:szCs w:val="20"/>
        </w:rPr>
        <w:t>62</w:t>
      </w:r>
    </w:p>
    <w:p w:rsidR="00000000" w:rsidRDefault="0061405A">
      <w:pPr>
        <w:jc w:val="center"/>
        <w:divId w:val="1350835220"/>
        <w:rPr>
          <w:rFonts w:eastAsia="Times New Roman"/>
        </w:rPr>
      </w:pPr>
    </w:p>
    <w:p w:rsidR="00000000" w:rsidRDefault="0061405A">
      <w:pPr>
        <w:rPr>
          <w:rFonts w:eastAsia="Times New Roman"/>
        </w:rPr>
      </w:pPr>
      <w:r>
        <w:rPr>
          <w:rFonts w:eastAsia="Times New Roman"/>
        </w:rPr>
        <w:pict>
          <v:rect id="_x0000_i1089" style="width:0;height:1.5pt" o:hralign="center" o:hrstd="t" o:hr="t" fillcolor="#a0a0a0" stroked="f"/>
        </w:pict>
      </w:r>
    </w:p>
    <w:p w:rsidR="00000000" w:rsidRDefault="0061405A">
      <w:pPr>
        <w:divId w:val="1250847513"/>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center"/>
        <w:divId w:val="999115786"/>
        <w:rPr>
          <w:rFonts w:eastAsia="Times New Roman"/>
        </w:rPr>
      </w:pPr>
      <w:r>
        <w:rPr>
          <w:rFonts w:eastAsia="Times New Roman"/>
          <w:b/>
          <w:bCs/>
          <w:color w:val="000000"/>
          <w:sz w:val="20"/>
          <w:szCs w:val="20"/>
        </w:rPr>
        <w:t>NOODLES &amp; COMPANY</w:t>
      </w:r>
    </w:p>
    <w:p w:rsidR="00000000" w:rsidRDefault="0061405A">
      <w:pPr>
        <w:jc w:val="center"/>
        <w:divId w:val="835807067"/>
        <w:rPr>
          <w:rFonts w:eastAsia="Times New Roman"/>
        </w:rPr>
      </w:pPr>
      <w:r>
        <w:rPr>
          <w:rFonts w:eastAsia="Times New Roman"/>
          <w:b/>
          <w:bCs/>
          <w:color w:val="000000"/>
          <w:sz w:val="20"/>
          <w:szCs w:val="20"/>
        </w:rPr>
        <w:t>NOTES TO CONSOLIDATED FINANCIAL STATEMENTS (Continued)</w:t>
      </w:r>
    </w:p>
    <w:p w:rsidR="00000000" w:rsidRDefault="0061405A">
      <w:pPr>
        <w:jc w:val="center"/>
        <w:divId w:val="119573094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4872"/>
        <w:gridCol w:w="36"/>
        <w:gridCol w:w="36"/>
        <w:gridCol w:w="36"/>
        <w:gridCol w:w="36"/>
        <w:gridCol w:w="120"/>
        <w:gridCol w:w="855"/>
        <w:gridCol w:w="36"/>
        <w:gridCol w:w="36"/>
        <w:gridCol w:w="36"/>
        <w:gridCol w:w="36"/>
        <w:gridCol w:w="120"/>
        <w:gridCol w:w="857"/>
        <w:gridCol w:w="36"/>
        <w:gridCol w:w="36"/>
        <w:gridCol w:w="36"/>
        <w:gridCol w:w="36"/>
        <w:gridCol w:w="120"/>
        <w:gridCol w:w="857"/>
        <w:gridCol w:w="36"/>
      </w:tblGrid>
      <w:tr w:rsidR="00000000">
        <w:trPr>
          <w:divId w:val="521824309"/>
        </w:trPr>
        <w:tc>
          <w:tcPr>
            <w:tcW w:w="50" w:type="pct"/>
            <w:vAlign w:val="center"/>
            <w:hideMark/>
          </w:tcPr>
          <w:p w:rsidR="00000000" w:rsidRDefault="0061405A">
            <w:pPr>
              <w:jc w:val="center"/>
              <w:rPr>
                <w:rFonts w:eastAsia="Times New Roman"/>
              </w:rPr>
            </w:pPr>
          </w:p>
        </w:tc>
        <w:tc>
          <w:tcPr>
            <w:tcW w:w="2962"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7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7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7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521824309"/>
        </w:trPr>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2018</w:t>
            </w:r>
          </w:p>
        </w:tc>
      </w:tr>
      <w:tr w:rsidR="00000000">
        <w:trPr>
          <w:divId w:val="521824309"/>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Current tax provision:</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 </w:t>
            </w:r>
          </w:p>
        </w:tc>
      </w:tr>
      <w:tr w:rsidR="00000000">
        <w:trPr>
          <w:divId w:val="521824309"/>
        </w:trPr>
        <w:tc>
          <w:tcPr>
            <w:tcW w:w="0" w:type="auto"/>
            <w:gridSpan w:val="3"/>
            <w:shd w:val="clear" w:color="auto" w:fill="CCEE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20"/>
                <w:szCs w:val="20"/>
              </w:rPr>
              <w:t>Federal</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521824309"/>
        </w:trPr>
        <w:tc>
          <w:tcPr>
            <w:tcW w:w="0" w:type="auto"/>
            <w:gridSpan w:val="3"/>
            <w:shd w:val="clear" w:color="auto" w:fill="FFFF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20"/>
                <w:szCs w:val="20"/>
              </w:rPr>
              <w:t>State</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521824309"/>
        </w:trPr>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521824309"/>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Deferred tax provision (benefit):</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 </w:t>
            </w:r>
          </w:p>
        </w:tc>
      </w:tr>
      <w:tr w:rsidR="00000000">
        <w:trPr>
          <w:divId w:val="521824309"/>
        </w:trPr>
        <w:tc>
          <w:tcPr>
            <w:tcW w:w="0" w:type="auto"/>
            <w:gridSpan w:val="3"/>
            <w:shd w:val="clear" w:color="auto" w:fill="CCEE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20"/>
                <w:szCs w:val="20"/>
              </w:rPr>
              <w:t>Federal</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52 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(202)</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521824309"/>
        </w:trPr>
        <w:tc>
          <w:tcPr>
            <w:tcW w:w="0" w:type="auto"/>
            <w:gridSpan w:val="3"/>
            <w:shd w:val="clear" w:color="auto" w:fill="FFFF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20"/>
                <w:szCs w:val="20"/>
              </w:rPr>
              <w:t>State</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(81)</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521824309"/>
        </w:trPr>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(283)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521824309"/>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Total provision (benefit) for income taxes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104 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(248)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bl>
    <w:p w:rsidR="00000000" w:rsidRDefault="0061405A">
      <w:pPr>
        <w:jc w:val="both"/>
        <w:divId w:val="1868252995"/>
        <w:rPr>
          <w:rFonts w:eastAsia="Times New Roman"/>
        </w:rPr>
      </w:pPr>
      <w:r>
        <w:rPr>
          <w:rFonts w:eastAsia="Times New Roman"/>
          <w:color w:val="000000"/>
          <w:sz w:val="20"/>
          <w:szCs w:val="20"/>
        </w:rPr>
        <w:t xml:space="preserve">The reconciliation of income tax provision (benefit) that would result from applying the federal statutory rate to pre-tax income as shown </w:t>
      </w:r>
      <w:r>
        <w:rPr>
          <w:rFonts w:eastAsia="Times New Roman"/>
          <w:color w:val="000000"/>
          <w:sz w:val="20"/>
          <w:szCs w:val="20"/>
        </w:rPr>
        <w:t>in the accompanying Consolidated Statements of Operations is as follows for 2020, 2019 and 2018 (in thousands):</w:t>
      </w:r>
    </w:p>
    <w:tbl>
      <w:tblPr>
        <w:tblW w:w="5000" w:type="pct"/>
        <w:tblCellMar>
          <w:top w:w="15" w:type="dxa"/>
          <w:left w:w="15" w:type="dxa"/>
          <w:bottom w:w="15" w:type="dxa"/>
          <w:right w:w="15" w:type="dxa"/>
        </w:tblCellMar>
        <w:tblLook w:val="04A0" w:firstRow="1" w:lastRow="0" w:firstColumn="1" w:lastColumn="0" w:noHBand="0" w:noVBand="1"/>
      </w:tblPr>
      <w:tblGrid>
        <w:gridCol w:w="38"/>
        <w:gridCol w:w="4757"/>
        <w:gridCol w:w="37"/>
        <w:gridCol w:w="36"/>
        <w:gridCol w:w="36"/>
        <w:gridCol w:w="36"/>
        <w:gridCol w:w="120"/>
        <w:gridCol w:w="743"/>
        <w:gridCol w:w="187"/>
        <w:gridCol w:w="36"/>
        <w:gridCol w:w="36"/>
        <w:gridCol w:w="36"/>
        <w:gridCol w:w="120"/>
        <w:gridCol w:w="743"/>
        <w:gridCol w:w="187"/>
        <w:gridCol w:w="36"/>
        <w:gridCol w:w="36"/>
        <w:gridCol w:w="36"/>
        <w:gridCol w:w="120"/>
        <w:gridCol w:w="743"/>
        <w:gridCol w:w="187"/>
      </w:tblGrid>
      <w:tr w:rsidR="00000000">
        <w:trPr>
          <w:divId w:val="1432314712"/>
        </w:trPr>
        <w:tc>
          <w:tcPr>
            <w:tcW w:w="50" w:type="pct"/>
            <w:vAlign w:val="center"/>
            <w:hideMark/>
          </w:tcPr>
          <w:p w:rsidR="00000000" w:rsidRDefault="0061405A">
            <w:pPr>
              <w:jc w:val="both"/>
              <w:rPr>
                <w:rFonts w:eastAsia="Times New Roman"/>
              </w:rPr>
            </w:pPr>
          </w:p>
        </w:tc>
        <w:tc>
          <w:tcPr>
            <w:tcW w:w="2962"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7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7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7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1432314712"/>
        </w:trPr>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2018</w:t>
            </w:r>
          </w:p>
        </w:tc>
      </w:tr>
      <w:tr w:rsidR="00000000">
        <w:trPr>
          <w:divId w:val="1432314712"/>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Federal income tax (benefit) provision at federal rate</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(4,867)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(1,825)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432314712"/>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State income tax (benefit) provision, net of federal tax</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(1,191)</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168 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(623)</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432314712"/>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Other permanent differences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288 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327 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70 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432314712"/>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Tax credits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(390)</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(408)</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(602)</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432314712"/>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Change in valuation allowance</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6,104 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(913)</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2,600 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432314712"/>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Tax rate change</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(248)</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432314712"/>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Deferred tax asset write-off</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157 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566 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212 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432314712"/>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Other items, net</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(27)</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168 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432314712"/>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Provision (benefit) for income taxes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(248)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432314712"/>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Effective income tax rate</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(0.4)</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5.9 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2.9 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r>
    </w:tbl>
    <w:p w:rsidR="00000000" w:rsidRDefault="0061405A">
      <w:pPr>
        <w:jc w:val="both"/>
        <w:divId w:val="1012536410"/>
        <w:rPr>
          <w:rFonts w:eastAsia="Times New Roman"/>
        </w:rPr>
      </w:pPr>
    </w:p>
    <w:p w:rsidR="00000000" w:rsidRDefault="0061405A">
      <w:pPr>
        <w:jc w:val="both"/>
        <w:divId w:val="1520047349"/>
        <w:rPr>
          <w:rFonts w:eastAsia="Times New Roman"/>
        </w:rPr>
      </w:pPr>
      <w:r>
        <w:rPr>
          <w:rFonts w:eastAsia="Times New Roman"/>
          <w:color w:val="000000"/>
          <w:sz w:val="20"/>
          <w:szCs w:val="20"/>
        </w:rPr>
        <w:t>The Company’s total deferred tax assets and liabilities are as follows (in thousands):</w:t>
      </w:r>
    </w:p>
    <w:tbl>
      <w:tblPr>
        <w:tblW w:w="5000" w:type="pct"/>
        <w:tblCellMar>
          <w:top w:w="15" w:type="dxa"/>
          <w:left w:w="15" w:type="dxa"/>
          <w:bottom w:w="15" w:type="dxa"/>
          <w:right w:w="15" w:type="dxa"/>
        </w:tblCellMar>
        <w:tblLook w:val="04A0" w:firstRow="1" w:lastRow="0" w:firstColumn="1" w:lastColumn="0" w:noHBand="0" w:noVBand="1"/>
      </w:tblPr>
      <w:tblGrid>
        <w:gridCol w:w="38"/>
        <w:gridCol w:w="5975"/>
        <w:gridCol w:w="37"/>
        <w:gridCol w:w="36"/>
        <w:gridCol w:w="36"/>
        <w:gridCol w:w="36"/>
        <w:gridCol w:w="120"/>
        <w:gridCol w:w="863"/>
        <w:gridCol w:w="36"/>
        <w:gridCol w:w="36"/>
        <w:gridCol w:w="36"/>
        <w:gridCol w:w="36"/>
        <w:gridCol w:w="120"/>
        <w:gridCol w:w="865"/>
        <w:gridCol w:w="36"/>
      </w:tblGrid>
      <w:tr w:rsidR="00000000">
        <w:trPr>
          <w:divId w:val="243145213"/>
        </w:trPr>
        <w:tc>
          <w:tcPr>
            <w:tcW w:w="50" w:type="pct"/>
            <w:vAlign w:val="center"/>
            <w:hideMark/>
          </w:tcPr>
          <w:p w:rsidR="00000000" w:rsidRDefault="0061405A">
            <w:pPr>
              <w:jc w:val="both"/>
              <w:rPr>
                <w:rFonts w:eastAsia="Times New Roman"/>
              </w:rPr>
            </w:pPr>
          </w:p>
        </w:tc>
        <w:tc>
          <w:tcPr>
            <w:tcW w:w="3623"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7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7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243145213"/>
        </w:trPr>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2019</w:t>
            </w:r>
          </w:p>
        </w:tc>
      </w:tr>
      <w:tr w:rsidR="00000000">
        <w:trPr>
          <w:divId w:val="243145213"/>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Deferred tax assets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111,831 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104,931 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43145213"/>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Deferred tax liabilities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(66,551)</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w:t>
            </w:r>
            <w:r>
              <w:rPr>
                <w:rFonts w:eastAsia="Times New Roman"/>
                <w:color w:val="000000"/>
                <w:sz w:val="20"/>
                <w:szCs w:val="20"/>
              </w:rPr>
              <w:t>65,715)</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43145213"/>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Total deferred tax assets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45,280 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39,216 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43145213"/>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Valuation allowance</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(45,520)</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(39,416)</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43145213"/>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Net deferred tax liabilities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(240)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(200)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bl>
    <w:p w:rsidR="00000000" w:rsidRDefault="0061405A">
      <w:pPr>
        <w:jc w:val="center"/>
        <w:divId w:val="375004276"/>
        <w:rPr>
          <w:rFonts w:eastAsia="Times New Roman"/>
        </w:rPr>
      </w:pPr>
      <w:r>
        <w:rPr>
          <w:rFonts w:eastAsia="Times New Roman"/>
          <w:color w:val="000000"/>
          <w:sz w:val="20"/>
          <w:szCs w:val="20"/>
        </w:rPr>
        <w:t>63</w:t>
      </w:r>
    </w:p>
    <w:p w:rsidR="00000000" w:rsidRDefault="0061405A">
      <w:pPr>
        <w:rPr>
          <w:rFonts w:eastAsia="Times New Roman"/>
        </w:rPr>
      </w:pPr>
      <w:r>
        <w:rPr>
          <w:rFonts w:eastAsia="Times New Roman"/>
        </w:rPr>
        <w:pict>
          <v:rect id="_x0000_i1090" style="width:0;height:1.5pt" o:hralign="center" o:hrstd="t" o:hr="t" fillcolor="#a0a0a0" stroked="f"/>
        </w:pict>
      </w:r>
    </w:p>
    <w:p w:rsidR="00000000" w:rsidRDefault="0061405A">
      <w:pPr>
        <w:divId w:val="220531056"/>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center"/>
        <w:divId w:val="337392852"/>
        <w:rPr>
          <w:rFonts w:eastAsia="Times New Roman"/>
        </w:rPr>
      </w:pPr>
      <w:r>
        <w:rPr>
          <w:rFonts w:eastAsia="Times New Roman"/>
          <w:b/>
          <w:bCs/>
          <w:color w:val="000000"/>
          <w:sz w:val="20"/>
          <w:szCs w:val="20"/>
        </w:rPr>
        <w:t>NOODLES &amp; COMPANY</w:t>
      </w:r>
    </w:p>
    <w:p w:rsidR="00000000" w:rsidRDefault="0061405A">
      <w:pPr>
        <w:jc w:val="center"/>
        <w:divId w:val="1297829630"/>
        <w:rPr>
          <w:rFonts w:eastAsia="Times New Roman"/>
        </w:rPr>
      </w:pPr>
      <w:r>
        <w:rPr>
          <w:rFonts w:eastAsia="Times New Roman"/>
          <w:b/>
          <w:bCs/>
          <w:color w:val="000000"/>
          <w:sz w:val="20"/>
          <w:szCs w:val="20"/>
        </w:rPr>
        <w:t>NOTES TO CONSOLIDATED FINANCIAL STATEMENTS (Continued)</w:t>
      </w:r>
    </w:p>
    <w:p w:rsidR="00000000" w:rsidRDefault="0061405A">
      <w:pPr>
        <w:jc w:val="center"/>
        <w:divId w:val="100416213"/>
        <w:rPr>
          <w:rFonts w:eastAsia="Times New Roman"/>
        </w:rPr>
      </w:pPr>
    </w:p>
    <w:p w:rsidR="00000000" w:rsidRDefault="0061405A">
      <w:pPr>
        <w:jc w:val="both"/>
        <w:divId w:val="1259168623"/>
        <w:rPr>
          <w:rFonts w:eastAsia="Times New Roman"/>
        </w:rPr>
      </w:pPr>
      <w:r>
        <w:rPr>
          <w:rFonts w:eastAsia="Times New Roman"/>
          <w:color w:val="000000"/>
          <w:sz w:val="20"/>
          <w:szCs w:val="20"/>
        </w:rPr>
        <w:t>Deferred income taxes arise because of the differences in the book and tax bases of certain assets and liabilities. Deferred income tax liabilities and assets consist of the following (in thousands):</w:t>
      </w:r>
    </w:p>
    <w:tbl>
      <w:tblPr>
        <w:tblW w:w="5000" w:type="pct"/>
        <w:tblCellMar>
          <w:top w:w="15" w:type="dxa"/>
          <w:left w:w="15" w:type="dxa"/>
          <w:bottom w:w="15" w:type="dxa"/>
          <w:right w:w="15" w:type="dxa"/>
        </w:tblCellMar>
        <w:tblLook w:val="04A0" w:firstRow="1" w:lastRow="0" w:firstColumn="1" w:lastColumn="0" w:noHBand="0" w:noVBand="1"/>
      </w:tblPr>
      <w:tblGrid>
        <w:gridCol w:w="38"/>
        <w:gridCol w:w="5975"/>
        <w:gridCol w:w="37"/>
        <w:gridCol w:w="36"/>
        <w:gridCol w:w="36"/>
        <w:gridCol w:w="36"/>
        <w:gridCol w:w="120"/>
        <w:gridCol w:w="863"/>
        <w:gridCol w:w="36"/>
        <w:gridCol w:w="36"/>
        <w:gridCol w:w="36"/>
        <w:gridCol w:w="36"/>
        <w:gridCol w:w="120"/>
        <w:gridCol w:w="865"/>
        <w:gridCol w:w="36"/>
      </w:tblGrid>
      <w:tr w:rsidR="00000000">
        <w:trPr>
          <w:divId w:val="509953303"/>
        </w:trPr>
        <w:tc>
          <w:tcPr>
            <w:tcW w:w="50" w:type="pct"/>
            <w:vAlign w:val="center"/>
            <w:hideMark/>
          </w:tcPr>
          <w:p w:rsidR="00000000" w:rsidRDefault="0061405A">
            <w:pPr>
              <w:jc w:val="both"/>
              <w:rPr>
                <w:rFonts w:eastAsia="Times New Roman"/>
              </w:rPr>
            </w:pPr>
          </w:p>
        </w:tc>
        <w:tc>
          <w:tcPr>
            <w:tcW w:w="3623"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7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7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509953303"/>
        </w:trPr>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2019</w:t>
            </w:r>
          </w:p>
        </w:tc>
      </w:tr>
      <w:tr w:rsidR="00000000">
        <w:trPr>
          <w:divId w:val="509953303"/>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Deferred tax assets (liabilities):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 </w:t>
            </w:r>
          </w:p>
        </w:tc>
      </w:tr>
      <w:tr w:rsidR="00000000">
        <w:trPr>
          <w:divId w:val="509953303"/>
        </w:trPr>
        <w:tc>
          <w:tcPr>
            <w:tcW w:w="0" w:type="auto"/>
            <w:gridSpan w:val="3"/>
            <w:shd w:val="clear" w:color="auto" w:fill="CCEEFF"/>
            <w:tcMar>
              <w:top w:w="30" w:type="dxa"/>
              <w:left w:w="155" w:type="dxa"/>
              <w:bottom w:w="30" w:type="dxa"/>
              <w:right w:w="20" w:type="dxa"/>
            </w:tcMar>
            <w:vAlign w:val="bottom"/>
            <w:hideMark/>
          </w:tcPr>
          <w:p w:rsidR="00000000" w:rsidRDefault="0061405A">
            <w:pPr>
              <w:rPr>
                <w:rFonts w:eastAsia="Times New Roman"/>
              </w:rPr>
            </w:pPr>
            <w:r>
              <w:rPr>
                <w:rFonts w:eastAsia="Times New Roman"/>
                <w:color w:val="000000"/>
                <w:sz w:val="20"/>
                <w:szCs w:val="20"/>
              </w:rPr>
              <w:t>Loss carry forwards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37,852 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30,255 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509953303"/>
        </w:trPr>
        <w:tc>
          <w:tcPr>
            <w:tcW w:w="0" w:type="auto"/>
            <w:gridSpan w:val="3"/>
            <w:shd w:val="clear" w:color="auto" w:fill="FFFFFF"/>
            <w:tcMar>
              <w:top w:w="30" w:type="dxa"/>
              <w:left w:w="155" w:type="dxa"/>
              <w:bottom w:w="30" w:type="dxa"/>
              <w:right w:w="20" w:type="dxa"/>
            </w:tcMar>
            <w:vAlign w:val="bottom"/>
            <w:hideMark/>
          </w:tcPr>
          <w:p w:rsidR="00000000" w:rsidRDefault="0061405A">
            <w:pPr>
              <w:rPr>
                <w:rFonts w:eastAsia="Times New Roman"/>
              </w:rPr>
            </w:pPr>
            <w:r>
              <w:rPr>
                <w:rFonts w:eastAsia="Times New Roman"/>
                <w:color w:val="000000"/>
                <w:sz w:val="20"/>
                <w:szCs w:val="20"/>
              </w:rPr>
              <w:t>Deferred franchise revenue</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1,506 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909 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509953303"/>
        </w:trPr>
        <w:tc>
          <w:tcPr>
            <w:tcW w:w="0" w:type="auto"/>
            <w:gridSpan w:val="3"/>
            <w:shd w:val="clear" w:color="auto" w:fill="CCEEFF"/>
            <w:tcMar>
              <w:top w:w="30" w:type="dxa"/>
              <w:left w:w="155" w:type="dxa"/>
              <w:bottom w:w="30" w:type="dxa"/>
              <w:right w:w="20" w:type="dxa"/>
            </w:tcMar>
            <w:vAlign w:val="bottom"/>
            <w:hideMark/>
          </w:tcPr>
          <w:p w:rsidR="00000000" w:rsidRDefault="0061405A">
            <w:pPr>
              <w:rPr>
                <w:rFonts w:eastAsia="Times New Roman"/>
              </w:rPr>
            </w:pPr>
            <w:r>
              <w:rPr>
                <w:rFonts w:eastAsia="Times New Roman"/>
                <w:color w:val="000000"/>
                <w:sz w:val="20"/>
                <w:szCs w:val="20"/>
              </w:rPr>
              <w:t>Property, equipment and intangible assets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(11,063)</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(8,242)</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509953303"/>
        </w:trPr>
        <w:tc>
          <w:tcPr>
            <w:tcW w:w="0" w:type="auto"/>
            <w:gridSpan w:val="3"/>
            <w:shd w:val="clear" w:color="auto" w:fill="FFFFFF"/>
            <w:tcMar>
              <w:top w:w="30" w:type="dxa"/>
              <w:left w:w="155" w:type="dxa"/>
              <w:bottom w:w="30" w:type="dxa"/>
              <w:right w:w="20" w:type="dxa"/>
            </w:tcMar>
            <w:vAlign w:val="bottom"/>
            <w:hideMark/>
          </w:tcPr>
          <w:p w:rsidR="00000000" w:rsidRDefault="0061405A">
            <w:pPr>
              <w:rPr>
                <w:rFonts w:eastAsia="Times New Roman"/>
              </w:rPr>
            </w:pPr>
            <w:r>
              <w:rPr>
                <w:rFonts w:eastAsia="Times New Roman"/>
                <w:color w:val="000000"/>
                <w:sz w:val="20"/>
                <w:szCs w:val="20"/>
              </w:rPr>
              <w:t>Stock-based compensation</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1,384 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1,376 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509953303"/>
        </w:trPr>
        <w:tc>
          <w:tcPr>
            <w:tcW w:w="0" w:type="auto"/>
            <w:gridSpan w:val="3"/>
            <w:shd w:val="clear" w:color="auto" w:fill="CCEEFF"/>
            <w:tcMar>
              <w:top w:w="30" w:type="dxa"/>
              <w:left w:w="155" w:type="dxa"/>
              <w:bottom w:w="30" w:type="dxa"/>
              <w:right w:w="20" w:type="dxa"/>
            </w:tcMar>
            <w:vAlign w:val="bottom"/>
            <w:hideMark/>
          </w:tcPr>
          <w:p w:rsidR="00000000" w:rsidRDefault="0061405A">
            <w:pPr>
              <w:rPr>
                <w:rFonts w:eastAsia="Times New Roman"/>
              </w:rPr>
            </w:pPr>
            <w:r>
              <w:rPr>
                <w:rFonts w:eastAsia="Times New Roman"/>
                <w:color w:val="000000"/>
                <w:sz w:val="20"/>
                <w:szCs w:val="20"/>
              </w:rPr>
              <w:t>Tax credit carry forwards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4,326 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3,936 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509953303"/>
        </w:trPr>
        <w:tc>
          <w:tcPr>
            <w:tcW w:w="0" w:type="auto"/>
            <w:gridSpan w:val="3"/>
            <w:shd w:val="clear" w:color="auto" w:fill="FFFFFF"/>
            <w:tcMar>
              <w:top w:w="30" w:type="dxa"/>
              <w:left w:w="155" w:type="dxa"/>
              <w:bottom w:w="30" w:type="dxa"/>
              <w:right w:w="20" w:type="dxa"/>
            </w:tcMar>
            <w:vAlign w:val="bottom"/>
            <w:hideMark/>
          </w:tcPr>
          <w:p w:rsidR="00000000" w:rsidRDefault="0061405A">
            <w:pPr>
              <w:rPr>
                <w:rFonts w:eastAsia="Times New Roman"/>
              </w:rPr>
            </w:pPr>
            <w:r>
              <w:rPr>
                <w:rFonts w:eastAsia="Times New Roman"/>
                <w:color w:val="000000"/>
                <w:sz w:val="20"/>
                <w:szCs w:val="20"/>
              </w:rPr>
              <w:t>Inventory smallwares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(1,740)</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(1,748)</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509953303"/>
        </w:trPr>
        <w:tc>
          <w:tcPr>
            <w:tcW w:w="0" w:type="auto"/>
            <w:gridSpan w:val="3"/>
            <w:shd w:val="clear" w:color="auto" w:fill="CCEEFF"/>
            <w:tcMar>
              <w:top w:w="30" w:type="dxa"/>
              <w:left w:w="155" w:type="dxa"/>
              <w:bottom w:w="30" w:type="dxa"/>
              <w:right w:w="20" w:type="dxa"/>
            </w:tcMar>
            <w:vAlign w:val="bottom"/>
            <w:hideMark/>
          </w:tcPr>
          <w:p w:rsidR="00000000" w:rsidRDefault="0061405A">
            <w:pPr>
              <w:rPr>
                <w:rFonts w:eastAsia="Times New Roman"/>
              </w:rPr>
            </w:pPr>
            <w:r>
              <w:rPr>
                <w:rFonts w:eastAsia="Times New Roman"/>
                <w:color w:val="000000"/>
                <w:sz w:val="20"/>
                <w:szCs w:val="20"/>
              </w:rPr>
              <w:t>Other accrued expenses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1,861 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533 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509953303"/>
        </w:trPr>
        <w:tc>
          <w:tcPr>
            <w:tcW w:w="0" w:type="auto"/>
            <w:gridSpan w:val="3"/>
            <w:shd w:val="clear" w:color="auto" w:fill="FFFFFF"/>
            <w:tcMar>
              <w:top w:w="30" w:type="dxa"/>
              <w:left w:w="155" w:type="dxa"/>
              <w:bottom w:w="30" w:type="dxa"/>
              <w:right w:w="20" w:type="dxa"/>
            </w:tcMar>
            <w:vAlign w:val="bottom"/>
            <w:hideMark/>
          </w:tcPr>
          <w:p w:rsidR="00000000" w:rsidRDefault="0061405A">
            <w:pPr>
              <w:rPr>
                <w:rFonts w:eastAsia="Times New Roman"/>
              </w:rPr>
            </w:pPr>
            <w:r>
              <w:rPr>
                <w:rFonts w:eastAsia="Times New Roman"/>
                <w:color w:val="000000"/>
                <w:sz w:val="20"/>
                <w:szCs w:val="20"/>
              </w:rPr>
              <w:t>Operating lease assets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(53,748)</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w:t>
            </w:r>
            <w:r>
              <w:rPr>
                <w:rFonts w:eastAsia="Times New Roman"/>
                <w:color w:val="000000"/>
                <w:sz w:val="20"/>
                <w:szCs w:val="20"/>
              </w:rPr>
              <w:t>55,725)</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509953303"/>
        </w:trPr>
        <w:tc>
          <w:tcPr>
            <w:tcW w:w="0" w:type="auto"/>
            <w:gridSpan w:val="3"/>
            <w:shd w:val="clear" w:color="auto" w:fill="CCEEFF"/>
            <w:tcMar>
              <w:top w:w="30" w:type="dxa"/>
              <w:left w:w="155" w:type="dxa"/>
              <w:bottom w:w="30" w:type="dxa"/>
              <w:right w:w="20" w:type="dxa"/>
            </w:tcMar>
            <w:vAlign w:val="bottom"/>
            <w:hideMark/>
          </w:tcPr>
          <w:p w:rsidR="00000000" w:rsidRDefault="0061405A">
            <w:pPr>
              <w:rPr>
                <w:rFonts w:eastAsia="Times New Roman"/>
              </w:rPr>
            </w:pPr>
            <w:r>
              <w:rPr>
                <w:rFonts w:eastAsia="Times New Roman"/>
                <w:color w:val="000000"/>
                <w:sz w:val="20"/>
                <w:szCs w:val="20"/>
              </w:rPr>
              <w:t>Operating lease liabilities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63,799 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67,166 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509953303"/>
        </w:trPr>
        <w:tc>
          <w:tcPr>
            <w:tcW w:w="0" w:type="auto"/>
            <w:gridSpan w:val="3"/>
            <w:shd w:val="clear" w:color="auto" w:fill="FFFFFF"/>
            <w:tcMar>
              <w:top w:w="30" w:type="dxa"/>
              <w:left w:w="155" w:type="dxa"/>
              <w:bottom w:w="30" w:type="dxa"/>
              <w:right w:w="20" w:type="dxa"/>
            </w:tcMar>
            <w:vAlign w:val="bottom"/>
            <w:hideMark/>
          </w:tcPr>
          <w:p w:rsidR="00000000" w:rsidRDefault="0061405A">
            <w:pPr>
              <w:rPr>
                <w:rFonts w:eastAsia="Times New Roman"/>
              </w:rPr>
            </w:pPr>
            <w:r>
              <w:rPr>
                <w:rFonts w:eastAsia="Times New Roman"/>
                <w:color w:val="000000"/>
                <w:sz w:val="20"/>
                <w:szCs w:val="20"/>
              </w:rPr>
              <w:t>Other</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1,103 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756 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509953303"/>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 xml:space="preserve">Total net deferred tax assets </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45,280 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39,216 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509953303"/>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   Valuation allowance</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(45,520)</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(39,416)</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509953303"/>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Net deferred tax liabilities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(240)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(200)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bl>
    <w:p w:rsidR="00000000" w:rsidRDefault="0061405A">
      <w:pPr>
        <w:jc w:val="both"/>
        <w:divId w:val="815759174"/>
        <w:rPr>
          <w:rFonts w:eastAsia="Times New Roman"/>
        </w:rPr>
      </w:pPr>
      <w:r>
        <w:rPr>
          <w:rFonts w:eastAsia="Times New Roman"/>
          <w:color w:val="000000"/>
          <w:sz w:val="20"/>
          <w:szCs w:val="20"/>
        </w:rPr>
        <w:t>For</w:t>
      </w:r>
      <w:r>
        <w:rPr>
          <w:rFonts w:eastAsia="Times New Roman"/>
          <w:color w:val="000000"/>
          <w:sz w:val="20"/>
          <w:szCs w:val="20"/>
        </w:rPr>
        <w:t xml:space="preserve"> the year ended December 29, 2020, the Company determined that it was appropriate to maintain a valuation allowance of $45.5 million against U.S. deferred tax assets due to uncertainty regarding the realizability of future tax benefits. The valuation allow</w:t>
      </w:r>
      <w:r>
        <w:rPr>
          <w:rFonts w:eastAsia="Times New Roman"/>
          <w:color w:val="000000"/>
          <w:sz w:val="20"/>
          <w:szCs w:val="20"/>
        </w:rPr>
        <w:t>ance is recorded against net deferred tax assets, exclusive of indefinite-lived intangibles. During 2018, 2019 and 2020, the Company generated indefinite-lived net operating loss (“NOL”) carry forwards. The Company will maintain the remaining valuation all</w:t>
      </w:r>
      <w:r>
        <w:rPr>
          <w:rFonts w:eastAsia="Times New Roman"/>
          <w:color w:val="000000"/>
          <w:sz w:val="20"/>
          <w:szCs w:val="20"/>
        </w:rPr>
        <w:t xml:space="preserve">owance until there is sufficient evidence to support a full or partial reversal. The reversal of a previously recorded valuation allowance will generally result in a benefit to the effective tax rate. </w:t>
      </w:r>
    </w:p>
    <w:p w:rsidR="00000000" w:rsidRDefault="0061405A">
      <w:pPr>
        <w:jc w:val="both"/>
        <w:divId w:val="1536036689"/>
        <w:rPr>
          <w:rFonts w:eastAsia="Times New Roman"/>
        </w:rPr>
      </w:pPr>
      <w:r>
        <w:rPr>
          <w:rFonts w:eastAsia="Times New Roman"/>
          <w:color w:val="000000"/>
          <w:sz w:val="20"/>
          <w:szCs w:val="20"/>
        </w:rPr>
        <w:t>As of December 29, 2020 and December 31, 2019, NOL car</w:t>
      </w:r>
      <w:r>
        <w:rPr>
          <w:rFonts w:eastAsia="Times New Roman"/>
          <w:color w:val="000000"/>
          <w:sz w:val="20"/>
          <w:szCs w:val="20"/>
        </w:rPr>
        <w:t>ry forwards for federal income tax purposes of approximately $145.7 million and $115.5 million, respectively, were available to offset future taxable income. Of these amounts, $106.8 million is available to offset future taxable income through 2037. A fede</w:t>
      </w:r>
      <w:r>
        <w:rPr>
          <w:rFonts w:eastAsia="Times New Roman"/>
          <w:color w:val="000000"/>
          <w:sz w:val="20"/>
          <w:szCs w:val="20"/>
        </w:rPr>
        <w:t>ral NOL of $38.9 million created during the year ending January 1, 2019, December 31, 2019 and December 29, 2020 can be carried forward indefinitely, but can only offset 80% of future taxable income. The Internal Revenue Code Section 382 generally limits t</w:t>
      </w:r>
      <w:r>
        <w:rPr>
          <w:rFonts w:eastAsia="Times New Roman"/>
          <w:color w:val="000000"/>
          <w:sz w:val="20"/>
          <w:szCs w:val="20"/>
        </w:rPr>
        <w:t xml:space="preserve">he utilization of NOLs when there is an ownership change. The Company completed an analysis under Section 382 through December 31, 2019 and determined that there isn’t a current year limitation on utilization of tax attributes. Prior to the utilization of </w:t>
      </w:r>
      <w:r>
        <w:rPr>
          <w:rFonts w:eastAsia="Times New Roman"/>
          <w:color w:val="000000"/>
          <w:sz w:val="20"/>
          <w:szCs w:val="20"/>
        </w:rPr>
        <w:t xml:space="preserve">NOLs in the future, the Company will determine whether there are any limitations under Section 382. If such a limitation exists, it is possible that a portion of the NOLs may not be available for use before expiration. </w:t>
      </w:r>
    </w:p>
    <w:p w:rsidR="00000000" w:rsidRDefault="0061405A">
      <w:pPr>
        <w:jc w:val="both"/>
        <w:divId w:val="753015262"/>
        <w:rPr>
          <w:rFonts w:eastAsia="Times New Roman"/>
        </w:rPr>
      </w:pPr>
      <w:r>
        <w:rPr>
          <w:rFonts w:eastAsia="Times New Roman"/>
          <w:color w:val="000000"/>
          <w:sz w:val="20"/>
          <w:szCs w:val="20"/>
        </w:rPr>
        <w:t>Uncertain tax positions are recogniz</w:t>
      </w:r>
      <w:r>
        <w:rPr>
          <w:rFonts w:eastAsia="Times New Roman"/>
          <w:color w:val="000000"/>
          <w:sz w:val="20"/>
          <w:szCs w:val="20"/>
        </w:rPr>
        <w:t>ed if it is more likely than not that the Company will be able to sustain the tax position taken, and the measurement of the benefit is calculated as the largest amount that is more than 50% likely to be realized upon resolution of the benefit. The Company</w:t>
      </w:r>
      <w:r>
        <w:rPr>
          <w:rFonts w:eastAsia="Times New Roman"/>
          <w:color w:val="000000"/>
          <w:sz w:val="20"/>
          <w:szCs w:val="20"/>
        </w:rPr>
        <w:t xml:space="preserve"> has analyzed filing positions in all of the federal and state jurisdictions where it is required to file income tax returns, as well as all open tax years in these jurisdictions. </w:t>
      </w:r>
    </w:p>
    <w:p w:rsidR="00000000" w:rsidRDefault="0061405A">
      <w:pPr>
        <w:jc w:val="both"/>
        <w:divId w:val="1704599489"/>
        <w:rPr>
          <w:rFonts w:eastAsia="Times New Roman"/>
        </w:rPr>
      </w:pPr>
      <w:r>
        <w:rPr>
          <w:rFonts w:eastAsia="Times New Roman"/>
          <w:color w:val="000000"/>
          <w:sz w:val="20"/>
          <w:szCs w:val="20"/>
        </w:rPr>
        <w:t>There were no uncertain tax positions for the years ended December 29, 2020</w:t>
      </w:r>
      <w:r>
        <w:rPr>
          <w:rFonts w:eastAsia="Times New Roman"/>
          <w:color w:val="000000"/>
          <w:sz w:val="20"/>
          <w:szCs w:val="20"/>
        </w:rPr>
        <w:t xml:space="preserve"> or December 31, 2019. For federal and state income tax purposes, the Company’s 2016 through 2019 tax years remain open for examination by the authorities under the normal three year statute of limitations. Should the Company utilize any of its U.S. or sta</w:t>
      </w:r>
      <w:r>
        <w:rPr>
          <w:rFonts w:eastAsia="Times New Roman"/>
          <w:color w:val="000000"/>
          <w:sz w:val="20"/>
          <w:szCs w:val="20"/>
        </w:rPr>
        <w:t>te NOLs, the tax year to which the original loss relates will remain open to examination.</w:t>
      </w:r>
    </w:p>
    <w:p w:rsidR="00000000" w:rsidRDefault="0061405A">
      <w:pPr>
        <w:jc w:val="both"/>
        <w:divId w:val="820345623"/>
        <w:rPr>
          <w:rFonts w:eastAsia="Times New Roman"/>
        </w:rPr>
      </w:pPr>
    </w:p>
    <w:p w:rsidR="00000000" w:rsidRDefault="0061405A">
      <w:pPr>
        <w:jc w:val="center"/>
        <w:divId w:val="1054426435"/>
        <w:rPr>
          <w:rFonts w:eastAsia="Times New Roman"/>
        </w:rPr>
      </w:pPr>
      <w:r>
        <w:rPr>
          <w:rFonts w:eastAsia="Times New Roman"/>
          <w:color w:val="000000"/>
          <w:sz w:val="20"/>
          <w:szCs w:val="20"/>
        </w:rPr>
        <w:t>64</w:t>
      </w:r>
    </w:p>
    <w:p w:rsidR="00000000" w:rsidRDefault="0061405A">
      <w:pPr>
        <w:rPr>
          <w:rFonts w:eastAsia="Times New Roman"/>
        </w:rPr>
      </w:pPr>
      <w:r>
        <w:rPr>
          <w:rFonts w:eastAsia="Times New Roman"/>
        </w:rPr>
        <w:pict>
          <v:rect id="_x0000_i1091" style="width:0;height:1.5pt" o:hralign="center" o:hrstd="t" o:hr="t" fillcolor="#a0a0a0" stroked="f"/>
        </w:pict>
      </w:r>
    </w:p>
    <w:p w:rsidR="00000000" w:rsidRDefault="0061405A">
      <w:pPr>
        <w:divId w:val="794911535"/>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center"/>
        <w:divId w:val="477385901"/>
        <w:rPr>
          <w:rFonts w:eastAsia="Times New Roman"/>
        </w:rPr>
      </w:pPr>
      <w:r>
        <w:rPr>
          <w:rFonts w:eastAsia="Times New Roman"/>
          <w:b/>
          <w:bCs/>
          <w:color w:val="000000"/>
          <w:sz w:val="20"/>
          <w:szCs w:val="20"/>
        </w:rPr>
        <w:t>NOODLES &amp; COMPANY</w:t>
      </w:r>
    </w:p>
    <w:p w:rsidR="00000000" w:rsidRDefault="0061405A">
      <w:pPr>
        <w:jc w:val="center"/>
        <w:divId w:val="619609654"/>
        <w:rPr>
          <w:rFonts w:eastAsia="Times New Roman"/>
        </w:rPr>
      </w:pPr>
      <w:r>
        <w:rPr>
          <w:rFonts w:eastAsia="Times New Roman"/>
          <w:b/>
          <w:bCs/>
          <w:color w:val="000000"/>
          <w:sz w:val="20"/>
          <w:szCs w:val="20"/>
        </w:rPr>
        <w:t>NOTES TO CONSOLIDATED FINANCIAL STATEMENTS (Continued)</w:t>
      </w:r>
    </w:p>
    <w:p w:rsidR="00000000" w:rsidRDefault="0061405A">
      <w:pPr>
        <w:jc w:val="center"/>
        <w:divId w:val="300889510"/>
        <w:rPr>
          <w:rFonts w:eastAsia="Times New Roman"/>
        </w:rPr>
      </w:pPr>
    </w:p>
    <w:p w:rsidR="00000000" w:rsidRDefault="0061405A">
      <w:pPr>
        <w:jc w:val="both"/>
        <w:divId w:val="1195730712"/>
        <w:rPr>
          <w:rFonts w:eastAsia="Times New Roman"/>
        </w:rPr>
      </w:pPr>
      <w:r>
        <w:rPr>
          <w:rFonts w:eastAsia="Times New Roman"/>
          <w:b/>
          <w:bCs/>
          <w:color w:val="000000"/>
          <w:sz w:val="20"/>
          <w:szCs w:val="20"/>
        </w:rPr>
        <w:t>8. Stockholders’ Equity</w:t>
      </w:r>
    </w:p>
    <w:p w:rsidR="00000000" w:rsidRDefault="0061405A">
      <w:pPr>
        <w:jc w:val="both"/>
        <w:divId w:val="635141571"/>
        <w:rPr>
          <w:rFonts w:eastAsia="Times New Roman"/>
        </w:rPr>
      </w:pPr>
      <w:r>
        <w:rPr>
          <w:rFonts w:eastAsia="Times New Roman"/>
          <w:b/>
          <w:bCs/>
          <w:i/>
          <w:iCs/>
          <w:color w:val="000000"/>
          <w:sz w:val="20"/>
          <w:szCs w:val="20"/>
        </w:rPr>
        <w:t>Common Stock</w:t>
      </w:r>
    </w:p>
    <w:p w:rsidR="00000000" w:rsidRDefault="0061405A">
      <w:pPr>
        <w:jc w:val="both"/>
        <w:divId w:val="1318071474"/>
        <w:rPr>
          <w:rFonts w:eastAsia="Times New Roman"/>
        </w:rPr>
      </w:pPr>
      <w:r>
        <w:rPr>
          <w:rFonts w:eastAsia="Times New Roman"/>
          <w:color w:val="000000"/>
          <w:sz w:val="20"/>
          <w:szCs w:val="20"/>
        </w:rPr>
        <w:t xml:space="preserve">The Company has 181,000,000 </w:t>
      </w:r>
      <w:r>
        <w:rPr>
          <w:rFonts w:eastAsia="Times New Roman"/>
          <w:color w:val="000000"/>
          <w:sz w:val="20"/>
          <w:szCs w:val="20"/>
        </w:rPr>
        <w:t xml:space="preserve">shares of stock authorized, consisting of 150,000,000 shares of Class A common stock, par value $0.01 per share; 30,000,000 shares of Class B common stock, par value $0.01 and 1,000,000 shares of preferred stock, par value $0.01 per share. Preferred stock </w:t>
      </w:r>
      <w:r>
        <w:rPr>
          <w:rFonts w:eastAsia="Times New Roman"/>
          <w:color w:val="000000"/>
          <w:sz w:val="20"/>
          <w:szCs w:val="20"/>
        </w:rPr>
        <w:t xml:space="preserve">rights are determined by the Company’s Board of Directors when preferred shares are issued. The following summarizes the rights of common stock: </w:t>
      </w:r>
    </w:p>
    <w:p w:rsidR="00000000" w:rsidRDefault="0061405A">
      <w:pPr>
        <w:jc w:val="both"/>
        <w:divId w:val="776143603"/>
        <w:rPr>
          <w:rFonts w:eastAsia="Times New Roman"/>
        </w:rPr>
      </w:pPr>
      <w:r>
        <w:rPr>
          <w:rFonts w:eastAsia="Times New Roman"/>
          <w:i/>
          <w:iCs/>
          <w:color w:val="000000"/>
          <w:sz w:val="20"/>
          <w:szCs w:val="20"/>
        </w:rPr>
        <w:t>Voting</w:t>
      </w:r>
      <w:r>
        <w:rPr>
          <w:rFonts w:eastAsia="Times New Roman"/>
          <w:color w:val="000000"/>
          <w:sz w:val="20"/>
          <w:szCs w:val="20"/>
        </w:rPr>
        <w:t>—Shares of Class A common stock and Class </w:t>
      </w:r>
      <w:r>
        <w:rPr>
          <w:rFonts w:eastAsia="Times New Roman"/>
          <w:color w:val="000000"/>
          <w:sz w:val="20"/>
          <w:szCs w:val="20"/>
        </w:rPr>
        <w:t xml:space="preserve">B common stock are entitled to one vote per share in all voting matters, with the exception that Class B common stock does not vote on the election or removal of directors. </w:t>
      </w:r>
    </w:p>
    <w:p w:rsidR="00000000" w:rsidRDefault="0061405A">
      <w:pPr>
        <w:jc w:val="both"/>
        <w:divId w:val="498935165"/>
        <w:rPr>
          <w:rFonts w:eastAsia="Times New Roman"/>
        </w:rPr>
      </w:pPr>
      <w:r>
        <w:rPr>
          <w:rFonts w:eastAsia="Times New Roman"/>
          <w:i/>
          <w:iCs/>
          <w:color w:val="000000"/>
          <w:sz w:val="20"/>
          <w:szCs w:val="20"/>
          <w:shd w:val="clear" w:color="auto" w:fill="FFFFFF"/>
        </w:rPr>
        <w:t>Conversion</w:t>
      </w:r>
      <w:r>
        <w:rPr>
          <w:rFonts w:eastAsia="Times New Roman"/>
          <w:color w:val="000000"/>
          <w:sz w:val="20"/>
          <w:szCs w:val="20"/>
          <w:shd w:val="clear" w:color="auto" w:fill="FFFFFF"/>
        </w:rPr>
        <w:t xml:space="preserve">—Each share of Class A common stock held by either one of </w:t>
      </w:r>
      <w:r>
        <w:rPr>
          <w:rFonts w:eastAsia="Times New Roman"/>
          <w:i/>
          <w:iCs/>
          <w:color w:val="000000"/>
          <w:sz w:val="20"/>
          <w:szCs w:val="20"/>
          <w:shd w:val="clear" w:color="auto" w:fill="FFFFFF"/>
        </w:rPr>
        <w:t xml:space="preserve">L </w:t>
      </w:r>
      <w:r>
        <w:rPr>
          <w:rFonts w:eastAsia="Times New Roman"/>
          <w:color w:val="000000"/>
          <w:sz w:val="20"/>
          <w:szCs w:val="20"/>
          <w:shd w:val="clear" w:color="auto" w:fill="FFFFFF"/>
        </w:rPr>
        <w:t>Catterton Pa</w:t>
      </w:r>
      <w:r>
        <w:rPr>
          <w:rFonts w:eastAsia="Times New Roman"/>
          <w:color w:val="000000"/>
          <w:sz w:val="20"/>
          <w:szCs w:val="20"/>
          <w:shd w:val="clear" w:color="auto" w:fill="FFFFFF"/>
        </w:rPr>
        <w:t>rtners or Argentia Private Investments Inc. (“Argentia”) or their affiliates the (“Equity Sponsors”) is convertible, at the option of the holder, into one share of Class B common stock. Each share of Class B common stock is convertible, at the option of th</w:t>
      </w:r>
      <w:r>
        <w:rPr>
          <w:rFonts w:eastAsia="Times New Roman"/>
          <w:color w:val="000000"/>
          <w:sz w:val="20"/>
          <w:szCs w:val="20"/>
          <w:shd w:val="clear" w:color="auto" w:fill="FFFFFF"/>
        </w:rPr>
        <w:t>e holder, into one share of Class A common stock.</w:t>
      </w:r>
    </w:p>
    <w:p w:rsidR="00000000" w:rsidRDefault="0061405A">
      <w:pPr>
        <w:jc w:val="both"/>
        <w:divId w:val="1338507665"/>
        <w:rPr>
          <w:rFonts w:eastAsia="Times New Roman"/>
        </w:rPr>
      </w:pPr>
      <w:r>
        <w:rPr>
          <w:rFonts w:eastAsia="Times New Roman"/>
          <w:i/>
          <w:iCs/>
          <w:color w:val="000000"/>
          <w:sz w:val="20"/>
          <w:szCs w:val="20"/>
        </w:rPr>
        <w:t>Dividends</w:t>
      </w:r>
      <w:r>
        <w:rPr>
          <w:rFonts w:eastAsia="Times New Roman"/>
          <w:color w:val="000000"/>
          <w:sz w:val="20"/>
          <w:szCs w:val="20"/>
        </w:rPr>
        <w:t>—Class A common stock and Class B common stock share equally if a dividend is declared or paid to either class, but they do not have rights to any special dividend.</w:t>
      </w:r>
    </w:p>
    <w:p w:rsidR="00000000" w:rsidRDefault="0061405A">
      <w:pPr>
        <w:jc w:val="both"/>
        <w:divId w:val="751119924"/>
        <w:rPr>
          <w:rFonts w:eastAsia="Times New Roman"/>
        </w:rPr>
      </w:pPr>
      <w:r>
        <w:rPr>
          <w:rFonts w:eastAsia="Times New Roman"/>
          <w:i/>
          <w:iCs/>
          <w:color w:val="000000"/>
          <w:sz w:val="20"/>
          <w:szCs w:val="20"/>
        </w:rPr>
        <w:t>Liquidation, Dissolution or Wind</w:t>
      </w:r>
      <w:r>
        <w:rPr>
          <w:rFonts w:eastAsia="Times New Roman"/>
          <w:i/>
          <w:iCs/>
          <w:color w:val="000000"/>
          <w:sz w:val="20"/>
          <w:szCs w:val="20"/>
        </w:rPr>
        <w:t>ing Up</w:t>
      </w:r>
      <w:r>
        <w:rPr>
          <w:rFonts w:eastAsia="Times New Roman"/>
          <w:color w:val="000000"/>
          <w:sz w:val="20"/>
          <w:szCs w:val="20"/>
        </w:rPr>
        <w:t>—Class A common stock and Class B common stock share equally in distributions in liquidation, dissolution or winding up of the corporation.</w:t>
      </w:r>
    </w:p>
    <w:p w:rsidR="00000000" w:rsidRDefault="0061405A">
      <w:pPr>
        <w:jc w:val="both"/>
        <w:divId w:val="445930968"/>
        <w:rPr>
          <w:rFonts w:eastAsia="Times New Roman"/>
        </w:rPr>
      </w:pPr>
      <w:r>
        <w:rPr>
          <w:rFonts w:eastAsia="Times New Roman"/>
          <w:i/>
          <w:iCs/>
          <w:color w:val="000000"/>
          <w:sz w:val="20"/>
          <w:szCs w:val="20"/>
        </w:rPr>
        <w:t>Registration Rights</w:t>
      </w:r>
      <w:r>
        <w:rPr>
          <w:rFonts w:eastAsia="Times New Roman"/>
          <w:color w:val="000000"/>
          <w:sz w:val="20"/>
          <w:szCs w:val="20"/>
        </w:rPr>
        <w:t xml:space="preserve">—The Equity Sponsors have the right to demand registration of 10% or more of the shares of </w:t>
      </w:r>
      <w:r>
        <w:rPr>
          <w:rFonts w:eastAsia="Times New Roman"/>
          <w:color w:val="000000"/>
          <w:sz w:val="20"/>
          <w:szCs w:val="20"/>
        </w:rPr>
        <w:t>the Company’s common stock held by them. A few shareholders who are also Executive Officers of the Company or members of the Company’s Board of Directors have piggyback registration rights, but they are not required to exercise these rights.</w:t>
      </w:r>
    </w:p>
    <w:p w:rsidR="00000000" w:rsidRDefault="0061405A">
      <w:pPr>
        <w:divId w:val="1419597186"/>
        <w:rPr>
          <w:rFonts w:eastAsia="Times New Roman"/>
        </w:rPr>
      </w:pPr>
      <w:r>
        <w:rPr>
          <w:rFonts w:eastAsia="Times New Roman"/>
          <w:b/>
          <w:bCs/>
          <w:i/>
          <w:iCs/>
          <w:color w:val="000000"/>
          <w:sz w:val="20"/>
          <w:szCs w:val="20"/>
        </w:rPr>
        <w:t>Public Offerin</w:t>
      </w:r>
      <w:r>
        <w:rPr>
          <w:rFonts w:eastAsia="Times New Roman"/>
          <w:b/>
          <w:bCs/>
          <w:i/>
          <w:iCs/>
          <w:color w:val="000000"/>
          <w:sz w:val="20"/>
          <w:szCs w:val="20"/>
        </w:rPr>
        <w:t>g of Class A Common Stock</w:t>
      </w:r>
    </w:p>
    <w:p w:rsidR="00000000" w:rsidRDefault="0061405A">
      <w:pPr>
        <w:jc w:val="both"/>
        <w:divId w:val="1989281691"/>
        <w:rPr>
          <w:rFonts w:eastAsia="Times New Roman"/>
        </w:rPr>
      </w:pPr>
      <w:r>
        <w:rPr>
          <w:rFonts w:eastAsia="Times New Roman"/>
          <w:color w:val="000000"/>
          <w:sz w:val="20"/>
          <w:szCs w:val="20"/>
        </w:rPr>
        <w:t>On July 31, 2018, the Company sold 2,500,000 shares of its common stock at a public offering price of $10.00 per share. The shares offered were registered pursuant to a registration statement that the Company filed with the Securi</w:t>
      </w:r>
      <w:r>
        <w:rPr>
          <w:rFonts w:eastAsia="Times New Roman"/>
          <w:color w:val="000000"/>
          <w:sz w:val="20"/>
          <w:szCs w:val="20"/>
        </w:rPr>
        <w:t>ties and Exchange Commission (the “SEC”). The Company received net proceeds of $23.0 million, after deducting the underwriting discounts and commissions, and net of transaction expenses incurred. The proceeds of the offering were used by the Company to pay</w:t>
      </w:r>
      <w:r>
        <w:rPr>
          <w:rFonts w:eastAsia="Times New Roman"/>
          <w:color w:val="000000"/>
          <w:sz w:val="20"/>
          <w:szCs w:val="20"/>
        </w:rPr>
        <w:t xml:space="preserve"> down borrowings under the 2018 Credit Facility and fund working capital obligations.</w:t>
      </w:r>
    </w:p>
    <w:p w:rsidR="00000000" w:rsidRDefault="0061405A">
      <w:pPr>
        <w:divId w:val="1114858852"/>
        <w:rPr>
          <w:rFonts w:eastAsia="Times New Roman"/>
        </w:rPr>
      </w:pPr>
      <w:r>
        <w:rPr>
          <w:rFonts w:eastAsia="Times New Roman"/>
          <w:b/>
          <w:bCs/>
          <w:i/>
          <w:iCs/>
          <w:color w:val="000000"/>
          <w:sz w:val="20"/>
          <w:szCs w:val="20"/>
        </w:rPr>
        <w:t>Conversion of Argentia Class B Common Stock</w:t>
      </w:r>
    </w:p>
    <w:p w:rsidR="00000000" w:rsidRDefault="0061405A">
      <w:pPr>
        <w:jc w:val="both"/>
        <w:divId w:val="1622152374"/>
        <w:rPr>
          <w:rFonts w:eastAsia="Times New Roman"/>
        </w:rPr>
      </w:pPr>
      <w:r>
        <w:rPr>
          <w:rFonts w:eastAsia="Times New Roman"/>
          <w:color w:val="000000"/>
          <w:sz w:val="20"/>
          <w:szCs w:val="20"/>
        </w:rPr>
        <w:t>On May 24, 2018, Argentia converted 1,522,098 shares of the Company’s Class B common stock, par value $0.01, it owned into the</w:t>
      </w:r>
      <w:r>
        <w:rPr>
          <w:rFonts w:eastAsia="Times New Roman"/>
          <w:color w:val="000000"/>
          <w:sz w:val="20"/>
          <w:szCs w:val="20"/>
        </w:rPr>
        <w:t xml:space="preserve"> same number of shares of the Company’s Class A common stock. As a result of the conversion, no shares of the Company’s Class B common stock are outstanding.</w:t>
      </w:r>
    </w:p>
    <w:p w:rsidR="00000000" w:rsidRDefault="0061405A">
      <w:pPr>
        <w:jc w:val="both"/>
        <w:rPr>
          <w:rFonts w:eastAsia="Times New Roman"/>
        </w:rPr>
      </w:pPr>
      <w:r>
        <w:rPr>
          <w:rFonts w:eastAsia="Times New Roman"/>
          <w:b/>
          <w:bCs/>
          <w:i/>
          <w:iCs/>
          <w:color w:val="000000"/>
          <w:sz w:val="20"/>
          <w:szCs w:val="20"/>
          <w:shd w:val="clear" w:color="auto" w:fill="FFFFFF"/>
        </w:rPr>
        <w:t>Securities Purchase Agreement with L Catterton</w:t>
      </w:r>
    </w:p>
    <w:p w:rsidR="00000000" w:rsidRDefault="0061405A">
      <w:pPr>
        <w:divId w:val="557252989"/>
        <w:rPr>
          <w:rFonts w:eastAsia="Times New Roman"/>
        </w:rPr>
      </w:pPr>
    </w:p>
    <w:p w:rsidR="00000000" w:rsidRDefault="0061405A">
      <w:pPr>
        <w:jc w:val="both"/>
        <w:rPr>
          <w:rFonts w:eastAsia="Times New Roman"/>
        </w:rPr>
      </w:pPr>
      <w:r>
        <w:rPr>
          <w:rFonts w:eastAsia="Times New Roman"/>
          <w:color w:val="000000"/>
          <w:sz w:val="20"/>
          <w:szCs w:val="20"/>
        </w:rPr>
        <w:t>On February 8, 2017, the Company entered into a s</w:t>
      </w:r>
      <w:r>
        <w:rPr>
          <w:rFonts w:eastAsia="Times New Roman"/>
          <w:color w:val="000000"/>
          <w:sz w:val="20"/>
          <w:szCs w:val="20"/>
        </w:rPr>
        <w:t xml:space="preserve">ecurities purchase agreement with </w:t>
      </w:r>
      <w:r>
        <w:rPr>
          <w:rFonts w:eastAsia="Times New Roman"/>
          <w:i/>
          <w:iCs/>
          <w:color w:val="000000"/>
          <w:sz w:val="20"/>
          <w:szCs w:val="20"/>
        </w:rPr>
        <w:t>L</w:t>
      </w:r>
      <w:r>
        <w:rPr>
          <w:rFonts w:eastAsia="Times New Roman"/>
          <w:color w:val="000000"/>
          <w:sz w:val="20"/>
          <w:szCs w:val="20"/>
        </w:rPr>
        <w:t xml:space="preserve"> Catterton, pursuant to which the Company agreed, in return for aggregate gross proceeds of $18.5 million, to sell to</w:t>
      </w:r>
      <w:r>
        <w:rPr>
          <w:rFonts w:eastAsia="Times New Roman"/>
          <w:i/>
          <w:iCs/>
          <w:color w:val="000000"/>
          <w:sz w:val="20"/>
          <w:szCs w:val="20"/>
        </w:rPr>
        <w:t xml:space="preserve"> L</w:t>
      </w:r>
      <w:r>
        <w:rPr>
          <w:rFonts w:eastAsia="Times New Roman"/>
          <w:color w:val="000000"/>
          <w:sz w:val="20"/>
          <w:szCs w:val="20"/>
        </w:rPr>
        <w:t xml:space="preserve"> Catterton an aggregate of 18,500 shares of preferred stock convertible into 4,252,873 shares of the C</w:t>
      </w:r>
      <w:r>
        <w:rPr>
          <w:rFonts w:eastAsia="Times New Roman"/>
          <w:color w:val="000000"/>
          <w:sz w:val="20"/>
          <w:szCs w:val="20"/>
        </w:rPr>
        <w:t xml:space="preserve">ompany’s Class A common stock, par value $0.01 per share, at a price per share of $1,000, plus warrants exercisable for five years beginning six months following their issuance for the purchase of 1,913,793 shares of the Company’s Class A common stock, at </w:t>
      </w:r>
      <w:r>
        <w:rPr>
          <w:rFonts w:eastAsia="Times New Roman"/>
          <w:color w:val="000000"/>
          <w:sz w:val="20"/>
          <w:szCs w:val="20"/>
        </w:rPr>
        <w:t>a price per share of $4.35. On January 6, 2021,</w:t>
      </w:r>
      <w:r>
        <w:rPr>
          <w:rFonts w:eastAsia="Times New Roman"/>
          <w:i/>
          <w:iCs/>
          <w:color w:val="000000"/>
          <w:sz w:val="20"/>
          <w:szCs w:val="20"/>
        </w:rPr>
        <w:t xml:space="preserve"> L</w:t>
      </w:r>
      <w:r>
        <w:rPr>
          <w:rFonts w:eastAsia="Times New Roman"/>
          <w:color w:val="000000"/>
          <w:sz w:val="20"/>
          <w:szCs w:val="20"/>
        </w:rPr>
        <w:t xml:space="preserve"> Catterton exercised their warrants and sold 837,948 shares of Class A Common Stock, pursuant to a private transaction. Upon completion of the transaction, </w:t>
      </w:r>
      <w:r>
        <w:rPr>
          <w:rFonts w:eastAsia="Times New Roman"/>
          <w:i/>
          <w:iCs/>
          <w:color w:val="000000"/>
          <w:sz w:val="20"/>
          <w:szCs w:val="20"/>
        </w:rPr>
        <w:t>L</w:t>
      </w:r>
      <w:r>
        <w:rPr>
          <w:rFonts w:eastAsia="Times New Roman"/>
          <w:color w:val="000000"/>
          <w:sz w:val="20"/>
          <w:szCs w:val="20"/>
        </w:rPr>
        <w:t xml:space="preserve"> Catterton did not hold any shares of the Company’</w:t>
      </w:r>
      <w:r>
        <w:rPr>
          <w:rFonts w:eastAsia="Times New Roman"/>
          <w:color w:val="000000"/>
          <w:sz w:val="20"/>
          <w:szCs w:val="20"/>
        </w:rPr>
        <w:t xml:space="preserve">s Class A Common Stock. </w:t>
      </w:r>
    </w:p>
    <w:p w:rsidR="00000000" w:rsidRDefault="0061405A">
      <w:pPr>
        <w:jc w:val="both"/>
        <w:divId w:val="776414638"/>
        <w:rPr>
          <w:rFonts w:eastAsia="Times New Roman"/>
        </w:rPr>
      </w:pPr>
      <w:r>
        <w:rPr>
          <w:rFonts w:eastAsia="Times New Roman"/>
          <w:b/>
          <w:bCs/>
          <w:color w:val="000000"/>
          <w:sz w:val="20"/>
          <w:szCs w:val="20"/>
        </w:rPr>
        <w:t>9. Stock-Based Compensation</w:t>
      </w:r>
    </w:p>
    <w:p w:rsidR="00000000" w:rsidRDefault="0061405A">
      <w:pPr>
        <w:jc w:val="both"/>
        <w:divId w:val="564030742"/>
        <w:rPr>
          <w:rFonts w:eastAsia="Times New Roman"/>
        </w:rPr>
      </w:pPr>
      <w:r>
        <w:rPr>
          <w:rFonts w:eastAsia="Times New Roman"/>
          <w:color w:val="000000"/>
          <w:sz w:val="20"/>
          <w:szCs w:val="20"/>
        </w:rPr>
        <w:t xml:space="preserve">The Company’s Stock Incentive Plan (the “Plan”), as amended and restated in May of 2013, authorizes the grant of non-qualified stock options, incentive stock options, stock appreciation rights (“SARs”), </w:t>
      </w:r>
      <w:r>
        <w:rPr>
          <w:rFonts w:eastAsia="Times New Roman"/>
          <w:color w:val="000000"/>
          <w:sz w:val="20"/>
          <w:szCs w:val="20"/>
        </w:rPr>
        <w:t xml:space="preserve">restricted stock, restricted stock units (“RSUs”) and incentive bonuses to employees, officers, non-employee directors and other service providers. The Plan is administered by the Compensation Committee of the Company’s Board of Directors (the “Board”) or </w:t>
      </w:r>
      <w:r>
        <w:rPr>
          <w:rFonts w:eastAsia="Times New Roman"/>
          <w:color w:val="000000"/>
          <w:sz w:val="20"/>
          <w:szCs w:val="20"/>
        </w:rPr>
        <w:t>another committee designated by the Board, or in the absence of any such committee, the Board itself (the “administrator”). Stock options are granted at a price determined by the administrator at an exercise price that is not less than the fair market valu</w:t>
      </w:r>
      <w:r>
        <w:rPr>
          <w:rFonts w:eastAsia="Times New Roman"/>
          <w:color w:val="000000"/>
          <w:sz w:val="20"/>
          <w:szCs w:val="20"/>
        </w:rPr>
        <w:t>e of the underlying stock on the date of grant. The administrator may also grant SARs and RSUs with terms determined by the administrator in accordance with the Plan. All share-based awards (except for RSUs) granted under the Plan have a life of ten years.</w:t>
      </w:r>
      <w:r>
        <w:rPr>
          <w:rFonts w:eastAsia="Times New Roman"/>
          <w:color w:val="000000"/>
          <w:sz w:val="20"/>
          <w:szCs w:val="20"/>
        </w:rPr>
        <w:t xml:space="preserve"> Most awards vest ratably over four years; </w:t>
      </w:r>
    </w:p>
    <w:p w:rsidR="00000000" w:rsidRDefault="0061405A">
      <w:pPr>
        <w:jc w:val="center"/>
        <w:divId w:val="236793772"/>
        <w:rPr>
          <w:rFonts w:eastAsia="Times New Roman"/>
        </w:rPr>
      </w:pPr>
      <w:r>
        <w:rPr>
          <w:rFonts w:eastAsia="Times New Roman"/>
          <w:color w:val="000000"/>
          <w:sz w:val="20"/>
          <w:szCs w:val="20"/>
        </w:rPr>
        <w:t>65</w:t>
      </w:r>
    </w:p>
    <w:p w:rsidR="00000000" w:rsidRDefault="0061405A">
      <w:pPr>
        <w:rPr>
          <w:rFonts w:eastAsia="Times New Roman"/>
        </w:rPr>
      </w:pPr>
      <w:r>
        <w:rPr>
          <w:rFonts w:eastAsia="Times New Roman"/>
        </w:rPr>
        <w:pict>
          <v:rect id="_x0000_i1092" style="width:0;height:1.5pt" o:hralign="center" o:hrstd="t" o:hr="t" fillcolor="#a0a0a0" stroked="f"/>
        </w:pict>
      </w:r>
    </w:p>
    <w:p w:rsidR="00000000" w:rsidRDefault="0061405A">
      <w:pPr>
        <w:divId w:val="1249118063"/>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center"/>
        <w:divId w:val="705563190"/>
        <w:rPr>
          <w:rFonts w:eastAsia="Times New Roman"/>
        </w:rPr>
      </w:pPr>
      <w:r>
        <w:rPr>
          <w:rFonts w:eastAsia="Times New Roman"/>
          <w:b/>
          <w:bCs/>
          <w:color w:val="000000"/>
          <w:sz w:val="20"/>
          <w:szCs w:val="20"/>
        </w:rPr>
        <w:t>NOODLES &amp; COMPANY</w:t>
      </w:r>
    </w:p>
    <w:p w:rsidR="00000000" w:rsidRDefault="0061405A">
      <w:pPr>
        <w:jc w:val="center"/>
        <w:divId w:val="944531920"/>
        <w:rPr>
          <w:rFonts w:eastAsia="Times New Roman"/>
        </w:rPr>
      </w:pPr>
      <w:r>
        <w:rPr>
          <w:rFonts w:eastAsia="Times New Roman"/>
          <w:b/>
          <w:bCs/>
          <w:color w:val="000000"/>
          <w:sz w:val="20"/>
          <w:szCs w:val="20"/>
        </w:rPr>
        <w:t>NOTES TO CONSOLIDATED FINANCIAL STATEMENTS (Continued)</w:t>
      </w:r>
    </w:p>
    <w:p w:rsidR="00000000" w:rsidRDefault="0061405A">
      <w:pPr>
        <w:jc w:val="center"/>
        <w:divId w:val="159976629"/>
        <w:rPr>
          <w:rFonts w:eastAsia="Times New Roman"/>
        </w:rPr>
      </w:pPr>
    </w:p>
    <w:p w:rsidR="00000000" w:rsidRDefault="0061405A">
      <w:pPr>
        <w:jc w:val="both"/>
        <w:divId w:val="251550161"/>
        <w:rPr>
          <w:rFonts w:eastAsia="Times New Roman"/>
        </w:rPr>
      </w:pPr>
      <w:r>
        <w:rPr>
          <w:rFonts w:eastAsia="Times New Roman"/>
          <w:color w:val="000000"/>
          <w:sz w:val="20"/>
          <w:szCs w:val="20"/>
        </w:rPr>
        <w:t>however, some have been granted with different vesting schedules. Of the awards outstanding, none have been granted to non-employees (except those granted to non-employee members of the Board of Directors of the Company) under the Plan. At December 29, 202</w:t>
      </w:r>
      <w:r>
        <w:rPr>
          <w:rFonts w:eastAsia="Times New Roman"/>
          <w:color w:val="000000"/>
          <w:sz w:val="20"/>
          <w:szCs w:val="20"/>
        </w:rPr>
        <w:t>0, approximately 3.1 million share-based awards were available to be granted under the Plan.</w:t>
      </w:r>
    </w:p>
    <w:p w:rsidR="00000000" w:rsidRDefault="0061405A">
      <w:pPr>
        <w:jc w:val="both"/>
        <w:divId w:val="1395160150"/>
        <w:rPr>
          <w:rFonts w:eastAsia="Times New Roman"/>
        </w:rPr>
      </w:pPr>
      <w:r>
        <w:rPr>
          <w:rFonts w:eastAsia="Times New Roman"/>
          <w:color w:val="000000"/>
          <w:sz w:val="20"/>
          <w:szCs w:val="20"/>
        </w:rPr>
        <w:t>Stock-based compensation expense is generally recognized on a straight-line basis over the service period of the awards. In 2020, 2019 and 2018, non-cash stock-bas</w:t>
      </w:r>
      <w:r>
        <w:rPr>
          <w:rFonts w:eastAsia="Times New Roman"/>
          <w:color w:val="000000"/>
          <w:sz w:val="20"/>
          <w:szCs w:val="20"/>
        </w:rPr>
        <w:t xml:space="preserve">ed compensation expense of $2.6 million, $2.4 million and $3.0 million, respectively, was included in general and administrative expense. </w:t>
      </w:r>
    </w:p>
    <w:p w:rsidR="00000000" w:rsidRDefault="0061405A">
      <w:pPr>
        <w:jc w:val="both"/>
        <w:divId w:val="885457907"/>
        <w:rPr>
          <w:rFonts w:eastAsia="Times New Roman"/>
        </w:rPr>
      </w:pPr>
      <w:r>
        <w:rPr>
          <w:rFonts w:eastAsia="Times New Roman"/>
          <w:color w:val="000000"/>
          <w:sz w:val="20"/>
          <w:szCs w:val="20"/>
        </w:rPr>
        <w:t xml:space="preserve">The estimated fair value of each option granted is calculated using the Black-Scholes option-pricing model. Expected </w:t>
      </w:r>
      <w:r>
        <w:rPr>
          <w:rFonts w:eastAsia="Times New Roman"/>
          <w:color w:val="000000"/>
          <w:sz w:val="20"/>
          <w:szCs w:val="20"/>
        </w:rPr>
        <w:t>volatilities are based on the Company’s historical data and implied volatility. The Company uses historical data to estimate expected employee forfeitures of stock options. The expected life of options granted is management’s best estimate using recent and</w:t>
      </w:r>
      <w:r>
        <w:rPr>
          <w:rFonts w:eastAsia="Times New Roman"/>
          <w:color w:val="000000"/>
          <w:sz w:val="20"/>
          <w:szCs w:val="20"/>
        </w:rPr>
        <w:t xml:space="preserve"> expected transactions. The risk-free rate for periods within the expected life of the option is based on the U.S. Treasury yield curve in effect at the time of grant. The Company did not grant any options in 2020.</w:t>
      </w:r>
    </w:p>
    <w:p w:rsidR="00000000" w:rsidRDefault="0061405A">
      <w:pPr>
        <w:jc w:val="both"/>
        <w:divId w:val="347370183"/>
        <w:rPr>
          <w:rFonts w:eastAsia="Times New Roman"/>
        </w:rPr>
      </w:pPr>
      <w:r>
        <w:rPr>
          <w:rFonts w:eastAsia="Times New Roman"/>
          <w:color w:val="000000"/>
          <w:sz w:val="20"/>
          <w:szCs w:val="20"/>
        </w:rPr>
        <w:t xml:space="preserve">The weighted-average assumptions used in </w:t>
      </w:r>
      <w:r>
        <w:rPr>
          <w:rFonts w:eastAsia="Times New Roman"/>
          <w:color w:val="000000"/>
          <w:sz w:val="20"/>
          <w:szCs w:val="20"/>
        </w:rPr>
        <w:t>the model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821"/>
        <w:gridCol w:w="38"/>
        <w:gridCol w:w="36"/>
        <w:gridCol w:w="36"/>
        <w:gridCol w:w="36"/>
        <w:gridCol w:w="36"/>
        <w:gridCol w:w="36"/>
        <w:gridCol w:w="120"/>
        <w:gridCol w:w="753"/>
        <w:gridCol w:w="187"/>
        <w:gridCol w:w="36"/>
        <w:gridCol w:w="36"/>
        <w:gridCol w:w="36"/>
        <w:gridCol w:w="120"/>
        <w:gridCol w:w="753"/>
        <w:gridCol w:w="187"/>
      </w:tblGrid>
      <w:tr w:rsidR="00000000">
        <w:trPr>
          <w:divId w:val="711418554"/>
        </w:trPr>
        <w:tc>
          <w:tcPr>
            <w:tcW w:w="50" w:type="pct"/>
            <w:vAlign w:val="center"/>
            <w:hideMark/>
          </w:tcPr>
          <w:p w:rsidR="00000000" w:rsidRDefault="0061405A">
            <w:pPr>
              <w:jc w:val="both"/>
              <w:rPr>
                <w:rFonts w:eastAsia="Times New Roman"/>
              </w:rPr>
            </w:pPr>
          </w:p>
        </w:tc>
        <w:tc>
          <w:tcPr>
            <w:tcW w:w="3623"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0" w:type="auto"/>
            <w:vAlign w:val="center"/>
            <w:hideMark/>
          </w:tcPr>
          <w:p w:rsidR="00000000" w:rsidRDefault="0061405A">
            <w:pPr>
              <w:rPr>
                <w:rFonts w:eastAsia="Times New Roman"/>
                <w:sz w:val="20"/>
                <w:szCs w:val="20"/>
              </w:rPr>
            </w:pPr>
          </w:p>
        </w:tc>
        <w:tc>
          <w:tcPr>
            <w:tcW w:w="0" w:type="auto"/>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7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7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711418554"/>
        </w:trPr>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vAlign w:val="center"/>
            <w:hideMark/>
          </w:tcPr>
          <w:p w:rsidR="00000000" w:rsidRDefault="0061405A">
            <w:pPr>
              <w:rPr>
                <w:rFonts w:eastAsia="Times New Roman"/>
                <w:sz w:val="20"/>
                <w:szCs w:val="20"/>
              </w:rPr>
            </w:pPr>
          </w:p>
        </w:tc>
        <w:tc>
          <w:tcPr>
            <w:tcW w:w="0" w:type="auto"/>
            <w:vAlign w:val="center"/>
            <w:hideMark/>
          </w:tcPr>
          <w:p w:rsidR="00000000" w:rsidRDefault="0061405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2018</w:t>
            </w:r>
          </w:p>
        </w:tc>
      </w:tr>
      <w:tr w:rsidR="00000000">
        <w:trPr>
          <w:divId w:val="711418554"/>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Risk-free interest rate</w:t>
            </w:r>
          </w:p>
        </w:tc>
        <w:tc>
          <w:tcPr>
            <w:tcW w:w="0" w:type="auto"/>
            <w:vAlign w:val="center"/>
            <w:hideMark/>
          </w:tcPr>
          <w:p w:rsidR="00000000" w:rsidRDefault="0061405A">
            <w:pPr>
              <w:rPr>
                <w:rFonts w:eastAsia="Times New Roman"/>
              </w:rPr>
            </w:pPr>
          </w:p>
        </w:tc>
        <w:tc>
          <w:tcPr>
            <w:tcW w:w="0" w:type="auto"/>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r>
      <w:tr w:rsidR="00000000">
        <w:trPr>
          <w:divId w:val="711418554"/>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Expected term (average in years)</w:t>
            </w:r>
          </w:p>
        </w:tc>
        <w:tc>
          <w:tcPr>
            <w:tcW w:w="0" w:type="auto"/>
            <w:vAlign w:val="center"/>
            <w:hideMark/>
          </w:tcPr>
          <w:p w:rsidR="00000000" w:rsidRDefault="0061405A">
            <w:pPr>
              <w:rPr>
                <w:rFonts w:eastAsia="Times New Roman"/>
              </w:rPr>
            </w:pPr>
          </w:p>
        </w:tc>
        <w:tc>
          <w:tcPr>
            <w:tcW w:w="0" w:type="auto"/>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6.2</w:t>
            </w: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6.2</w:t>
            </w:r>
          </w:p>
        </w:tc>
      </w:tr>
      <w:tr w:rsidR="00000000">
        <w:trPr>
          <w:divId w:val="711418554"/>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Expected dividend yield</w:t>
            </w:r>
          </w:p>
        </w:tc>
        <w:tc>
          <w:tcPr>
            <w:tcW w:w="0" w:type="auto"/>
            <w:vAlign w:val="center"/>
            <w:hideMark/>
          </w:tcPr>
          <w:p w:rsidR="00000000" w:rsidRDefault="0061405A">
            <w:pPr>
              <w:rPr>
                <w:rFonts w:eastAsia="Times New Roman"/>
              </w:rPr>
            </w:pPr>
          </w:p>
        </w:tc>
        <w:tc>
          <w:tcPr>
            <w:tcW w:w="0" w:type="auto"/>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711418554"/>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Expected volatility</w:t>
            </w:r>
          </w:p>
        </w:tc>
        <w:tc>
          <w:tcPr>
            <w:tcW w:w="0" w:type="auto"/>
            <w:vAlign w:val="center"/>
            <w:hideMark/>
          </w:tcPr>
          <w:p w:rsidR="00000000" w:rsidRDefault="0061405A">
            <w:pPr>
              <w:rPr>
                <w:rFonts w:eastAsia="Times New Roman"/>
              </w:rPr>
            </w:pPr>
          </w:p>
        </w:tc>
        <w:tc>
          <w:tcPr>
            <w:tcW w:w="0" w:type="auto"/>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55.7 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51.0 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r>
      <w:tr w:rsidR="00000000">
        <w:trPr>
          <w:divId w:val="711418554"/>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Weighted-average Black-Scholes fair value per share at date of grant</w:t>
            </w:r>
          </w:p>
        </w:tc>
        <w:tc>
          <w:tcPr>
            <w:tcW w:w="0" w:type="auto"/>
            <w:vAlign w:val="center"/>
            <w:hideMark/>
          </w:tcPr>
          <w:p w:rsidR="00000000" w:rsidRDefault="0061405A">
            <w:pPr>
              <w:rPr>
                <w:rFonts w:eastAsia="Times New Roman"/>
              </w:rPr>
            </w:pPr>
          </w:p>
        </w:tc>
        <w:tc>
          <w:tcPr>
            <w:tcW w:w="0" w:type="auto"/>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4.16 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5.11 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bl>
    <w:p w:rsidR="00000000" w:rsidRDefault="0061405A">
      <w:pPr>
        <w:jc w:val="both"/>
        <w:divId w:val="794254257"/>
        <w:rPr>
          <w:rFonts w:eastAsia="Times New Roman"/>
        </w:rPr>
      </w:pPr>
      <w:r>
        <w:rPr>
          <w:rFonts w:eastAsia="Times New Roman"/>
          <w:color w:val="000000"/>
          <w:sz w:val="20"/>
          <w:szCs w:val="20"/>
        </w:rPr>
        <w:t xml:space="preserve">The Company has estimated forfeiture rates that average </w:t>
      </w:r>
      <w:r>
        <w:rPr>
          <w:rFonts w:eastAsia="Times New Roman"/>
          <w:color w:val="000000"/>
          <w:sz w:val="20"/>
          <w:szCs w:val="20"/>
          <w:shd w:val="clear" w:color="auto" w:fill="FFFFFF"/>
        </w:rPr>
        <w:t>18%</w:t>
      </w:r>
      <w:r>
        <w:rPr>
          <w:rFonts w:eastAsia="Times New Roman"/>
          <w:color w:val="000000"/>
          <w:sz w:val="20"/>
          <w:szCs w:val="20"/>
        </w:rPr>
        <w:t xml:space="preserve"> based upon the class of employees receiving stock-based compensation in its calculation of stock-based compensation expense for the year ended December 29, 2020. These estimates are based on histo</w:t>
      </w:r>
      <w:r>
        <w:rPr>
          <w:rFonts w:eastAsia="Times New Roman"/>
          <w:color w:val="000000"/>
          <w:sz w:val="20"/>
          <w:szCs w:val="20"/>
        </w:rPr>
        <w:t>rical forfeiture behavior exhibited by employees of the Company.</w:t>
      </w:r>
    </w:p>
    <w:p w:rsidR="00000000" w:rsidRDefault="0061405A">
      <w:pPr>
        <w:jc w:val="both"/>
        <w:divId w:val="848912602"/>
        <w:rPr>
          <w:rFonts w:eastAsia="Times New Roman"/>
        </w:rPr>
      </w:pPr>
      <w:r>
        <w:rPr>
          <w:rFonts w:eastAsia="Times New Roman"/>
          <w:color w:val="000000"/>
          <w:sz w:val="20"/>
          <w:szCs w:val="20"/>
        </w:rPr>
        <w:t>A summary of aggregate option award activity under the Plan as of December </w:t>
      </w:r>
      <w:r>
        <w:rPr>
          <w:rFonts w:eastAsia="Times New Roman"/>
          <w:color w:val="000000"/>
          <w:sz w:val="20"/>
          <w:szCs w:val="20"/>
        </w:rPr>
        <w:t>29, 2020, and changes during the fiscal year then ended is presented below:</w:t>
      </w:r>
    </w:p>
    <w:tbl>
      <w:tblPr>
        <w:tblW w:w="4985" w:type="pct"/>
        <w:tblCellMar>
          <w:top w:w="15" w:type="dxa"/>
          <w:left w:w="15" w:type="dxa"/>
          <w:bottom w:w="15" w:type="dxa"/>
          <w:right w:w="15" w:type="dxa"/>
        </w:tblCellMar>
        <w:tblLook w:val="04A0" w:firstRow="1" w:lastRow="0" w:firstColumn="1" w:lastColumn="0" w:noHBand="0" w:noVBand="1"/>
      </w:tblPr>
      <w:tblGrid>
        <w:gridCol w:w="46"/>
        <w:gridCol w:w="3262"/>
        <w:gridCol w:w="36"/>
        <w:gridCol w:w="36"/>
        <w:gridCol w:w="36"/>
        <w:gridCol w:w="36"/>
        <w:gridCol w:w="67"/>
        <w:gridCol w:w="918"/>
        <w:gridCol w:w="36"/>
        <w:gridCol w:w="36"/>
        <w:gridCol w:w="36"/>
        <w:gridCol w:w="36"/>
        <w:gridCol w:w="121"/>
        <w:gridCol w:w="954"/>
        <w:gridCol w:w="36"/>
        <w:gridCol w:w="36"/>
        <w:gridCol w:w="36"/>
        <w:gridCol w:w="36"/>
        <w:gridCol w:w="54"/>
        <w:gridCol w:w="1172"/>
        <w:gridCol w:w="36"/>
        <w:gridCol w:w="36"/>
        <w:gridCol w:w="36"/>
        <w:gridCol w:w="36"/>
        <w:gridCol w:w="121"/>
        <w:gridCol w:w="954"/>
        <w:gridCol w:w="36"/>
      </w:tblGrid>
      <w:tr w:rsidR="00000000">
        <w:trPr>
          <w:divId w:val="2027050418"/>
        </w:trPr>
        <w:tc>
          <w:tcPr>
            <w:tcW w:w="50" w:type="pct"/>
            <w:vAlign w:val="center"/>
            <w:hideMark/>
          </w:tcPr>
          <w:p w:rsidR="00000000" w:rsidRDefault="0061405A">
            <w:pPr>
              <w:jc w:val="both"/>
              <w:rPr>
                <w:rFonts w:eastAsia="Times New Roman"/>
              </w:rPr>
            </w:pPr>
          </w:p>
        </w:tc>
        <w:tc>
          <w:tcPr>
            <w:tcW w:w="1991"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6"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607"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6"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61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6"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751"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6"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61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2027050418"/>
        </w:trPr>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Awards</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Exercise Price</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Weighted-Average Remaining Contractual Term</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Aggregate</w:t>
            </w:r>
            <w:r>
              <w:rPr>
                <w:rFonts w:eastAsia="Times New Roman"/>
                <w:b/>
                <w:bCs/>
                <w:color w:val="000000"/>
                <w:sz w:val="16"/>
                <w:szCs w:val="16"/>
              </w:rPr>
              <w:br/>
            </w:r>
            <w:r>
              <w:rPr>
                <w:rFonts w:eastAsia="Times New Roman"/>
                <w:b/>
                <w:bCs/>
                <w:color w:val="000000"/>
                <w:sz w:val="16"/>
                <w:szCs w:val="16"/>
              </w:rPr>
              <w:t>Intrinsic Value (1)</w:t>
            </w:r>
            <w:r>
              <w:rPr>
                <w:rFonts w:eastAsia="Times New Roman"/>
                <w:b/>
                <w:bCs/>
                <w:color w:val="000000"/>
                <w:sz w:val="16"/>
                <w:szCs w:val="16"/>
              </w:rPr>
              <w:br/>
              <w:t>(in thousands)</w:t>
            </w:r>
          </w:p>
        </w:tc>
      </w:tr>
      <w:tr w:rsidR="00000000">
        <w:trPr>
          <w:divId w:val="2027050418"/>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Outstanding—December 31, 2019</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1,212,071 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11.67 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2027050418"/>
        </w:trPr>
        <w:tc>
          <w:tcPr>
            <w:tcW w:w="0" w:type="auto"/>
            <w:gridSpan w:val="3"/>
            <w:shd w:val="clear" w:color="auto" w:fill="FFFFFF"/>
            <w:tcMar>
              <w:top w:w="30" w:type="dxa"/>
              <w:left w:w="380" w:type="dxa"/>
              <w:bottom w:w="30" w:type="dxa"/>
              <w:right w:w="20" w:type="dxa"/>
            </w:tcMar>
            <w:vAlign w:val="bottom"/>
            <w:hideMark/>
          </w:tcPr>
          <w:p w:rsidR="00000000" w:rsidRDefault="0061405A">
            <w:pPr>
              <w:rPr>
                <w:rFonts w:eastAsia="Times New Roman"/>
              </w:rPr>
            </w:pPr>
            <w:r>
              <w:rPr>
                <w:rFonts w:eastAsia="Times New Roman"/>
                <w:color w:val="000000"/>
                <w:sz w:val="20"/>
                <w:szCs w:val="20"/>
              </w:rPr>
              <w:t>Granted</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2027050418"/>
        </w:trPr>
        <w:tc>
          <w:tcPr>
            <w:tcW w:w="0" w:type="auto"/>
            <w:gridSpan w:val="3"/>
            <w:shd w:val="clear" w:color="auto" w:fill="CCEEFF"/>
            <w:tcMar>
              <w:top w:w="30" w:type="dxa"/>
              <w:left w:w="380" w:type="dxa"/>
              <w:bottom w:w="30" w:type="dxa"/>
              <w:right w:w="20" w:type="dxa"/>
            </w:tcMar>
            <w:vAlign w:val="bottom"/>
            <w:hideMark/>
          </w:tcPr>
          <w:p w:rsidR="00000000" w:rsidRDefault="0061405A">
            <w:pPr>
              <w:rPr>
                <w:rFonts w:eastAsia="Times New Roman"/>
              </w:rPr>
            </w:pPr>
            <w:r>
              <w:rPr>
                <w:rFonts w:eastAsia="Times New Roman"/>
                <w:color w:val="000000"/>
                <w:sz w:val="20"/>
                <w:szCs w:val="20"/>
              </w:rPr>
              <w:t>Forfeited or expired</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(261,919)</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8.69 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2027050418"/>
        </w:trPr>
        <w:tc>
          <w:tcPr>
            <w:tcW w:w="0" w:type="auto"/>
            <w:gridSpan w:val="3"/>
            <w:shd w:val="clear" w:color="auto" w:fill="FFFFFF"/>
            <w:tcMar>
              <w:top w:w="30" w:type="dxa"/>
              <w:left w:w="380" w:type="dxa"/>
              <w:bottom w:w="30" w:type="dxa"/>
              <w:right w:w="20" w:type="dxa"/>
            </w:tcMar>
            <w:vAlign w:val="bottom"/>
            <w:hideMark/>
          </w:tcPr>
          <w:p w:rsidR="00000000" w:rsidRDefault="0061405A">
            <w:pPr>
              <w:rPr>
                <w:rFonts w:eastAsia="Times New Roman"/>
              </w:rPr>
            </w:pPr>
            <w:r>
              <w:rPr>
                <w:rFonts w:eastAsia="Times New Roman"/>
                <w:color w:val="000000"/>
                <w:sz w:val="20"/>
                <w:szCs w:val="20"/>
              </w:rPr>
              <w:t>Exercised</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(10,799)</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5.82 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2027050418"/>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Outstanding—December 29, 2020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939,353 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12.57 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5.21</w:t>
            </w: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27050418"/>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Vested and expected to vest</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917,745 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12.68 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5.13</w:t>
            </w: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528 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27050418"/>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Exercisable as of December 29, 2020</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753,883 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13.77 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4.52</w:t>
            </w: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364 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bl>
    <w:p w:rsidR="00000000" w:rsidRDefault="0061405A">
      <w:pPr>
        <w:divId w:val="759369555"/>
        <w:rPr>
          <w:rFonts w:eastAsia="Times New Roman"/>
        </w:rPr>
      </w:pPr>
      <w:r>
        <w:rPr>
          <w:rFonts w:eastAsia="Times New Roman"/>
          <w:color w:val="000000"/>
          <w:sz w:val="20"/>
          <w:szCs w:val="20"/>
        </w:rPr>
        <w:t>_____________</w:t>
      </w:r>
    </w:p>
    <w:p w:rsidR="00000000" w:rsidRDefault="0061405A">
      <w:pPr>
        <w:ind w:hanging="720"/>
        <w:divId w:val="1661932895"/>
        <w:rPr>
          <w:rFonts w:eastAsia="Times New Roman"/>
        </w:rPr>
      </w:pPr>
      <w:r>
        <w:rPr>
          <w:rFonts w:eastAsia="Times New Roman"/>
          <w:color w:val="000000"/>
          <w:sz w:val="16"/>
          <w:szCs w:val="16"/>
        </w:rPr>
        <w:t>(1)Aggregate intrinsic value represents the amount by which fai</w:t>
      </w:r>
      <w:r>
        <w:rPr>
          <w:rFonts w:eastAsia="Times New Roman"/>
          <w:color w:val="000000"/>
          <w:sz w:val="16"/>
          <w:szCs w:val="16"/>
        </w:rPr>
        <w:t xml:space="preserve">r value of the Company’s stock exceeds the exercise price of the option as of December 29, 2020. </w:t>
      </w:r>
    </w:p>
    <w:p w:rsidR="00000000" w:rsidRDefault="0061405A">
      <w:pPr>
        <w:jc w:val="both"/>
        <w:divId w:val="1862208205"/>
        <w:rPr>
          <w:rFonts w:eastAsia="Times New Roman"/>
        </w:rPr>
      </w:pPr>
      <w:r>
        <w:rPr>
          <w:rFonts w:eastAsia="Times New Roman"/>
          <w:color w:val="000000"/>
          <w:sz w:val="20"/>
          <w:szCs w:val="20"/>
        </w:rPr>
        <w:t xml:space="preserve">The weighted-average grant-date fair value of options granted during the years ended December 31, 2019 and January 1, 2019 was $4.16 and $5.11, respectively. </w:t>
      </w:r>
      <w:r>
        <w:rPr>
          <w:rFonts w:eastAsia="Times New Roman"/>
          <w:color w:val="000000"/>
          <w:sz w:val="20"/>
          <w:szCs w:val="20"/>
        </w:rPr>
        <w:t xml:space="preserve">There were no options granted in the year ended December 29, 2020. The intrinsic value associated with options exercised was zero, zero and $0.3 million for the fiscal years ended December 29, 2020, December 31, 2019 and January 1, 2019, respectively. The </w:t>
      </w:r>
      <w:r>
        <w:rPr>
          <w:rFonts w:eastAsia="Times New Roman"/>
          <w:color w:val="000000"/>
          <w:sz w:val="20"/>
          <w:szCs w:val="20"/>
        </w:rPr>
        <w:t>Company had 120,349, 203,254 and 204,399 options that vested during the years ended December 29, 2020, December 31, 2019 and January 1, 2019, respectively. These awards had a total estimated fair value of $0.8 million, $1.4 million, and $1.9 million at the</w:t>
      </w:r>
      <w:r>
        <w:rPr>
          <w:rFonts w:eastAsia="Times New Roman"/>
          <w:color w:val="000000"/>
          <w:sz w:val="20"/>
          <w:szCs w:val="20"/>
        </w:rPr>
        <w:t xml:space="preserve"> date of vesting for the years ended December 29, 2020, December 31, 2019 and January 1, 2019, respectively.</w:t>
      </w:r>
    </w:p>
    <w:p w:rsidR="00000000" w:rsidRDefault="0061405A">
      <w:pPr>
        <w:jc w:val="center"/>
        <w:divId w:val="1685865605"/>
        <w:rPr>
          <w:rFonts w:eastAsia="Times New Roman"/>
        </w:rPr>
      </w:pPr>
      <w:r>
        <w:rPr>
          <w:rFonts w:eastAsia="Times New Roman"/>
          <w:color w:val="000000"/>
          <w:sz w:val="20"/>
          <w:szCs w:val="20"/>
        </w:rPr>
        <w:t>66</w:t>
      </w:r>
    </w:p>
    <w:p w:rsidR="00000000" w:rsidRDefault="0061405A">
      <w:pPr>
        <w:rPr>
          <w:rFonts w:eastAsia="Times New Roman"/>
        </w:rPr>
      </w:pPr>
      <w:r>
        <w:rPr>
          <w:rFonts w:eastAsia="Times New Roman"/>
        </w:rPr>
        <w:pict>
          <v:rect id="_x0000_i1093" style="width:0;height:1.5pt" o:hralign="center" o:hrstd="t" o:hr="t" fillcolor="#a0a0a0" stroked="f"/>
        </w:pict>
      </w:r>
    </w:p>
    <w:p w:rsidR="00000000" w:rsidRDefault="0061405A">
      <w:pPr>
        <w:divId w:val="1571651536"/>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center"/>
        <w:divId w:val="1807157907"/>
        <w:rPr>
          <w:rFonts w:eastAsia="Times New Roman"/>
        </w:rPr>
      </w:pPr>
      <w:r>
        <w:rPr>
          <w:rFonts w:eastAsia="Times New Roman"/>
          <w:b/>
          <w:bCs/>
          <w:color w:val="000000"/>
          <w:sz w:val="20"/>
          <w:szCs w:val="20"/>
        </w:rPr>
        <w:t>NOODLES &amp; COMPANY</w:t>
      </w:r>
    </w:p>
    <w:p w:rsidR="00000000" w:rsidRDefault="0061405A">
      <w:pPr>
        <w:jc w:val="center"/>
        <w:divId w:val="605383216"/>
        <w:rPr>
          <w:rFonts w:eastAsia="Times New Roman"/>
        </w:rPr>
      </w:pPr>
      <w:r>
        <w:rPr>
          <w:rFonts w:eastAsia="Times New Roman"/>
          <w:b/>
          <w:bCs/>
          <w:color w:val="000000"/>
          <w:sz w:val="20"/>
          <w:szCs w:val="20"/>
        </w:rPr>
        <w:t>NOTES TO CONSOLIDATED FINANCIAL STATEMENTS (Continued)</w:t>
      </w:r>
    </w:p>
    <w:p w:rsidR="00000000" w:rsidRDefault="0061405A">
      <w:pPr>
        <w:jc w:val="center"/>
        <w:divId w:val="1779061524"/>
        <w:rPr>
          <w:rFonts w:eastAsia="Times New Roman"/>
        </w:rPr>
      </w:pPr>
    </w:p>
    <w:p w:rsidR="00000000" w:rsidRDefault="0061405A">
      <w:pPr>
        <w:jc w:val="both"/>
        <w:divId w:val="26025661"/>
        <w:rPr>
          <w:rFonts w:eastAsia="Times New Roman"/>
        </w:rPr>
      </w:pPr>
      <w:r>
        <w:rPr>
          <w:rFonts w:eastAsia="Times New Roman"/>
          <w:color w:val="000000"/>
          <w:sz w:val="20"/>
          <w:szCs w:val="20"/>
        </w:rPr>
        <w:t xml:space="preserve">A summary of the status of the Company’s non-vested restricted share units as of December 29, 2020 and changes during the year then ended is presented below: </w:t>
      </w:r>
    </w:p>
    <w:tbl>
      <w:tblPr>
        <w:tblW w:w="5000" w:type="pct"/>
        <w:jc w:val="center"/>
        <w:tblCellMar>
          <w:top w:w="15" w:type="dxa"/>
          <w:left w:w="15" w:type="dxa"/>
          <w:bottom w:w="15" w:type="dxa"/>
          <w:right w:w="15" w:type="dxa"/>
        </w:tblCellMar>
        <w:tblLook w:val="04A0" w:firstRow="1" w:lastRow="0" w:firstColumn="1" w:lastColumn="0" w:noHBand="0" w:noVBand="1"/>
      </w:tblPr>
      <w:tblGrid>
        <w:gridCol w:w="50"/>
        <w:gridCol w:w="4555"/>
        <w:gridCol w:w="36"/>
        <w:gridCol w:w="36"/>
        <w:gridCol w:w="36"/>
        <w:gridCol w:w="36"/>
        <w:gridCol w:w="42"/>
        <w:gridCol w:w="1611"/>
        <w:gridCol w:w="36"/>
        <w:gridCol w:w="36"/>
        <w:gridCol w:w="36"/>
        <w:gridCol w:w="36"/>
        <w:gridCol w:w="121"/>
        <w:gridCol w:w="1603"/>
        <w:gridCol w:w="36"/>
      </w:tblGrid>
      <w:tr w:rsidR="00000000">
        <w:trPr>
          <w:divId w:val="1149665050"/>
          <w:jc w:val="center"/>
        </w:trPr>
        <w:tc>
          <w:tcPr>
            <w:tcW w:w="50" w:type="pct"/>
            <w:vAlign w:val="center"/>
            <w:hideMark/>
          </w:tcPr>
          <w:p w:rsidR="00000000" w:rsidRDefault="0061405A">
            <w:pPr>
              <w:jc w:val="both"/>
              <w:rPr>
                <w:rFonts w:eastAsia="Times New Roman"/>
              </w:rPr>
            </w:pPr>
          </w:p>
        </w:tc>
        <w:tc>
          <w:tcPr>
            <w:tcW w:w="2761"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1001"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1001"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1149665050"/>
          <w:jc w:val="center"/>
        </w:trPr>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8"/>
                <w:szCs w:val="18"/>
              </w:rPr>
              <w:t>Awards</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8"/>
                <w:szCs w:val="18"/>
              </w:rPr>
              <w:t>Weighted-</w:t>
            </w:r>
            <w:r>
              <w:rPr>
                <w:rFonts w:eastAsia="Times New Roman"/>
                <w:b/>
                <w:bCs/>
                <w:color w:val="000000"/>
                <w:sz w:val="18"/>
                <w:szCs w:val="18"/>
              </w:rPr>
              <w:br/>
              <w:t>Average</w:t>
            </w:r>
            <w:r>
              <w:rPr>
                <w:rFonts w:eastAsia="Times New Roman"/>
                <w:b/>
                <w:bCs/>
                <w:color w:val="000000"/>
                <w:sz w:val="18"/>
                <w:szCs w:val="18"/>
              </w:rPr>
              <w:br/>
              <w:t>Grant Date Fair Value</w:t>
            </w:r>
          </w:p>
        </w:tc>
      </w:tr>
      <w:tr w:rsidR="00000000">
        <w:trPr>
          <w:divId w:val="1149665050"/>
          <w:jc w:val="center"/>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Outstanding—January 1, 2020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742,581 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7.60 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49665050"/>
          <w:jc w:val="center"/>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Granted</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886,227 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5.77 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49665050"/>
          <w:jc w:val="center"/>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Vested</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(268,807)</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7.45 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49665050"/>
          <w:jc w:val="center"/>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Forfeited</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(204,675)</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7.27 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149665050"/>
          <w:jc w:val="center"/>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Non-vested at December 29, 2020</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1,155,326 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6.29 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bl>
    <w:p w:rsidR="00000000" w:rsidRDefault="0061405A">
      <w:pPr>
        <w:jc w:val="both"/>
        <w:divId w:val="825320498"/>
        <w:rPr>
          <w:rFonts w:eastAsia="Times New Roman"/>
        </w:rPr>
      </w:pPr>
      <w:r>
        <w:rPr>
          <w:rFonts w:eastAsia="Times New Roman"/>
          <w:color w:val="000000"/>
          <w:sz w:val="20"/>
          <w:szCs w:val="20"/>
        </w:rPr>
        <w:t>The Company had 268,807 restricted stock units that vested during the year ended December </w:t>
      </w:r>
      <w:r>
        <w:rPr>
          <w:rFonts w:eastAsia="Times New Roman"/>
          <w:color w:val="000000"/>
          <w:sz w:val="20"/>
          <w:szCs w:val="20"/>
        </w:rPr>
        <w:t>29, 2020. These units had a total estimated fair value of $1.2 million at the date of vesting for the year ended December 29, 2020.</w:t>
      </w:r>
    </w:p>
    <w:p w:rsidR="00000000" w:rsidRDefault="0061405A">
      <w:pPr>
        <w:jc w:val="both"/>
        <w:divId w:val="2001998548"/>
        <w:rPr>
          <w:rFonts w:eastAsia="Times New Roman"/>
        </w:rPr>
      </w:pPr>
      <w:r>
        <w:rPr>
          <w:rFonts w:eastAsia="Times New Roman"/>
          <w:color w:val="000000"/>
          <w:sz w:val="20"/>
          <w:szCs w:val="20"/>
        </w:rPr>
        <w:t xml:space="preserve">As of December 29, 2020, there was $7.3 </w:t>
      </w:r>
      <w:r>
        <w:rPr>
          <w:rFonts w:eastAsia="Times New Roman"/>
          <w:color w:val="000000"/>
          <w:sz w:val="20"/>
          <w:szCs w:val="20"/>
        </w:rPr>
        <w:t xml:space="preserve">million of unrecognized compensation cost related to non-vested share-based compensation arrangements granted under the Plan, which is expected to be recognized over 2.5 years. </w:t>
      </w:r>
    </w:p>
    <w:p w:rsidR="00000000" w:rsidRDefault="0061405A">
      <w:pPr>
        <w:jc w:val="both"/>
        <w:divId w:val="1402748792"/>
        <w:rPr>
          <w:rFonts w:eastAsia="Times New Roman"/>
        </w:rPr>
      </w:pPr>
    </w:p>
    <w:p w:rsidR="00000000" w:rsidRDefault="0061405A">
      <w:pPr>
        <w:jc w:val="both"/>
        <w:divId w:val="1922760899"/>
        <w:rPr>
          <w:rFonts w:eastAsia="Times New Roman"/>
        </w:rPr>
      </w:pPr>
      <w:r>
        <w:rPr>
          <w:rFonts w:eastAsia="Times New Roman"/>
          <w:b/>
          <w:bCs/>
          <w:color w:val="000000"/>
          <w:sz w:val="20"/>
          <w:szCs w:val="20"/>
        </w:rPr>
        <w:t>10. (Loss) Earnings Per Share</w:t>
      </w:r>
    </w:p>
    <w:p w:rsidR="00000000" w:rsidRDefault="0061405A">
      <w:pPr>
        <w:jc w:val="both"/>
        <w:divId w:val="1030229999"/>
        <w:rPr>
          <w:rFonts w:eastAsia="Times New Roman"/>
        </w:rPr>
      </w:pPr>
      <w:r>
        <w:rPr>
          <w:rFonts w:eastAsia="Times New Roman"/>
          <w:color w:val="000000"/>
          <w:sz w:val="20"/>
          <w:szCs w:val="20"/>
        </w:rPr>
        <w:t>Basic (loss) earnings per share (“EPS”) is cal</w:t>
      </w:r>
      <w:r>
        <w:rPr>
          <w:rFonts w:eastAsia="Times New Roman"/>
          <w:color w:val="000000"/>
          <w:sz w:val="20"/>
          <w:szCs w:val="20"/>
        </w:rPr>
        <w:t>culated by dividing net (loss) income available to common shareholders by the weighted-average number of shares of common stock outstanding during each period. Diluted EPS is calculated using net (loss) income available to common stockholders divided by di</w:t>
      </w:r>
      <w:r>
        <w:rPr>
          <w:rFonts w:eastAsia="Times New Roman"/>
          <w:color w:val="000000"/>
          <w:sz w:val="20"/>
          <w:szCs w:val="20"/>
        </w:rPr>
        <w:t>luted weighted-average shares of common stock outstanding during each period. Potentially dilutive securities include shares of common stock underlying stock options and restricted common stock. Diluted EPS considers the impact of potentially dilutive secu</w:t>
      </w:r>
      <w:r>
        <w:rPr>
          <w:rFonts w:eastAsia="Times New Roman"/>
          <w:color w:val="000000"/>
          <w:sz w:val="20"/>
          <w:szCs w:val="20"/>
        </w:rPr>
        <w:t>rities except in periods in which there is a loss because the inclusion of the potential common shares would have an anti-dilutive effect.</w:t>
      </w:r>
    </w:p>
    <w:p w:rsidR="00000000" w:rsidRDefault="0061405A">
      <w:pPr>
        <w:jc w:val="both"/>
        <w:divId w:val="1596745056"/>
        <w:rPr>
          <w:rFonts w:eastAsia="Times New Roman"/>
        </w:rPr>
      </w:pPr>
      <w:r>
        <w:rPr>
          <w:rFonts w:eastAsia="Times New Roman"/>
          <w:color w:val="000000"/>
          <w:sz w:val="20"/>
          <w:szCs w:val="20"/>
        </w:rPr>
        <w:t>The following table sets forth the computations of basic and diluted EPS (in thousands, except share and per share da</w:t>
      </w:r>
      <w:r>
        <w:rPr>
          <w:rFonts w:eastAsia="Times New Roman"/>
          <w:color w:val="000000"/>
          <w:sz w:val="20"/>
          <w:szCs w:val="20"/>
        </w:rPr>
        <w:t>ta):</w:t>
      </w:r>
    </w:p>
    <w:tbl>
      <w:tblPr>
        <w:tblW w:w="5000" w:type="pct"/>
        <w:tblCellMar>
          <w:top w:w="15" w:type="dxa"/>
          <w:left w:w="15" w:type="dxa"/>
          <w:bottom w:w="15" w:type="dxa"/>
          <w:right w:w="15" w:type="dxa"/>
        </w:tblCellMar>
        <w:tblLook w:val="04A0" w:firstRow="1" w:lastRow="0" w:firstColumn="1" w:lastColumn="0" w:noHBand="0" w:noVBand="1"/>
      </w:tblPr>
      <w:tblGrid>
        <w:gridCol w:w="38"/>
        <w:gridCol w:w="4763"/>
        <w:gridCol w:w="37"/>
        <w:gridCol w:w="36"/>
        <w:gridCol w:w="36"/>
        <w:gridCol w:w="36"/>
        <w:gridCol w:w="121"/>
        <w:gridCol w:w="891"/>
        <w:gridCol w:w="36"/>
        <w:gridCol w:w="36"/>
        <w:gridCol w:w="36"/>
        <w:gridCol w:w="36"/>
        <w:gridCol w:w="121"/>
        <w:gridCol w:w="891"/>
        <w:gridCol w:w="36"/>
        <w:gridCol w:w="36"/>
        <w:gridCol w:w="36"/>
        <w:gridCol w:w="36"/>
        <w:gridCol w:w="121"/>
        <w:gridCol w:w="891"/>
        <w:gridCol w:w="36"/>
      </w:tblGrid>
      <w:tr w:rsidR="00000000">
        <w:trPr>
          <w:divId w:val="20516984"/>
        </w:trPr>
        <w:tc>
          <w:tcPr>
            <w:tcW w:w="50" w:type="pct"/>
            <w:vAlign w:val="center"/>
            <w:hideMark/>
          </w:tcPr>
          <w:p w:rsidR="00000000" w:rsidRDefault="0061405A">
            <w:pPr>
              <w:jc w:val="both"/>
              <w:rPr>
                <w:rFonts w:eastAsia="Times New Roman"/>
              </w:rPr>
            </w:pPr>
          </w:p>
        </w:tc>
        <w:tc>
          <w:tcPr>
            <w:tcW w:w="2962"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7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7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7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20516984"/>
        </w:trPr>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2018</w:t>
            </w:r>
          </w:p>
        </w:tc>
      </w:tr>
      <w:tr w:rsidR="00000000">
        <w:trPr>
          <w:divId w:val="20516984"/>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Net (loss) income attributable to common stockholders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(23,259)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1,647 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(8,441)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516984"/>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Shares: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 </w:t>
            </w:r>
          </w:p>
        </w:tc>
      </w:tr>
      <w:tr w:rsidR="00000000">
        <w:trPr>
          <w:divId w:val="20516984"/>
        </w:trPr>
        <w:tc>
          <w:tcPr>
            <w:tcW w:w="0" w:type="auto"/>
            <w:gridSpan w:val="3"/>
            <w:shd w:val="clear" w:color="auto" w:fill="CCEEFF"/>
            <w:tcMar>
              <w:top w:w="30" w:type="dxa"/>
              <w:left w:w="155" w:type="dxa"/>
              <w:bottom w:w="30" w:type="dxa"/>
              <w:right w:w="20" w:type="dxa"/>
            </w:tcMar>
            <w:vAlign w:val="bottom"/>
            <w:hideMark/>
          </w:tcPr>
          <w:p w:rsidR="00000000" w:rsidRDefault="0061405A">
            <w:pPr>
              <w:rPr>
                <w:rFonts w:eastAsia="Times New Roman"/>
              </w:rPr>
            </w:pPr>
            <w:r>
              <w:rPr>
                <w:rFonts w:eastAsia="Times New Roman"/>
                <w:color w:val="000000"/>
                <w:sz w:val="20"/>
                <w:szCs w:val="20"/>
              </w:rPr>
              <w:t>Basic weighted average shares outstanding</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44,272,474 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44,036,947 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42,329,556 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516984"/>
        </w:trPr>
        <w:tc>
          <w:tcPr>
            <w:tcW w:w="0" w:type="auto"/>
            <w:gridSpan w:val="3"/>
            <w:shd w:val="clear" w:color="auto" w:fill="FFFFFF"/>
            <w:tcMar>
              <w:top w:w="30" w:type="dxa"/>
              <w:left w:w="155" w:type="dxa"/>
              <w:bottom w:w="30" w:type="dxa"/>
              <w:right w:w="20" w:type="dxa"/>
            </w:tcMar>
            <w:vAlign w:val="bottom"/>
            <w:hideMark/>
          </w:tcPr>
          <w:p w:rsidR="00000000" w:rsidRDefault="0061405A">
            <w:pPr>
              <w:rPr>
                <w:rFonts w:eastAsia="Times New Roman"/>
              </w:rPr>
            </w:pPr>
            <w:r>
              <w:rPr>
                <w:rFonts w:eastAsia="Times New Roman"/>
                <w:color w:val="000000"/>
                <w:sz w:val="20"/>
                <w:szCs w:val="20"/>
              </w:rPr>
              <w:t>Effect of dilutive securities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939,489 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516984"/>
        </w:trPr>
        <w:tc>
          <w:tcPr>
            <w:tcW w:w="0" w:type="auto"/>
            <w:gridSpan w:val="3"/>
            <w:shd w:val="clear" w:color="auto" w:fill="CCEEFF"/>
            <w:tcMar>
              <w:top w:w="30" w:type="dxa"/>
              <w:left w:w="155" w:type="dxa"/>
              <w:bottom w:w="30" w:type="dxa"/>
              <w:right w:w="20" w:type="dxa"/>
            </w:tcMar>
            <w:vAlign w:val="bottom"/>
            <w:hideMark/>
          </w:tcPr>
          <w:p w:rsidR="00000000" w:rsidRDefault="0061405A">
            <w:pPr>
              <w:rPr>
                <w:rFonts w:eastAsia="Times New Roman"/>
              </w:rPr>
            </w:pPr>
            <w:r>
              <w:rPr>
                <w:rFonts w:eastAsia="Times New Roman"/>
                <w:color w:val="000000"/>
                <w:sz w:val="20"/>
                <w:szCs w:val="20"/>
              </w:rPr>
              <w:t>Diluted weighted average number of shares outstanding</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44,272,474 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44,976,436 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42,329,556 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516984"/>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(Loss) earnings per share:</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 </w:t>
            </w:r>
          </w:p>
        </w:tc>
      </w:tr>
      <w:tr w:rsidR="00000000">
        <w:trPr>
          <w:divId w:val="20516984"/>
        </w:trPr>
        <w:tc>
          <w:tcPr>
            <w:tcW w:w="0" w:type="auto"/>
            <w:gridSpan w:val="3"/>
            <w:shd w:val="clear" w:color="auto" w:fill="CCEEFF"/>
            <w:tcMar>
              <w:top w:w="30" w:type="dxa"/>
              <w:left w:w="155" w:type="dxa"/>
              <w:bottom w:w="30" w:type="dxa"/>
              <w:right w:w="20" w:type="dxa"/>
            </w:tcMar>
            <w:vAlign w:val="bottom"/>
            <w:hideMark/>
          </w:tcPr>
          <w:p w:rsidR="00000000" w:rsidRDefault="0061405A">
            <w:pPr>
              <w:rPr>
                <w:rFonts w:eastAsia="Times New Roman"/>
              </w:rPr>
            </w:pPr>
            <w:r>
              <w:rPr>
                <w:rFonts w:eastAsia="Times New Roman"/>
                <w:color w:val="000000"/>
                <w:sz w:val="20"/>
                <w:szCs w:val="20"/>
              </w:rPr>
              <w:t>Basic (loss) earnings per share</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(0.53)</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0.04 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(0.20)</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516984"/>
        </w:trPr>
        <w:tc>
          <w:tcPr>
            <w:tcW w:w="0" w:type="auto"/>
            <w:gridSpan w:val="3"/>
            <w:shd w:val="clear" w:color="auto" w:fill="FFFFFF"/>
            <w:tcMar>
              <w:top w:w="30" w:type="dxa"/>
              <w:left w:w="155" w:type="dxa"/>
              <w:bottom w:w="30" w:type="dxa"/>
              <w:right w:w="20" w:type="dxa"/>
            </w:tcMar>
            <w:vAlign w:val="bottom"/>
            <w:hideMark/>
          </w:tcPr>
          <w:p w:rsidR="00000000" w:rsidRDefault="0061405A">
            <w:pPr>
              <w:rPr>
                <w:rFonts w:eastAsia="Times New Roman"/>
              </w:rPr>
            </w:pPr>
            <w:r>
              <w:rPr>
                <w:rFonts w:eastAsia="Times New Roman"/>
                <w:color w:val="000000"/>
                <w:sz w:val="20"/>
                <w:szCs w:val="20"/>
              </w:rPr>
              <w:t>Diluted (loss) earnings per share</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(0.53)</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0.04 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(0.20)</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bl>
    <w:p w:rsidR="00000000" w:rsidRDefault="0061405A">
      <w:pPr>
        <w:jc w:val="both"/>
        <w:divId w:val="1217274260"/>
        <w:rPr>
          <w:rFonts w:eastAsia="Times New Roman"/>
        </w:rPr>
      </w:pPr>
      <w:r>
        <w:rPr>
          <w:rFonts w:eastAsia="Times New Roman"/>
          <w:color w:val="000000"/>
          <w:sz w:val="20"/>
          <w:szCs w:val="20"/>
        </w:rPr>
        <w:t>The Company computes the effect of dilutive securities using the treasury stock method and average market prices during the period. Potential c</w:t>
      </w:r>
      <w:r>
        <w:rPr>
          <w:rFonts w:eastAsia="Times New Roman"/>
          <w:color w:val="000000"/>
          <w:sz w:val="20"/>
          <w:szCs w:val="20"/>
        </w:rPr>
        <w:t xml:space="preserve">ommon shares are excluded from the computation of diluted earnings per share when the effect would be anti-dilutive. Shares issuable on the vesting or exercise of share based awards or exercise of outstanding warrants were excluded from the calculation of </w:t>
      </w:r>
      <w:r>
        <w:rPr>
          <w:rFonts w:eastAsia="Times New Roman"/>
          <w:color w:val="000000"/>
          <w:sz w:val="20"/>
          <w:szCs w:val="20"/>
        </w:rPr>
        <w:t xml:space="preserve">diluted loss per share because the effect of their inclusion would have been anti-dilutive totaled 3,175,472, 1,513,552 and 2,829,630 for 2020, 2019 and 2018, respectively. </w:t>
      </w:r>
    </w:p>
    <w:p w:rsidR="00000000" w:rsidRDefault="0061405A">
      <w:pPr>
        <w:jc w:val="center"/>
        <w:divId w:val="1150439462"/>
        <w:rPr>
          <w:rFonts w:eastAsia="Times New Roman"/>
        </w:rPr>
      </w:pPr>
      <w:r>
        <w:rPr>
          <w:rFonts w:eastAsia="Times New Roman"/>
          <w:color w:val="000000"/>
          <w:sz w:val="20"/>
          <w:szCs w:val="20"/>
        </w:rPr>
        <w:t>67</w:t>
      </w:r>
    </w:p>
    <w:p w:rsidR="00000000" w:rsidRDefault="0061405A">
      <w:pPr>
        <w:rPr>
          <w:rFonts w:eastAsia="Times New Roman"/>
        </w:rPr>
      </w:pPr>
      <w:r>
        <w:rPr>
          <w:rFonts w:eastAsia="Times New Roman"/>
        </w:rPr>
        <w:pict>
          <v:rect id="_x0000_i1094" style="width:0;height:1.5pt" o:hralign="center" o:hrstd="t" o:hr="t" fillcolor="#a0a0a0" stroked="f"/>
        </w:pict>
      </w:r>
    </w:p>
    <w:p w:rsidR="00000000" w:rsidRDefault="0061405A">
      <w:pPr>
        <w:divId w:val="1196967647"/>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center"/>
        <w:divId w:val="1995136499"/>
        <w:rPr>
          <w:rFonts w:eastAsia="Times New Roman"/>
        </w:rPr>
      </w:pPr>
      <w:r>
        <w:rPr>
          <w:rFonts w:eastAsia="Times New Roman"/>
          <w:b/>
          <w:bCs/>
          <w:color w:val="000000"/>
          <w:sz w:val="20"/>
          <w:szCs w:val="20"/>
        </w:rPr>
        <w:t>NOODLES &amp; COMPANY</w:t>
      </w:r>
    </w:p>
    <w:p w:rsidR="00000000" w:rsidRDefault="0061405A">
      <w:pPr>
        <w:jc w:val="center"/>
        <w:divId w:val="1627465368"/>
        <w:rPr>
          <w:rFonts w:eastAsia="Times New Roman"/>
        </w:rPr>
      </w:pPr>
      <w:r>
        <w:rPr>
          <w:rFonts w:eastAsia="Times New Roman"/>
          <w:b/>
          <w:bCs/>
          <w:color w:val="000000"/>
          <w:sz w:val="20"/>
          <w:szCs w:val="20"/>
        </w:rPr>
        <w:t>NOTES TO CONSOLIDATED FINANCIAL STATEMENTS (Continued)</w:t>
      </w:r>
    </w:p>
    <w:p w:rsidR="00000000" w:rsidRDefault="0061405A">
      <w:pPr>
        <w:jc w:val="center"/>
        <w:divId w:val="855847663"/>
        <w:rPr>
          <w:rFonts w:eastAsia="Times New Roman"/>
        </w:rPr>
      </w:pPr>
    </w:p>
    <w:p w:rsidR="00000000" w:rsidRDefault="0061405A">
      <w:pPr>
        <w:jc w:val="both"/>
        <w:divId w:val="283850220"/>
        <w:rPr>
          <w:rFonts w:eastAsia="Times New Roman"/>
        </w:rPr>
      </w:pPr>
      <w:r>
        <w:rPr>
          <w:rFonts w:eastAsia="Times New Roman"/>
          <w:b/>
          <w:bCs/>
          <w:color w:val="000000"/>
          <w:sz w:val="20"/>
          <w:szCs w:val="20"/>
        </w:rPr>
        <w:t>11. Employee Benefit Plans</w:t>
      </w:r>
    </w:p>
    <w:p w:rsidR="00000000" w:rsidRDefault="0061405A">
      <w:pPr>
        <w:jc w:val="both"/>
        <w:divId w:val="807553509"/>
        <w:rPr>
          <w:rFonts w:eastAsia="Times New Roman"/>
        </w:rPr>
      </w:pPr>
      <w:r>
        <w:rPr>
          <w:rFonts w:eastAsia="Times New Roman"/>
          <w:b/>
          <w:bCs/>
          <w:i/>
          <w:iCs/>
          <w:color w:val="000000"/>
          <w:sz w:val="20"/>
          <w:szCs w:val="20"/>
        </w:rPr>
        <w:t>Defined Contribution Plan</w:t>
      </w:r>
    </w:p>
    <w:p w:rsidR="00000000" w:rsidRDefault="0061405A">
      <w:pPr>
        <w:jc w:val="both"/>
        <w:divId w:val="1941986857"/>
        <w:rPr>
          <w:rFonts w:eastAsia="Times New Roman"/>
        </w:rPr>
      </w:pPr>
      <w:r>
        <w:rPr>
          <w:rFonts w:eastAsia="Times New Roman"/>
          <w:color w:val="000000"/>
          <w:sz w:val="20"/>
          <w:szCs w:val="20"/>
        </w:rPr>
        <w:t>In October 2</w:t>
      </w:r>
      <w:r>
        <w:rPr>
          <w:rFonts w:eastAsia="Times New Roman"/>
          <w:color w:val="000000"/>
          <w:sz w:val="20"/>
          <w:szCs w:val="20"/>
        </w:rPr>
        <w:t>003, the Company adopted a defined contribution plan, The Noodles &amp; Company 401(k) Plan (the “401(k) Plan”). Company employees aged 21 or older, are eligible to participate in the 401(k) Plan beginning on the first day of the calendar month following 30 da</w:t>
      </w:r>
      <w:r>
        <w:rPr>
          <w:rFonts w:eastAsia="Times New Roman"/>
          <w:color w:val="000000"/>
          <w:sz w:val="20"/>
          <w:szCs w:val="20"/>
        </w:rPr>
        <w:t>ys of employment. Under the provisions of the 401(k) Plan, the Company may, at its discretion, make contributions to the 401(k) Plan. Participants are 100% vested in their own contributions. In 2019, the board of directors authorized matching contributions</w:t>
      </w:r>
      <w:r>
        <w:rPr>
          <w:rFonts w:eastAsia="Times New Roman"/>
          <w:color w:val="000000"/>
          <w:sz w:val="20"/>
          <w:szCs w:val="20"/>
        </w:rPr>
        <w:t xml:space="preserve"> equal to 25% of the first 4% of compensation that is deferred by the participant. The Company recognized matching contribution expense of $0.1 million and $0.4 million in 2020 and 2019, respectively. In 2020, as a result of the impact of the COVID-19 pand</w:t>
      </w:r>
      <w:r>
        <w:rPr>
          <w:rFonts w:eastAsia="Times New Roman"/>
          <w:color w:val="000000"/>
          <w:sz w:val="20"/>
          <w:szCs w:val="20"/>
        </w:rPr>
        <w:t xml:space="preserve">emic, the Company temporarily halted the matching contribution. In 2021, the Company reinstated the matching contribution. No contributions were made during 2018. </w:t>
      </w:r>
    </w:p>
    <w:p w:rsidR="00000000" w:rsidRDefault="0061405A">
      <w:pPr>
        <w:jc w:val="both"/>
        <w:divId w:val="1760636114"/>
        <w:rPr>
          <w:rFonts w:eastAsia="Times New Roman"/>
        </w:rPr>
      </w:pPr>
      <w:r>
        <w:rPr>
          <w:rFonts w:eastAsia="Times New Roman"/>
          <w:b/>
          <w:bCs/>
          <w:i/>
          <w:iCs/>
          <w:color w:val="000000"/>
          <w:sz w:val="20"/>
          <w:szCs w:val="20"/>
        </w:rPr>
        <w:t>Deferred Compensation Plan</w:t>
      </w:r>
    </w:p>
    <w:p w:rsidR="00000000" w:rsidRDefault="0061405A">
      <w:pPr>
        <w:jc w:val="both"/>
        <w:divId w:val="440732077"/>
        <w:rPr>
          <w:rFonts w:eastAsia="Times New Roman"/>
        </w:rPr>
      </w:pPr>
      <w:r>
        <w:rPr>
          <w:rFonts w:eastAsia="Times New Roman"/>
          <w:color w:val="000000"/>
          <w:sz w:val="20"/>
          <w:szCs w:val="20"/>
        </w:rPr>
        <w:t>The Company’s deferred compensation plan, under which compensatio</w:t>
      </w:r>
      <w:r>
        <w:rPr>
          <w:rFonts w:eastAsia="Times New Roman"/>
          <w:color w:val="000000"/>
          <w:sz w:val="20"/>
          <w:szCs w:val="20"/>
        </w:rPr>
        <w:t>n deferrals began in 2013, is a non-qualified deferred compensation plan which allows highly compensated employees to defer a portion of their base salary and variable compensation each plan year. To offset its obligation, the Company purchases Company-own</w:t>
      </w:r>
      <w:r>
        <w:rPr>
          <w:rFonts w:eastAsia="Times New Roman"/>
          <w:color w:val="000000"/>
          <w:sz w:val="20"/>
          <w:szCs w:val="20"/>
        </w:rPr>
        <w:t>ed whole-life insurance contracts on certain employees. As of December 29, 2020 and December 31, 2019, $2.2 million and $2.0 million, respectively, were included in other assets, net, which represents the cash surrender value of the associated life insuran</w:t>
      </w:r>
      <w:r>
        <w:rPr>
          <w:rFonts w:eastAsia="Times New Roman"/>
          <w:color w:val="000000"/>
          <w:sz w:val="20"/>
          <w:szCs w:val="20"/>
        </w:rPr>
        <w:t xml:space="preserve">ce policies, and $0.3 million and $0.6 million, respectively, were included in accrued expenses and other current liabilities and other long-term liabilities, which represents the carrying value of the liability for deferred compensation. </w:t>
      </w:r>
    </w:p>
    <w:p w:rsidR="00000000" w:rsidRDefault="0061405A">
      <w:pPr>
        <w:jc w:val="both"/>
        <w:divId w:val="1185946550"/>
        <w:rPr>
          <w:rFonts w:eastAsia="Times New Roman"/>
        </w:rPr>
      </w:pPr>
      <w:r>
        <w:rPr>
          <w:rFonts w:eastAsia="Times New Roman"/>
          <w:b/>
          <w:bCs/>
          <w:i/>
          <w:iCs/>
          <w:color w:val="000000"/>
          <w:sz w:val="20"/>
          <w:szCs w:val="20"/>
        </w:rPr>
        <w:t>Employee Stock P</w:t>
      </w:r>
      <w:r>
        <w:rPr>
          <w:rFonts w:eastAsia="Times New Roman"/>
          <w:b/>
          <w:bCs/>
          <w:i/>
          <w:iCs/>
          <w:color w:val="000000"/>
          <w:sz w:val="20"/>
          <w:szCs w:val="20"/>
        </w:rPr>
        <w:t>urchase Plan</w:t>
      </w:r>
    </w:p>
    <w:p w:rsidR="00000000" w:rsidRDefault="0061405A">
      <w:pPr>
        <w:jc w:val="both"/>
        <w:divId w:val="591473968"/>
        <w:rPr>
          <w:rFonts w:eastAsia="Times New Roman"/>
        </w:rPr>
      </w:pPr>
      <w:r>
        <w:rPr>
          <w:rFonts w:eastAsia="Times New Roman"/>
          <w:color w:val="000000"/>
          <w:sz w:val="20"/>
          <w:szCs w:val="20"/>
        </w:rPr>
        <w:t>In 2013, the Company adopted an Employee Stock Purchase Plan (the “ESPP”) under which eligible team members may voluntarily contribute up to 15% of their salaries, subject to limitations, to purchase common stock at a price equal to 85% of the</w:t>
      </w:r>
      <w:r>
        <w:rPr>
          <w:rFonts w:eastAsia="Times New Roman"/>
          <w:color w:val="000000"/>
          <w:sz w:val="20"/>
          <w:szCs w:val="20"/>
        </w:rPr>
        <w:t xml:space="preserve"> fair market value of a share of the Company’s common stock on the first day of each offering period or 85% of the fair market value of a share of the Company’s common stock on the last day of each offering period, whichever amount is less. In general, all</w:t>
      </w:r>
      <w:r>
        <w:rPr>
          <w:rFonts w:eastAsia="Times New Roman"/>
          <w:color w:val="000000"/>
          <w:sz w:val="20"/>
          <w:szCs w:val="20"/>
        </w:rPr>
        <w:t xml:space="preserve"> non-highly compensated employees who have been employed by the Company for at least 30 days prior to the offering period and who are regularly scheduled to work more than 20 hours per week and for more than five months in any calendar year, are eligible t</w:t>
      </w:r>
      <w:r>
        <w:rPr>
          <w:rFonts w:eastAsia="Times New Roman"/>
          <w:color w:val="000000"/>
          <w:sz w:val="20"/>
          <w:szCs w:val="20"/>
        </w:rPr>
        <w:t>o participate in the ESPP which operates in-line with the Company’s fiscal quarters. A total of 750,000 shares of common stock are available for issuance under the ESPP. The Company has issued a total of 204,319 shares under this plan, of which 29,856 shar</w:t>
      </w:r>
      <w:r>
        <w:rPr>
          <w:rFonts w:eastAsia="Times New Roman"/>
          <w:color w:val="000000"/>
          <w:sz w:val="20"/>
          <w:szCs w:val="20"/>
        </w:rPr>
        <w:t>es were issued during 2020. A total of 545,681 shares remain available for future issuance. For 2020, in accordance with the guidance for accounting for stock compensation, the Company estimated the fair value of the stock purchase plan using the Black-Sch</w:t>
      </w:r>
      <w:r>
        <w:rPr>
          <w:rFonts w:eastAsia="Times New Roman"/>
          <w:color w:val="000000"/>
          <w:sz w:val="20"/>
          <w:szCs w:val="20"/>
        </w:rPr>
        <w:t>oles multiple-option pricing model. The average assumptions used in the model included a 0.14% risk-free interest rate; 0.25 years year expected life; expected volatility of 80.4%; and a zero percent dividend yield. The weighted average fair value per shar</w:t>
      </w:r>
      <w:r>
        <w:rPr>
          <w:rFonts w:eastAsia="Times New Roman"/>
          <w:color w:val="000000"/>
          <w:sz w:val="20"/>
          <w:szCs w:val="20"/>
        </w:rPr>
        <w:t>e at grant date was $1.16. In 2020, the Company recognized $40,000 of compensation expense related to the ESPP.</w:t>
      </w:r>
    </w:p>
    <w:p w:rsidR="00000000" w:rsidRDefault="0061405A">
      <w:pPr>
        <w:jc w:val="center"/>
        <w:divId w:val="741636470"/>
        <w:rPr>
          <w:rFonts w:eastAsia="Times New Roman"/>
        </w:rPr>
      </w:pPr>
      <w:r>
        <w:rPr>
          <w:rFonts w:eastAsia="Times New Roman"/>
          <w:color w:val="000000"/>
          <w:sz w:val="20"/>
          <w:szCs w:val="20"/>
        </w:rPr>
        <w:t>68</w:t>
      </w:r>
    </w:p>
    <w:p w:rsidR="00000000" w:rsidRDefault="0061405A">
      <w:pPr>
        <w:rPr>
          <w:rFonts w:eastAsia="Times New Roman"/>
        </w:rPr>
      </w:pPr>
      <w:r>
        <w:rPr>
          <w:rFonts w:eastAsia="Times New Roman"/>
        </w:rPr>
        <w:pict>
          <v:rect id="_x0000_i1095" style="width:0;height:1.5pt" o:hralign="center" o:hrstd="t" o:hr="t" fillcolor="#a0a0a0" stroked="f"/>
        </w:pict>
      </w:r>
    </w:p>
    <w:p w:rsidR="00000000" w:rsidRDefault="0061405A">
      <w:pPr>
        <w:divId w:val="1812865304"/>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center"/>
        <w:divId w:val="740324069"/>
        <w:rPr>
          <w:rFonts w:eastAsia="Times New Roman"/>
        </w:rPr>
      </w:pPr>
      <w:r>
        <w:rPr>
          <w:rFonts w:eastAsia="Times New Roman"/>
          <w:b/>
          <w:bCs/>
          <w:color w:val="000000"/>
          <w:sz w:val="20"/>
          <w:szCs w:val="20"/>
        </w:rPr>
        <w:t>NOODLES &amp; COMPANY</w:t>
      </w:r>
    </w:p>
    <w:p w:rsidR="00000000" w:rsidRDefault="0061405A">
      <w:pPr>
        <w:jc w:val="center"/>
        <w:divId w:val="1505851604"/>
        <w:rPr>
          <w:rFonts w:eastAsia="Times New Roman"/>
        </w:rPr>
      </w:pPr>
      <w:r>
        <w:rPr>
          <w:rFonts w:eastAsia="Times New Roman"/>
          <w:b/>
          <w:bCs/>
          <w:color w:val="000000"/>
          <w:sz w:val="20"/>
          <w:szCs w:val="20"/>
        </w:rPr>
        <w:t>NOTES TO CONSOLIDATED FINANCIAL STATEMENTS (Continued)</w:t>
      </w:r>
    </w:p>
    <w:p w:rsidR="00000000" w:rsidRDefault="0061405A">
      <w:pPr>
        <w:jc w:val="center"/>
        <w:divId w:val="126707313"/>
        <w:rPr>
          <w:rFonts w:eastAsia="Times New Roman"/>
        </w:rPr>
      </w:pPr>
    </w:p>
    <w:p w:rsidR="00000000" w:rsidRDefault="0061405A">
      <w:pPr>
        <w:jc w:val="both"/>
        <w:divId w:val="550461167"/>
        <w:rPr>
          <w:rFonts w:eastAsia="Times New Roman"/>
        </w:rPr>
      </w:pPr>
      <w:r>
        <w:rPr>
          <w:rFonts w:eastAsia="Times New Roman"/>
          <w:b/>
          <w:bCs/>
          <w:color w:val="000000"/>
          <w:sz w:val="20"/>
          <w:szCs w:val="20"/>
        </w:rPr>
        <w:t>12. Leases</w:t>
      </w:r>
    </w:p>
    <w:p w:rsidR="00000000" w:rsidRDefault="0061405A">
      <w:pPr>
        <w:jc w:val="both"/>
        <w:divId w:val="414909340"/>
        <w:rPr>
          <w:rFonts w:eastAsia="Times New Roman"/>
        </w:rPr>
      </w:pPr>
      <w:r>
        <w:rPr>
          <w:rFonts w:eastAsia="Times New Roman"/>
          <w:color w:val="000000"/>
          <w:sz w:val="20"/>
          <w:szCs w:val="20"/>
        </w:rPr>
        <w:t>The Company leases restaurant facilities, office space</w:t>
      </w:r>
      <w:r>
        <w:rPr>
          <w:rFonts w:eastAsia="Times New Roman"/>
          <w:color w:val="000000"/>
          <w:sz w:val="20"/>
          <w:szCs w:val="20"/>
        </w:rPr>
        <w:t xml:space="preserve"> and certain equipment that expire on various dates through September 2037. Lease terms for restaurants in traditional shopping centers generally include a base term of 10 years, with options to extend these leases for additional periods of</w:t>
      </w:r>
      <w:r>
        <w:rPr>
          <w:rFonts w:eastAsia="Times New Roman"/>
          <w:color w:val="000000"/>
          <w:sz w:val="20"/>
          <w:szCs w:val="20"/>
        </w:rPr>
        <w:t xml:space="preserve"> </w:t>
      </w:r>
      <w:r>
        <w:rPr>
          <w:rFonts w:eastAsia="Times New Roman"/>
          <w:color w:val="000000"/>
          <w:sz w:val="20"/>
          <w:szCs w:val="20"/>
        </w:rPr>
        <w:t>fiv</w:t>
      </w:r>
      <w:r>
        <w:rPr>
          <w:rFonts w:eastAsia="Times New Roman"/>
          <w:color w:val="000000"/>
          <w:sz w:val="20"/>
          <w:szCs w:val="20"/>
        </w:rPr>
        <w:t>e</w:t>
      </w:r>
      <w:r>
        <w:rPr>
          <w:rFonts w:eastAsia="Times New Roman"/>
          <w:color w:val="000000"/>
          <w:sz w:val="20"/>
          <w:szCs w:val="20"/>
        </w:rPr>
        <w:t xml:space="preserve"> to 15 year</w:t>
      </w:r>
      <w:r>
        <w:rPr>
          <w:rFonts w:eastAsia="Times New Roman"/>
          <w:color w:val="000000"/>
          <w:sz w:val="20"/>
          <w:szCs w:val="20"/>
        </w:rPr>
        <w:t xml:space="preserve">s. </w:t>
      </w:r>
    </w:p>
    <w:p w:rsidR="00000000" w:rsidRDefault="0061405A">
      <w:pPr>
        <w:jc w:val="both"/>
        <w:divId w:val="119999128"/>
        <w:rPr>
          <w:rFonts w:eastAsia="Times New Roman"/>
        </w:rPr>
      </w:pPr>
      <w:r>
        <w:rPr>
          <w:rFonts w:eastAsia="Times New Roman"/>
          <w:color w:val="000000"/>
          <w:sz w:val="20"/>
          <w:szCs w:val="20"/>
        </w:rPr>
        <w:t>The Company’s leases typically contain rent escalations over the lease term. The Company recognizes expense for these leases on a straight-line basis over the lease term. Additionally, tenant incentives used to fund leasehold improvements are recognize</w:t>
      </w:r>
      <w:r>
        <w:rPr>
          <w:rFonts w:eastAsia="Times New Roman"/>
          <w:color w:val="000000"/>
          <w:sz w:val="20"/>
          <w:szCs w:val="20"/>
        </w:rPr>
        <w:t>d when earned and reduce the right-of-use asset related to the lease. These are amortized through the right-of-use asset as reductions of expense over the lease term. Total rent expense for operating leases for 2020, 2019 and 2018 was approximately $39.9 m</w:t>
      </w:r>
      <w:r>
        <w:rPr>
          <w:rFonts w:eastAsia="Times New Roman"/>
          <w:color w:val="000000"/>
          <w:sz w:val="20"/>
          <w:szCs w:val="20"/>
        </w:rPr>
        <w:t>illion, $40.8 million and $41.7 million, respectively.</w:t>
      </w:r>
    </w:p>
    <w:p w:rsidR="00000000" w:rsidRDefault="0061405A">
      <w:pPr>
        <w:jc w:val="both"/>
        <w:rPr>
          <w:rFonts w:eastAsia="Times New Roman"/>
        </w:rPr>
      </w:pPr>
      <w:r>
        <w:rPr>
          <w:rFonts w:eastAsia="Times New Roman"/>
          <w:color w:val="000000"/>
          <w:sz w:val="20"/>
          <w:szCs w:val="20"/>
        </w:rPr>
        <w:t>Some of the Company’s leases include rent escalations based on inflation indexes and fair market value adjustments. Certain leases contain contingent rental provisions that include a fixed base rent pl</w:t>
      </w:r>
      <w:r>
        <w:rPr>
          <w:rFonts w:eastAsia="Times New Roman"/>
          <w:color w:val="000000"/>
          <w:sz w:val="20"/>
          <w:szCs w:val="20"/>
        </w:rPr>
        <w:t>us an additional percentage of the restaurant’s sales in excess of stipulated amounts. Lease expense associated with rent escalation and contingent rental provisions is not material and is included within operating lease cost. Operating lease liabilities a</w:t>
      </w:r>
      <w:r>
        <w:rPr>
          <w:rFonts w:eastAsia="Times New Roman"/>
          <w:color w:val="000000"/>
          <w:sz w:val="20"/>
          <w:szCs w:val="20"/>
        </w:rPr>
        <w:t>re calculated using the prevailing index or rate at lease commencement. Subsequent escalations in the index or rate and contingent rental payments are recognized as variable lease expenses. Our lease agreements do not contain any material residual value gu</w:t>
      </w:r>
      <w:r>
        <w:rPr>
          <w:rFonts w:eastAsia="Times New Roman"/>
          <w:color w:val="000000"/>
          <w:sz w:val="20"/>
          <w:szCs w:val="20"/>
        </w:rPr>
        <w:t xml:space="preserve">arantees or material restrictive covenants. </w:t>
      </w:r>
    </w:p>
    <w:p w:rsidR="00000000" w:rsidRDefault="0061405A">
      <w:pPr>
        <w:jc w:val="both"/>
        <w:rPr>
          <w:rFonts w:eastAsia="Times New Roman"/>
        </w:rPr>
      </w:pPr>
    </w:p>
    <w:p w:rsidR="00000000" w:rsidRDefault="0061405A">
      <w:pPr>
        <w:jc w:val="both"/>
        <w:rPr>
          <w:rFonts w:eastAsia="Times New Roman"/>
        </w:rPr>
      </w:pPr>
      <w:r>
        <w:rPr>
          <w:rFonts w:eastAsia="Times New Roman"/>
          <w:color w:val="000000"/>
          <w:sz w:val="20"/>
          <w:szCs w:val="20"/>
        </w:rPr>
        <w:t>The Company elected the practical expedient to account for lease and non-lease components as a single component for substantially all lease types.</w:t>
      </w:r>
    </w:p>
    <w:p w:rsidR="00000000" w:rsidRDefault="0061405A">
      <w:pPr>
        <w:jc w:val="both"/>
        <w:rPr>
          <w:rFonts w:eastAsia="Times New Roman"/>
        </w:rPr>
      </w:pPr>
    </w:p>
    <w:p w:rsidR="00000000" w:rsidRDefault="0061405A">
      <w:pPr>
        <w:jc w:val="both"/>
        <w:rPr>
          <w:rFonts w:eastAsia="Times New Roman"/>
        </w:rPr>
      </w:pPr>
      <w:r>
        <w:rPr>
          <w:rFonts w:eastAsia="Times New Roman"/>
          <w:color w:val="000000"/>
          <w:sz w:val="20"/>
          <w:szCs w:val="20"/>
        </w:rPr>
        <w:t>As most of the Company’s leases do not provide an implicit r</w:t>
      </w:r>
      <w:r>
        <w:rPr>
          <w:rFonts w:eastAsia="Times New Roman"/>
          <w:color w:val="000000"/>
          <w:sz w:val="20"/>
          <w:szCs w:val="20"/>
        </w:rPr>
        <w:t xml:space="preserve">ate, the Company used its incremental borrowing rate based on the information available at commencement date in determining the present value of lease payments. </w:t>
      </w:r>
    </w:p>
    <w:p w:rsidR="00000000" w:rsidRDefault="0061405A">
      <w:pPr>
        <w:jc w:val="both"/>
        <w:rPr>
          <w:rFonts w:eastAsia="Times New Roman"/>
        </w:rPr>
      </w:pPr>
    </w:p>
    <w:p w:rsidR="00000000" w:rsidRDefault="0061405A">
      <w:pPr>
        <w:jc w:val="both"/>
        <w:rPr>
          <w:rFonts w:eastAsia="Times New Roman"/>
        </w:rPr>
      </w:pPr>
      <w:r>
        <w:rPr>
          <w:rFonts w:eastAsia="Times New Roman"/>
          <w:color w:val="000000"/>
          <w:sz w:val="20"/>
          <w:szCs w:val="20"/>
        </w:rPr>
        <w:t>During 2020, the onset of the COVID-19 pandemic impacted the Company’s business significantl</w:t>
      </w:r>
      <w:r>
        <w:rPr>
          <w:rFonts w:eastAsia="Times New Roman"/>
          <w:color w:val="000000"/>
          <w:sz w:val="20"/>
          <w:szCs w:val="20"/>
        </w:rPr>
        <w:t>y, including temporary closures of our dining rooms starting in March 2020. During the second and third quarters of 2020, we were able to negotiate with the majority of our landlords to obtain rent abatements or defer rent amounts due during the second qua</w:t>
      </w:r>
      <w:r>
        <w:rPr>
          <w:rFonts w:eastAsia="Times New Roman"/>
          <w:color w:val="000000"/>
          <w:sz w:val="20"/>
          <w:szCs w:val="20"/>
        </w:rPr>
        <w:t>rter, and in some cases, the periods of the respective lease terms were extended earlier than as proscribed in the lease as part of the rent concessions. In the case where the lease term was extended, we remeasured the remaining consideration in the contra</w:t>
      </w:r>
      <w:r>
        <w:rPr>
          <w:rFonts w:eastAsia="Times New Roman"/>
          <w:color w:val="000000"/>
          <w:sz w:val="20"/>
          <w:szCs w:val="20"/>
        </w:rPr>
        <w:t>ct. The total rent that was deferred for lease amendments that has been executed through December 29, 2020 was $4.4 million and $0.3 million was recognized as a reduction to lease expense in fiscal 2020. In addition, the COVID-19 pandemic has had an impact</w:t>
      </w:r>
      <w:r>
        <w:rPr>
          <w:rFonts w:eastAsia="Times New Roman"/>
          <w:color w:val="000000"/>
          <w:sz w:val="20"/>
          <w:szCs w:val="20"/>
        </w:rPr>
        <w:t xml:space="preserve"> to the underlying asset values for certain of our restaurants. In 2020, we recorded right-of-use asset impairment charges of $0.5 million which reduced the carrying value of certain operating lease assets to their respective estimated fair value.</w:t>
      </w:r>
    </w:p>
    <w:p w:rsidR="00000000" w:rsidRDefault="0061405A">
      <w:pPr>
        <w:jc w:val="both"/>
        <w:rPr>
          <w:rFonts w:eastAsia="Times New Roman"/>
        </w:rPr>
      </w:pPr>
    </w:p>
    <w:p w:rsidR="00000000" w:rsidRDefault="0061405A">
      <w:pPr>
        <w:jc w:val="both"/>
        <w:rPr>
          <w:rFonts w:eastAsia="Times New Roman"/>
        </w:rPr>
      </w:pPr>
      <w:r>
        <w:rPr>
          <w:rFonts w:eastAsia="Times New Roman"/>
          <w:color w:val="000000"/>
          <w:sz w:val="20"/>
          <w:szCs w:val="20"/>
        </w:rPr>
        <w:t>Supplemental balance sheet information related to leases is as follows (in thousands):</w:t>
      </w:r>
    </w:p>
    <w:tbl>
      <w:tblPr>
        <w:tblW w:w="5000" w:type="pct"/>
        <w:jc w:val="center"/>
        <w:tblCellMar>
          <w:top w:w="15" w:type="dxa"/>
          <w:left w:w="15" w:type="dxa"/>
          <w:bottom w:w="15" w:type="dxa"/>
          <w:right w:w="15" w:type="dxa"/>
        </w:tblCellMar>
        <w:tblLook w:val="04A0" w:firstRow="1" w:lastRow="0" w:firstColumn="1" w:lastColumn="0" w:noHBand="0" w:noVBand="1"/>
      </w:tblPr>
      <w:tblGrid>
        <w:gridCol w:w="45"/>
        <w:gridCol w:w="2342"/>
        <w:gridCol w:w="38"/>
        <w:gridCol w:w="45"/>
        <w:gridCol w:w="2606"/>
        <w:gridCol w:w="36"/>
        <w:gridCol w:w="36"/>
        <w:gridCol w:w="36"/>
        <w:gridCol w:w="36"/>
        <w:gridCol w:w="120"/>
        <w:gridCol w:w="1332"/>
        <w:gridCol w:w="36"/>
        <w:gridCol w:w="36"/>
        <w:gridCol w:w="36"/>
        <w:gridCol w:w="36"/>
        <w:gridCol w:w="120"/>
        <w:gridCol w:w="1334"/>
        <w:gridCol w:w="36"/>
      </w:tblGrid>
      <w:tr w:rsidR="00000000">
        <w:trPr>
          <w:divId w:val="1314796071"/>
          <w:jc w:val="center"/>
        </w:trPr>
        <w:tc>
          <w:tcPr>
            <w:tcW w:w="50" w:type="pct"/>
            <w:vAlign w:val="center"/>
            <w:hideMark/>
          </w:tcPr>
          <w:p w:rsidR="00000000" w:rsidRDefault="0061405A">
            <w:pPr>
              <w:jc w:val="both"/>
              <w:rPr>
                <w:rFonts w:eastAsia="Times New Roman"/>
              </w:rPr>
            </w:pPr>
          </w:p>
        </w:tc>
        <w:tc>
          <w:tcPr>
            <w:tcW w:w="1432"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159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842"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843"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1314796071"/>
          <w:jc w:val="center"/>
        </w:trPr>
        <w:tc>
          <w:tcPr>
            <w:tcW w:w="0" w:type="auto"/>
            <w:gridSpan w:val="6"/>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Classification</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December 29, 2020</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December 31, 2019</w:t>
            </w:r>
          </w:p>
        </w:tc>
      </w:tr>
      <w:tr w:rsidR="00000000">
        <w:trPr>
          <w:divId w:val="1314796071"/>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1314796071"/>
          <w:jc w:val="center"/>
        </w:trPr>
        <w:tc>
          <w:tcPr>
            <w:tcW w:w="0" w:type="auto"/>
            <w:gridSpan w:val="3"/>
            <w:shd w:val="clear" w:color="auto" w:fill="CCEEFF"/>
            <w:tcMar>
              <w:top w:w="30" w:type="dxa"/>
              <w:left w:w="155" w:type="dxa"/>
              <w:bottom w:w="30" w:type="dxa"/>
              <w:right w:w="20" w:type="dxa"/>
            </w:tcMar>
            <w:vAlign w:val="bottom"/>
            <w:hideMark/>
          </w:tcPr>
          <w:p w:rsidR="00000000" w:rsidRDefault="0061405A">
            <w:pPr>
              <w:rPr>
                <w:rFonts w:eastAsia="Times New Roman"/>
              </w:rPr>
            </w:pPr>
            <w:r>
              <w:rPr>
                <w:rFonts w:eastAsia="Times New Roman"/>
                <w:color w:val="000000"/>
                <w:sz w:val="20"/>
                <w:szCs w:val="20"/>
              </w:rPr>
              <w:t>Operating</w:t>
            </w:r>
          </w:p>
        </w:tc>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 xml:space="preserve">Operating lease assets, net </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195,618 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209,717 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314796071"/>
          <w:jc w:val="center"/>
        </w:trPr>
        <w:tc>
          <w:tcPr>
            <w:tcW w:w="0" w:type="auto"/>
            <w:gridSpan w:val="3"/>
            <w:shd w:val="clear" w:color="auto" w:fill="FFFFFF"/>
            <w:tcMar>
              <w:top w:w="30" w:type="dxa"/>
              <w:left w:w="155" w:type="dxa"/>
              <w:bottom w:w="30" w:type="dxa"/>
              <w:right w:w="20" w:type="dxa"/>
            </w:tcMar>
            <w:vAlign w:val="bottom"/>
            <w:hideMark/>
          </w:tcPr>
          <w:p w:rsidR="00000000" w:rsidRDefault="0061405A">
            <w:pPr>
              <w:rPr>
                <w:rFonts w:eastAsia="Times New Roman"/>
              </w:rPr>
            </w:pPr>
            <w:r>
              <w:rPr>
                <w:rFonts w:eastAsia="Times New Roman"/>
                <w:color w:val="000000"/>
                <w:sz w:val="20"/>
                <w:szCs w:val="20"/>
              </w:rPr>
              <w:t>Finance</w:t>
            </w:r>
          </w:p>
        </w:tc>
        <w:tc>
          <w:tcPr>
            <w:tcW w:w="0" w:type="auto"/>
            <w:gridSpan w:val="3"/>
            <w:shd w:val="clear" w:color="auto" w:fill="FFFFFF"/>
            <w:tcMar>
              <w:top w:w="30" w:type="dxa"/>
              <w:left w:w="20" w:type="dxa"/>
              <w:bottom w:w="30" w:type="dxa"/>
              <w:right w:w="20" w:type="dxa"/>
            </w:tcMar>
            <w:vAlign w:val="bottom"/>
            <w:hideMark/>
          </w:tcPr>
          <w:p w:rsidR="00000000" w:rsidRDefault="0061405A">
            <w:pPr>
              <w:divId w:val="1787390601"/>
              <w:rPr>
                <w:rFonts w:eastAsia="Times New Roman"/>
              </w:rPr>
            </w:pPr>
            <w:r>
              <w:rPr>
                <w:rFonts w:eastAsia="Times New Roman"/>
                <w:color w:val="000000"/>
                <w:sz w:val="20"/>
                <w:szCs w:val="20"/>
              </w:rPr>
              <w:t>Finance lease assets, net</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7,822 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771 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314796071"/>
          <w:jc w:val="center"/>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Total leased assets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203,440 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210,488 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314796071"/>
          <w:jc w:val="center"/>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1314796071"/>
          <w:jc w:val="center"/>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Current lease liabilities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1314796071"/>
          <w:jc w:val="center"/>
        </w:trPr>
        <w:tc>
          <w:tcPr>
            <w:tcW w:w="0" w:type="auto"/>
            <w:gridSpan w:val="3"/>
            <w:shd w:val="clear" w:color="auto" w:fill="FFFF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20"/>
                <w:szCs w:val="20"/>
              </w:rPr>
              <w:t>Operating</w:t>
            </w:r>
          </w:p>
        </w:tc>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Current operating lease liabilities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26,094 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22,775 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314796071"/>
          <w:jc w:val="center"/>
        </w:trPr>
        <w:tc>
          <w:tcPr>
            <w:tcW w:w="0" w:type="auto"/>
            <w:gridSpan w:val="3"/>
            <w:shd w:val="clear" w:color="auto" w:fill="CCEE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20"/>
                <w:szCs w:val="20"/>
              </w:rPr>
              <w:t>Finance</w:t>
            </w:r>
          </w:p>
        </w:tc>
        <w:tc>
          <w:tcPr>
            <w:tcW w:w="0" w:type="auto"/>
            <w:gridSpan w:val="3"/>
            <w:shd w:val="clear" w:color="auto" w:fill="CCEEFF"/>
            <w:tcMar>
              <w:top w:w="30" w:type="dxa"/>
              <w:left w:w="20" w:type="dxa"/>
              <w:bottom w:w="30" w:type="dxa"/>
              <w:right w:w="20" w:type="dxa"/>
            </w:tcMar>
            <w:vAlign w:val="bottom"/>
            <w:hideMark/>
          </w:tcPr>
          <w:p w:rsidR="00000000" w:rsidRDefault="0061405A">
            <w:pPr>
              <w:divId w:val="591010301"/>
              <w:rPr>
                <w:rFonts w:eastAsia="Times New Roman"/>
              </w:rPr>
            </w:pPr>
            <w:r>
              <w:rPr>
                <w:rFonts w:eastAsia="Times New Roman"/>
                <w:color w:val="000000"/>
                <w:sz w:val="20"/>
                <w:szCs w:val="20"/>
              </w:rPr>
              <w:t>Current finance lease liabilities</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1,800 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510 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314796071"/>
          <w:jc w:val="center"/>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Long-term lease liabilities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1314796071"/>
          <w:jc w:val="center"/>
        </w:trPr>
        <w:tc>
          <w:tcPr>
            <w:tcW w:w="0" w:type="auto"/>
            <w:gridSpan w:val="3"/>
            <w:shd w:val="clear" w:color="auto" w:fill="CCEE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20"/>
                <w:szCs w:val="20"/>
              </w:rPr>
              <w:t>Operating</w:t>
            </w:r>
          </w:p>
        </w:tc>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Long-term operating lease liabilities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210,454 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225,014 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314796071"/>
          <w:jc w:val="center"/>
        </w:trPr>
        <w:tc>
          <w:tcPr>
            <w:tcW w:w="0" w:type="auto"/>
            <w:gridSpan w:val="3"/>
            <w:shd w:val="clear" w:color="auto" w:fill="FFFF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20"/>
                <w:szCs w:val="20"/>
              </w:rPr>
              <w:t>Finance</w:t>
            </w:r>
          </w:p>
        </w:tc>
        <w:tc>
          <w:tcPr>
            <w:tcW w:w="0" w:type="auto"/>
            <w:gridSpan w:val="3"/>
            <w:shd w:val="clear" w:color="auto" w:fill="FFFFFF"/>
            <w:tcMar>
              <w:top w:w="30" w:type="dxa"/>
              <w:left w:w="20" w:type="dxa"/>
              <w:bottom w:w="30" w:type="dxa"/>
              <w:right w:w="20" w:type="dxa"/>
            </w:tcMar>
            <w:vAlign w:val="bottom"/>
            <w:hideMark/>
          </w:tcPr>
          <w:p w:rsidR="00000000" w:rsidRDefault="0061405A">
            <w:pPr>
              <w:divId w:val="541792501"/>
              <w:rPr>
                <w:rFonts w:eastAsia="Times New Roman"/>
              </w:rPr>
            </w:pPr>
            <w:r>
              <w:rPr>
                <w:rFonts w:eastAsia="Times New Roman"/>
                <w:color w:val="000000"/>
                <w:sz w:val="20"/>
                <w:szCs w:val="20"/>
              </w:rPr>
              <w:t>Long-term finance lease liabilities</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6,056 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281 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314796071"/>
          <w:jc w:val="center"/>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Total lease liabilities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244,404 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248,580 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bl>
    <w:p w:rsidR="00000000" w:rsidRDefault="0061405A">
      <w:pPr>
        <w:divId w:val="489449956"/>
        <w:rPr>
          <w:rFonts w:eastAsia="Times New Roman"/>
        </w:rPr>
      </w:pPr>
      <w:r>
        <w:rPr>
          <w:rFonts w:eastAsia="Times New Roman"/>
          <w:color w:val="000000"/>
          <w:sz w:val="16"/>
          <w:szCs w:val="16"/>
        </w:rPr>
        <w:t>_____________________</w:t>
      </w:r>
    </w:p>
    <w:p w:rsidR="00000000" w:rsidRDefault="0061405A">
      <w:pPr>
        <w:ind w:hanging="720"/>
        <w:jc w:val="both"/>
        <w:divId w:val="1800610836"/>
        <w:rPr>
          <w:rFonts w:eastAsia="Times New Roman"/>
        </w:rPr>
      </w:pPr>
      <w:r>
        <w:rPr>
          <w:rFonts w:eastAsia="Times New Roman"/>
          <w:color w:val="000000"/>
          <w:sz w:val="16"/>
          <w:szCs w:val="16"/>
        </w:rPr>
        <w:t xml:space="preserve">(1)The finance lease assets are included in property and equipment, net in the Consolidated Balance Sheets. </w:t>
      </w:r>
    </w:p>
    <w:p w:rsidR="00000000" w:rsidRDefault="0061405A">
      <w:pPr>
        <w:ind w:hanging="720"/>
        <w:jc w:val="both"/>
        <w:divId w:val="613291652"/>
        <w:rPr>
          <w:rFonts w:eastAsia="Times New Roman"/>
        </w:rPr>
      </w:pPr>
      <w:r>
        <w:rPr>
          <w:rFonts w:eastAsia="Times New Roman"/>
          <w:color w:val="000000"/>
          <w:sz w:val="16"/>
          <w:szCs w:val="16"/>
        </w:rPr>
        <w:t>(2)</w:t>
      </w:r>
      <w:r>
        <w:rPr>
          <w:rFonts w:eastAsia="Times New Roman"/>
          <w:color w:val="000000"/>
          <w:sz w:val="16"/>
          <w:szCs w:val="16"/>
        </w:rPr>
        <w:t>The current portion of the finance lease liabilities is included in</w:t>
      </w:r>
      <w:r>
        <w:rPr>
          <w:rFonts w:eastAsia="Times New Roman"/>
          <w:color w:val="000000"/>
          <w:sz w:val="16"/>
          <w:szCs w:val="16"/>
        </w:rPr>
        <w:t xml:space="preserve"> </w:t>
      </w:r>
      <w:r>
        <w:rPr>
          <w:rFonts w:eastAsia="Times New Roman"/>
          <w:color w:val="000000"/>
          <w:sz w:val="16"/>
          <w:szCs w:val="16"/>
        </w:rPr>
        <w:t>accrued expenses and other current liabilitie</w:t>
      </w:r>
      <w:r>
        <w:rPr>
          <w:rFonts w:eastAsia="Times New Roman"/>
          <w:color w:val="000000"/>
          <w:sz w:val="16"/>
          <w:szCs w:val="16"/>
        </w:rPr>
        <w:t>s</w:t>
      </w:r>
      <w:r>
        <w:rPr>
          <w:rFonts w:eastAsia="Times New Roman"/>
          <w:color w:val="000000"/>
          <w:sz w:val="16"/>
          <w:szCs w:val="16"/>
        </w:rPr>
        <w:t>, and the long-term portion is included in</w:t>
      </w:r>
      <w:r>
        <w:rPr>
          <w:rFonts w:eastAsia="Times New Roman"/>
          <w:color w:val="000000"/>
          <w:sz w:val="16"/>
          <w:szCs w:val="16"/>
        </w:rPr>
        <w:t xml:space="preserve"> </w:t>
      </w:r>
      <w:r>
        <w:rPr>
          <w:rFonts w:eastAsia="Times New Roman"/>
          <w:color w:val="000000"/>
          <w:sz w:val="16"/>
          <w:szCs w:val="16"/>
        </w:rPr>
        <w:t>other long-term liabilitie</w:t>
      </w:r>
      <w:r>
        <w:rPr>
          <w:rFonts w:eastAsia="Times New Roman"/>
          <w:color w:val="000000"/>
          <w:sz w:val="16"/>
          <w:szCs w:val="16"/>
        </w:rPr>
        <w:t>s</w:t>
      </w:r>
      <w:r>
        <w:rPr>
          <w:rFonts w:eastAsia="Times New Roman"/>
          <w:color w:val="000000"/>
          <w:sz w:val="16"/>
          <w:szCs w:val="16"/>
        </w:rPr>
        <w:t xml:space="preserve"> in the Consolidated Balance Sheets.</w:t>
      </w:r>
    </w:p>
    <w:p w:rsidR="00000000" w:rsidRDefault="0061405A">
      <w:pPr>
        <w:divId w:val="1267619229"/>
        <w:rPr>
          <w:rFonts w:eastAsia="Times New Roman"/>
        </w:rPr>
      </w:pPr>
    </w:p>
    <w:p w:rsidR="00000000" w:rsidRDefault="0061405A">
      <w:pPr>
        <w:jc w:val="center"/>
        <w:divId w:val="350768444"/>
        <w:rPr>
          <w:rFonts w:eastAsia="Times New Roman"/>
        </w:rPr>
      </w:pPr>
      <w:r>
        <w:rPr>
          <w:rFonts w:eastAsia="Times New Roman"/>
          <w:color w:val="000000"/>
          <w:sz w:val="20"/>
          <w:szCs w:val="20"/>
        </w:rPr>
        <w:t>69</w:t>
      </w:r>
    </w:p>
    <w:p w:rsidR="00000000" w:rsidRDefault="0061405A">
      <w:pPr>
        <w:jc w:val="center"/>
        <w:divId w:val="350768444"/>
        <w:rPr>
          <w:rFonts w:eastAsia="Times New Roman"/>
        </w:rPr>
      </w:pPr>
    </w:p>
    <w:p w:rsidR="00000000" w:rsidRDefault="0061405A">
      <w:pPr>
        <w:rPr>
          <w:rFonts w:eastAsia="Times New Roman"/>
        </w:rPr>
      </w:pPr>
      <w:r>
        <w:rPr>
          <w:rFonts w:eastAsia="Times New Roman"/>
        </w:rPr>
        <w:pict>
          <v:rect id="_x0000_i1096" style="width:0;height:1.5pt" o:hralign="center" o:hrstd="t" o:hr="t" fillcolor="#a0a0a0" stroked="f"/>
        </w:pict>
      </w:r>
    </w:p>
    <w:p w:rsidR="00000000" w:rsidRDefault="0061405A">
      <w:pPr>
        <w:divId w:val="36512950"/>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center"/>
        <w:divId w:val="1955287813"/>
        <w:rPr>
          <w:rFonts w:eastAsia="Times New Roman"/>
        </w:rPr>
      </w:pPr>
      <w:r>
        <w:rPr>
          <w:rFonts w:eastAsia="Times New Roman"/>
          <w:b/>
          <w:bCs/>
          <w:color w:val="000000"/>
          <w:sz w:val="20"/>
          <w:szCs w:val="20"/>
        </w:rPr>
        <w:t>NOODLES &amp; COMPANY</w:t>
      </w:r>
    </w:p>
    <w:p w:rsidR="00000000" w:rsidRDefault="0061405A">
      <w:pPr>
        <w:jc w:val="center"/>
        <w:divId w:val="2021928512"/>
        <w:rPr>
          <w:rFonts w:eastAsia="Times New Roman"/>
        </w:rPr>
      </w:pPr>
      <w:r>
        <w:rPr>
          <w:rFonts w:eastAsia="Times New Roman"/>
          <w:b/>
          <w:bCs/>
          <w:color w:val="000000"/>
          <w:sz w:val="20"/>
          <w:szCs w:val="20"/>
        </w:rPr>
        <w:t>NOTES TO CONSOLIDATED FINANCIAL STATEMENTS (Continued)</w:t>
      </w:r>
    </w:p>
    <w:p w:rsidR="00000000" w:rsidRDefault="0061405A">
      <w:pPr>
        <w:jc w:val="center"/>
        <w:divId w:val="1646860920"/>
        <w:rPr>
          <w:rFonts w:eastAsia="Times New Roman"/>
        </w:rPr>
      </w:pPr>
    </w:p>
    <w:p w:rsidR="00000000" w:rsidRDefault="0061405A">
      <w:pPr>
        <w:divId w:val="527375628"/>
        <w:rPr>
          <w:rFonts w:eastAsia="Times New Roman"/>
        </w:rPr>
      </w:pPr>
      <w:r>
        <w:rPr>
          <w:rFonts w:eastAsia="Times New Roman"/>
          <w:color w:val="000000"/>
          <w:sz w:val="20"/>
          <w:szCs w:val="20"/>
        </w:rPr>
        <w:t>The components of lease costs are as follows (in thousands):</w:t>
      </w: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1986"/>
        <w:gridCol w:w="37"/>
        <w:gridCol w:w="40"/>
        <w:gridCol w:w="3048"/>
        <w:gridCol w:w="36"/>
        <w:gridCol w:w="36"/>
        <w:gridCol w:w="36"/>
        <w:gridCol w:w="36"/>
        <w:gridCol w:w="120"/>
        <w:gridCol w:w="1271"/>
        <w:gridCol w:w="36"/>
        <w:gridCol w:w="36"/>
        <w:gridCol w:w="36"/>
        <w:gridCol w:w="36"/>
        <w:gridCol w:w="120"/>
        <w:gridCol w:w="1308"/>
        <w:gridCol w:w="36"/>
      </w:tblGrid>
      <w:tr w:rsidR="00000000">
        <w:trPr>
          <w:divId w:val="1047415655"/>
          <w:jc w:val="center"/>
        </w:trPr>
        <w:tc>
          <w:tcPr>
            <w:tcW w:w="50" w:type="pct"/>
            <w:vAlign w:val="center"/>
            <w:hideMark/>
          </w:tcPr>
          <w:p w:rsidR="00000000" w:rsidRDefault="0061405A">
            <w:pPr>
              <w:rPr>
                <w:rFonts w:eastAsia="Times New Roman"/>
              </w:rPr>
            </w:pPr>
          </w:p>
        </w:tc>
        <w:tc>
          <w:tcPr>
            <w:tcW w:w="1229"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186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813"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18"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813"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1047415655"/>
          <w:jc w:val="center"/>
        </w:trPr>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Year Ended</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Year Ended</w:t>
            </w:r>
          </w:p>
        </w:tc>
      </w:tr>
      <w:tr w:rsidR="00000000">
        <w:trPr>
          <w:divId w:val="1047415655"/>
          <w:jc w:val="center"/>
        </w:trPr>
        <w:tc>
          <w:tcPr>
            <w:tcW w:w="0" w:type="auto"/>
            <w:gridSpan w:val="6"/>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Classification</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December 29, 2020</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December 31, 2019</w:t>
            </w:r>
          </w:p>
        </w:tc>
      </w:tr>
      <w:tr w:rsidR="00000000">
        <w:trPr>
          <w:divId w:val="1047415655"/>
          <w:jc w:val="center"/>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20"/>
                <w:szCs w:val="20"/>
              </w:rPr>
              <w:t>Operating lease cost</w:t>
            </w: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20"/>
                <w:szCs w:val="20"/>
              </w:rPr>
              <w:t>Occupancy, other restaurant operating costs, and general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39,870 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40,753 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047415655"/>
          <w:jc w:val="center"/>
        </w:trPr>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20"/>
                <w:szCs w:val="20"/>
              </w:rPr>
              <w:t>Closure costs, loss on disposals and other</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1,309 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802 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047415655"/>
          <w:jc w:val="center"/>
        </w:trPr>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20"/>
                <w:szCs w:val="20"/>
              </w:rPr>
              <w:t>Finance lease cost</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1047415655"/>
          <w:jc w:val="center"/>
        </w:trPr>
        <w:tc>
          <w:tcPr>
            <w:tcW w:w="0" w:type="auto"/>
            <w:gridSpan w:val="3"/>
            <w:shd w:val="clear" w:color="auto" w:fill="FFFFFF"/>
            <w:tcMar>
              <w:top w:w="30" w:type="dxa"/>
              <w:left w:w="245" w:type="dxa"/>
              <w:bottom w:w="30" w:type="dxa"/>
              <w:right w:w="20" w:type="dxa"/>
            </w:tcMar>
            <w:hideMark/>
          </w:tcPr>
          <w:p w:rsidR="00000000" w:rsidRDefault="0061405A">
            <w:pPr>
              <w:rPr>
                <w:rFonts w:eastAsia="Times New Roman"/>
              </w:rPr>
            </w:pPr>
            <w:r>
              <w:rPr>
                <w:rFonts w:eastAsia="Times New Roman"/>
                <w:color w:val="000000"/>
                <w:sz w:val="20"/>
                <w:szCs w:val="20"/>
              </w:rPr>
              <w:t>Amortization of lease assets</w:t>
            </w: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20"/>
                <w:szCs w:val="20"/>
              </w:rPr>
              <w:t>Depreciation and amortization</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1,142 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661 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047415655"/>
          <w:jc w:val="center"/>
        </w:trPr>
        <w:tc>
          <w:tcPr>
            <w:tcW w:w="0" w:type="auto"/>
            <w:gridSpan w:val="3"/>
            <w:shd w:val="clear" w:color="auto" w:fill="CCEEFF"/>
            <w:tcMar>
              <w:top w:w="30" w:type="dxa"/>
              <w:left w:w="245" w:type="dxa"/>
              <w:bottom w:w="30" w:type="dxa"/>
              <w:right w:w="20" w:type="dxa"/>
            </w:tcMar>
            <w:hideMark/>
          </w:tcPr>
          <w:p w:rsidR="00000000" w:rsidRDefault="0061405A">
            <w:pPr>
              <w:rPr>
                <w:rFonts w:eastAsia="Times New Roman"/>
              </w:rPr>
            </w:pPr>
            <w:r>
              <w:rPr>
                <w:rFonts w:eastAsia="Times New Roman"/>
                <w:color w:val="000000"/>
                <w:sz w:val="20"/>
                <w:szCs w:val="20"/>
              </w:rPr>
              <w:t>Interest on lease liabilities</w:t>
            </w: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20"/>
                <w:szCs w:val="20"/>
              </w:rPr>
              <w:t>Interest expense, net</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163 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047415655"/>
          <w:jc w:val="center"/>
        </w:trPr>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42,484 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42,289 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047415655"/>
          <w:jc w:val="center"/>
        </w:trPr>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20"/>
                <w:szCs w:val="20"/>
              </w:rPr>
              <w:t>Sublease income</w:t>
            </w: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20"/>
                <w:szCs w:val="20"/>
              </w:rPr>
              <w:t>Franchising royalties and fees, and other</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(1,266)</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(651)</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047415655"/>
          <w:jc w:val="center"/>
        </w:trPr>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20"/>
                <w:szCs w:val="20"/>
              </w:rPr>
              <w:t>Total lease cost, net</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41,218 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41,638 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bl>
    <w:p w:rsidR="00000000" w:rsidRDefault="0061405A">
      <w:pPr>
        <w:divId w:val="1017390729"/>
        <w:rPr>
          <w:rFonts w:eastAsia="Times New Roman"/>
        </w:rPr>
      </w:pPr>
    </w:p>
    <w:p w:rsidR="00000000" w:rsidRDefault="0061405A">
      <w:pPr>
        <w:divId w:val="1767997037"/>
        <w:rPr>
          <w:rFonts w:eastAsia="Times New Roman"/>
        </w:rPr>
      </w:pPr>
      <w:r>
        <w:rPr>
          <w:rFonts w:eastAsia="Times New Roman"/>
          <w:color w:val="000000"/>
          <w:sz w:val="20"/>
          <w:szCs w:val="20"/>
        </w:rPr>
        <w:t>Future minimum lease payments required under existing leases as of December 29, 2020 are as follows (in thousands):</w:t>
      </w: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4644"/>
        <w:gridCol w:w="36"/>
        <w:gridCol w:w="120"/>
        <w:gridCol w:w="1067"/>
        <w:gridCol w:w="36"/>
        <w:gridCol w:w="36"/>
        <w:gridCol w:w="36"/>
        <w:gridCol w:w="36"/>
        <w:gridCol w:w="120"/>
        <w:gridCol w:w="870"/>
        <w:gridCol w:w="36"/>
        <w:gridCol w:w="36"/>
        <w:gridCol w:w="36"/>
        <w:gridCol w:w="36"/>
        <w:gridCol w:w="120"/>
        <w:gridCol w:w="954"/>
        <w:gridCol w:w="36"/>
      </w:tblGrid>
      <w:tr w:rsidR="00000000">
        <w:trPr>
          <w:divId w:val="2066754227"/>
          <w:jc w:val="center"/>
        </w:trPr>
        <w:tc>
          <w:tcPr>
            <w:tcW w:w="50" w:type="pct"/>
            <w:vAlign w:val="center"/>
            <w:hideMark/>
          </w:tcPr>
          <w:p w:rsidR="00000000" w:rsidRDefault="0061405A">
            <w:pPr>
              <w:rPr>
                <w:rFonts w:eastAsia="Times New Roman"/>
              </w:rPr>
            </w:pPr>
          </w:p>
        </w:tc>
        <w:tc>
          <w:tcPr>
            <w:tcW w:w="2829"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671"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78"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628"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2066754227"/>
          <w:jc w:val="center"/>
        </w:trPr>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Operating Leases</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Finance Leases</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Total</w:t>
            </w:r>
          </w:p>
        </w:tc>
      </w:tr>
      <w:tr w:rsidR="00000000">
        <w:trPr>
          <w:divId w:val="2066754227"/>
          <w:jc w:val="center"/>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2021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41,505 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2,278 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43,783 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66754227"/>
          <w:jc w:val="center"/>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2022</w:t>
            </w: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43,126 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2,151 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45,277 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66754227"/>
          <w:jc w:val="center"/>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2023</w:t>
            </w: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41,608 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2,006 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43,614 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66754227"/>
          <w:jc w:val="center"/>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2024</w:t>
            </w: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39,961 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1,849 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41,810 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66754227"/>
          <w:jc w:val="center"/>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2025</w:t>
            </w: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38,320 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734 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39,054 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66754227"/>
          <w:jc w:val="center"/>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Thereafter</w:t>
            </w: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129,067 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129,080 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66754227"/>
          <w:jc w:val="center"/>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Total lease payments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333,587 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9,031 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342,618 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66754227"/>
          <w:jc w:val="center"/>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Less: Imputed interest</w:t>
            </w: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97,039 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1,175 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98,214 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2066754227"/>
          <w:jc w:val="center"/>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Present value of lease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236,548 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7,856 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244,404 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bl>
    <w:p w:rsidR="00000000" w:rsidRDefault="0061405A">
      <w:pPr>
        <w:jc w:val="both"/>
        <w:rPr>
          <w:rFonts w:eastAsia="Times New Roman"/>
        </w:rPr>
      </w:pPr>
    </w:p>
    <w:p w:rsidR="00000000" w:rsidRDefault="0061405A">
      <w:pPr>
        <w:jc w:val="both"/>
        <w:rPr>
          <w:rFonts w:eastAsia="Times New Roman"/>
        </w:rPr>
      </w:pPr>
      <w:r>
        <w:rPr>
          <w:rFonts w:eastAsia="Times New Roman"/>
          <w:color w:val="000000"/>
          <w:sz w:val="20"/>
          <w:szCs w:val="20"/>
        </w:rPr>
        <w:t xml:space="preserve">Operating lease payments include $124.4 </w:t>
      </w:r>
      <w:r>
        <w:rPr>
          <w:rFonts w:eastAsia="Times New Roman"/>
          <w:color w:val="000000"/>
          <w:sz w:val="20"/>
          <w:szCs w:val="20"/>
        </w:rPr>
        <w:t>million related to options to extend lease terms that are reasonably certain of being exercised and exclude $6.1 million of legally binding minimum lease payments for leases signed but not yet commenced.</w:t>
      </w:r>
    </w:p>
    <w:p w:rsidR="00000000" w:rsidRDefault="0061405A">
      <w:pPr>
        <w:jc w:val="both"/>
        <w:rPr>
          <w:rFonts w:eastAsia="Times New Roman"/>
        </w:rPr>
      </w:pPr>
    </w:p>
    <w:p w:rsidR="00000000" w:rsidRDefault="0061405A">
      <w:pPr>
        <w:divId w:val="439765448"/>
        <w:rPr>
          <w:rFonts w:eastAsia="Times New Roman"/>
        </w:rPr>
      </w:pPr>
      <w:r>
        <w:rPr>
          <w:rFonts w:eastAsia="Times New Roman"/>
          <w:color w:val="000000"/>
          <w:sz w:val="20"/>
          <w:szCs w:val="20"/>
        </w:rPr>
        <w:t>Lease term and discount rate are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796"/>
        <w:gridCol w:w="37"/>
        <w:gridCol w:w="54"/>
        <w:gridCol w:w="922"/>
        <w:gridCol w:w="187"/>
        <w:gridCol w:w="36"/>
        <w:gridCol w:w="36"/>
        <w:gridCol w:w="36"/>
        <w:gridCol w:w="54"/>
        <w:gridCol w:w="923"/>
        <w:gridCol w:w="187"/>
      </w:tblGrid>
      <w:tr w:rsidR="00000000">
        <w:trPr>
          <w:divId w:val="2016149905"/>
          <w:jc w:val="center"/>
        </w:trPr>
        <w:tc>
          <w:tcPr>
            <w:tcW w:w="50" w:type="pct"/>
            <w:vAlign w:val="center"/>
            <w:hideMark/>
          </w:tcPr>
          <w:p w:rsidR="00000000" w:rsidRDefault="0061405A">
            <w:pPr>
              <w:rPr>
                <w:rFonts w:eastAsia="Times New Roman"/>
              </w:rPr>
            </w:pPr>
          </w:p>
        </w:tc>
        <w:tc>
          <w:tcPr>
            <w:tcW w:w="3551"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627"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18"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627"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2016149905"/>
          <w:jc w:val="center"/>
        </w:trPr>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December 29, 2020</w:t>
            </w:r>
          </w:p>
        </w:tc>
        <w:tc>
          <w:tcPr>
            <w:tcW w:w="0" w:type="auto"/>
            <w:gridSpan w:val="3"/>
            <w:shd w:val="clear" w:color="auto" w:fill="FFFFFF"/>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December 31, 2019</w:t>
            </w:r>
          </w:p>
        </w:tc>
      </w:tr>
      <w:tr w:rsidR="00000000">
        <w:trPr>
          <w:divId w:val="2016149905"/>
          <w:jc w:val="center"/>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Weighted average remaining lease term (years):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2016149905"/>
          <w:jc w:val="center"/>
        </w:trPr>
        <w:tc>
          <w:tcPr>
            <w:tcW w:w="0" w:type="auto"/>
            <w:gridSpan w:val="3"/>
            <w:shd w:val="clear" w:color="auto" w:fill="CCEE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20"/>
                <w:szCs w:val="20"/>
              </w:rPr>
              <w:t>Operating</w:t>
            </w:r>
          </w:p>
        </w:tc>
        <w:tc>
          <w:tcPr>
            <w:tcW w:w="0" w:type="auto"/>
            <w:gridSpan w:val="3"/>
            <w:shd w:val="clear" w:color="auto" w:fill="CCEEFF"/>
            <w:tcMar>
              <w:top w:w="30" w:type="dxa"/>
              <w:left w:w="2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8.5</w:t>
            </w: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10.0</w:t>
            </w:r>
          </w:p>
        </w:tc>
      </w:tr>
      <w:tr w:rsidR="00000000">
        <w:trPr>
          <w:divId w:val="2016149905"/>
          <w:jc w:val="center"/>
        </w:trPr>
        <w:tc>
          <w:tcPr>
            <w:tcW w:w="0" w:type="auto"/>
            <w:gridSpan w:val="3"/>
            <w:shd w:val="clear" w:color="auto" w:fill="FFFF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20"/>
                <w:szCs w:val="20"/>
              </w:rPr>
              <w:t>Finance</w:t>
            </w:r>
          </w:p>
        </w:tc>
        <w:tc>
          <w:tcPr>
            <w:tcW w:w="0" w:type="auto"/>
            <w:gridSpan w:val="3"/>
            <w:shd w:val="clear" w:color="auto" w:fill="FFFFFF"/>
            <w:tcMar>
              <w:top w:w="30" w:type="dxa"/>
              <w:left w:w="2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4.2</w:t>
            </w: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2.9</w:t>
            </w:r>
          </w:p>
        </w:tc>
      </w:tr>
      <w:tr w:rsidR="00000000">
        <w:trPr>
          <w:divId w:val="2016149905"/>
          <w:jc w:val="center"/>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Weighted average discount rate:</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2016149905"/>
          <w:jc w:val="center"/>
        </w:trPr>
        <w:tc>
          <w:tcPr>
            <w:tcW w:w="0" w:type="auto"/>
            <w:gridSpan w:val="3"/>
            <w:shd w:val="clear" w:color="auto" w:fill="FFFF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20"/>
                <w:szCs w:val="20"/>
              </w:rPr>
              <w:t>Operating</w:t>
            </w: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8.6 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8.6 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r>
      <w:tr w:rsidR="00000000">
        <w:trPr>
          <w:divId w:val="2016149905"/>
          <w:jc w:val="center"/>
        </w:trPr>
        <w:tc>
          <w:tcPr>
            <w:tcW w:w="0" w:type="auto"/>
            <w:gridSpan w:val="3"/>
            <w:shd w:val="clear" w:color="auto" w:fill="CCEEFF"/>
            <w:tcMar>
              <w:top w:w="30" w:type="dxa"/>
              <w:left w:w="245" w:type="dxa"/>
              <w:bottom w:w="30" w:type="dxa"/>
              <w:right w:w="20" w:type="dxa"/>
            </w:tcMar>
            <w:vAlign w:val="bottom"/>
            <w:hideMark/>
          </w:tcPr>
          <w:p w:rsidR="00000000" w:rsidRDefault="0061405A">
            <w:pPr>
              <w:rPr>
                <w:rFonts w:eastAsia="Times New Roman"/>
              </w:rPr>
            </w:pPr>
            <w:r>
              <w:rPr>
                <w:rFonts w:eastAsia="Times New Roman"/>
                <w:color w:val="000000"/>
                <w:sz w:val="20"/>
                <w:szCs w:val="20"/>
              </w:rPr>
              <w:t>Finance</w:t>
            </w: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6.8 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r>
              <w:rPr>
                <w:rFonts w:eastAsia="Times New Roman"/>
                <w:color w:val="000000"/>
                <w:sz w:val="20"/>
                <w:szCs w:val="20"/>
              </w:rPr>
              <w:t>%</w:t>
            </w:r>
          </w:p>
        </w:tc>
      </w:tr>
    </w:tbl>
    <w:p w:rsidR="00000000" w:rsidRDefault="0061405A">
      <w:pPr>
        <w:divId w:val="568421288"/>
        <w:rPr>
          <w:rFonts w:eastAsia="Times New Roman"/>
        </w:rPr>
      </w:pPr>
    </w:p>
    <w:p w:rsidR="00000000" w:rsidRDefault="0061405A">
      <w:pPr>
        <w:jc w:val="center"/>
        <w:divId w:val="866025005"/>
        <w:rPr>
          <w:rFonts w:eastAsia="Times New Roman"/>
        </w:rPr>
      </w:pPr>
      <w:r>
        <w:rPr>
          <w:rFonts w:eastAsia="Times New Roman"/>
          <w:color w:val="000000"/>
          <w:sz w:val="20"/>
          <w:szCs w:val="20"/>
        </w:rPr>
        <w:t>70</w:t>
      </w:r>
    </w:p>
    <w:p w:rsidR="00000000" w:rsidRDefault="0061405A">
      <w:pPr>
        <w:jc w:val="center"/>
        <w:divId w:val="866025005"/>
        <w:rPr>
          <w:rFonts w:eastAsia="Times New Roman"/>
        </w:rPr>
      </w:pPr>
    </w:p>
    <w:p w:rsidR="00000000" w:rsidRDefault="0061405A">
      <w:pPr>
        <w:rPr>
          <w:rFonts w:eastAsia="Times New Roman"/>
        </w:rPr>
      </w:pPr>
      <w:r>
        <w:rPr>
          <w:rFonts w:eastAsia="Times New Roman"/>
        </w:rPr>
        <w:pict>
          <v:rect id="_x0000_i1097" style="width:0;height:1.5pt" o:hralign="center" o:hrstd="t" o:hr="t" fillcolor="#a0a0a0" stroked="f"/>
        </w:pict>
      </w:r>
    </w:p>
    <w:p w:rsidR="00000000" w:rsidRDefault="0061405A">
      <w:pPr>
        <w:divId w:val="677271917"/>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center"/>
        <w:divId w:val="1137528907"/>
        <w:rPr>
          <w:rFonts w:eastAsia="Times New Roman"/>
        </w:rPr>
      </w:pPr>
      <w:r>
        <w:rPr>
          <w:rFonts w:eastAsia="Times New Roman"/>
          <w:b/>
          <w:bCs/>
          <w:color w:val="000000"/>
          <w:sz w:val="20"/>
          <w:szCs w:val="20"/>
        </w:rPr>
        <w:t>NOODLES &amp; COMPANY</w:t>
      </w:r>
    </w:p>
    <w:p w:rsidR="00000000" w:rsidRDefault="0061405A">
      <w:pPr>
        <w:jc w:val="center"/>
        <w:divId w:val="1546673968"/>
        <w:rPr>
          <w:rFonts w:eastAsia="Times New Roman"/>
        </w:rPr>
      </w:pPr>
      <w:r>
        <w:rPr>
          <w:rFonts w:eastAsia="Times New Roman"/>
          <w:b/>
          <w:bCs/>
          <w:color w:val="000000"/>
          <w:sz w:val="20"/>
          <w:szCs w:val="20"/>
        </w:rPr>
        <w:t>NOTES TO CONSOLIDATED FINANCIAL STATEMENTS (Continued)</w:t>
      </w:r>
    </w:p>
    <w:p w:rsidR="00000000" w:rsidRDefault="0061405A">
      <w:pPr>
        <w:jc w:val="center"/>
        <w:divId w:val="1708217484"/>
        <w:rPr>
          <w:rFonts w:eastAsia="Times New Roman"/>
        </w:rPr>
      </w:pPr>
    </w:p>
    <w:p w:rsidR="00000000" w:rsidRDefault="0061405A">
      <w:pPr>
        <w:jc w:val="both"/>
        <w:rPr>
          <w:rFonts w:eastAsia="Times New Roman"/>
        </w:rPr>
      </w:pPr>
      <w:r>
        <w:rPr>
          <w:rFonts w:eastAsia="Times New Roman"/>
          <w:color w:val="000000"/>
          <w:sz w:val="20"/>
          <w:szCs w:val="20"/>
        </w:rPr>
        <w:t>Supplemental disclosures of cash flow information related to leases are as follows (in thousands):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741"/>
        <w:gridCol w:w="37"/>
        <w:gridCol w:w="36"/>
        <w:gridCol w:w="36"/>
        <w:gridCol w:w="36"/>
        <w:gridCol w:w="120"/>
        <w:gridCol w:w="962"/>
        <w:gridCol w:w="36"/>
        <w:gridCol w:w="36"/>
        <w:gridCol w:w="36"/>
        <w:gridCol w:w="36"/>
        <w:gridCol w:w="120"/>
        <w:gridCol w:w="1000"/>
        <w:gridCol w:w="36"/>
      </w:tblGrid>
      <w:tr w:rsidR="00000000">
        <w:trPr>
          <w:divId w:val="926159966"/>
          <w:jc w:val="center"/>
        </w:trPr>
        <w:tc>
          <w:tcPr>
            <w:tcW w:w="50" w:type="pct"/>
            <w:vAlign w:val="center"/>
            <w:hideMark/>
          </w:tcPr>
          <w:p w:rsidR="00000000" w:rsidRDefault="0061405A">
            <w:pPr>
              <w:jc w:val="both"/>
              <w:rPr>
                <w:rFonts w:eastAsia="Times New Roman"/>
              </w:rPr>
            </w:pPr>
          </w:p>
        </w:tc>
        <w:tc>
          <w:tcPr>
            <w:tcW w:w="3493"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641"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18"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634"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926159966"/>
          <w:jc w:val="center"/>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Cash paid for lease liabilities: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2020</w:t>
            </w:r>
          </w:p>
        </w:tc>
        <w:tc>
          <w:tcPr>
            <w:tcW w:w="0" w:type="auto"/>
            <w:gridSpan w:val="3"/>
            <w:shd w:val="clear" w:color="auto" w:fill="FFFFFF"/>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2019</w:t>
            </w:r>
          </w:p>
        </w:tc>
      </w:tr>
      <w:tr w:rsidR="00000000">
        <w:trPr>
          <w:divId w:val="926159966"/>
          <w:jc w:val="center"/>
        </w:trPr>
        <w:tc>
          <w:tcPr>
            <w:tcW w:w="0" w:type="auto"/>
            <w:gridSpan w:val="3"/>
            <w:shd w:val="clear" w:color="auto" w:fill="CCEEFF"/>
            <w:tcMar>
              <w:top w:w="30" w:type="dxa"/>
              <w:left w:w="155" w:type="dxa"/>
              <w:bottom w:w="30" w:type="dxa"/>
              <w:right w:w="20" w:type="dxa"/>
            </w:tcMar>
            <w:vAlign w:val="bottom"/>
            <w:hideMark/>
          </w:tcPr>
          <w:p w:rsidR="00000000" w:rsidRDefault="0061405A">
            <w:pPr>
              <w:rPr>
                <w:rFonts w:eastAsia="Times New Roman"/>
              </w:rPr>
            </w:pPr>
            <w:r>
              <w:rPr>
                <w:rFonts w:eastAsia="Times New Roman"/>
                <w:color w:val="000000"/>
                <w:sz w:val="20"/>
                <w:szCs w:val="20"/>
              </w:rPr>
              <w:t>Operating leases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39,864 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43,203 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926159966"/>
          <w:jc w:val="center"/>
        </w:trPr>
        <w:tc>
          <w:tcPr>
            <w:tcW w:w="0" w:type="auto"/>
            <w:gridSpan w:val="3"/>
            <w:shd w:val="clear" w:color="auto" w:fill="FFFFFF"/>
            <w:tcMar>
              <w:top w:w="30" w:type="dxa"/>
              <w:left w:w="155" w:type="dxa"/>
              <w:bottom w:w="30" w:type="dxa"/>
              <w:right w:w="20" w:type="dxa"/>
            </w:tcMar>
            <w:vAlign w:val="bottom"/>
            <w:hideMark/>
          </w:tcPr>
          <w:p w:rsidR="00000000" w:rsidRDefault="0061405A">
            <w:pPr>
              <w:rPr>
                <w:rFonts w:eastAsia="Times New Roman"/>
              </w:rPr>
            </w:pPr>
            <w:r>
              <w:rPr>
                <w:rFonts w:eastAsia="Times New Roman"/>
                <w:color w:val="000000"/>
                <w:sz w:val="20"/>
                <w:szCs w:val="20"/>
              </w:rPr>
              <w:t>Finance leases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1,240 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763 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926159966"/>
          <w:jc w:val="center"/>
        </w:trPr>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41,104 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43,966 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926159966"/>
          <w:jc w:val="center"/>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Right-of-use assets obtained in exchange for new lease liabilities: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926159966"/>
          <w:jc w:val="center"/>
        </w:trPr>
        <w:tc>
          <w:tcPr>
            <w:tcW w:w="0" w:type="auto"/>
            <w:gridSpan w:val="3"/>
            <w:shd w:val="clear" w:color="auto" w:fill="CCEEFF"/>
            <w:tcMar>
              <w:top w:w="30" w:type="dxa"/>
              <w:left w:w="155" w:type="dxa"/>
              <w:bottom w:w="30" w:type="dxa"/>
              <w:right w:w="20" w:type="dxa"/>
            </w:tcMar>
            <w:vAlign w:val="bottom"/>
            <w:hideMark/>
          </w:tcPr>
          <w:p w:rsidR="00000000" w:rsidRDefault="0061405A">
            <w:pPr>
              <w:rPr>
                <w:rFonts w:eastAsia="Times New Roman"/>
              </w:rPr>
            </w:pPr>
            <w:r>
              <w:rPr>
                <w:rFonts w:eastAsia="Times New Roman"/>
                <w:color w:val="000000"/>
                <w:sz w:val="20"/>
                <w:szCs w:val="20"/>
              </w:rPr>
              <w:t>Operating leases</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8,310 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11,211 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926159966"/>
          <w:jc w:val="center"/>
        </w:trPr>
        <w:tc>
          <w:tcPr>
            <w:tcW w:w="0" w:type="auto"/>
            <w:gridSpan w:val="3"/>
            <w:shd w:val="clear" w:color="auto" w:fill="FFFFFF"/>
            <w:tcMar>
              <w:top w:w="30" w:type="dxa"/>
              <w:left w:w="155" w:type="dxa"/>
              <w:bottom w:w="30" w:type="dxa"/>
              <w:right w:w="20" w:type="dxa"/>
            </w:tcMar>
            <w:vAlign w:val="bottom"/>
            <w:hideMark/>
          </w:tcPr>
          <w:p w:rsidR="00000000" w:rsidRDefault="0061405A">
            <w:pPr>
              <w:rPr>
                <w:rFonts w:eastAsia="Times New Roman"/>
              </w:rPr>
            </w:pPr>
            <w:r>
              <w:rPr>
                <w:rFonts w:eastAsia="Times New Roman"/>
                <w:color w:val="000000"/>
                <w:sz w:val="20"/>
                <w:szCs w:val="20"/>
              </w:rPr>
              <w:t>Finance leases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8,291 </w:t>
            </w:r>
          </w:p>
        </w:tc>
        <w:tc>
          <w:tcPr>
            <w:tcW w:w="0" w:type="auto"/>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253 </w:t>
            </w:r>
          </w:p>
        </w:tc>
        <w:tc>
          <w:tcPr>
            <w:tcW w:w="0" w:type="auto"/>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926159966"/>
          <w:jc w:val="center"/>
        </w:trPr>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16,601 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11,464 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bl>
    <w:p w:rsidR="00000000" w:rsidRDefault="0061405A">
      <w:pPr>
        <w:divId w:val="1760519725"/>
        <w:rPr>
          <w:rFonts w:eastAsia="Times New Roman"/>
        </w:rPr>
      </w:pPr>
    </w:p>
    <w:p w:rsidR="00000000" w:rsidRDefault="0061405A">
      <w:pPr>
        <w:jc w:val="both"/>
        <w:divId w:val="1718628511"/>
        <w:rPr>
          <w:rFonts w:eastAsia="Times New Roman"/>
        </w:rPr>
      </w:pPr>
      <w:r>
        <w:rPr>
          <w:rFonts w:eastAsia="Times New Roman"/>
          <w:b/>
          <w:bCs/>
          <w:color w:val="000000"/>
          <w:sz w:val="20"/>
          <w:szCs w:val="20"/>
        </w:rPr>
        <w:t>13. Supplemental Disclosures to Consolidated Statements of Cash Flows</w:t>
      </w:r>
    </w:p>
    <w:p w:rsidR="00000000" w:rsidRDefault="0061405A">
      <w:pPr>
        <w:jc w:val="both"/>
        <w:divId w:val="1673340333"/>
        <w:rPr>
          <w:rFonts w:eastAsia="Times New Roman"/>
        </w:rPr>
      </w:pPr>
      <w:r>
        <w:rPr>
          <w:rFonts w:eastAsia="Times New Roman"/>
          <w:color w:val="000000"/>
          <w:sz w:val="20"/>
          <w:szCs w:val="20"/>
        </w:rPr>
        <w:t>The following table presents the supplemental disclosures to the Consolidated Statements of Cash Flows for 2020, 2019 and 2018 (in thousands):</w:t>
      </w:r>
    </w:p>
    <w:tbl>
      <w:tblPr>
        <w:tblW w:w="5000" w:type="pct"/>
        <w:tblCellMar>
          <w:top w:w="15" w:type="dxa"/>
          <w:left w:w="15" w:type="dxa"/>
          <w:bottom w:w="15" w:type="dxa"/>
          <w:right w:w="15" w:type="dxa"/>
        </w:tblCellMar>
        <w:tblLook w:val="04A0" w:firstRow="1" w:lastRow="0" w:firstColumn="1" w:lastColumn="0" w:noHBand="0" w:noVBand="1"/>
      </w:tblPr>
      <w:tblGrid>
        <w:gridCol w:w="37"/>
        <w:gridCol w:w="4872"/>
        <w:gridCol w:w="36"/>
        <w:gridCol w:w="36"/>
        <w:gridCol w:w="36"/>
        <w:gridCol w:w="36"/>
        <w:gridCol w:w="120"/>
        <w:gridCol w:w="855"/>
        <w:gridCol w:w="36"/>
        <w:gridCol w:w="36"/>
        <w:gridCol w:w="36"/>
        <w:gridCol w:w="36"/>
        <w:gridCol w:w="120"/>
        <w:gridCol w:w="857"/>
        <w:gridCol w:w="36"/>
        <w:gridCol w:w="36"/>
        <w:gridCol w:w="36"/>
        <w:gridCol w:w="36"/>
        <w:gridCol w:w="120"/>
        <w:gridCol w:w="857"/>
        <w:gridCol w:w="36"/>
      </w:tblGrid>
      <w:tr w:rsidR="00000000">
        <w:trPr>
          <w:divId w:val="1428116679"/>
        </w:trPr>
        <w:tc>
          <w:tcPr>
            <w:tcW w:w="50" w:type="pct"/>
            <w:vAlign w:val="center"/>
            <w:hideMark/>
          </w:tcPr>
          <w:p w:rsidR="00000000" w:rsidRDefault="0061405A">
            <w:pPr>
              <w:jc w:val="both"/>
              <w:rPr>
                <w:rFonts w:eastAsia="Times New Roman"/>
              </w:rPr>
            </w:pPr>
          </w:p>
        </w:tc>
        <w:tc>
          <w:tcPr>
            <w:tcW w:w="2962"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7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7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7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1428116679"/>
        </w:trPr>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6"/>
                <w:szCs w:val="16"/>
              </w:rPr>
              <w:t>2018</w:t>
            </w:r>
          </w:p>
        </w:tc>
      </w:tr>
      <w:tr w:rsidR="00000000">
        <w:trPr>
          <w:divId w:val="1428116679"/>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Interest paid (net of amounts capitalized)</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2,800 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1405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3,800 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428116679"/>
        </w:trPr>
        <w:tc>
          <w:tcPr>
            <w:tcW w:w="0" w:type="auto"/>
            <w:gridSpan w:val="3"/>
            <w:shd w:val="clear" w:color="auto" w:fill="FFFF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Income taxes (refunded) paid</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(66)</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(98)</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rsidR="00000000" w:rsidRDefault="0061405A">
            <w:pPr>
              <w:jc w:val="right"/>
              <w:rPr>
                <w:rFonts w:eastAsia="Times New Roman"/>
              </w:rPr>
            </w:pPr>
          </w:p>
        </w:tc>
      </w:tr>
      <w:tr w:rsidR="00000000">
        <w:trPr>
          <w:divId w:val="1428116679"/>
        </w:trPr>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Purchases of property and equipment accrued in accounts payable</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891 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2,487 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1405A">
            <w:pPr>
              <w:jc w:val="right"/>
              <w:rPr>
                <w:rFonts w:eastAsia="Times New Roman"/>
              </w:rPr>
            </w:pPr>
            <w:r>
              <w:rPr>
                <w:rFonts w:eastAsia="Times New Roman"/>
                <w:color w:val="000000"/>
                <w:sz w:val="20"/>
                <w:szCs w:val="20"/>
              </w:rPr>
              <w:t>1,338 </w:t>
            </w:r>
          </w:p>
        </w:tc>
        <w:tc>
          <w:tcPr>
            <w:tcW w:w="0" w:type="auto"/>
            <w:shd w:val="clear" w:color="auto" w:fill="CCEEFF"/>
            <w:tcMar>
              <w:top w:w="30" w:type="dxa"/>
              <w:left w:w="0" w:type="dxa"/>
              <w:bottom w:w="30" w:type="dxa"/>
              <w:right w:w="20" w:type="dxa"/>
            </w:tcMar>
            <w:vAlign w:val="bottom"/>
            <w:hideMark/>
          </w:tcPr>
          <w:p w:rsidR="00000000" w:rsidRDefault="0061405A">
            <w:pPr>
              <w:jc w:val="right"/>
              <w:rPr>
                <w:rFonts w:eastAsia="Times New Roman"/>
              </w:rPr>
            </w:pPr>
          </w:p>
        </w:tc>
      </w:tr>
    </w:tbl>
    <w:p w:rsidR="00000000" w:rsidRDefault="0061405A">
      <w:pPr>
        <w:jc w:val="both"/>
        <w:divId w:val="1733694086"/>
        <w:rPr>
          <w:rFonts w:eastAsia="Times New Roman"/>
        </w:rPr>
      </w:pPr>
      <w:r>
        <w:rPr>
          <w:rFonts w:eastAsia="Times New Roman"/>
          <w:b/>
          <w:bCs/>
          <w:color w:val="000000"/>
          <w:sz w:val="20"/>
          <w:szCs w:val="20"/>
        </w:rPr>
        <w:t>14. Commitments and Contingencies</w:t>
      </w:r>
    </w:p>
    <w:p w:rsidR="00000000" w:rsidRDefault="0061405A">
      <w:pPr>
        <w:divId w:val="571427199"/>
        <w:rPr>
          <w:rFonts w:eastAsia="Times New Roman"/>
        </w:rPr>
      </w:pPr>
      <w:r>
        <w:rPr>
          <w:rFonts w:eastAsia="Times New Roman"/>
          <w:color w:val="000000"/>
          <w:sz w:val="20"/>
          <w:szCs w:val="20"/>
          <w:u w:val="single"/>
        </w:rPr>
        <w:t xml:space="preserve">Data Security Incident </w:t>
      </w:r>
    </w:p>
    <w:p w:rsidR="00000000" w:rsidRDefault="0061405A">
      <w:pPr>
        <w:jc w:val="both"/>
        <w:divId w:val="400639396"/>
        <w:rPr>
          <w:rFonts w:eastAsia="Times New Roman"/>
        </w:rPr>
      </w:pPr>
      <w:r>
        <w:rPr>
          <w:rFonts w:eastAsia="Times New Roman"/>
          <w:color w:val="000000"/>
          <w:sz w:val="20"/>
          <w:szCs w:val="20"/>
        </w:rPr>
        <w:t xml:space="preserve">In June of 2016, the Company announced that a data security incident compromised the security of the payment information </w:t>
      </w:r>
      <w:r>
        <w:rPr>
          <w:rFonts w:eastAsia="Times New Roman"/>
          <w:color w:val="000000"/>
          <w:sz w:val="20"/>
          <w:szCs w:val="20"/>
        </w:rPr>
        <w:t>of some customers who used debit or credit cards at certain Noodles &amp; Company locations. In 2018, the Company received the final assessment of $11.0 million from the third of the three payment card companies to which it expected to owe data breach liabilit</w:t>
      </w:r>
      <w:r>
        <w:rPr>
          <w:rFonts w:eastAsia="Times New Roman"/>
          <w:color w:val="000000"/>
          <w:sz w:val="20"/>
          <w:szCs w:val="20"/>
        </w:rPr>
        <w:t>ies, recorded a charge of $3.4 million to increase its accrual to cover this final assessment amount, and paid the assessment. There are no further obligations for data breach liabilities outstanding.</w:t>
      </w:r>
    </w:p>
    <w:p w:rsidR="00000000" w:rsidRDefault="0061405A">
      <w:pPr>
        <w:jc w:val="both"/>
        <w:divId w:val="871377649"/>
        <w:rPr>
          <w:rFonts w:eastAsia="Times New Roman"/>
        </w:rPr>
      </w:pPr>
      <w:r>
        <w:rPr>
          <w:rFonts w:eastAsia="Times New Roman"/>
          <w:color w:val="000000"/>
          <w:sz w:val="20"/>
          <w:szCs w:val="20"/>
          <w:u w:val="single"/>
        </w:rPr>
        <w:t>Other Matters</w:t>
      </w:r>
    </w:p>
    <w:p w:rsidR="00000000" w:rsidRDefault="0061405A">
      <w:pPr>
        <w:jc w:val="both"/>
        <w:divId w:val="1796481928"/>
        <w:rPr>
          <w:rFonts w:eastAsia="Times New Roman"/>
        </w:rPr>
      </w:pPr>
      <w:r>
        <w:rPr>
          <w:rFonts w:eastAsia="Times New Roman"/>
          <w:color w:val="000000"/>
          <w:sz w:val="20"/>
          <w:szCs w:val="20"/>
        </w:rPr>
        <w:t>In the normal course of business, the Com</w:t>
      </w:r>
      <w:r>
        <w:rPr>
          <w:rFonts w:eastAsia="Times New Roman"/>
          <w:color w:val="000000"/>
          <w:sz w:val="20"/>
          <w:szCs w:val="20"/>
        </w:rPr>
        <w:t>pany is subject to other proceedings, lawsuits and claims. Such matters are subject to many uncertainties, and outcomes are not predictable with assurance. Consequently, the Company is unable to ascertain the ultimate aggregate amount of monetary liability</w:t>
      </w:r>
      <w:r>
        <w:rPr>
          <w:rFonts w:eastAsia="Times New Roman"/>
          <w:color w:val="000000"/>
          <w:sz w:val="20"/>
          <w:szCs w:val="20"/>
        </w:rPr>
        <w:t xml:space="preserve"> or financial impact with respect to these matters as of December 29, 2020. These matters could affect the operating results of any one financial reporting period when resolved in future periods. The Company believes that an unfavorable outcome with respec</w:t>
      </w:r>
      <w:r>
        <w:rPr>
          <w:rFonts w:eastAsia="Times New Roman"/>
          <w:color w:val="000000"/>
          <w:sz w:val="20"/>
          <w:szCs w:val="20"/>
        </w:rPr>
        <w:t>t to these matters is remote or a potential range of loss is not material to its consolidated financial statements. Significant increases in the number of these claims, or one or more successful claims that result in greater liabilities than the Company cu</w:t>
      </w:r>
      <w:r>
        <w:rPr>
          <w:rFonts w:eastAsia="Times New Roman"/>
          <w:color w:val="000000"/>
          <w:sz w:val="20"/>
          <w:szCs w:val="20"/>
        </w:rPr>
        <w:t>rrently anticipates, could materially and adversely affect its business, financial condition, results of operations or cash flows.</w:t>
      </w:r>
    </w:p>
    <w:p w:rsidR="00000000" w:rsidRDefault="0061405A">
      <w:pPr>
        <w:jc w:val="both"/>
        <w:divId w:val="505480675"/>
        <w:rPr>
          <w:rFonts w:eastAsia="Times New Roman"/>
        </w:rPr>
      </w:pPr>
      <w:r>
        <w:rPr>
          <w:rFonts w:eastAsia="Times New Roman"/>
          <w:b/>
          <w:bCs/>
          <w:color w:val="000000"/>
          <w:sz w:val="20"/>
          <w:szCs w:val="20"/>
        </w:rPr>
        <w:t>15. Related Party Transactions</w:t>
      </w:r>
    </w:p>
    <w:p w:rsidR="00000000" w:rsidRDefault="0061405A">
      <w:pPr>
        <w:jc w:val="both"/>
        <w:divId w:val="1854999282"/>
        <w:rPr>
          <w:rFonts w:eastAsia="Times New Roman"/>
        </w:rPr>
      </w:pPr>
      <w:r>
        <w:rPr>
          <w:rFonts w:eastAsia="Times New Roman"/>
          <w:b/>
          <w:bCs/>
          <w:i/>
          <w:iCs/>
          <w:color w:val="000000"/>
          <w:sz w:val="20"/>
          <w:szCs w:val="20"/>
        </w:rPr>
        <w:t>Stockholders Agreement</w:t>
      </w:r>
      <w:r>
        <w:rPr>
          <w:rFonts w:eastAsia="Times New Roman"/>
          <w:b/>
          <w:bCs/>
          <w:color w:val="000000"/>
          <w:sz w:val="20"/>
          <w:szCs w:val="20"/>
        </w:rPr>
        <w:t xml:space="preserve"> </w:t>
      </w:r>
    </w:p>
    <w:p w:rsidR="00000000" w:rsidRDefault="0061405A">
      <w:pPr>
        <w:jc w:val="both"/>
        <w:divId w:val="42101152"/>
        <w:rPr>
          <w:rFonts w:eastAsia="Times New Roman"/>
        </w:rPr>
      </w:pPr>
      <w:r>
        <w:rPr>
          <w:rFonts w:eastAsia="Times New Roman"/>
          <w:color w:val="000000"/>
          <w:sz w:val="20"/>
          <w:szCs w:val="20"/>
        </w:rPr>
        <w:t>In connection with its initial public offering, the Company entered in</w:t>
      </w:r>
      <w:r>
        <w:rPr>
          <w:rFonts w:eastAsia="Times New Roman"/>
          <w:color w:val="000000"/>
          <w:sz w:val="20"/>
          <w:szCs w:val="20"/>
        </w:rPr>
        <w:t xml:space="preserve">to a stockholders agreement (the “2013 Stockholders Agreement”) with </w:t>
      </w:r>
      <w:r>
        <w:rPr>
          <w:rFonts w:eastAsia="Times New Roman"/>
          <w:i/>
          <w:iCs/>
          <w:color w:val="000000"/>
          <w:sz w:val="20"/>
          <w:szCs w:val="20"/>
        </w:rPr>
        <w:t>L</w:t>
      </w:r>
      <w:r>
        <w:rPr>
          <w:rFonts w:eastAsia="Times New Roman"/>
          <w:color w:val="000000"/>
          <w:sz w:val="20"/>
          <w:szCs w:val="20"/>
        </w:rPr>
        <w:t xml:space="preserve"> Catterton and Argentia Private Investments, Inc. which granted them the right, subject to certain conditions, to nominate representatives to the Company’s Board of Directors and committ</w:t>
      </w:r>
      <w:r>
        <w:rPr>
          <w:rFonts w:eastAsia="Times New Roman"/>
          <w:color w:val="000000"/>
          <w:sz w:val="20"/>
          <w:szCs w:val="20"/>
        </w:rPr>
        <w:t xml:space="preserve">ees of the Board of Directors. Each of </w:t>
      </w:r>
      <w:r>
        <w:rPr>
          <w:rFonts w:eastAsia="Times New Roman"/>
          <w:i/>
          <w:iCs/>
          <w:color w:val="000000"/>
          <w:sz w:val="20"/>
          <w:szCs w:val="20"/>
        </w:rPr>
        <w:t>L</w:t>
      </w:r>
      <w:r>
        <w:rPr>
          <w:rFonts w:eastAsia="Times New Roman"/>
          <w:color w:val="000000"/>
          <w:sz w:val="20"/>
          <w:szCs w:val="20"/>
        </w:rPr>
        <w:t xml:space="preserve"> Catterton and Argentia’s ownership levels have fallen below 10.0% of our outstanding common stock, and as such, neither have a right to designate a nominee. </w:t>
      </w:r>
    </w:p>
    <w:p w:rsidR="00000000" w:rsidRDefault="0061405A">
      <w:pPr>
        <w:jc w:val="center"/>
        <w:divId w:val="1107433357"/>
        <w:rPr>
          <w:rFonts w:eastAsia="Times New Roman"/>
        </w:rPr>
      </w:pPr>
      <w:r>
        <w:rPr>
          <w:rFonts w:eastAsia="Times New Roman"/>
          <w:color w:val="000000"/>
          <w:sz w:val="20"/>
          <w:szCs w:val="20"/>
        </w:rPr>
        <w:t>71</w:t>
      </w:r>
    </w:p>
    <w:p w:rsidR="00000000" w:rsidRDefault="0061405A">
      <w:pPr>
        <w:jc w:val="center"/>
        <w:divId w:val="1107433357"/>
        <w:rPr>
          <w:rFonts w:eastAsia="Times New Roman"/>
        </w:rPr>
      </w:pPr>
    </w:p>
    <w:p w:rsidR="00000000" w:rsidRDefault="0061405A">
      <w:pPr>
        <w:rPr>
          <w:rFonts w:eastAsia="Times New Roman"/>
        </w:rPr>
      </w:pPr>
      <w:r>
        <w:rPr>
          <w:rFonts w:eastAsia="Times New Roman"/>
        </w:rPr>
        <w:pict>
          <v:rect id="_x0000_i1098" style="width:0;height:1.5pt" o:hralign="center" o:hrstd="t" o:hr="t" fillcolor="#a0a0a0" stroked="f"/>
        </w:pict>
      </w:r>
    </w:p>
    <w:p w:rsidR="00000000" w:rsidRDefault="0061405A">
      <w:pPr>
        <w:divId w:val="1703283397"/>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jc w:val="center"/>
        <w:divId w:val="901676186"/>
        <w:rPr>
          <w:rFonts w:eastAsia="Times New Roman"/>
        </w:rPr>
      </w:pPr>
      <w:r>
        <w:rPr>
          <w:rFonts w:eastAsia="Times New Roman"/>
          <w:b/>
          <w:bCs/>
          <w:color w:val="000000"/>
          <w:sz w:val="20"/>
          <w:szCs w:val="20"/>
        </w:rPr>
        <w:t>NOODLES &amp; COMPANY</w:t>
      </w:r>
    </w:p>
    <w:p w:rsidR="00000000" w:rsidRDefault="0061405A">
      <w:pPr>
        <w:jc w:val="center"/>
        <w:divId w:val="1208570664"/>
        <w:rPr>
          <w:rFonts w:eastAsia="Times New Roman"/>
        </w:rPr>
      </w:pPr>
      <w:r>
        <w:rPr>
          <w:rFonts w:eastAsia="Times New Roman"/>
          <w:b/>
          <w:bCs/>
          <w:color w:val="000000"/>
          <w:sz w:val="20"/>
          <w:szCs w:val="20"/>
        </w:rPr>
        <w:t>NOTES TO CONSOLIDATED FINANCIAL STATEMENTS (Continued)</w:t>
      </w:r>
    </w:p>
    <w:p w:rsidR="00000000" w:rsidRDefault="0061405A">
      <w:pPr>
        <w:jc w:val="center"/>
        <w:divId w:val="1178932049"/>
        <w:rPr>
          <w:rFonts w:eastAsia="Times New Roman"/>
        </w:rPr>
      </w:pPr>
    </w:p>
    <w:p w:rsidR="00000000" w:rsidRDefault="0061405A">
      <w:pPr>
        <w:jc w:val="both"/>
        <w:divId w:val="347028725"/>
        <w:rPr>
          <w:rFonts w:eastAsia="Times New Roman"/>
        </w:rPr>
      </w:pPr>
      <w:r>
        <w:rPr>
          <w:rFonts w:eastAsia="Times New Roman"/>
          <w:b/>
          <w:bCs/>
          <w:i/>
          <w:iCs/>
          <w:color w:val="000000"/>
          <w:sz w:val="20"/>
          <w:szCs w:val="20"/>
        </w:rPr>
        <w:t>Securities Purchase Agreements</w:t>
      </w:r>
    </w:p>
    <w:p w:rsidR="00000000" w:rsidRDefault="0061405A">
      <w:pPr>
        <w:jc w:val="both"/>
        <w:divId w:val="199172060"/>
        <w:rPr>
          <w:rFonts w:eastAsia="Times New Roman"/>
        </w:rPr>
      </w:pPr>
      <w:r>
        <w:rPr>
          <w:rFonts w:eastAsia="Times New Roman"/>
          <w:color w:val="000000"/>
          <w:sz w:val="20"/>
          <w:szCs w:val="20"/>
        </w:rPr>
        <w:t>Under the securities purchase agreement with Mill Road, if at any time Mill Road owns 10.0% or more of our outstanding common stock, Mill Road has the right to designate one nominee for election to our Board of Directors. If Mill Road’s ownership level fal</w:t>
      </w:r>
      <w:r>
        <w:rPr>
          <w:rFonts w:eastAsia="Times New Roman"/>
          <w:color w:val="000000"/>
          <w:sz w:val="20"/>
          <w:szCs w:val="20"/>
        </w:rPr>
        <w:t>ls below 10.0% of our outstanding common stock, Mill Road will no longer have a right to designate a nominee. As of December 29, 2020, Mill Road does not hold a position on the Company’s Board of Directors.</w:t>
      </w:r>
    </w:p>
    <w:p w:rsidR="00000000" w:rsidRDefault="0061405A">
      <w:pPr>
        <w:jc w:val="both"/>
        <w:divId w:val="985743332"/>
        <w:rPr>
          <w:rFonts w:eastAsia="Times New Roman"/>
        </w:rPr>
      </w:pPr>
      <w:r>
        <w:rPr>
          <w:rFonts w:eastAsia="Times New Roman"/>
          <w:b/>
          <w:bCs/>
          <w:color w:val="000000"/>
          <w:sz w:val="20"/>
          <w:szCs w:val="20"/>
        </w:rPr>
        <w:t>16. Revenue Recognition</w:t>
      </w:r>
    </w:p>
    <w:p w:rsidR="00000000" w:rsidRDefault="0061405A">
      <w:pPr>
        <w:jc w:val="both"/>
        <w:divId w:val="512649139"/>
        <w:rPr>
          <w:rFonts w:eastAsia="Times New Roman"/>
        </w:rPr>
      </w:pPr>
      <w:r>
        <w:rPr>
          <w:rFonts w:eastAsia="Times New Roman"/>
          <w:b/>
          <w:bCs/>
          <w:i/>
          <w:iCs/>
          <w:color w:val="000000"/>
          <w:sz w:val="20"/>
          <w:szCs w:val="20"/>
        </w:rPr>
        <w:t>Revenue</w:t>
      </w:r>
    </w:p>
    <w:p w:rsidR="00000000" w:rsidRDefault="0061405A">
      <w:pPr>
        <w:jc w:val="both"/>
        <w:divId w:val="1427530250"/>
        <w:rPr>
          <w:rFonts w:eastAsia="Times New Roman"/>
        </w:rPr>
      </w:pPr>
      <w:r>
        <w:rPr>
          <w:rFonts w:eastAsia="Times New Roman"/>
          <w:color w:val="000000"/>
          <w:sz w:val="20"/>
          <w:szCs w:val="20"/>
        </w:rPr>
        <w:t>The Company adopt</w:t>
      </w:r>
      <w:r>
        <w:rPr>
          <w:rFonts w:eastAsia="Times New Roman"/>
          <w:color w:val="000000"/>
          <w:sz w:val="20"/>
          <w:szCs w:val="20"/>
        </w:rPr>
        <w:t>ed the revenue recognition standards under Topic 606 at the beginning of the first quarter of 2018 using the modified retrospective method. The adoption of these standards did not have an impact on the Company’s recognition of revenue from company-owned re</w:t>
      </w:r>
      <w:r>
        <w:rPr>
          <w:rFonts w:eastAsia="Times New Roman"/>
          <w:color w:val="000000"/>
          <w:sz w:val="20"/>
          <w:szCs w:val="20"/>
        </w:rPr>
        <w:t>staurants or its recognition of continuing royalty fees from franchisees, which are based on a percentage of restaurant revenues and are recognized in the period the related franchised restaurants’ sales occur. Additionally, the adoption of Topic 606 did n</w:t>
      </w:r>
      <w:r>
        <w:rPr>
          <w:rFonts w:eastAsia="Times New Roman"/>
          <w:color w:val="000000"/>
          <w:sz w:val="20"/>
          <w:szCs w:val="20"/>
        </w:rPr>
        <w:t>ot have an impact on the Company’s recognition of revenue from gift cards, including the recognition of gift card breakage, as the new standard requires the use of the “proportionate” method for recognizing breakage, which the Company has historically util</w:t>
      </w:r>
      <w:r>
        <w:rPr>
          <w:rFonts w:eastAsia="Times New Roman"/>
          <w:color w:val="000000"/>
          <w:sz w:val="20"/>
          <w:szCs w:val="20"/>
        </w:rPr>
        <w:t>ized.</w:t>
      </w:r>
    </w:p>
    <w:p w:rsidR="00000000" w:rsidRDefault="0061405A">
      <w:pPr>
        <w:jc w:val="both"/>
        <w:divId w:val="906722775"/>
        <w:rPr>
          <w:rFonts w:eastAsia="Times New Roman"/>
        </w:rPr>
      </w:pPr>
      <w:r>
        <w:rPr>
          <w:rFonts w:eastAsia="Times New Roman"/>
          <w:b/>
          <w:bCs/>
          <w:i/>
          <w:iCs/>
          <w:color w:val="000000"/>
          <w:sz w:val="20"/>
          <w:szCs w:val="20"/>
        </w:rPr>
        <w:t>Gift Cards</w:t>
      </w:r>
    </w:p>
    <w:p w:rsidR="00000000" w:rsidRDefault="0061405A">
      <w:pPr>
        <w:jc w:val="both"/>
        <w:divId w:val="1624461572"/>
        <w:rPr>
          <w:rFonts w:eastAsia="Times New Roman"/>
        </w:rPr>
      </w:pPr>
      <w:r>
        <w:rPr>
          <w:rFonts w:eastAsia="Times New Roman"/>
          <w:color w:val="000000"/>
          <w:sz w:val="20"/>
          <w:szCs w:val="20"/>
        </w:rPr>
        <w:t>As of December 29, 2020 and December 31, 2019, the current portion of the gift card liability, $2.6 million and $2.4 million, respectively, is included in accrued expenses and other current liabilities, and the long-term portion, $0.6 mill</w:t>
      </w:r>
      <w:r>
        <w:rPr>
          <w:rFonts w:eastAsia="Times New Roman"/>
          <w:color w:val="000000"/>
          <w:sz w:val="20"/>
          <w:szCs w:val="20"/>
        </w:rPr>
        <w:t>ion and $0.9 million, respectively, is included in other long-term liabilities in the Consolidated Balance Sheets.</w:t>
      </w:r>
    </w:p>
    <w:p w:rsidR="00000000" w:rsidRDefault="0061405A">
      <w:pPr>
        <w:jc w:val="both"/>
        <w:divId w:val="775638219"/>
        <w:rPr>
          <w:rFonts w:eastAsia="Times New Roman"/>
        </w:rPr>
      </w:pPr>
      <w:r>
        <w:rPr>
          <w:rFonts w:eastAsia="Times New Roman"/>
          <w:color w:val="000000"/>
          <w:sz w:val="20"/>
          <w:szCs w:val="20"/>
        </w:rPr>
        <w:t>Revenue recognized in the Consolidated Statements of Operations for the redemption of gift cards was $3.5 million, $5.3 million and $5.9 mill</w:t>
      </w:r>
      <w:r>
        <w:rPr>
          <w:rFonts w:eastAsia="Times New Roman"/>
          <w:color w:val="000000"/>
          <w:sz w:val="20"/>
          <w:szCs w:val="20"/>
        </w:rPr>
        <w:t xml:space="preserve">ion in 2020, 2019 and 2018, respectively. The Company recognized gift card breakage in restaurant revenue of approximately $0.3 million, $0.4 million and $1.0 million in 2020, 2019 and 2018, respectively. </w:t>
      </w:r>
    </w:p>
    <w:p w:rsidR="00000000" w:rsidRDefault="0061405A">
      <w:pPr>
        <w:jc w:val="both"/>
        <w:divId w:val="784272190"/>
        <w:rPr>
          <w:rFonts w:eastAsia="Times New Roman"/>
        </w:rPr>
      </w:pPr>
      <w:r>
        <w:rPr>
          <w:rFonts w:eastAsia="Times New Roman"/>
          <w:b/>
          <w:bCs/>
          <w:i/>
          <w:iCs/>
          <w:color w:val="000000"/>
          <w:sz w:val="20"/>
          <w:szCs w:val="20"/>
        </w:rPr>
        <w:t>Franchise Fees</w:t>
      </w:r>
    </w:p>
    <w:p w:rsidR="00000000" w:rsidRDefault="0061405A">
      <w:pPr>
        <w:jc w:val="both"/>
        <w:divId w:val="1663003891"/>
        <w:rPr>
          <w:rFonts w:eastAsia="Times New Roman"/>
        </w:rPr>
      </w:pPr>
      <w:r>
        <w:rPr>
          <w:rFonts w:eastAsia="Times New Roman"/>
          <w:color w:val="000000"/>
          <w:sz w:val="20"/>
          <w:szCs w:val="20"/>
        </w:rPr>
        <w:t xml:space="preserve">The adoption of Topic 606 impacted </w:t>
      </w:r>
      <w:r>
        <w:rPr>
          <w:rFonts w:eastAsia="Times New Roman"/>
          <w:color w:val="000000"/>
          <w:sz w:val="20"/>
          <w:szCs w:val="20"/>
        </w:rPr>
        <w:t>the Company’s accounting for initial fees charged to franchisees. In the past, the Company recognized initial franchise fees when all material services or conditions relating to the sale of the franchise had been substantially performed or satisfied by the</w:t>
      </w:r>
      <w:r>
        <w:rPr>
          <w:rFonts w:eastAsia="Times New Roman"/>
          <w:color w:val="000000"/>
          <w:sz w:val="20"/>
          <w:szCs w:val="20"/>
        </w:rPr>
        <w:t xml:space="preserve"> Company, which was generally when a new franchise restaurant opened. In accordance with the new guidance, the Company has determined that the initial franchise services are not distinct from the continuing rights or services offered during the term of the</w:t>
      </w:r>
      <w:r>
        <w:rPr>
          <w:rFonts w:eastAsia="Times New Roman"/>
          <w:color w:val="000000"/>
          <w:sz w:val="20"/>
          <w:szCs w:val="20"/>
        </w:rPr>
        <w:t xml:space="preserve"> franchise agreement and should be treated as a single performance obligation. Therefore, initial fees received from franchisees will be recognized as revenue over the term of each respective franchise agreement, which is typically 20 years.</w:t>
      </w:r>
    </w:p>
    <w:p w:rsidR="00000000" w:rsidRDefault="0061405A">
      <w:pPr>
        <w:jc w:val="both"/>
        <w:divId w:val="1350109203"/>
        <w:rPr>
          <w:rFonts w:eastAsia="Times New Roman"/>
        </w:rPr>
      </w:pPr>
      <w:r>
        <w:rPr>
          <w:rFonts w:eastAsia="Times New Roman"/>
          <w:color w:val="000000"/>
          <w:sz w:val="20"/>
          <w:szCs w:val="20"/>
        </w:rPr>
        <w:t xml:space="preserve">An adjustment </w:t>
      </w:r>
      <w:r>
        <w:rPr>
          <w:rFonts w:eastAsia="Times New Roman"/>
          <w:color w:val="000000"/>
          <w:sz w:val="20"/>
          <w:szCs w:val="20"/>
        </w:rPr>
        <w:t>to beginning retained earnings and a corresponding contract liability of $1.5 million was established on the date of adoption, at the beginning of the first quarter of 2018, associated with the initial fees received through December 31, 2019 that would hav</w:t>
      </w:r>
      <w:r>
        <w:rPr>
          <w:rFonts w:eastAsia="Times New Roman"/>
          <w:color w:val="000000"/>
          <w:sz w:val="20"/>
          <w:szCs w:val="20"/>
        </w:rPr>
        <w:t xml:space="preserve">e been deferred and recognized over the term of each respective franchise agreement if the new guidance had been applied in the past. </w:t>
      </w:r>
    </w:p>
    <w:p w:rsidR="00000000" w:rsidRDefault="0061405A">
      <w:pPr>
        <w:jc w:val="both"/>
        <w:divId w:val="993491533"/>
        <w:rPr>
          <w:rFonts w:eastAsia="Times New Roman"/>
        </w:rPr>
      </w:pPr>
      <w:r>
        <w:rPr>
          <w:rFonts w:eastAsia="Times New Roman"/>
          <w:color w:val="000000"/>
          <w:sz w:val="20"/>
          <w:szCs w:val="20"/>
        </w:rPr>
        <w:t>The Company recognized revenue of $0.1 million in 2020 related to initial fees from franchisees that were included in the</w:t>
      </w:r>
      <w:r>
        <w:rPr>
          <w:rFonts w:eastAsia="Times New Roman"/>
          <w:color w:val="000000"/>
          <w:sz w:val="20"/>
          <w:szCs w:val="20"/>
        </w:rPr>
        <w:t xml:space="preserve"> contract liability balance at the beginning of the year. The Company expects to recognize approximately $0.1 million each fiscal year through fiscal 2025 and approximately $0.6 million thereafter related to performance obligations that are unsatisfied as </w:t>
      </w:r>
      <w:r>
        <w:rPr>
          <w:rFonts w:eastAsia="Times New Roman"/>
          <w:color w:val="000000"/>
          <w:sz w:val="20"/>
          <w:szCs w:val="20"/>
        </w:rPr>
        <w:t>of December 29, 2020.</w:t>
      </w:r>
    </w:p>
    <w:p w:rsidR="00000000" w:rsidRDefault="0061405A">
      <w:pPr>
        <w:jc w:val="both"/>
        <w:divId w:val="198784410"/>
        <w:rPr>
          <w:rFonts w:eastAsia="Times New Roman"/>
        </w:rPr>
      </w:pPr>
      <w:r>
        <w:rPr>
          <w:rFonts w:eastAsia="Times New Roman"/>
          <w:b/>
          <w:bCs/>
          <w:i/>
          <w:iCs/>
          <w:color w:val="000000"/>
          <w:sz w:val="20"/>
          <w:szCs w:val="20"/>
        </w:rPr>
        <w:t>Loyalty Program</w:t>
      </w:r>
    </w:p>
    <w:p w:rsidR="00000000" w:rsidRDefault="0061405A">
      <w:pPr>
        <w:jc w:val="both"/>
        <w:divId w:val="1676032578"/>
        <w:rPr>
          <w:rFonts w:eastAsia="Times New Roman"/>
        </w:rPr>
      </w:pPr>
      <w:r>
        <w:rPr>
          <w:rFonts w:eastAsia="Times New Roman"/>
          <w:color w:val="000000"/>
          <w:sz w:val="20"/>
          <w:szCs w:val="20"/>
        </w:rPr>
        <w:t>The Company operates the Noodles Rewards program, which is primarily a spend-based loyalty program. With each purchase, Noodles Rewards members earn loyalty points that can be redeemed for rewards, including free produ</w:t>
      </w:r>
      <w:r>
        <w:rPr>
          <w:rFonts w:eastAsia="Times New Roman"/>
          <w:color w:val="000000"/>
          <w:sz w:val="20"/>
          <w:szCs w:val="20"/>
        </w:rPr>
        <w:t>cts. Using an estimate of the value of reward redemptions, we defer revenue associated with points earned, net of estimated points that will not be redeemed. Points generally expire after six months. Revenue is recognized in a future period when the reward</w:t>
      </w:r>
      <w:r>
        <w:rPr>
          <w:rFonts w:eastAsia="Times New Roman"/>
          <w:color w:val="000000"/>
          <w:sz w:val="20"/>
          <w:szCs w:val="20"/>
        </w:rPr>
        <w:t xml:space="preserve"> points are redeemed. As of December 29, 2020 and December 31, 2019, the deferred revenue related to the rewards was $0.4 million and $0.6 million, respectively, and was included in accrued expenses and other current liabilities in the Consolidated Balance</w:t>
      </w:r>
      <w:r>
        <w:rPr>
          <w:rFonts w:eastAsia="Times New Roman"/>
          <w:color w:val="000000"/>
          <w:sz w:val="20"/>
          <w:szCs w:val="20"/>
        </w:rPr>
        <w:t xml:space="preserve"> Sheets.</w:t>
      </w:r>
    </w:p>
    <w:p w:rsidR="00000000" w:rsidRDefault="0061405A">
      <w:pPr>
        <w:jc w:val="center"/>
        <w:divId w:val="257641132"/>
        <w:rPr>
          <w:rFonts w:eastAsia="Times New Roman"/>
        </w:rPr>
      </w:pPr>
      <w:r>
        <w:rPr>
          <w:rFonts w:eastAsia="Times New Roman"/>
          <w:color w:val="000000"/>
          <w:sz w:val="20"/>
          <w:szCs w:val="20"/>
        </w:rPr>
        <w:t>72</w:t>
      </w:r>
    </w:p>
    <w:p w:rsidR="00000000" w:rsidRDefault="0061405A">
      <w:pPr>
        <w:rPr>
          <w:rFonts w:eastAsia="Times New Roman"/>
        </w:rPr>
      </w:pPr>
      <w:r>
        <w:rPr>
          <w:rFonts w:eastAsia="Times New Roman"/>
        </w:rPr>
        <w:pict>
          <v:rect id="_x0000_i1099" style="width:0;height:1.5pt" o:hralign="center" o:hrstd="t" o:hr="t" fillcolor="#a0a0a0" stroked="f"/>
        </w:pict>
      </w:r>
    </w:p>
    <w:p w:rsidR="00000000" w:rsidRDefault="0061405A">
      <w:pPr>
        <w:divId w:val="422653612"/>
        <w:rPr>
          <w:rFonts w:eastAsia="Times New Roman"/>
        </w:rPr>
      </w:pPr>
    </w:p>
    <w:p w:rsidR="00000000" w:rsidRDefault="0061405A">
      <w:pPr>
        <w:jc w:val="center"/>
        <w:divId w:val="1737164962"/>
        <w:rPr>
          <w:rFonts w:eastAsia="Times New Roman"/>
        </w:rPr>
      </w:pPr>
      <w:r>
        <w:rPr>
          <w:rFonts w:eastAsia="Times New Roman"/>
          <w:b/>
          <w:bCs/>
          <w:color w:val="000000"/>
          <w:sz w:val="20"/>
          <w:szCs w:val="20"/>
        </w:rPr>
        <w:t>Report of Independent Registered Public Accounting Firm</w:t>
      </w:r>
    </w:p>
    <w:p w:rsidR="00000000" w:rsidRDefault="0061405A">
      <w:pPr>
        <w:jc w:val="both"/>
        <w:rPr>
          <w:rFonts w:eastAsia="Times New Roman"/>
        </w:rPr>
      </w:pPr>
    </w:p>
    <w:p w:rsidR="00000000" w:rsidRDefault="0061405A">
      <w:pPr>
        <w:jc w:val="both"/>
        <w:rPr>
          <w:rFonts w:eastAsia="Times New Roman"/>
        </w:rPr>
      </w:pPr>
      <w:r>
        <w:rPr>
          <w:rFonts w:eastAsia="Times New Roman"/>
          <w:color w:val="000000"/>
          <w:sz w:val="20"/>
          <w:szCs w:val="20"/>
        </w:rPr>
        <w:t>To the Shareholders and the Board of Directors of Noodles &amp; Company</w:t>
      </w:r>
    </w:p>
    <w:p w:rsidR="00000000" w:rsidRDefault="0061405A">
      <w:pPr>
        <w:jc w:val="both"/>
        <w:divId w:val="1116756552"/>
        <w:rPr>
          <w:rFonts w:eastAsia="Times New Roman"/>
        </w:rPr>
      </w:pPr>
      <w:r>
        <w:rPr>
          <w:rFonts w:eastAsia="Times New Roman"/>
          <w:b/>
          <w:bCs/>
          <w:color w:val="000000"/>
          <w:sz w:val="20"/>
          <w:szCs w:val="20"/>
        </w:rPr>
        <w:t>Opinion on the Financial Statements</w:t>
      </w:r>
    </w:p>
    <w:p w:rsidR="00000000" w:rsidRDefault="0061405A">
      <w:pPr>
        <w:jc w:val="both"/>
        <w:divId w:val="587038299"/>
        <w:rPr>
          <w:rFonts w:eastAsia="Times New Roman"/>
        </w:rPr>
      </w:pPr>
      <w:r>
        <w:rPr>
          <w:rFonts w:eastAsia="Times New Roman"/>
          <w:color w:val="000000"/>
          <w:sz w:val="20"/>
          <w:szCs w:val="20"/>
        </w:rPr>
        <w:t>We have audited the accompanying consolidated balance sheets of Noodles &amp; Company (the Company) as of December 29, 2020 and December 31, 2019, the related consolidated statements of operations, stockholders’ equity, and cash flows for each of the three yea</w:t>
      </w:r>
      <w:r>
        <w:rPr>
          <w:rFonts w:eastAsia="Times New Roman"/>
          <w:color w:val="000000"/>
          <w:sz w:val="20"/>
          <w:szCs w:val="20"/>
        </w:rPr>
        <w:t>rs in the period ended December 29, 2020, and the related notes (collectively referred to as the “consolidated financial statements”). In our opinion, the consolidated financial statements present fairly, in all material respects, the financial position of</w:t>
      </w:r>
      <w:r>
        <w:rPr>
          <w:rFonts w:eastAsia="Times New Roman"/>
          <w:color w:val="000000"/>
          <w:sz w:val="20"/>
          <w:szCs w:val="20"/>
        </w:rPr>
        <w:t xml:space="preserve"> the Company at December 29, 2020 and December 31, 2019, and the results of its operations and its cash flows for each of the three years in the period ended December 29, 2020, in conformity with U.S. generally accepted accounting principles. </w:t>
      </w:r>
    </w:p>
    <w:p w:rsidR="00000000" w:rsidRDefault="0061405A">
      <w:pPr>
        <w:jc w:val="both"/>
        <w:divId w:val="132335369"/>
        <w:rPr>
          <w:rFonts w:eastAsia="Times New Roman"/>
        </w:rPr>
      </w:pPr>
      <w:r>
        <w:rPr>
          <w:rFonts w:eastAsia="Times New Roman"/>
          <w:color w:val="000000"/>
          <w:sz w:val="20"/>
          <w:szCs w:val="20"/>
        </w:rPr>
        <w:t>We also have</w:t>
      </w:r>
      <w:r>
        <w:rPr>
          <w:rFonts w:eastAsia="Times New Roman"/>
          <w:color w:val="000000"/>
          <w:sz w:val="20"/>
          <w:szCs w:val="20"/>
        </w:rPr>
        <w:t xml:space="preserve"> audited, in accordance with the standards of the Public Company Accounting Oversight Board (United States) (PCAOB), the Company's internal control over financial reporting as of December 29, 2020, based on criteria established in Internal Control-Integrat</w:t>
      </w:r>
      <w:r>
        <w:rPr>
          <w:rFonts w:eastAsia="Times New Roman"/>
          <w:color w:val="000000"/>
          <w:sz w:val="20"/>
          <w:szCs w:val="20"/>
        </w:rPr>
        <w:t>ed Framework issued by the Committee of Sponsoring Organizations of the Treadway Commission (2013 framework) and our report dated February 25, 2021 expressed an unqualified opinion thereon.</w:t>
      </w:r>
    </w:p>
    <w:p w:rsidR="00000000" w:rsidRDefault="0061405A">
      <w:pPr>
        <w:jc w:val="both"/>
        <w:divId w:val="1411462374"/>
        <w:rPr>
          <w:rFonts w:eastAsia="Times New Roman"/>
        </w:rPr>
      </w:pPr>
      <w:r>
        <w:rPr>
          <w:rFonts w:eastAsia="Times New Roman"/>
          <w:b/>
          <w:bCs/>
          <w:color w:val="000000"/>
          <w:sz w:val="20"/>
          <w:szCs w:val="20"/>
        </w:rPr>
        <w:t>Basis for Opinion</w:t>
      </w:r>
    </w:p>
    <w:p w:rsidR="00000000" w:rsidRDefault="0061405A">
      <w:pPr>
        <w:jc w:val="both"/>
        <w:rPr>
          <w:rFonts w:eastAsia="Times New Roman"/>
        </w:rPr>
      </w:pPr>
      <w:r>
        <w:rPr>
          <w:rFonts w:eastAsia="Times New Roman"/>
          <w:color w:val="000000"/>
          <w:sz w:val="20"/>
          <w:szCs w:val="20"/>
        </w:rPr>
        <w:t>These financial statements are the responsibilit</w:t>
      </w:r>
      <w:r>
        <w:rPr>
          <w:rFonts w:eastAsia="Times New Roman"/>
          <w:color w:val="000000"/>
          <w:sz w:val="20"/>
          <w:szCs w:val="20"/>
        </w:rPr>
        <w:t>y of the Company's management. Our responsibility is to express an opinion on the Company’s financial statements based on our audits. We are a public accounting firm registered with the PCAOB and are required to be independent with respect to the Company i</w:t>
      </w:r>
      <w:r>
        <w:rPr>
          <w:rFonts w:eastAsia="Times New Roman"/>
          <w:color w:val="000000"/>
          <w:sz w:val="20"/>
          <w:szCs w:val="20"/>
        </w:rPr>
        <w:t xml:space="preserve">n accordance with the U.S. federal securities laws and the applicable rules and regulations of the Securities and Exchange Commission and the PCAOB. </w:t>
      </w:r>
    </w:p>
    <w:p w:rsidR="00000000" w:rsidRDefault="0061405A">
      <w:pPr>
        <w:jc w:val="both"/>
        <w:rPr>
          <w:rFonts w:eastAsia="Times New Roman"/>
        </w:rPr>
      </w:pPr>
    </w:p>
    <w:p w:rsidR="00000000" w:rsidRDefault="0061405A">
      <w:pPr>
        <w:jc w:val="both"/>
        <w:rPr>
          <w:rFonts w:eastAsia="Times New Roman"/>
        </w:rPr>
      </w:pPr>
      <w:r>
        <w:rPr>
          <w:rFonts w:eastAsia="Times New Roman"/>
          <w:color w:val="000000"/>
          <w:sz w:val="20"/>
          <w:szCs w:val="20"/>
        </w:rPr>
        <w:t>We conducted our audits in accordance with the standards of the PCAOB. Those standards require that we p</w:t>
      </w:r>
      <w:r>
        <w:rPr>
          <w:rFonts w:eastAsia="Times New Roman"/>
          <w:color w:val="000000"/>
          <w:sz w:val="20"/>
          <w:szCs w:val="20"/>
        </w:rPr>
        <w:t xml:space="preserve">lan and perform the audit to obtain reasonable assurance about whether the financial statements are free of material misstatement, whether due to error or fraud. Our audits included performing procedures to assess the risks of material misstatement of the </w:t>
      </w:r>
      <w:r>
        <w:rPr>
          <w:rFonts w:eastAsia="Times New Roman"/>
          <w:color w:val="000000"/>
          <w:sz w:val="20"/>
          <w:szCs w:val="20"/>
        </w:rPr>
        <w:t>financial statements, whether due to error or fraud, and performing procedures that respond to those risks. Such procedures included examining, on a test basis, evidence regarding the amounts and disclosures in the financial statements. Our audits also inc</w:t>
      </w:r>
      <w:r>
        <w:rPr>
          <w:rFonts w:eastAsia="Times New Roman"/>
          <w:color w:val="000000"/>
          <w:sz w:val="20"/>
          <w:szCs w:val="20"/>
        </w:rPr>
        <w:t xml:space="preserve">luded evaluating the accounting principles used and significant estimates made by management, as well as evaluating the overall presentation of the financial statements. We believe that our audits provide a reasonable basis for our opinion. </w:t>
      </w:r>
    </w:p>
    <w:p w:rsidR="00000000" w:rsidRDefault="0061405A">
      <w:pPr>
        <w:jc w:val="both"/>
        <w:divId w:val="1988167348"/>
        <w:rPr>
          <w:rFonts w:eastAsia="Times New Roman"/>
        </w:rPr>
      </w:pPr>
      <w:r>
        <w:rPr>
          <w:rFonts w:eastAsia="Times New Roman"/>
          <w:b/>
          <w:bCs/>
          <w:color w:val="000000"/>
          <w:sz w:val="20"/>
          <w:szCs w:val="20"/>
        </w:rPr>
        <w:t>Critical Audit</w:t>
      </w:r>
      <w:r>
        <w:rPr>
          <w:rFonts w:eastAsia="Times New Roman"/>
          <w:b/>
          <w:bCs/>
          <w:color w:val="000000"/>
          <w:sz w:val="20"/>
          <w:szCs w:val="20"/>
        </w:rPr>
        <w:t xml:space="preserve"> Matter</w:t>
      </w:r>
    </w:p>
    <w:p w:rsidR="00000000" w:rsidRDefault="0061405A">
      <w:pPr>
        <w:jc w:val="both"/>
        <w:divId w:val="508954985"/>
        <w:rPr>
          <w:rFonts w:eastAsia="Times New Roman"/>
        </w:rPr>
      </w:pPr>
      <w:r>
        <w:rPr>
          <w:rFonts w:eastAsia="Times New Roman"/>
          <w:color w:val="000000"/>
          <w:sz w:val="20"/>
          <w:szCs w:val="20"/>
        </w:rPr>
        <w:t xml:space="preserve">The critical audit matter communicated below is a matter arising from the current period audit of the financial statements that was communicated or required to be communicated to the audit committee and that: (1) relates to accounts or disclosures </w:t>
      </w:r>
      <w:r>
        <w:rPr>
          <w:rFonts w:eastAsia="Times New Roman"/>
          <w:color w:val="000000"/>
          <w:sz w:val="20"/>
          <w:szCs w:val="20"/>
        </w:rPr>
        <w:t>that are material to the financial statements and (2) involved our especially challenging, subjective or complex judgments. The communication of the critical audit matter does not alter in any way our opinion on the consolidated financial statements, taken</w:t>
      </w:r>
      <w:r>
        <w:rPr>
          <w:rFonts w:eastAsia="Times New Roman"/>
          <w:color w:val="000000"/>
          <w:sz w:val="20"/>
          <w:szCs w:val="20"/>
        </w:rPr>
        <w:t xml:space="preserve"> as a whole, and we are not, by communicating the critical audit matter below, providing a separate opinion on the critical audit matter or on the accounts or disclosures to which it relates.</w:t>
      </w:r>
    </w:p>
    <w:p w:rsidR="00000000" w:rsidRDefault="0061405A">
      <w:pPr>
        <w:jc w:val="center"/>
        <w:divId w:val="516577336"/>
        <w:rPr>
          <w:rFonts w:eastAsia="Times New Roman"/>
        </w:rPr>
      </w:pPr>
      <w:r>
        <w:rPr>
          <w:rFonts w:eastAsia="Times New Roman"/>
          <w:color w:val="000000"/>
          <w:sz w:val="20"/>
          <w:szCs w:val="20"/>
        </w:rPr>
        <w:t>73</w:t>
      </w:r>
    </w:p>
    <w:p w:rsidR="00000000" w:rsidRDefault="0061405A">
      <w:pPr>
        <w:rPr>
          <w:rFonts w:eastAsia="Times New Roman"/>
        </w:rPr>
      </w:pPr>
      <w:r>
        <w:rPr>
          <w:rFonts w:eastAsia="Times New Roman"/>
        </w:rPr>
        <w:pict>
          <v:rect id="_x0000_i1100" style="width:0;height:1.5pt" o:hralign="center" o:hrstd="t" o:hr="t" fillcolor="#a0a0a0" stroked="f"/>
        </w:pict>
      </w:r>
    </w:p>
    <w:p w:rsidR="00000000" w:rsidRDefault="0061405A">
      <w:pPr>
        <w:divId w:val="1304120122"/>
        <w:rPr>
          <w:rFonts w:eastAsia="Times New Roman"/>
        </w:rPr>
      </w:pPr>
    </w:p>
    <w:tbl>
      <w:tblPr>
        <w:tblW w:w="4949" w:type="pct"/>
        <w:tblCellMar>
          <w:top w:w="15" w:type="dxa"/>
          <w:left w:w="15" w:type="dxa"/>
          <w:bottom w:w="15" w:type="dxa"/>
          <w:right w:w="15" w:type="dxa"/>
        </w:tblCellMar>
        <w:tblLook w:val="04A0" w:firstRow="1" w:lastRow="0" w:firstColumn="1" w:lastColumn="0" w:noHBand="0" w:noVBand="1"/>
      </w:tblPr>
      <w:tblGrid>
        <w:gridCol w:w="59"/>
        <w:gridCol w:w="2892"/>
        <w:gridCol w:w="36"/>
        <w:gridCol w:w="36"/>
        <w:gridCol w:w="116"/>
        <w:gridCol w:w="36"/>
        <w:gridCol w:w="60"/>
        <w:gridCol w:w="4948"/>
        <w:gridCol w:w="38"/>
      </w:tblGrid>
      <w:tr w:rsidR="00000000">
        <w:trPr>
          <w:divId w:val="1061178558"/>
        </w:trPr>
        <w:tc>
          <w:tcPr>
            <w:tcW w:w="50" w:type="pct"/>
            <w:vAlign w:val="center"/>
            <w:hideMark/>
          </w:tcPr>
          <w:p w:rsidR="00000000" w:rsidRDefault="0061405A">
            <w:pPr>
              <w:rPr>
                <w:rFonts w:eastAsia="Times New Roman"/>
              </w:rPr>
            </w:pPr>
          </w:p>
        </w:tc>
        <w:tc>
          <w:tcPr>
            <w:tcW w:w="1773"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84"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3022"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1061178558"/>
        </w:trPr>
        <w:tc>
          <w:tcPr>
            <w:tcW w:w="0" w:type="auto"/>
            <w:gridSpan w:val="3"/>
            <w:vAlign w:val="center"/>
            <w:hideMark/>
          </w:tcPr>
          <w:p w:rsidR="00000000" w:rsidRDefault="0061405A">
            <w:pPr>
              <w:rPr>
                <w:rFonts w:eastAsia="Times New Roman"/>
                <w:sz w:val="20"/>
                <w:szCs w:val="20"/>
              </w:rPr>
            </w:pPr>
          </w:p>
        </w:tc>
        <w:tc>
          <w:tcPr>
            <w:tcW w:w="0" w:type="auto"/>
            <w:gridSpan w:val="3"/>
            <w:vAlign w:val="center"/>
            <w:hideMark/>
          </w:tcPr>
          <w:p w:rsidR="00000000" w:rsidRDefault="0061405A">
            <w:pPr>
              <w:rPr>
                <w:rFonts w:eastAsia="Times New Roman"/>
                <w:sz w:val="20"/>
                <w:szCs w:val="20"/>
              </w:rPr>
            </w:pPr>
          </w:p>
        </w:tc>
        <w:tc>
          <w:tcPr>
            <w:tcW w:w="0" w:type="auto"/>
            <w:gridSpan w:val="3"/>
            <w:vAlign w:val="center"/>
            <w:hideMark/>
          </w:tcPr>
          <w:p w:rsidR="00000000" w:rsidRDefault="0061405A">
            <w:pPr>
              <w:rPr>
                <w:rFonts w:eastAsia="Times New Roman"/>
                <w:sz w:val="20"/>
                <w:szCs w:val="20"/>
              </w:rPr>
            </w:pPr>
          </w:p>
        </w:tc>
      </w:tr>
      <w:tr w:rsidR="00000000">
        <w:trPr>
          <w:divId w:val="1061178558"/>
        </w:trPr>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30" w:type="dxa"/>
              <w:left w:w="20" w:type="dxa"/>
              <w:bottom w:w="30" w:type="dxa"/>
              <w:right w:w="20" w:type="dxa"/>
            </w:tcMar>
            <w:hideMark/>
          </w:tcPr>
          <w:p w:rsidR="00000000" w:rsidRDefault="0061405A">
            <w:pPr>
              <w:ind w:firstLine="10"/>
              <w:jc w:val="both"/>
              <w:rPr>
                <w:rFonts w:eastAsia="Times New Roman"/>
              </w:rPr>
            </w:pPr>
            <w:r>
              <w:rPr>
                <w:rFonts w:eastAsia="Times New Roman"/>
                <w:b/>
                <w:bCs/>
                <w:i/>
                <w:iCs/>
                <w:color w:val="000000"/>
                <w:sz w:val="20"/>
                <w:szCs w:val="20"/>
              </w:rPr>
              <w:t>Impairment of long-lived assets</w:t>
            </w:r>
          </w:p>
        </w:tc>
      </w:tr>
      <w:tr w:rsidR="00000000">
        <w:trPr>
          <w:divId w:val="1061178558"/>
        </w:trPr>
        <w:tc>
          <w:tcPr>
            <w:tcW w:w="0" w:type="auto"/>
            <w:gridSpan w:val="3"/>
            <w:tcMar>
              <w:top w:w="30" w:type="dxa"/>
              <w:left w:w="20" w:type="dxa"/>
              <w:bottom w:w="30" w:type="dxa"/>
              <w:right w:w="20" w:type="dxa"/>
            </w:tcMar>
            <w:hideMark/>
          </w:tcPr>
          <w:p w:rsidR="00000000" w:rsidRDefault="0061405A">
            <w:pPr>
              <w:ind w:firstLine="10"/>
              <w:divId w:val="1639874409"/>
              <w:rPr>
                <w:rFonts w:eastAsia="Times New Roman"/>
              </w:rPr>
            </w:pPr>
            <w:r>
              <w:rPr>
                <w:rFonts w:eastAsia="Times New Roman"/>
                <w:i/>
                <w:iCs/>
                <w:color w:val="000000"/>
                <w:sz w:val="20"/>
                <w:szCs w:val="20"/>
              </w:rPr>
              <w:t>Description of the Matter</w:t>
            </w:r>
          </w:p>
        </w:tc>
        <w:tc>
          <w:tcPr>
            <w:tcW w:w="0" w:type="auto"/>
            <w:gridSpan w:val="3"/>
            <w:tcMar>
              <w:top w:w="0" w:type="dxa"/>
              <w:left w:w="20" w:type="dxa"/>
              <w:bottom w:w="0" w:type="dxa"/>
              <w:right w:w="20" w:type="dxa"/>
            </w:tcMar>
            <w:vAlign w:val="center"/>
            <w:hideMark/>
          </w:tcPr>
          <w:p w:rsidR="00000000" w:rsidRDefault="0061405A">
            <w:pPr>
              <w:ind w:firstLine="10"/>
              <w:rPr>
                <w:rFonts w:eastAsia="Times New Roman"/>
              </w:rPr>
            </w:pPr>
          </w:p>
        </w:tc>
        <w:tc>
          <w:tcPr>
            <w:tcW w:w="0" w:type="auto"/>
            <w:gridSpan w:val="3"/>
            <w:tcMar>
              <w:top w:w="30" w:type="dxa"/>
              <w:left w:w="20" w:type="dxa"/>
              <w:bottom w:w="30" w:type="dxa"/>
              <w:right w:w="20" w:type="dxa"/>
            </w:tcMar>
            <w:hideMark/>
          </w:tcPr>
          <w:p w:rsidR="00000000" w:rsidRDefault="0061405A">
            <w:pPr>
              <w:ind w:firstLine="10"/>
              <w:jc w:val="both"/>
              <w:rPr>
                <w:rFonts w:eastAsia="Times New Roman"/>
              </w:rPr>
            </w:pPr>
            <w:r>
              <w:rPr>
                <w:rFonts w:eastAsia="Times New Roman"/>
                <w:color w:val="000000"/>
                <w:sz w:val="20"/>
                <w:szCs w:val="20"/>
              </w:rPr>
              <w:t>As more fully described in Notes 1 and 6 to the consolidated financial statements, during the year ended December 29, 2020, the Company recorded impairment charges of $4.1 million related to its restaurants. The Company evaluates its long-lived assets, whi</w:t>
            </w:r>
            <w:r>
              <w:rPr>
                <w:rFonts w:eastAsia="Times New Roman"/>
                <w:color w:val="000000"/>
                <w:sz w:val="20"/>
                <w:szCs w:val="20"/>
              </w:rPr>
              <w:t>ch primarily include property and equipment and right-of-use assets, for impairment whenever events or changes indicate that the carrying amount may not be recoverable. Management groups and evaluates long-lived assets for impairment at the individual rest</w:t>
            </w:r>
            <w:r>
              <w:rPr>
                <w:rFonts w:eastAsia="Times New Roman"/>
                <w:color w:val="000000"/>
                <w:sz w:val="20"/>
                <w:szCs w:val="20"/>
              </w:rPr>
              <w:t>aurant level, which is the lowest level at which independent identifiable cash flows are available. The Company estimates the future undiscounted cash flows expected to be generated by the assets and compares those estimates to the carrying value of the re</w:t>
            </w:r>
            <w:r>
              <w:rPr>
                <w:rFonts w:eastAsia="Times New Roman"/>
                <w:color w:val="000000"/>
                <w:sz w:val="20"/>
                <w:szCs w:val="20"/>
              </w:rPr>
              <w:t>lated assets. If the assets are determined to be impaired, they are written down to their fair values.</w:t>
            </w:r>
          </w:p>
          <w:p w:rsidR="00000000" w:rsidRDefault="0061405A">
            <w:pPr>
              <w:ind w:firstLine="10"/>
              <w:jc w:val="both"/>
              <w:rPr>
                <w:rFonts w:eastAsia="Times New Roman"/>
              </w:rPr>
            </w:pPr>
          </w:p>
          <w:p w:rsidR="00000000" w:rsidRDefault="0061405A">
            <w:pPr>
              <w:ind w:firstLine="10"/>
              <w:jc w:val="both"/>
              <w:rPr>
                <w:rFonts w:eastAsia="Times New Roman"/>
              </w:rPr>
            </w:pPr>
            <w:r>
              <w:rPr>
                <w:rFonts w:eastAsia="Times New Roman"/>
                <w:color w:val="000000"/>
                <w:sz w:val="20"/>
                <w:szCs w:val="20"/>
              </w:rPr>
              <w:t>Auditing the Company’s long-lived asset impairment analyses involved a higher degree of judgment due to the subjective nature of the assumptions involv</w:t>
            </w:r>
            <w:r>
              <w:rPr>
                <w:rFonts w:eastAsia="Times New Roman"/>
                <w:color w:val="000000"/>
                <w:sz w:val="20"/>
                <w:szCs w:val="20"/>
              </w:rPr>
              <w:t>ed in estimating the future undiscounted cash flows. The significant assumptions used in estimating future expected cash flows include estimated restaurant revenue and operating cost growth rates. These assumptions are subjective in nature and are affected</w:t>
            </w:r>
            <w:r>
              <w:rPr>
                <w:rFonts w:eastAsia="Times New Roman"/>
                <w:color w:val="000000"/>
                <w:sz w:val="20"/>
                <w:szCs w:val="20"/>
              </w:rPr>
              <w:t xml:space="preserve"> by expectations about future market or economic conditions.</w:t>
            </w:r>
          </w:p>
        </w:tc>
      </w:tr>
      <w:tr w:rsidR="00000000">
        <w:trPr>
          <w:divId w:val="1061178558"/>
        </w:trPr>
        <w:tc>
          <w:tcPr>
            <w:tcW w:w="0" w:type="auto"/>
            <w:gridSpan w:val="3"/>
            <w:tcMar>
              <w:top w:w="30" w:type="dxa"/>
              <w:left w:w="20" w:type="dxa"/>
              <w:bottom w:w="30" w:type="dxa"/>
              <w:right w:w="20" w:type="dxa"/>
            </w:tcMar>
            <w:hideMark/>
          </w:tcPr>
          <w:p w:rsidR="00000000" w:rsidRDefault="0061405A">
            <w:pPr>
              <w:ind w:firstLine="10"/>
              <w:divId w:val="485321113"/>
              <w:rPr>
                <w:rFonts w:eastAsia="Times New Roman"/>
              </w:rPr>
            </w:pPr>
            <w:r>
              <w:rPr>
                <w:rFonts w:eastAsia="Times New Roman"/>
                <w:i/>
                <w:iCs/>
                <w:color w:val="000000"/>
                <w:sz w:val="20"/>
                <w:szCs w:val="20"/>
              </w:rPr>
              <w:t>How We Addressed the Matter in Our Audit</w:t>
            </w:r>
          </w:p>
        </w:tc>
        <w:tc>
          <w:tcPr>
            <w:tcW w:w="0" w:type="auto"/>
            <w:gridSpan w:val="3"/>
            <w:tcMar>
              <w:top w:w="0" w:type="dxa"/>
              <w:left w:w="20" w:type="dxa"/>
              <w:bottom w:w="0" w:type="dxa"/>
              <w:right w:w="20" w:type="dxa"/>
            </w:tcMar>
            <w:vAlign w:val="center"/>
            <w:hideMark/>
          </w:tcPr>
          <w:p w:rsidR="00000000" w:rsidRDefault="0061405A">
            <w:pPr>
              <w:ind w:firstLine="10"/>
              <w:rPr>
                <w:rFonts w:eastAsia="Times New Roman"/>
              </w:rPr>
            </w:pPr>
          </w:p>
        </w:tc>
        <w:tc>
          <w:tcPr>
            <w:tcW w:w="0" w:type="auto"/>
            <w:gridSpan w:val="3"/>
            <w:tcMar>
              <w:top w:w="30" w:type="dxa"/>
              <w:left w:w="20" w:type="dxa"/>
              <w:bottom w:w="30" w:type="dxa"/>
              <w:right w:w="20" w:type="dxa"/>
            </w:tcMar>
            <w:hideMark/>
          </w:tcPr>
          <w:p w:rsidR="00000000" w:rsidRDefault="0061405A">
            <w:pPr>
              <w:ind w:firstLine="10"/>
              <w:jc w:val="both"/>
              <w:rPr>
                <w:rFonts w:eastAsia="Times New Roman"/>
              </w:rPr>
            </w:pPr>
            <w:r>
              <w:rPr>
                <w:rFonts w:eastAsia="Times New Roman"/>
                <w:color w:val="000000"/>
                <w:sz w:val="20"/>
                <w:szCs w:val="20"/>
              </w:rPr>
              <w:t>We obtained an understanding, evaluated the design and tested the operating effectiveness of controls over the Company’s assessment of the project</w:t>
            </w:r>
            <w:r>
              <w:rPr>
                <w:rFonts w:eastAsia="Times New Roman"/>
                <w:color w:val="000000"/>
                <w:sz w:val="20"/>
                <w:szCs w:val="20"/>
              </w:rPr>
              <w:t>ed undiscounted cash flows to be generated by restaurants with indicators of impairment. This included testing controls over management’s review of the significant assumptions described above.</w:t>
            </w:r>
          </w:p>
          <w:p w:rsidR="00000000" w:rsidRDefault="0061405A">
            <w:pPr>
              <w:ind w:firstLine="10"/>
              <w:jc w:val="both"/>
              <w:rPr>
                <w:rFonts w:eastAsia="Times New Roman"/>
              </w:rPr>
            </w:pPr>
          </w:p>
          <w:p w:rsidR="00000000" w:rsidRDefault="0061405A">
            <w:pPr>
              <w:ind w:firstLine="10"/>
              <w:jc w:val="both"/>
              <w:rPr>
                <w:rFonts w:eastAsia="Times New Roman"/>
              </w:rPr>
            </w:pPr>
            <w:r>
              <w:rPr>
                <w:rFonts w:eastAsia="Times New Roman"/>
                <w:color w:val="000000"/>
                <w:sz w:val="20"/>
                <w:szCs w:val="20"/>
              </w:rPr>
              <w:t>To test the significant assumptions described above, our audi</w:t>
            </w:r>
            <w:r>
              <w:rPr>
                <w:rFonts w:eastAsia="Times New Roman"/>
                <w:color w:val="000000"/>
                <w:sz w:val="20"/>
                <w:szCs w:val="20"/>
              </w:rPr>
              <w:t>t procedures included, among others, comparing estimated revenue and operating cost trends to historical results for similar restaurants and evaluating current trends by restaurant and testing the data for completeness and accuracy used in the calculations</w:t>
            </w:r>
            <w:r>
              <w:rPr>
                <w:rFonts w:eastAsia="Times New Roman"/>
                <w:color w:val="000000"/>
                <w:sz w:val="20"/>
                <w:szCs w:val="20"/>
              </w:rPr>
              <w:t>. We inquired of the Company’s management to understand the business initiatives supporting the assumptions in the future cash flows and compared the future cash flows to the Company’s actual recent performance. We performed a sensitivity analysis of the s</w:t>
            </w:r>
            <w:r>
              <w:rPr>
                <w:rFonts w:eastAsia="Times New Roman"/>
                <w:color w:val="000000"/>
                <w:sz w:val="20"/>
                <w:szCs w:val="20"/>
              </w:rPr>
              <w:t>ignificant assumptions to evaluate the change in future undiscounted cash flow estimates that would result from changes in the assumptions.</w:t>
            </w:r>
          </w:p>
        </w:tc>
      </w:tr>
    </w:tbl>
    <w:p w:rsidR="00000000" w:rsidRDefault="0061405A">
      <w:pPr>
        <w:divId w:val="790319376"/>
        <w:rPr>
          <w:rFonts w:eastAsia="Times New Roman"/>
        </w:rPr>
      </w:pPr>
    </w:p>
    <w:tbl>
      <w:tblPr>
        <w:tblW w:w="4906" w:type="pct"/>
        <w:tblCellMar>
          <w:top w:w="15" w:type="dxa"/>
          <w:left w:w="15" w:type="dxa"/>
          <w:bottom w:w="15" w:type="dxa"/>
          <w:right w:w="15" w:type="dxa"/>
        </w:tblCellMar>
        <w:tblLook w:val="04A0" w:firstRow="1" w:lastRow="0" w:firstColumn="1" w:lastColumn="0" w:noHBand="0" w:noVBand="1"/>
      </w:tblPr>
      <w:tblGrid>
        <w:gridCol w:w="59"/>
        <w:gridCol w:w="3933"/>
        <w:gridCol w:w="36"/>
        <w:gridCol w:w="36"/>
        <w:gridCol w:w="36"/>
        <w:gridCol w:w="36"/>
        <w:gridCol w:w="44"/>
        <w:gridCol w:w="3934"/>
        <w:gridCol w:w="36"/>
      </w:tblGrid>
      <w:tr w:rsidR="00000000">
        <w:trPr>
          <w:divId w:val="1460108908"/>
        </w:trPr>
        <w:tc>
          <w:tcPr>
            <w:tcW w:w="50" w:type="pct"/>
            <w:vAlign w:val="center"/>
            <w:hideMark/>
          </w:tcPr>
          <w:p w:rsidR="00000000" w:rsidRDefault="0061405A">
            <w:pPr>
              <w:rPr>
                <w:rFonts w:eastAsia="Times New Roman"/>
              </w:rPr>
            </w:pPr>
          </w:p>
        </w:tc>
        <w:tc>
          <w:tcPr>
            <w:tcW w:w="2426" w:type="pct"/>
            <w:vAlign w:val="center"/>
            <w:hideMark/>
          </w:tcPr>
          <w:p w:rsidR="00000000" w:rsidRDefault="0061405A">
            <w:pPr>
              <w:spacing w:after="100"/>
              <w:rPr>
                <w:rFonts w:eastAsia="Times New Roman"/>
                <w:sz w:val="20"/>
                <w:szCs w:val="20"/>
              </w:rPr>
            </w:pPr>
          </w:p>
        </w:tc>
        <w:tc>
          <w:tcPr>
            <w:tcW w:w="5" w:type="pct"/>
            <w:vAlign w:val="center"/>
            <w:hideMark/>
          </w:tcPr>
          <w:p w:rsidR="00000000" w:rsidRDefault="0061405A">
            <w:pPr>
              <w:spacing w:after="100"/>
              <w:rPr>
                <w:rFonts w:eastAsia="Times New Roman"/>
                <w:sz w:val="20"/>
                <w:szCs w:val="20"/>
              </w:rPr>
            </w:pPr>
          </w:p>
        </w:tc>
        <w:tc>
          <w:tcPr>
            <w:tcW w:w="5" w:type="pct"/>
            <w:vAlign w:val="center"/>
            <w:hideMark/>
          </w:tcPr>
          <w:p w:rsidR="00000000" w:rsidRDefault="0061405A">
            <w:pPr>
              <w:spacing w:after="100"/>
              <w:rPr>
                <w:rFonts w:eastAsia="Times New Roman"/>
                <w:sz w:val="20"/>
                <w:szCs w:val="20"/>
              </w:rPr>
            </w:pPr>
          </w:p>
        </w:tc>
        <w:tc>
          <w:tcPr>
            <w:tcW w:w="26" w:type="pct"/>
            <w:vAlign w:val="center"/>
            <w:hideMark/>
          </w:tcPr>
          <w:p w:rsidR="00000000" w:rsidRDefault="0061405A">
            <w:pPr>
              <w:spacing w:after="100"/>
              <w:rPr>
                <w:rFonts w:eastAsia="Times New Roman"/>
                <w:sz w:val="20"/>
                <w:szCs w:val="20"/>
              </w:rPr>
            </w:pPr>
          </w:p>
        </w:tc>
        <w:tc>
          <w:tcPr>
            <w:tcW w:w="5" w:type="pct"/>
            <w:vAlign w:val="center"/>
            <w:hideMark/>
          </w:tcPr>
          <w:p w:rsidR="00000000" w:rsidRDefault="0061405A">
            <w:pPr>
              <w:spacing w:after="100"/>
              <w:rPr>
                <w:rFonts w:eastAsia="Times New Roman"/>
                <w:sz w:val="20"/>
                <w:szCs w:val="20"/>
              </w:rPr>
            </w:pPr>
          </w:p>
        </w:tc>
        <w:tc>
          <w:tcPr>
            <w:tcW w:w="50" w:type="pct"/>
            <w:vAlign w:val="center"/>
            <w:hideMark/>
          </w:tcPr>
          <w:p w:rsidR="00000000" w:rsidRDefault="0061405A">
            <w:pPr>
              <w:spacing w:after="100"/>
              <w:rPr>
                <w:rFonts w:eastAsia="Times New Roman"/>
                <w:sz w:val="20"/>
                <w:szCs w:val="20"/>
              </w:rPr>
            </w:pPr>
          </w:p>
        </w:tc>
        <w:tc>
          <w:tcPr>
            <w:tcW w:w="2426" w:type="pct"/>
            <w:vAlign w:val="center"/>
            <w:hideMark/>
          </w:tcPr>
          <w:p w:rsidR="00000000" w:rsidRDefault="0061405A">
            <w:pPr>
              <w:spacing w:after="100"/>
              <w:rPr>
                <w:rFonts w:eastAsia="Times New Roman"/>
                <w:sz w:val="20"/>
                <w:szCs w:val="20"/>
              </w:rPr>
            </w:pPr>
          </w:p>
        </w:tc>
        <w:tc>
          <w:tcPr>
            <w:tcW w:w="5" w:type="pct"/>
            <w:vAlign w:val="center"/>
            <w:hideMark/>
          </w:tcPr>
          <w:p w:rsidR="00000000" w:rsidRDefault="0061405A">
            <w:pPr>
              <w:spacing w:after="100"/>
              <w:rPr>
                <w:rFonts w:eastAsia="Times New Roman"/>
                <w:sz w:val="20"/>
                <w:szCs w:val="20"/>
              </w:rPr>
            </w:pPr>
          </w:p>
        </w:tc>
      </w:tr>
      <w:tr w:rsidR="00000000">
        <w:trPr>
          <w:divId w:val="1460108908"/>
        </w:trPr>
        <w:tc>
          <w:tcPr>
            <w:tcW w:w="0" w:type="auto"/>
            <w:gridSpan w:val="3"/>
            <w:tcMar>
              <w:top w:w="30" w:type="dxa"/>
              <w:left w:w="20" w:type="dxa"/>
              <w:bottom w:w="30" w:type="dxa"/>
              <w:right w:w="20" w:type="dxa"/>
            </w:tcMar>
            <w:hideMark/>
          </w:tcPr>
          <w:p w:rsidR="00000000" w:rsidRDefault="0061405A">
            <w:pPr>
              <w:spacing w:after="100"/>
              <w:rPr>
                <w:rFonts w:eastAsia="Times New Roman"/>
              </w:rPr>
            </w:pPr>
            <w:r>
              <w:rPr>
                <w:rFonts w:eastAsia="Times New Roman"/>
                <w:color w:val="000000"/>
                <w:sz w:val="20"/>
                <w:szCs w:val="20"/>
              </w:rPr>
              <w:t>/s/ Ernst &amp; Young LLP </w:t>
            </w:r>
          </w:p>
        </w:tc>
        <w:tc>
          <w:tcPr>
            <w:tcW w:w="0" w:type="auto"/>
            <w:gridSpan w:val="3"/>
            <w:tcMar>
              <w:top w:w="0" w:type="dxa"/>
              <w:left w:w="20" w:type="dxa"/>
              <w:bottom w:w="0" w:type="dxa"/>
              <w:right w:w="20" w:type="dxa"/>
            </w:tcMar>
            <w:vAlign w:val="center"/>
            <w:hideMark/>
          </w:tcPr>
          <w:p w:rsidR="00000000" w:rsidRDefault="0061405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1405A">
            <w:pPr>
              <w:spacing w:after="100"/>
              <w:rPr>
                <w:rFonts w:eastAsia="Times New Roman"/>
                <w:sz w:val="20"/>
                <w:szCs w:val="20"/>
              </w:rPr>
            </w:pPr>
          </w:p>
        </w:tc>
      </w:tr>
    </w:tbl>
    <w:p w:rsidR="00000000" w:rsidRDefault="0061405A">
      <w:pPr>
        <w:divId w:val="906843340"/>
        <w:rPr>
          <w:rFonts w:eastAsia="Times New Roman"/>
        </w:rPr>
      </w:pPr>
      <w:r>
        <w:rPr>
          <w:rFonts w:eastAsia="Times New Roman"/>
          <w:color w:val="000000"/>
          <w:sz w:val="20"/>
          <w:szCs w:val="20"/>
        </w:rPr>
        <w:t>We have served as the Company’</w:t>
      </w:r>
      <w:r>
        <w:rPr>
          <w:rFonts w:eastAsia="Times New Roman"/>
          <w:color w:val="000000"/>
          <w:sz w:val="20"/>
          <w:szCs w:val="20"/>
        </w:rPr>
        <w:t>s auditor since 2009.</w:t>
      </w:r>
    </w:p>
    <w:p w:rsidR="00000000" w:rsidRDefault="0061405A">
      <w:pPr>
        <w:jc w:val="both"/>
        <w:rPr>
          <w:rFonts w:eastAsia="Times New Roman"/>
        </w:rPr>
      </w:pPr>
      <w:r>
        <w:rPr>
          <w:rFonts w:eastAsia="Times New Roman"/>
          <w:color w:val="000000"/>
          <w:sz w:val="20"/>
          <w:szCs w:val="20"/>
        </w:rPr>
        <w:t>Denver, Colorado</w:t>
      </w:r>
    </w:p>
    <w:p w:rsidR="00000000" w:rsidRDefault="0061405A">
      <w:pPr>
        <w:divId w:val="805439535"/>
        <w:rPr>
          <w:rFonts w:eastAsia="Times New Roman"/>
        </w:rPr>
      </w:pPr>
      <w:r>
        <w:rPr>
          <w:rFonts w:eastAsia="Times New Roman"/>
          <w:color w:val="000000"/>
          <w:sz w:val="20"/>
          <w:szCs w:val="20"/>
        </w:rPr>
        <w:t xml:space="preserve">February 25, 2021 </w:t>
      </w:r>
    </w:p>
    <w:p w:rsidR="00000000" w:rsidRDefault="0061405A">
      <w:pPr>
        <w:jc w:val="both"/>
        <w:rPr>
          <w:rFonts w:eastAsia="Times New Roman"/>
        </w:rPr>
      </w:pPr>
    </w:p>
    <w:p w:rsidR="00000000" w:rsidRDefault="0061405A">
      <w:pPr>
        <w:jc w:val="center"/>
        <w:divId w:val="1888059218"/>
        <w:rPr>
          <w:rFonts w:eastAsia="Times New Roman"/>
        </w:rPr>
      </w:pPr>
      <w:r>
        <w:rPr>
          <w:rFonts w:eastAsia="Times New Roman"/>
          <w:color w:val="000000"/>
          <w:sz w:val="20"/>
          <w:szCs w:val="20"/>
        </w:rPr>
        <w:t>74</w:t>
      </w:r>
    </w:p>
    <w:p w:rsidR="00000000" w:rsidRDefault="0061405A">
      <w:pPr>
        <w:rPr>
          <w:rFonts w:eastAsia="Times New Roman"/>
        </w:rPr>
      </w:pPr>
      <w:r>
        <w:rPr>
          <w:rFonts w:eastAsia="Times New Roman"/>
        </w:rPr>
        <w:pict>
          <v:rect id="_x0000_i1101" style="width:0;height:1.5pt" o:hralign="center" o:hrstd="t" o:hr="t" fillcolor="#a0a0a0" stroked="f"/>
        </w:pict>
      </w:r>
    </w:p>
    <w:p w:rsidR="00000000" w:rsidRDefault="0061405A">
      <w:pPr>
        <w:divId w:val="1465198036"/>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divId w:val="853113874"/>
        <w:rPr>
          <w:rFonts w:eastAsia="Times New Roman"/>
        </w:rPr>
      </w:pPr>
      <w:r>
        <w:rPr>
          <w:rFonts w:eastAsia="Times New Roman"/>
          <w:b/>
          <w:bCs/>
          <w:color w:val="000000"/>
          <w:sz w:val="20"/>
          <w:szCs w:val="20"/>
        </w:rPr>
        <w:t>ITEM 9.    Changes in and Disagreements with Accountants on Acco</w:t>
      </w:r>
      <w:r>
        <w:rPr>
          <w:rFonts w:eastAsia="Times New Roman"/>
          <w:b/>
          <w:bCs/>
          <w:color w:val="000000"/>
          <w:sz w:val="20"/>
          <w:szCs w:val="20"/>
        </w:rPr>
        <w:t>unting and Financial Disclosure</w:t>
      </w:r>
    </w:p>
    <w:p w:rsidR="00000000" w:rsidRDefault="0061405A">
      <w:pPr>
        <w:divId w:val="1962148179"/>
        <w:rPr>
          <w:rFonts w:eastAsia="Times New Roman"/>
        </w:rPr>
      </w:pPr>
    </w:p>
    <w:p w:rsidR="00000000" w:rsidRDefault="0061405A">
      <w:pPr>
        <w:divId w:val="1689137965"/>
        <w:rPr>
          <w:rFonts w:eastAsia="Times New Roman"/>
        </w:rPr>
      </w:pPr>
      <w:r>
        <w:rPr>
          <w:rFonts w:eastAsia="Times New Roman"/>
          <w:color w:val="000000"/>
          <w:sz w:val="20"/>
          <w:szCs w:val="20"/>
        </w:rPr>
        <w:t>None.</w:t>
      </w:r>
    </w:p>
    <w:p w:rsidR="00000000" w:rsidRDefault="0061405A">
      <w:pPr>
        <w:divId w:val="1462769851"/>
        <w:rPr>
          <w:rFonts w:eastAsia="Times New Roman"/>
        </w:rPr>
      </w:pPr>
    </w:p>
    <w:p w:rsidR="00000000" w:rsidRDefault="0061405A">
      <w:pPr>
        <w:divId w:val="1119223885"/>
        <w:rPr>
          <w:rFonts w:eastAsia="Times New Roman"/>
        </w:rPr>
      </w:pPr>
      <w:r>
        <w:rPr>
          <w:rFonts w:eastAsia="Times New Roman"/>
          <w:b/>
          <w:bCs/>
          <w:color w:val="000000"/>
          <w:sz w:val="20"/>
          <w:szCs w:val="20"/>
        </w:rPr>
        <w:t>ITEM 9A.    Controls and Procedures</w:t>
      </w:r>
    </w:p>
    <w:p w:rsidR="00000000" w:rsidRDefault="0061405A">
      <w:pPr>
        <w:divId w:val="262417340"/>
        <w:rPr>
          <w:rFonts w:eastAsia="Times New Roman"/>
        </w:rPr>
      </w:pPr>
    </w:p>
    <w:p w:rsidR="00000000" w:rsidRDefault="0061405A">
      <w:pPr>
        <w:divId w:val="1640843533"/>
        <w:rPr>
          <w:rFonts w:eastAsia="Times New Roman"/>
        </w:rPr>
      </w:pPr>
      <w:r>
        <w:rPr>
          <w:rFonts w:eastAsia="Times New Roman"/>
          <w:b/>
          <w:bCs/>
          <w:color w:val="000000"/>
          <w:sz w:val="20"/>
          <w:szCs w:val="20"/>
        </w:rPr>
        <w:t>Evaluation of Disclosure Controls and Procedures</w:t>
      </w:r>
    </w:p>
    <w:p w:rsidR="00000000" w:rsidRDefault="0061405A">
      <w:pPr>
        <w:jc w:val="both"/>
        <w:rPr>
          <w:rFonts w:eastAsia="Times New Roman"/>
        </w:rPr>
      </w:pPr>
    </w:p>
    <w:p w:rsidR="00000000" w:rsidRDefault="0061405A">
      <w:pPr>
        <w:jc w:val="both"/>
        <w:rPr>
          <w:rFonts w:eastAsia="Times New Roman"/>
        </w:rPr>
      </w:pPr>
      <w:r>
        <w:rPr>
          <w:rFonts w:eastAsia="Times New Roman"/>
          <w:color w:val="000000"/>
          <w:sz w:val="20"/>
          <w:szCs w:val="20"/>
        </w:rPr>
        <w:t>Our management carried out an evaluation, under the supervision and with the participation of our Chief Executive Officer and</w:t>
      </w:r>
      <w:r>
        <w:rPr>
          <w:rFonts w:eastAsia="Times New Roman"/>
          <w:color w:val="000000"/>
          <w:sz w:val="20"/>
          <w:szCs w:val="20"/>
        </w:rPr>
        <w:t xml:space="preserve"> Chief Financial Officer, of the effectiveness of the design and operation of our disclosure controls and procedures (as defined in Rule 13a-15(e) of the Exchange Act) as of the end of the period covered by this report. Based on this evaluation, our Chief </w:t>
      </w:r>
      <w:r>
        <w:rPr>
          <w:rFonts w:eastAsia="Times New Roman"/>
          <w:color w:val="000000"/>
          <w:sz w:val="20"/>
          <w:szCs w:val="20"/>
        </w:rPr>
        <w:t>Executive Officer and Chief Financial Officer concluded that our disclosure controls and procedures were effective as of the end of the period covered by this annual report.</w:t>
      </w:r>
    </w:p>
    <w:p w:rsidR="00000000" w:rsidRDefault="0061405A">
      <w:pPr>
        <w:ind w:firstLine="360"/>
        <w:jc w:val="both"/>
        <w:rPr>
          <w:rFonts w:eastAsia="Times New Roman"/>
        </w:rPr>
      </w:pPr>
    </w:p>
    <w:p w:rsidR="00000000" w:rsidRDefault="0061405A">
      <w:pPr>
        <w:jc w:val="both"/>
        <w:rPr>
          <w:rFonts w:eastAsia="Times New Roman"/>
        </w:rPr>
      </w:pPr>
      <w:r>
        <w:rPr>
          <w:rFonts w:eastAsia="Times New Roman"/>
          <w:b/>
          <w:bCs/>
          <w:color w:val="000000"/>
          <w:sz w:val="20"/>
          <w:szCs w:val="20"/>
        </w:rPr>
        <w:t>Changes in Internal Control Over Financial Reporting</w:t>
      </w:r>
    </w:p>
    <w:p w:rsidR="00000000" w:rsidRDefault="0061405A">
      <w:pPr>
        <w:jc w:val="both"/>
        <w:rPr>
          <w:rFonts w:eastAsia="Times New Roman"/>
        </w:rPr>
      </w:pPr>
    </w:p>
    <w:p w:rsidR="00000000" w:rsidRDefault="0061405A">
      <w:pPr>
        <w:jc w:val="both"/>
        <w:rPr>
          <w:rFonts w:eastAsia="Times New Roman"/>
        </w:rPr>
      </w:pPr>
      <w:r>
        <w:rPr>
          <w:rFonts w:eastAsia="Times New Roman"/>
          <w:color w:val="000000"/>
          <w:sz w:val="20"/>
          <w:szCs w:val="20"/>
        </w:rPr>
        <w:t>There have been no changes in our internal control over financial reporting that occurred during our most recent fiscal quarter that have materially affected, or are reasonably likely to materially affect, our internal control over financial reporting.</w:t>
      </w:r>
    </w:p>
    <w:p w:rsidR="00000000" w:rsidRDefault="0061405A">
      <w:pPr>
        <w:jc w:val="both"/>
        <w:rPr>
          <w:rFonts w:eastAsia="Times New Roman"/>
        </w:rPr>
      </w:pPr>
    </w:p>
    <w:p w:rsidR="00000000" w:rsidRDefault="0061405A">
      <w:pPr>
        <w:jc w:val="both"/>
        <w:rPr>
          <w:rFonts w:eastAsia="Times New Roman"/>
        </w:rPr>
      </w:pPr>
      <w:r>
        <w:rPr>
          <w:rFonts w:eastAsia="Times New Roman"/>
          <w:b/>
          <w:bCs/>
          <w:color w:val="000000"/>
          <w:sz w:val="20"/>
          <w:szCs w:val="20"/>
        </w:rPr>
        <w:t>M</w:t>
      </w:r>
      <w:r>
        <w:rPr>
          <w:rFonts w:eastAsia="Times New Roman"/>
          <w:b/>
          <w:bCs/>
          <w:color w:val="000000"/>
          <w:sz w:val="20"/>
          <w:szCs w:val="20"/>
        </w:rPr>
        <w:t>anagement’s Annual Report on Internal Control Over Financial Reporting</w:t>
      </w:r>
    </w:p>
    <w:p w:rsidR="00000000" w:rsidRDefault="0061405A">
      <w:pPr>
        <w:jc w:val="both"/>
        <w:rPr>
          <w:rFonts w:eastAsia="Times New Roman"/>
        </w:rPr>
      </w:pPr>
    </w:p>
    <w:p w:rsidR="00000000" w:rsidRDefault="0061405A">
      <w:pPr>
        <w:jc w:val="both"/>
        <w:rPr>
          <w:rFonts w:eastAsia="Times New Roman"/>
        </w:rPr>
      </w:pPr>
      <w:r>
        <w:rPr>
          <w:rFonts w:eastAsia="Times New Roman"/>
          <w:color w:val="000000"/>
          <w:sz w:val="20"/>
          <w:szCs w:val="20"/>
        </w:rPr>
        <w:t>The management of Noodles &amp; Company is responsible for establishing and maintaining adequate internal control over financial reporting. Our internal control over financial reporting i</w:t>
      </w:r>
      <w:r>
        <w:rPr>
          <w:rFonts w:eastAsia="Times New Roman"/>
          <w:color w:val="000000"/>
          <w:sz w:val="20"/>
          <w:szCs w:val="20"/>
        </w:rPr>
        <w:t>s a process designed to provide reasonable assurance regarding the reliability of financial reporting and the preparation of financial statements for external purposes in accordance with accounting principles generally accepted in the United States of Amer</w:t>
      </w:r>
      <w:r>
        <w:rPr>
          <w:rFonts w:eastAsia="Times New Roman"/>
          <w:color w:val="000000"/>
          <w:sz w:val="20"/>
          <w:szCs w:val="20"/>
        </w:rPr>
        <w:t>ica. Our internal control over financial reporting includes those policies and procedures that (i) pertain to the maintenance of records that, in reasonable detail, accurately and fairly reflect the transactions and dispositions of our assets; (ii) provide</w:t>
      </w:r>
      <w:r>
        <w:rPr>
          <w:rFonts w:eastAsia="Times New Roman"/>
          <w:color w:val="000000"/>
          <w:sz w:val="20"/>
          <w:szCs w:val="20"/>
        </w:rPr>
        <w:t xml:space="preserve"> reasonable assurance that transactions are recorded as necessary to permit preparation of financial statements in accordance with accounting principles generally accepted in the United State of America, and that our receipts and expenditures are being mad</w:t>
      </w:r>
      <w:r>
        <w:rPr>
          <w:rFonts w:eastAsia="Times New Roman"/>
          <w:color w:val="000000"/>
          <w:sz w:val="20"/>
          <w:szCs w:val="20"/>
        </w:rPr>
        <w:t>e only in accordance with authorizations of our management and directors; and (iii) provide reasonable assurance regarding prevention or timely detection of unauthorized acquisition, use, or disposition of assets that could have a material effect on our fi</w:t>
      </w:r>
      <w:r>
        <w:rPr>
          <w:rFonts w:eastAsia="Times New Roman"/>
          <w:color w:val="000000"/>
          <w:sz w:val="20"/>
          <w:szCs w:val="20"/>
        </w:rPr>
        <w:t>nancial statements.</w:t>
      </w:r>
    </w:p>
    <w:p w:rsidR="00000000" w:rsidRDefault="0061405A">
      <w:pPr>
        <w:jc w:val="both"/>
        <w:divId w:val="176310975"/>
        <w:rPr>
          <w:rFonts w:eastAsia="Times New Roman"/>
        </w:rPr>
      </w:pPr>
      <w:r>
        <w:rPr>
          <w:rFonts w:eastAsia="Times New Roman"/>
          <w:color w:val="000000"/>
          <w:sz w:val="20"/>
          <w:szCs w:val="20"/>
        </w:rPr>
        <w:t>Under the supervision and with the participation of our management, including our Chief Executive Officer and Chief Financial Officer, we carried out an evaluation of the effectiveness of our internal control over financial reporting as</w:t>
      </w:r>
      <w:r>
        <w:rPr>
          <w:rFonts w:eastAsia="Times New Roman"/>
          <w:color w:val="000000"/>
          <w:sz w:val="20"/>
          <w:szCs w:val="20"/>
        </w:rPr>
        <w:t xml:space="preserve"> of December 29, 2020 based on the criteria in “Internal Control - Integrated Framework (the 2013 framework)” issued by the Committee of Sponsoring Organizations of the Treadway Commission (“COSO”). Based on this evaluation, our management concluded that o</w:t>
      </w:r>
      <w:r>
        <w:rPr>
          <w:rFonts w:eastAsia="Times New Roman"/>
          <w:color w:val="000000"/>
          <w:sz w:val="20"/>
          <w:szCs w:val="20"/>
        </w:rPr>
        <w:t xml:space="preserve">ur internal control over financial reporting was effective as of December 29, 2020. </w:t>
      </w:r>
    </w:p>
    <w:p w:rsidR="00000000" w:rsidRDefault="0061405A">
      <w:pPr>
        <w:jc w:val="both"/>
        <w:rPr>
          <w:rFonts w:eastAsia="Times New Roman"/>
        </w:rPr>
      </w:pPr>
    </w:p>
    <w:p w:rsidR="00000000" w:rsidRDefault="0061405A">
      <w:pPr>
        <w:jc w:val="both"/>
        <w:rPr>
          <w:rFonts w:eastAsia="Times New Roman"/>
        </w:rPr>
      </w:pPr>
      <w:r>
        <w:rPr>
          <w:rFonts w:eastAsia="Times New Roman"/>
          <w:b/>
          <w:bCs/>
          <w:color w:val="000000"/>
          <w:sz w:val="20"/>
          <w:szCs w:val="20"/>
        </w:rPr>
        <w:t>Attestation Report of the Independent Registered Public Accounting Firm</w:t>
      </w:r>
    </w:p>
    <w:p w:rsidR="00000000" w:rsidRDefault="0061405A">
      <w:pPr>
        <w:jc w:val="both"/>
        <w:divId w:val="791165833"/>
        <w:rPr>
          <w:rFonts w:eastAsia="Times New Roman"/>
        </w:rPr>
      </w:pPr>
      <w:r>
        <w:rPr>
          <w:rFonts w:eastAsia="Times New Roman"/>
          <w:color w:val="000000"/>
          <w:sz w:val="20"/>
          <w:szCs w:val="20"/>
        </w:rPr>
        <w:t>Our independent registered public accounting firm, Ernst &amp; Young LLP, has issued an attestation r</w:t>
      </w:r>
      <w:r>
        <w:rPr>
          <w:rFonts w:eastAsia="Times New Roman"/>
          <w:color w:val="000000"/>
          <w:sz w:val="20"/>
          <w:szCs w:val="20"/>
        </w:rPr>
        <w:t xml:space="preserve">eport on the effectiveness of our internal control over financial reporting as of December 29, 2020. This report follows. </w:t>
      </w:r>
    </w:p>
    <w:p w:rsidR="00000000" w:rsidRDefault="0061405A">
      <w:pPr>
        <w:jc w:val="center"/>
        <w:divId w:val="440882969"/>
        <w:rPr>
          <w:rFonts w:eastAsia="Times New Roman"/>
        </w:rPr>
      </w:pPr>
      <w:r>
        <w:rPr>
          <w:rFonts w:eastAsia="Times New Roman"/>
          <w:color w:val="000000"/>
          <w:sz w:val="20"/>
          <w:szCs w:val="20"/>
        </w:rPr>
        <w:t>75</w:t>
      </w:r>
    </w:p>
    <w:p w:rsidR="00000000" w:rsidRDefault="0061405A">
      <w:pPr>
        <w:rPr>
          <w:rFonts w:eastAsia="Times New Roman"/>
        </w:rPr>
      </w:pPr>
      <w:r>
        <w:rPr>
          <w:rFonts w:eastAsia="Times New Roman"/>
        </w:rPr>
        <w:pict>
          <v:rect id="_x0000_i1102" style="width:0;height:1.5pt" o:hralign="center" o:hrstd="t" o:hr="t" fillcolor="#a0a0a0" stroked="f"/>
        </w:pict>
      </w:r>
    </w:p>
    <w:p w:rsidR="00000000" w:rsidRDefault="0061405A">
      <w:pPr>
        <w:divId w:val="2044792301"/>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ind w:firstLine="45"/>
        <w:jc w:val="center"/>
        <w:divId w:val="1784962404"/>
        <w:rPr>
          <w:rFonts w:eastAsia="Times New Roman"/>
        </w:rPr>
      </w:pPr>
      <w:r>
        <w:rPr>
          <w:rFonts w:eastAsia="Times New Roman"/>
          <w:b/>
          <w:bCs/>
          <w:color w:val="000000"/>
          <w:sz w:val="20"/>
          <w:szCs w:val="20"/>
        </w:rPr>
        <w:t>Re</w:t>
      </w:r>
      <w:r>
        <w:rPr>
          <w:rFonts w:eastAsia="Times New Roman"/>
          <w:b/>
          <w:bCs/>
          <w:color w:val="000000"/>
          <w:sz w:val="20"/>
          <w:szCs w:val="20"/>
        </w:rPr>
        <w:t xml:space="preserve">port of Independent Registered Public Accounting Firm </w:t>
      </w:r>
    </w:p>
    <w:p w:rsidR="00000000" w:rsidRDefault="0061405A">
      <w:pPr>
        <w:ind w:firstLine="45"/>
        <w:jc w:val="center"/>
        <w:divId w:val="1975403509"/>
        <w:rPr>
          <w:rFonts w:eastAsia="Times New Roman"/>
        </w:rPr>
      </w:pPr>
    </w:p>
    <w:p w:rsidR="00000000" w:rsidRDefault="0061405A">
      <w:pPr>
        <w:divId w:val="711420535"/>
        <w:rPr>
          <w:rFonts w:eastAsia="Times New Roman"/>
        </w:rPr>
      </w:pPr>
      <w:r>
        <w:rPr>
          <w:rFonts w:eastAsia="Times New Roman"/>
          <w:color w:val="000000"/>
          <w:sz w:val="20"/>
          <w:szCs w:val="20"/>
        </w:rPr>
        <w:t xml:space="preserve">To the Shareholders and the Board of Directors of Noodles &amp; Company </w:t>
      </w:r>
    </w:p>
    <w:p w:rsidR="00000000" w:rsidRDefault="0061405A">
      <w:pPr>
        <w:ind w:firstLine="45"/>
        <w:divId w:val="2107070258"/>
        <w:rPr>
          <w:rFonts w:eastAsia="Times New Roman"/>
        </w:rPr>
      </w:pPr>
    </w:p>
    <w:p w:rsidR="00000000" w:rsidRDefault="0061405A">
      <w:pPr>
        <w:divId w:val="775490914"/>
        <w:rPr>
          <w:rFonts w:eastAsia="Times New Roman"/>
        </w:rPr>
      </w:pPr>
      <w:r>
        <w:rPr>
          <w:rFonts w:eastAsia="Times New Roman"/>
          <w:b/>
          <w:bCs/>
          <w:color w:val="000000"/>
          <w:sz w:val="20"/>
          <w:szCs w:val="20"/>
        </w:rPr>
        <w:t xml:space="preserve">Opinion on Internal Control Over Financial Reporting </w:t>
      </w:r>
    </w:p>
    <w:p w:rsidR="00000000" w:rsidRDefault="0061405A">
      <w:pPr>
        <w:jc w:val="both"/>
        <w:divId w:val="97986509"/>
        <w:rPr>
          <w:rFonts w:eastAsia="Times New Roman"/>
        </w:rPr>
      </w:pPr>
      <w:r>
        <w:rPr>
          <w:rFonts w:eastAsia="Times New Roman"/>
          <w:color w:val="000000"/>
          <w:sz w:val="20"/>
          <w:szCs w:val="20"/>
        </w:rPr>
        <w:t>We have audited Noodles &amp; Company’s internal control over financial report</w:t>
      </w:r>
      <w:r>
        <w:rPr>
          <w:rFonts w:eastAsia="Times New Roman"/>
          <w:color w:val="000000"/>
          <w:sz w:val="20"/>
          <w:szCs w:val="20"/>
        </w:rPr>
        <w:t xml:space="preserve">ing as of December 29, 2020, based on criteria established in Internal Control-Integrated Framework issued by the Committee of Sponsoring Organizations of the Treadway Commission (2013 framework) (the COSO criteria). In our opinion, Noodles &amp; Company (the </w:t>
      </w:r>
      <w:r>
        <w:rPr>
          <w:rFonts w:eastAsia="Times New Roman"/>
          <w:color w:val="000000"/>
          <w:sz w:val="20"/>
          <w:szCs w:val="20"/>
        </w:rPr>
        <w:t>Company) maintained, in all material respects, effective internal control over financial reporting as of December 29, 2020, based on</w:t>
      </w:r>
      <w:r>
        <w:rPr>
          <w:rFonts w:eastAsia="Times New Roman"/>
          <w:b/>
          <w:bCs/>
          <w:color w:val="000000"/>
          <w:sz w:val="20"/>
          <w:szCs w:val="20"/>
        </w:rPr>
        <w:t xml:space="preserve"> </w:t>
      </w:r>
      <w:r>
        <w:rPr>
          <w:rFonts w:eastAsia="Times New Roman"/>
          <w:color w:val="000000"/>
          <w:sz w:val="20"/>
          <w:szCs w:val="20"/>
        </w:rPr>
        <w:t>the COSO criteria</w:t>
      </w:r>
      <w:r>
        <w:rPr>
          <w:rFonts w:eastAsia="Times New Roman"/>
          <w:b/>
          <w:bCs/>
          <w:color w:val="000000"/>
          <w:sz w:val="20"/>
          <w:szCs w:val="20"/>
        </w:rPr>
        <w:t xml:space="preserve">. </w:t>
      </w:r>
    </w:p>
    <w:p w:rsidR="00000000" w:rsidRDefault="0061405A">
      <w:pPr>
        <w:jc w:val="both"/>
        <w:divId w:val="1891958959"/>
        <w:rPr>
          <w:rFonts w:eastAsia="Times New Roman"/>
        </w:rPr>
      </w:pPr>
      <w:r>
        <w:rPr>
          <w:rFonts w:eastAsia="Times New Roman"/>
          <w:color w:val="000000"/>
          <w:sz w:val="20"/>
          <w:szCs w:val="20"/>
        </w:rPr>
        <w:t>We also have audited, in accordance with the standards of the Public Company Accounting Oversight Board</w:t>
      </w:r>
      <w:r>
        <w:rPr>
          <w:rFonts w:eastAsia="Times New Roman"/>
          <w:color w:val="000000"/>
          <w:sz w:val="20"/>
          <w:szCs w:val="20"/>
        </w:rPr>
        <w:t xml:space="preserve"> (United States) (PCAOB), the consolidated balance sheets of the Company as of December 29, 2020 and December 31, 2019, the related consolidated statements of operations, stockholders’ equity and cash flows for each of the three years in the period ended D</w:t>
      </w:r>
      <w:r>
        <w:rPr>
          <w:rFonts w:eastAsia="Times New Roman"/>
          <w:color w:val="000000"/>
          <w:sz w:val="20"/>
          <w:szCs w:val="20"/>
        </w:rPr>
        <w:t>ecember 29, 2020, and the related note</w:t>
      </w:r>
      <w:r>
        <w:rPr>
          <w:rFonts w:eastAsia="Times New Roman"/>
          <w:color w:val="000000"/>
          <w:sz w:val="20"/>
          <w:szCs w:val="20"/>
        </w:rPr>
        <w:t>s</w:t>
      </w:r>
      <w:r>
        <w:rPr>
          <w:rFonts w:eastAsia="Times New Roman"/>
          <w:color w:val="000000"/>
          <w:sz w:val="13"/>
          <w:szCs w:val="13"/>
        </w:rPr>
        <w:t xml:space="preserve"> </w:t>
      </w:r>
      <w:r>
        <w:rPr>
          <w:rFonts w:eastAsia="Times New Roman"/>
          <w:color w:val="000000"/>
          <w:sz w:val="20"/>
          <w:szCs w:val="20"/>
        </w:rPr>
        <w:t xml:space="preserve">and our report dated February 25, 2021 expressed an unqualified opinion thereon. </w:t>
      </w:r>
    </w:p>
    <w:p w:rsidR="00000000" w:rsidRDefault="0061405A">
      <w:pPr>
        <w:jc w:val="both"/>
        <w:divId w:val="891962697"/>
        <w:rPr>
          <w:rFonts w:eastAsia="Times New Roman"/>
        </w:rPr>
      </w:pPr>
      <w:r>
        <w:rPr>
          <w:rFonts w:eastAsia="Times New Roman"/>
          <w:b/>
          <w:bCs/>
          <w:color w:val="000000"/>
          <w:sz w:val="20"/>
          <w:szCs w:val="20"/>
        </w:rPr>
        <w:t xml:space="preserve">Basis for Opinion </w:t>
      </w:r>
    </w:p>
    <w:p w:rsidR="00000000" w:rsidRDefault="0061405A">
      <w:pPr>
        <w:jc w:val="both"/>
        <w:rPr>
          <w:rFonts w:eastAsia="Times New Roman"/>
        </w:rPr>
      </w:pPr>
      <w:r>
        <w:rPr>
          <w:rFonts w:eastAsia="Times New Roman"/>
          <w:color w:val="000000"/>
          <w:sz w:val="20"/>
          <w:szCs w:val="20"/>
        </w:rPr>
        <w:t>The Company’s management is responsible for maintaining effective internal control over financial reporting and for</w:t>
      </w:r>
      <w:r>
        <w:rPr>
          <w:rFonts w:eastAsia="Times New Roman"/>
          <w:color w:val="000000"/>
          <w:sz w:val="20"/>
          <w:szCs w:val="20"/>
        </w:rPr>
        <w:t xml:space="preserve"> its assessment of the effectiveness of internal control over financial reporting included in the accompanying Management’s Annual Report on Internal Control over Financial Reporting. Our responsibility is to express an opinion on the Company’s internal co</w:t>
      </w:r>
      <w:r>
        <w:rPr>
          <w:rFonts w:eastAsia="Times New Roman"/>
          <w:color w:val="000000"/>
          <w:sz w:val="20"/>
          <w:szCs w:val="20"/>
        </w:rPr>
        <w:t>ntrol over financial reporting based on our audit. We are a public accounting firm registered with the PCAOB and are required to be independent with respect to the Company in accordance with the U.S. federal securities laws and the applicable rules and reg</w:t>
      </w:r>
      <w:r>
        <w:rPr>
          <w:rFonts w:eastAsia="Times New Roman"/>
          <w:color w:val="000000"/>
          <w:sz w:val="20"/>
          <w:szCs w:val="20"/>
        </w:rPr>
        <w:t xml:space="preserve">ulations of the Securities and Exchange Commission and the PCAOB. </w:t>
      </w:r>
    </w:p>
    <w:p w:rsidR="00000000" w:rsidRDefault="0061405A">
      <w:pPr>
        <w:jc w:val="both"/>
        <w:rPr>
          <w:rFonts w:eastAsia="Times New Roman"/>
        </w:rPr>
      </w:pPr>
    </w:p>
    <w:p w:rsidR="00000000" w:rsidRDefault="0061405A">
      <w:pPr>
        <w:jc w:val="both"/>
        <w:rPr>
          <w:rFonts w:eastAsia="Times New Roman"/>
        </w:rPr>
      </w:pPr>
      <w:r>
        <w:rPr>
          <w:rFonts w:eastAsia="Times New Roman"/>
          <w:color w:val="000000"/>
          <w:sz w:val="20"/>
          <w:szCs w:val="20"/>
        </w:rPr>
        <w:t>We conducted our audit in accordance with the standards of the PCAOB. Those standards require that we plan and perform the audit to obtain reasonable assurance about whether effective int</w:t>
      </w:r>
      <w:r>
        <w:rPr>
          <w:rFonts w:eastAsia="Times New Roman"/>
          <w:color w:val="000000"/>
          <w:sz w:val="20"/>
          <w:szCs w:val="20"/>
        </w:rPr>
        <w:t xml:space="preserve">ernal control over financial reporting was maintained in all material respects. </w:t>
      </w:r>
    </w:p>
    <w:p w:rsidR="00000000" w:rsidRDefault="0061405A">
      <w:pPr>
        <w:jc w:val="both"/>
        <w:rPr>
          <w:rFonts w:eastAsia="Times New Roman"/>
        </w:rPr>
      </w:pPr>
    </w:p>
    <w:p w:rsidR="00000000" w:rsidRDefault="0061405A">
      <w:pPr>
        <w:jc w:val="both"/>
        <w:rPr>
          <w:rFonts w:eastAsia="Times New Roman"/>
        </w:rPr>
      </w:pPr>
      <w:r>
        <w:rPr>
          <w:rFonts w:eastAsia="Times New Roman"/>
          <w:color w:val="000000"/>
          <w:sz w:val="20"/>
          <w:szCs w:val="20"/>
        </w:rPr>
        <w:t>Our audit included obtaining an understanding of internal control over financial reporting, assessing the risk that a material weakness exists, testing and evaluating the de</w:t>
      </w:r>
      <w:r>
        <w:rPr>
          <w:rFonts w:eastAsia="Times New Roman"/>
          <w:color w:val="000000"/>
          <w:sz w:val="20"/>
          <w:szCs w:val="20"/>
        </w:rPr>
        <w:t xml:space="preserve">sign and operating effectiveness of internal control based on the assessed risk, and performing such other procedures as we considered necessary in the circumstances. We believe that our audit provides a reasonable basis for our opinion. </w:t>
      </w:r>
    </w:p>
    <w:p w:rsidR="00000000" w:rsidRDefault="0061405A">
      <w:pPr>
        <w:jc w:val="both"/>
        <w:rPr>
          <w:rFonts w:eastAsia="Times New Roman"/>
        </w:rPr>
      </w:pPr>
    </w:p>
    <w:p w:rsidR="00000000" w:rsidRDefault="0061405A">
      <w:pPr>
        <w:jc w:val="both"/>
        <w:rPr>
          <w:rFonts w:eastAsia="Times New Roman"/>
        </w:rPr>
      </w:pPr>
      <w:r>
        <w:rPr>
          <w:rFonts w:eastAsia="Times New Roman"/>
          <w:b/>
          <w:bCs/>
          <w:color w:val="000000"/>
          <w:sz w:val="20"/>
          <w:szCs w:val="20"/>
        </w:rPr>
        <w:t xml:space="preserve">Definition and Limitations of Internal Control Over Financial Reporting </w:t>
      </w:r>
    </w:p>
    <w:p w:rsidR="00000000" w:rsidRDefault="0061405A">
      <w:pPr>
        <w:jc w:val="both"/>
        <w:rPr>
          <w:rFonts w:eastAsia="Times New Roman"/>
        </w:rPr>
      </w:pPr>
    </w:p>
    <w:p w:rsidR="00000000" w:rsidRDefault="0061405A">
      <w:pPr>
        <w:jc w:val="both"/>
        <w:rPr>
          <w:rFonts w:eastAsia="Times New Roman"/>
        </w:rPr>
      </w:pPr>
      <w:r>
        <w:rPr>
          <w:rFonts w:eastAsia="Times New Roman"/>
          <w:color w:val="000000"/>
          <w:sz w:val="20"/>
          <w:szCs w:val="20"/>
        </w:rPr>
        <w:t>A company’s internal control over financial reporting is a process designed to provide reasonable assurance regarding the reliability of financial reporting and the preparation of f</w:t>
      </w:r>
      <w:r>
        <w:rPr>
          <w:rFonts w:eastAsia="Times New Roman"/>
          <w:color w:val="000000"/>
          <w:sz w:val="20"/>
          <w:szCs w:val="20"/>
        </w:rPr>
        <w:t>inancial statements for external purposes in accordance with generally accepted accounting principles. A company’s internal control over financial reporting includes those policies and procedures that (1) pertain to the maintenance of records that, in reas</w:t>
      </w:r>
      <w:r>
        <w:rPr>
          <w:rFonts w:eastAsia="Times New Roman"/>
          <w:color w:val="000000"/>
          <w:sz w:val="20"/>
          <w:szCs w:val="20"/>
        </w:rPr>
        <w:t>onable detail, accurately and fairly reflect the transactions and dispositions of the assets of the company; (2) provide reasonable assurance that transactions are recorded as necessary to permit preparation of financial statements in accordance with gener</w:t>
      </w:r>
      <w:r>
        <w:rPr>
          <w:rFonts w:eastAsia="Times New Roman"/>
          <w:color w:val="000000"/>
          <w:sz w:val="20"/>
          <w:szCs w:val="20"/>
        </w:rPr>
        <w:t>ally accepted accounting principles, and that receipts and expenditures of the company are being made only in accordance with authorizations of management and directors of the company; and (3) provide reasonable assurance regarding prevention or timely det</w:t>
      </w:r>
      <w:r>
        <w:rPr>
          <w:rFonts w:eastAsia="Times New Roman"/>
          <w:color w:val="000000"/>
          <w:sz w:val="20"/>
          <w:szCs w:val="20"/>
        </w:rPr>
        <w:t xml:space="preserve">ection of unauthorized acquisition, use, or disposition of the company’s assets that could have a material effect on the financial statements. </w:t>
      </w:r>
    </w:p>
    <w:p w:rsidR="00000000" w:rsidRDefault="0061405A">
      <w:pPr>
        <w:jc w:val="both"/>
        <w:rPr>
          <w:rFonts w:eastAsia="Times New Roman"/>
        </w:rPr>
      </w:pPr>
    </w:p>
    <w:p w:rsidR="00000000" w:rsidRDefault="0061405A">
      <w:pPr>
        <w:jc w:val="both"/>
        <w:rPr>
          <w:rFonts w:eastAsia="Times New Roman"/>
        </w:rPr>
      </w:pPr>
      <w:r>
        <w:rPr>
          <w:rFonts w:eastAsia="Times New Roman"/>
          <w:color w:val="000000"/>
          <w:sz w:val="20"/>
          <w:szCs w:val="20"/>
        </w:rPr>
        <w:t>Because of its inherent limitations, internal control over financial reporting may not prevent or detect misst</w:t>
      </w:r>
      <w:r>
        <w:rPr>
          <w:rFonts w:eastAsia="Times New Roman"/>
          <w:color w:val="000000"/>
          <w:sz w:val="20"/>
          <w:szCs w:val="20"/>
        </w:rPr>
        <w:t>atements. Also, projections of any evaluation of effectiveness to future periods are subject to the risk that controls may become inadequate because of changes in conditions, or that the degree of compliance with the policies or procedures may deteriorate.</w:t>
      </w:r>
      <w:r>
        <w:rPr>
          <w:rFonts w:eastAsia="Times New Roman"/>
          <w:color w:val="000000"/>
          <w:sz w:val="20"/>
          <w:szCs w:val="20"/>
        </w:rPr>
        <w:t xml:space="preserve"> </w:t>
      </w:r>
    </w:p>
    <w:p w:rsidR="00000000" w:rsidRDefault="0061405A">
      <w:pPr>
        <w:divId w:val="756294488"/>
        <w:rPr>
          <w:rFonts w:eastAsia="Times New Roman"/>
        </w:rPr>
      </w:pPr>
    </w:p>
    <w:tbl>
      <w:tblPr>
        <w:tblW w:w="4906" w:type="pct"/>
        <w:tblCellMar>
          <w:top w:w="15" w:type="dxa"/>
          <w:left w:w="15" w:type="dxa"/>
          <w:bottom w:w="15" w:type="dxa"/>
          <w:right w:w="15" w:type="dxa"/>
        </w:tblCellMar>
        <w:tblLook w:val="04A0" w:firstRow="1" w:lastRow="0" w:firstColumn="1" w:lastColumn="0" w:noHBand="0" w:noVBand="1"/>
      </w:tblPr>
      <w:tblGrid>
        <w:gridCol w:w="59"/>
        <w:gridCol w:w="3933"/>
        <w:gridCol w:w="36"/>
        <w:gridCol w:w="36"/>
        <w:gridCol w:w="36"/>
        <w:gridCol w:w="36"/>
        <w:gridCol w:w="44"/>
        <w:gridCol w:w="3934"/>
        <w:gridCol w:w="36"/>
      </w:tblGrid>
      <w:tr w:rsidR="00000000">
        <w:trPr>
          <w:divId w:val="2084990316"/>
        </w:trPr>
        <w:tc>
          <w:tcPr>
            <w:tcW w:w="50" w:type="pct"/>
            <w:vAlign w:val="center"/>
            <w:hideMark/>
          </w:tcPr>
          <w:p w:rsidR="00000000" w:rsidRDefault="0061405A">
            <w:pPr>
              <w:rPr>
                <w:rFonts w:eastAsia="Times New Roman"/>
              </w:rPr>
            </w:pPr>
          </w:p>
        </w:tc>
        <w:tc>
          <w:tcPr>
            <w:tcW w:w="2426"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26"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2426"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2084990316"/>
        </w:trPr>
        <w:tc>
          <w:tcPr>
            <w:tcW w:w="0" w:type="auto"/>
            <w:gridSpan w:val="3"/>
            <w:tcMar>
              <w:top w:w="30" w:type="dxa"/>
              <w:left w:w="20" w:type="dxa"/>
              <w:bottom w:w="30" w:type="dxa"/>
              <w:right w:w="20" w:type="dxa"/>
            </w:tcMar>
            <w:hideMark/>
          </w:tcPr>
          <w:p w:rsidR="00000000" w:rsidRDefault="0061405A">
            <w:pPr>
              <w:rPr>
                <w:rFonts w:eastAsia="Times New Roman"/>
              </w:rPr>
            </w:pPr>
            <w:r>
              <w:rPr>
                <w:rFonts w:eastAsia="Times New Roman"/>
                <w:color w:val="000000"/>
                <w:sz w:val="20"/>
                <w:szCs w:val="20"/>
              </w:rPr>
              <w:t>/s/ Ernst &amp; Young LLP </w:t>
            </w:r>
          </w:p>
        </w:tc>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r>
    </w:tbl>
    <w:p w:rsidR="00000000" w:rsidRDefault="0061405A">
      <w:pPr>
        <w:divId w:val="1625039220"/>
        <w:rPr>
          <w:rFonts w:eastAsia="Times New Roman"/>
        </w:rPr>
      </w:pPr>
      <w:r>
        <w:rPr>
          <w:rFonts w:eastAsia="Times New Roman"/>
          <w:color w:val="000000"/>
          <w:sz w:val="20"/>
          <w:szCs w:val="20"/>
        </w:rPr>
        <w:t>Denver, Colorado</w:t>
      </w:r>
    </w:p>
    <w:p w:rsidR="00000000" w:rsidRDefault="0061405A">
      <w:pPr>
        <w:jc w:val="both"/>
        <w:rPr>
          <w:rFonts w:eastAsia="Times New Roman"/>
        </w:rPr>
      </w:pPr>
      <w:r>
        <w:rPr>
          <w:rFonts w:eastAsia="Times New Roman"/>
          <w:color w:val="000000"/>
          <w:sz w:val="20"/>
          <w:szCs w:val="20"/>
        </w:rPr>
        <w:t>February 25, 2021</w:t>
      </w:r>
    </w:p>
    <w:p w:rsidR="00000000" w:rsidRDefault="0061405A">
      <w:pPr>
        <w:jc w:val="center"/>
        <w:divId w:val="1963146811"/>
        <w:rPr>
          <w:rFonts w:eastAsia="Times New Roman"/>
        </w:rPr>
      </w:pPr>
      <w:r>
        <w:rPr>
          <w:rFonts w:eastAsia="Times New Roman"/>
          <w:color w:val="000000"/>
          <w:sz w:val="20"/>
          <w:szCs w:val="20"/>
        </w:rPr>
        <w:t>76</w:t>
      </w:r>
    </w:p>
    <w:p w:rsidR="00000000" w:rsidRDefault="0061405A">
      <w:pPr>
        <w:rPr>
          <w:rFonts w:eastAsia="Times New Roman"/>
        </w:rPr>
      </w:pPr>
      <w:r>
        <w:rPr>
          <w:rFonts w:eastAsia="Times New Roman"/>
        </w:rPr>
        <w:pict>
          <v:rect id="_x0000_i1103" style="width:0;height:1.5pt" o:hralign="center" o:hrstd="t" o:hr="t" fillcolor="#a0a0a0" stroked="f"/>
        </w:pict>
      </w:r>
    </w:p>
    <w:p w:rsidR="00000000" w:rsidRDefault="0061405A">
      <w:pPr>
        <w:divId w:val="1202521719"/>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divId w:val="1318805201"/>
        <w:rPr>
          <w:rFonts w:eastAsia="Times New Roman"/>
        </w:rPr>
      </w:pPr>
      <w:r>
        <w:rPr>
          <w:rFonts w:eastAsia="Times New Roman"/>
          <w:b/>
          <w:bCs/>
          <w:color w:val="000000"/>
          <w:sz w:val="20"/>
          <w:szCs w:val="20"/>
        </w:rPr>
        <w:t>ITEM 9B.    Other Information</w:t>
      </w:r>
    </w:p>
    <w:p w:rsidR="00000000" w:rsidRDefault="0061405A">
      <w:pPr>
        <w:divId w:val="384110994"/>
        <w:rPr>
          <w:rFonts w:eastAsia="Times New Roman"/>
        </w:rPr>
      </w:pPr>
    </w:p>
    <w:p w:rsidR="00000000" w:rsidRDefault="0061405A">
      <w:pPr>
        <w:divId w:val="637993290"/>
        <w:rPr>
          <w:rFonts w:eastAsia="Times New Roman"/>
        </w:rPr>
      </w:pPr>
      <w:r>
        <w:rPr>
          <w:rFonts w:eastAsia="Times New Roman"/>
          <w:color w:val="000000"/>
          <w:sz w:val="20"/>
          <w:szCs w:val="20"/>
        </w:rPr>
        <w:t>None.</w:t>
      </w:r>
    </w:p>
    <w:p w:rsidR="00000000" w:rsidRDefault="0061405A">
      <w:pPr>
        <w:jc w:val="center"/>
        <w:rPr>
          <w:rFonts w:eastAsia="Times New Roman"/>
        </w:rPr>
      </w:pPr>
      <w:r>
        <w:rPr>
          <w:rFonts w:eastAsia="Times New Roman"/>
          <w:b/>
          <w:bCs/>
          <w:color w:val="000000"/>
          <w:sz w:val="20"/>
          <w:szCs w:val="20"/>
        </w:rPr>
        <w:t>PART III</w:t>
      </w:r>
    </w:p>
    <w:p w:rsidR="00000000" w:rsidRDefault="0061405A">
      <w:pPr>
        <w:jc w:val="center"/>
        <w:rPr>
          <w:rFonts w:eastAsia="Times New Roman"/>
        </w:rPr>
      </w:pPr>
    </w:p>
    <w:p w:rsidR="00000000" w:rsidRDefault="0061405A">
      <w:pPr>
        <w:divId w:val="1926264949"/>
        <w:rPr>
          <w:rFonts w:eastAsia="Times New Roman"/>
        </w:rPr>
      </w:pPr>
      <w:r>
        <w:rPr>
          <w:rFonts w:eastAsia="Times New Roman"/>
          <w:b/>
          <w:bCs/>
          <w:color w:val="000000"/>
          <w:sz w:val="20"/>
          <w:szCs w:val="20"/>
        </w:rPr>
        <w:t>ITEM 10.    </w:t>
      </w:r>
      <w:r>
        <w:rPr>
          <w:rFonts w:eastAsia="Times New Roman"/>
          <w:b/>
          <w:bCs/>
          <w:color w:val="000000"/>
          <w:sz w:val="20"/>
          <w:szCs w:val="20"/>
        </w:rPr>
        <w:t>Directors, Executive Officers and Corporate Governance</w:t>
      </w:r>
    </w:p>
    <w:p w:rsidR="00000000" w:rsidRDefault="0061405A">
      <w:pPr>
        <w:jc w:val="both"/>
        <w:divId w:val="1366448287"/>
        <w:rPr>
          <w:rFonts w:eastAsia="Times New Roman"/>
        </w:rPr>
      </w:pPr>
      <w:r>
        <w:rPr>
          <w:rFonts w:eastAsia="Times New Roman"/>
          <w:color w:val="000000"/>
          <w:sz w:val="20"/>
          <w:szCs w:val="20"/>
        </w:rPr>
        <w:t>We have adopted a Code of Business Conduct and Ethics that applies to our directors and a Code of Business Conduct and Ethics that applies to our officers and employees (collectively, the “Codes”), inc</w:t>
      </w:r>
      <w:r>
        <w:rPr>
          <w:rFonts w:eastAsia="Times New Roman"/>
          <w:color w:val="000000"/>
          <w:sz w:val="20"/>
          <w:szCs w:val="20"/>
        </w:rPr>
        <w:t xml:space="preserve">luding our principal executive, financial and accounting officers, and persons performing similar functions. These Codes are published on our corporate governance website located at </w:t>
      </w:r>
      <w:r>
        <w:rPr>
          <w:rFonts w:eastAsia="Times New Roman"/>
          <w:i/>
          <w:iCs/>
          <w:color w:val="000000"/>
          <w:sz w:val="20"/>
          <w:szCs w:val="20"/>
        </w:rPr>
        <w:t>investor.noodles.com/corporate-governance.cfm</w:t>
      </w:r>
      <w:r>
        <w:rPr>
          <w:rFonts w:eastAsia="Times New Roman"/>
          <w:color w:val="000000"/>
          <w:sz w:val="20"/>
          <w:szCs w:val="20"/>
        </w:rPr>
        <w:t>. We intend to disclose futur</w:t>
      </w:r>
      <w:r>
        <w:rPr>
          <w:rFonts w:eastAsia="Times New Roman"/>
          <w:color w:val="000000"/>
          <w:sz w:val="20"/>
          <w:szCs w:val="20"/>
        </w:rPr>
        <w:t xml:space="preserve">e amendments to provisions of our Codes, or waivers of provisions of the Codes granted to executive officers and directors, on the website within four business days following the date of such amendment or waiver. </w:t>
      </w:r>
    </w:p>
    <w:p w:rsidR="00000000" w:rsidRDefault="0061405A">
      <w:pPr>
        <w:jc w:val="both"/>
        <w:divId w:val="1547182031"/>
        <w:rPr>
          <w:rFonts w:eastAsia="Times New Roman"/>
        </w:rPr>
      </w:pPr>
      <w:r>
        <w:rPr>
          <w:rFonts w:eastAsia="Times New Roman"/>
          <w:color w:val="000000"/>
          <w:sz w:val="20"/>
          <w:szCs w:val="20"/>
        </w:rPr>
        <w:t>The remaining information required by this</w:t>
      </w:r>
      <w:r>
        <w:rPr>
          <w:rFonts w:eastAsia="Times New Roman"/>
          <w:color w:val="000000"/>
          <w:sz w:val="20"/>
          <w:szCs w:val="20"/>
        </w:rPr>
        <w:t xml:space="preserve"> item is incorporated herein by reference to the sections e</w:t>
      </w:r>
      <w:r>
        <w:rPr>
          <w:rFonts w:eastAsia="Times New Roman"/>
          <w:color w:val="000000"/>
          <w:sz w:val="20"/>
          <w:szCs w:val="20"/>
          <w:shd w:val="clear" w:color="auto" w:fill="FFFFFF"/>
        </w:rPr>
        <w:t>ntitled “Proposal No. 1 - Election of Directors,” “Delinquent Section 16(a) Report,” “Executive Officers,” “Board Committees—Policy Regarding Stockholder Recommendations” and “Board Committees—Audi</w:t>
      </w:r>
      <w:r>
        <w:rPr>
          <w:rFonts w:eastAsia="Times New Roman"/>
          <w:color w:val="000000"/>
          <w:sz w:val="20"/>
          <w:szCs w:val="20"/>
          <w:shd w:val="clear" w:color="auto" w:fill="FFFFFF"/>
        </w:rPr>
        <w:t>t Committee” in our</w:t>
      </w:r>
      <w:r>
        <w:rPr>
          <w:rFonts w:eastAsia="Times New Roman"/>
          <w:color w:val="000000"/>
          <w:sz w:val="20"/>
          <w:szCs w:val="20"/>
        </w:rPr>
        <w:t xml:space="preserve"> definitive Proxy Statement for the Annual Meeting of Shareholders to be held on April 27, 2021 (the “Proxy Statement”).</w:t>
      </w:r>
    </w:p>
    <w:p w:rsidR="00000000" w:rsidRDefault="0061405A">
      <w:pPr>
        <w:divId w:val="1361979160"/>
        <w:rPr>
          <w:rFonts w:eastAsia="Times New Roman"/>
        </w:rPr>
      </w:pPr>
      <w:r>
        <w:rPr>
          <w:rFonts w:eastAsia="Times New Roman"/>
          <w:b/>
          <w:bCs/>
          <w:color w:val="000000"/>
          <w:sz w:val="20"/>
          <w:szCs w:val="20"/>
        </w:rPr>
        <w:t>ITEM 11.    Executive Compensation</w:t>
      </w:r>
    </w:p>
    <w:p w:rsidR="00000000" w:rsidRDefault="0061405A">
      <w:pPr>
        <w:divId w:val="1311790375"/>
        <w:rPr>
          <w:rFonts w:eastAsia="Times New Roman"/>
        </w:rPr>
      </w:pPr>
    </w:p>
    <w:p w:rsidR="00000000" w:rsidRDefault="0061405A">
      <w:pPr>
        <w:jc w:val="both"/>
        <w:divId w:val="1450589134"/>
        <w:rPr>
          <w:rFonts w:eastAsia="Times New Roman"/>
        </w:rPr>
      </w:pPr>
      <w:r>
        <w:rPr>
          <w:rFonts w:eastAsia="Times New Roman"/>
          <w:color w:val="000000"/>
          <w:sz w:val="20"/>
          <w:szCs w:val="20"/>
        </w:rPr>
        <w:t xml:space="preserve">The information required by this item is incorporated by reference to the sections entitled “Executive Compensation,” “Director Compensation” and “Board Committees—Compensation Committee Interlocks and Insider Participation” in the Proxy Statement. </w:t>
      </w:r>
    </w:p>
    <w:p w:rsidR="00000000" w:rsidRDefault="0061405A">
      <w:pPr>
        <w:ind w:hanging="1440"/>
        <w:divId w:val="1876849178"/>
        <w:rPr>
          <w:rFonts w:eastAsia="Times New Roman"/>
        </w:rPr>
      </w:pPr>
      <w:r>
        <w:rPr>
          <w:rFonts w:eastAsia="Times New Roman"/>
          <w:b/>
          <w:bCs/>
          <w:color w:val="000000"/>
          <w:sz w:val="20"/>
          <w:szCs w:val="20"/>
        </w:rPr>
        <w:t>ITEM 1</w:t>
      </w:r>
      <w:r>
        <w:rPr>
          <w:rFonts w:eastAsia="Times New Roman"/>
          <w:b/>
          <w:bCs/>
          <w:color w:val="000000"/>
          <w:sz w:val="20"/>
          <w:szCs w:val="20"/>
        </w:rPr>
        <w:t>2.    Security Ownership of Certain Beneficial Owners and Management and Related Stockholder Matters</w:t>
      </w:r>
    </w:p>
    <w:p w:rsidR="00000000" w:rsidRDefault="0061405A">
      <w:pPr>
        <w:jc w:val="both"/>
        <w:divId w:val="142309089"/>
        <w:rPr>
          <w:rFonts w:eastAsia="Times New Roman"/>
        </w:rPr>
      </w:pPr>
      <w:r>
        <w:rPr>
          <w:rFonts w:eastAsia="Times New Roman"/>
          <w:color w:val="000000"/>
          <w:sz w:val="20"/>
          <w:szCs w:val="20"/>
        </w:rPr>
        <w:t xml:space="preserve">The information required by this item is incorporated by reference to the sections entitled “Equity Compensation Plan Information” and “Security Ownership </w:t>
      </w:r>
      <w:r>
        <w:rPr>
          <w:rFonts w:eastAsia="Times New Roman"/>
          <w:color w:val="000000"/>
          <w:sz w:val="20"/>
          <w:szCs w:val="20"/>
        </w:rPr>
        <w:t>of Certain Beneficial Owners and Management” in the Proxy Statement.</w:t>
      </w:r>
    </w:p>
    <w:p w:rsidR="00000000" w:rsidRDefault="0061405A">
      <w:pPr>
        <w:divId w:val="1231424121"/>
        <w:rPr>
          <w:rFonts w:eastAsia="Times New Roman"/>
        </w:rPr>
      </w:pPr>
      <w:r>
        <w:rPr>
          <w:rFonts w:eastAsia="Times New Roman"/>
          <w:b/>
          <w:bCs/>
          <w:color w:val="000000"/>
          <w:sz w:val="20"/>
          <w:szCs w:val="20"/>
        </w:rPr>
        <w:t>ITEM 13.    Certain Relationships and Related Transactions, and Director Independence</w:t>
      </w:r>
    </w:p>
    <w:p w:rsidR="00000000" w:rsidRDefault="0061405A">
      <w:pPr>
        <w:jc w:val="both"/>
        <w:rPr>
          <w:rFonts w:eastAsia="Times New Roman"/>
        </w:rPr>
      </w:pPr>
    </w:p>
    <w:p w:rsidR="00000000" w:rsidRDefault="0061405A">
      <w:pPr>
        <w:jc w:val="both"/>
        <w:divId w:val="1250772927"/>
        <w:rPr>
          <w:rFonts w:eastAsia="Times New Roman"/>
        </w:rPr>
      </w:pPr>
      <w:r>
        <w:rPr>
          <w:rFonts w:eastAsia="Times New Roman"/>
          <w:color w:val="000000"/>
          <w:sz w:val="20"/>
          <w:szCs w:val="20"/>
        </w:rPr>
        <w:t>The information required by this item is incorporated by reference to the sections entitled “Transa</w:t>
      </w:r>
      <w:r>
        <w:rPr>
          <w:rFonts w:eastAsia="Times New Roman"/>
          <w:color w:val="000000"/>
          <w:sz w:val="20"/>
          <w:szCs w:val="20"/>
        </w:rPr>
        <w:t xml:space="preserve">ctions with Related Persons” and “Directors and Corporate Governance—Board Independence” in the Proxy Statement. </w:t>
      </w:r>
    </w:p>
    <w:p w:rsidR="00000000" w:rsidRDefault="0061405A">
      <w:pPr>
        <w:ind w:hanging="1440"/>
        <w:divId w:val="354696816"/>
        <w:rPr>
          <w:rFonts w:eastAsia="Times New Roman"/>
        </w:rPr>
      </w:pPr>
      <w:r>
        <w:rPr>
          <w:rFonts w:eastAsia="Times New Roman"/>
          <w:b/>
          <w:bCs/>
          <w:color w:val="000000"/>
          <w:sz w:val="20"/>
          <w:szCs w:val="20"/>
        </w:rPr>
        <w:t>ITEM 14.    Principal Accounting Fees and Services</w:t>
      </w:r>
    </w:p>
    <w:p w:rsidR="00000000" w:rsidRDefault="0061405A">
      <w:pPr>
        <w:jc w:val="both"/>
        <w:divId w:val="1882091573"/>
        <w:rPr>
          <w:rFonts w:eastAsia="Times New Roman"/>
        </w:rPr>
      </w:pPr>
      <w:r>
        <w:rPr>
          <w:rFonts w:eastAsia="Times New Roman"/>
          <w:color w:val="000000"/>
          <w:sz w:val="20"/>
          <w:szCs w:val="20"/>
        </w:rPr>
        <w:t xml:space="preserve">The information required by this item is incorporated by reference to </w:t>
      </w:r>
      <w:r>
        <w:rPr>
          <w:rFonts w:eastAsia="Times New Roman"/>
          <w:color w:val="000000"/>
          <w:sz w:val="20"/>
          <w:szCs w:val="20"/>
          <w:shd w:val="clear" w:color="auto" w:fill="FFFFFF"/>
        </w:rPr>
        <w:t xml:space="preserve">the section entitled </w:t>
      </w:r>
      <w:r>
        <w:rPr>
          <w:rFonts w:eastAsia="Times New Roman"/>
          <w:color w:val="000000"/>
          <w:sz w:val="20"/>
          <w:szCs w:val="20"/>
          <w:shd w:val="clear" w:color="auto" w:fill="FFFFFF"/>
        </w:rPr>
        <w:t>“Proposal No. 3 - Ratification of Appointment of Independent Registered Public Accounting Firm for 2021” in the</w:t>
      </w:r>
      <w:r>
        <w:rPr>
          <w:rFonts w:eastAsia="Times New Roman"/>
          <w:color w:val="000000"/>
          <w:sz w:val="20"/>
          <w:szCs w:val="20"/>
        </w:rPr>
        <w:t xml:space="preserve"> Proxy Statement.</w:t>
      </w:r>
    </w:p>
    <w:p w:rsidR="00000000" w:rsidRDefault="0061405A">
      <w:pPr>
        <w:jc w:val="both"/>
        <w:rPr>
          <w:rFonts w:eastAsia="Times New Roman"/>
        </w:rPr>
      </w:pPr>
    </w:p>
    <w:p w:rsidR="00000000" w:rsidRDefault="0061405A">
      <w:pPr>
        <w:jc w:val="center"/>
        <w:divId w:val="1444228599"/>
        <w:rPr>
          <w:rFonts w:eastAsia="Times New Roman"/>
        </w:rPr>
      </w:pPr>
      <w:r>
        <w:rPr>
          <w:rFonts w:eastAsia="Times New Roman"/>
          <w:color w:val="000000"/>
          <w:sz w:val="20"/>
          <w:szCs w:val="20"/>
        </w:rPr>
        <w:t>77</w:t>
      </w:r>
    </w:p>
    <w:p w:rsidR="00000000" w:rsidRDefault="0061405A">
      <w:pPr>
        <w:rPr>
          <w:rFonts w:eastAsia="Times New Roman"/>
        </w:rPr>
      </w:pPr>
      <w:r>
        <w:rPr>
          <w:rFonts w:eastAsia="Times New Roman"/>
        </w:rPr>
        <w:pict>
          <v:rect id="_x0000_i1104" style="width:0;height:1.5pt" o:hralign="center" o:hrstd="t" o:hr="t" fillcolor="#a0a0a0" stroked="f"/>
        </w:pict>
      </w:r>
    </w:p>
    <w:p w:rsidR="00000000" w:rsidRDefault="0061405A">
      <w:pPr>
        <w:divId w:val="1001398342"/>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r>
        <w:rPr>
          <w:rFonts w:eastAsia="Times New Roman"/>
          <w:b/>
          <w:bCs/>
          <w:color w:val="000000"/>
          <w:sz w:val="20"/>
          <w:szCs w:val="20"/>
        </w:rPr>
        <w:t>     </w:t>
      </w:r>
    </w:p>
    <w:p w:rsidR="00000000" w:rsidRDefault="0061405A">
      <w:pPr>
        <w:jc w:val="center"/>
        <w:rPr>
          <w:rFonts w:eastAsia="Times New Roman"/>
        </w:rPr>
      </w:pPr>
      <w:r>
        <w:rPr>
          <w:rFonts w:eastAsia="Times New Roman"/>
          <w:b/>
          <w:bCs/>
          <w:color w:val="000000"/>
          <w:sz w:val="20"/>
          <w:szCs w:val="20"/>
        </w:rPr>
        <w:t>PART IV</w:t>
      </w:r>
    </w:p>
    <w:p w:rsidR="00000000" w:rsidRDefault="0061405A">
      <w:pPr>
        <w:jc w:val="center"/>
        <w:rPr>
          <w:rFonts w:eastAsia="Times New Roman"/>
        </w:rPr>
      </w:pPr>
    </w:p>
    <w:p w:rsidR="00000000" w:rsidRDefault="0061405A">
      <w:pPr>
        <w:ind w:hanging="1440"/>
        <w:divId w:val="1161971005"/>
        <w:rPr>
          <w:rFonts w:eastAsia="Times New Roman"/>
        </w:rPr>
      </w:pPr>
      <w:r>
        <w:rPr>
          <w:rFonts w:eastAsia="Times New Roman"/>
          <w:b/>
          <w:bCs/>
          <w:color w:val="000000"/>
          <w:sz w:val="20"/>
          <w:szCs w:val="20"/>
        </w:rPr>
        <w:t>ITEM 15.    Exhibits, Financial Statement Schedules</w:t>
      </w:r>
    </w:p>
    <w:p w:rsidR="00000000" w:rsidRDefault="0061405A">
      <w:pPr>
        <w:ind w:hanging="1440"/>
        <w:divId w:val="1461456968"/>
        <w:rPr>
          <w:rFonts w:eastAsia="Times New Roman"/>
        </w:rPr>
      </w:pPr>
    </w:p>
    <w:p w:rsidR="00000000" w:rsidRDefault="0061405A">
      <w:pPr>
        <w:ind w:hanging="720"/>
        <w:jc w:val="both"/>
        <w:rPr>
          <w:rFonts w:eastAsia="Times New Roman"/>
        </w:rPr>
      </w:pPr>
      <w:r>
        <w:rPr>
          <w:rFonts w:eastAsia="Times New Roman"/>
          <w:color w:val="000000"/>
          <w:sz w:val="20"/>
          <w:szCs w:val="20"/>
        </w:rPr>
        <w:t xml:space="preserve">1.Our Consolidated Financial Statements and Notes thereto are included in Item 8, “Financial Statements and Supplementary Data,” </w:t>
      </w:r>
      <w:r>
        <w:rPr>
          <w:rFonts w:eastAsia="Times New Roman"/>
          <w:color w:val="000000"/>
          <w:sz w:val="20"/>
          <w:szCs w:val="20"/>
        </w:rPr>
        <w:t xml:space="preserve">of this Annual Report on Form 10-K. </w:t>
      </w:r>
    </w:p>
    <w:p w:rsidR="00000000" w:rsidRDefault="0061405A">
      <w:pPr>
        <w:jc w:val="both"/>
        <w:rPr>
          <w:rFonts w:eastAsia="Times New Roman"/>
        </w:rPr>
      </w:pPr>
    </w:p>
    <w:p w:rsidR="00000000" w:rsidRDefault="0061405A">
      <w:pPr>
        <w:ind w:hanging="720"/>
        <w:jc w:val="both"/>
        <w:rPr>
          <w:rFonts w:eastAsia="Times New Roman"/>
        </w:rPr>
      </w:pPr>
      <w:r>
        <w:rPr>
          <w:rFonts w:eastAsia="Times New Roman"/>
          <w:color w:val="000000"/>
          <w:sz w:val="20"/>
          <w:szCs w:val="20"/>
        </w:rPr>
        <w:t>2.All financial schedules have been omitted either because they are not applicable or because the required information is provided in our Consolidated Financial Statements and Notes thereto, included in Item 8 of this</w:t>
      </w:r>
      <w:r>
        <w:rPr>
          <w:rFonts w:eastAsia="Times New Roman"/>
          <w:color w:val="000000"/>
          <w:sz w:val="20"/>
          <w:szCs w:val="20"/>
        </w:rPr>
        <w:t xml:space="preserve"> Annual Report on Form 10-K.</w:t>
      </w:r>
    </w:p>
    <w:p w:rsidR="00000000" w:rsidRDefault="0061405A">
      <w:pPr>
        <w:jc w:val="both"/>
        <w:rPr>
          <w:rFonts w:eastAsia="Times New Roman"/>
        </w:rPr>
      </w:pPr>
    </w:p>
    <w:p w:rsidR="00000000" w:rsidRDefault="0061405A">
      <w:pPr>
        <w:ind w:hanging="720"/>
        <w:jc w:val="both"/>
        <w:rPr>
          <w:rFonts w:eastAsia="Times New Roman"/>
        </w:rPr>
      </w:pPr>
      <w:r>
        <w:rPr>
          <w:rFonts w:eastAsia="Times New Roman"/>
          <w:color w:val="000000"/>
          <w:sz w:val="20"/>
          <w:szCs w:val="20"/>
        </w:rPr>
        <w:t>3.The Index to Exhibits is incorporated herein by reference and is filed as part of this 10-K.</w:t>
      </w:r>
    </w:p>
    <w:p w:rsidR="00000000" w:rsidRDefault="0061405A">
      <w:pPr>
        <w:jc w:val="center"/>
        <w:divId w:val="620965748"/>
        <w:rPr>
          <w:rFonts w:eastAsia="Times New Roman"/>
        </w:rPr>
      </w:pPr>
      <w:r>
        <w:rPr>
          <w:rFonts w:eastAsia="Times New Roman"/>
          <w:color w:val="000000"/>
          <w:sz w:val="20"/>
          <w:szCs w:val="20"/>
        </w:rPr>
        <w:t>78</w:t>
      </w:r>
    </w:p>
    <w:p w:rsidR="00000000" w:rsidRDefault="0061405A">
      <w:pPr>
        <w:rPr>
          <w:rFonts w:eastAsia="Times New Roman"/>
        </w:rPr>
      </w:pPr>
      <w:r>
        <w:rPr>
          <w:rFonts w:eastAsia="Times New Roman"/>
        </w:rPr>
        <w:pict>
          <v:rect id="_x0000_i1105" style="width:0;height:1.5pt" o:hralign="center" o:hrstd="t" o:hr="t" fillcolor="#a0a0a0" stroked="f"/>
        </w:pict>
      </w:r>
    </w:p>
    <w:p w:rsidR="00000000" w:rsidRDefault="0061405A">
      <w:pPr>
        <w:divId w:val="1533886033"/>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r>
        <w:rPr>
          <w:rFonts w:eastAsia="Times New Roman"/>
          <w:b/>
          <w:bCs/>
          <w:color w:val="000000"/>
          <w:sz w:val="20"/>
          <w:szCs w:val="20"/>
        </w:rPr>
        <w:t> </w:t>
      </w:r>
    </w:p>
    <w:p w:rsidR="00000000" w:rsidRDefault="0061405A">
      <w:pPr>
        <w:ind w:hanging="1440"/>
        <w:jc w:val="center"/>
        <w:rPr>
          <w:rFonts w:eastAsia="Times New Roman"/>
        </w:rPr>
      </w:pPr>
      <w:r>
        <w:rPr>
          <w:rFonts w:eastAsia="Times New Roman"/>
          <w:b/>
          <w:bCs/>
          <w:color w:val="000000"/>
          <w:sz w:val="20"/>
          <w:szCs w:val="20"/>
        </w:rPr>
        <w:t>EXHIBITS</w:t>
      </w:r>
      <w:r>
        <w:rPr>
          <w:rFonts w:eastAsia="Times New Roman"/>
          <w:color w:val="000000"/>
          <w:sz w:val="20"/>
          <w:szCs w:val="20"/>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67"/>
        <w:gridCol w:w="766"/>
        <w:gridCol w:w="36"/>
        <w:gridCol w:w="36"/>
        <w:gridCol w:w="146"/>
        <w:gridCol w:w="36"/>
        <w:gridCol w:w="56"/>
        <w:gridCol w:w="2020"/>
        <w:gridCol w:w="39"/>
        <w:gridCol w:w="36"/>
        <w:gridCol w:w="146"/>
        <w:gridCol w:w="36"/>
        <w:gridCol w:w="71"/>
        <w:gridCol w:w="451"/>
        <w:gridCol w:w="38"/>
        <w:gridCol w:w="37"/>
        <w:gridCol w:w="159"/>
        <w:gridCol w:w="37"/>
        <w:gridCol w:w="56"/>
        <w:gridCol w:w="837"/>
        <w:gridCol w:w="39"/>
        <w:gridCol w:w="37"/>
        <w:gridCol w:w="146"/>
        <w:gridCol w:w="36"/>
        <w:gridCol w:w="82"/>
        <w:gridCol w:w="709"/>
        <w:gridCol w:w="38"/>
        <w:gridCol w:w="36"/>
        <w:gridCol w:w="118"/>
        <w:gridCol w:w="36"/>
        <w:gridCol w:w="70"/>
        <w:gridCol w:w="728"/>
        <w:gridCol w:w="37"/>
        <w:gridCol w:w="36"/>
        <w:gridCol w:w="182"/>
        <w:gridCol w:w="36"/>
        <w:gridCol w:w="78"/>
        <w:gridCol w:w="720"/>
        <w:gridCol w:w="36"/>
      </w:tblGrid>
      <w:tr w:rsidR="00000000">
        <w:trPr>
          <w:divId w:val="1833258346"/>
          <w:jc w:val="center"/>
        </w:trPr>
        <w:tc>
          <w:tcPr>
            <w:tcW w:w="50" w:type="pct"/>
            <w:vAlign w:val="center"/>
            <w:hideMark/>
          </w:tcPr>
          <w:p w:rsidR="00000000" w:rsidRDefault="0061405A">
            <w:pPr>
              <w:ind w:hanging="1440"/>
              <w:jc w:val="center"/>
              <w:rPr>
                <w:rFonts w:eastAsia="Times New Roman"/>
              </w:rPr>
            </w:pPr>
          </w:p>
        </w:tc>
        <w:tc>
          <w:tcPr>
            <w:tcW w:w="483"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104"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123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104"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297"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112"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19"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104"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433"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112"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462"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126"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462"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1833258346"/>
          <w:jc w:val="center"/>
        </w:trPr>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9"/>
                <w:szCs w:val="19"/>
              </w:rPr>
              <w:t>Description of Exhibit Incorporated Herein by Reference</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1833258346"/>
          <w:jc w:val="center"/>
        </w:trPr>
        <w:tc>
          <w:tcPr>
            <w:tcW w:w="0" w:type="auto"/>
            <w:gridSpan w:val="3"/>
            <w:shd w:val="clear" w:color="auto" w:fill="CCEEFF"/>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9"/>
                <w:szCs w:val="19"/>
              </w:rPr>
              <w:t>Exhibit Number</w:t>
            </w:r>
          </w:p>
        </w:tc>
        <w:tc>
          <w:tcPr>
            <w:tcW w:w="0" w:type="auto"/>
            <w:gridSpan w:val="3"/>
            <w:shd w:val="clear" w:color="auto" w:fill="CCEEFF"/>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9"/>
                <w:szCs w:val="19"/>
              </w:rPr>
              <w:t>Exhibit Description</w:t>
            </w:r>
          </w:p>
        </w:tc>
        <w:tc>
          <w:tcPr>
            <w:tcW w:w="0" w:type="auto"/>
            <w:gridSpan w:val="3"/>
            <w:shd w:val="clear" w:color="auto" w:fill="CCEEFF"/>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9"/>
                <w:szCs w:val="19"/>
              </w:rPr>
              <w:t>Form</w:t>
            </w: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9"/>
                <w:szCs w:val="19"/>
              </w:rPr>
              <w:t>File No.</w:t>
            </w: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9"/>
                <w:szCs w:val="19"/>
              </w:rPr>
              <w:t>Filing Date</w:t>
            </w: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9"/>
                <w:szCs w:val="19"/>
              </w:rPr>
              <w:t>Exhibit Number</w:t>
            </w:r>
          </w:p>
        </w:tc>
        <w:tc>
          <w:tcPr>
            <w:tcW w:w="0" w:type="auto"/>
            <w:gridSpan w:val="3"/>
            <w:shd w:val="clear" w:color="auto" w:fill="CCEEFF"/>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19"/>
                <w:szCs w:val="19"/>
              </w:rPr>
              <w:t>Filed Herewith</w:t>
            </w:r>
          </w:p>
        </w:tc>
      </w:tr>
      <w:tr w:rsidR="00000000">
        <w:trPr>
          <w:divId w:val="1833258346"/>
          <w:jc w:val="center"/>
        </w:trPr>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3.1</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61405A">
            <w:pPr>
              <w:divId w:val="298851275"/>
              <w:rPr>
                <w:rFonts w:eastAsia="Times New Roman"/>
              </w:rPr>
            </w:pPr>
            <w:hyperlink r:id="rId4" w:history="1">
              <w:r>
                <w:rPr>
                  <w:rStyle w:val="a3"/>
                  <w:rFonts w:eastAsia="Times New Roman"/>
                  <w:sz w:val="18"/>
                  <w:szCs w:val="18"/>
                </w:rPr>
                <w:t>Amended and Restated Certificate of Incorporation</w:t>
              </w:r>
            </w:hyperlink>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S-1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333-192402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November 19, 2013</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61405A">
            <w:pPr>
              <w:jc w:val="both"/>
              <w:rPr>
                <w:rFonts w:eastAsia="Times New Roman"/>
              </w:rPr>
            </w:pPr>
            <w:r>
              <w:rPr>
                <w:rFonts w:eastAsia="Times New Roman"/>
                <w:color w:val="000000"/>
                <w:sz w:val="18"/>
                <w:szCs w:val="18"/>
              </w:rPr>
              <w:t>3.1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405A">
            <w:pPr>
              <w:jc w:val="both"/>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1833258346"/>
          <w:jc w:val="center"/>
        </w:trPr>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3.2</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divId w:val="1012415057"/>
              <w:rPr>
                <w:rFonts w:eastAsia="Times New Roman"/>
              </w:rPr>
            </w:pPr>
            <w:hyperlink r:id="rId5" w:history="1">
              <w:r>
                <w:rPr>
                  <w:rStyle w:val="a3"/>
                  <w:rFonts w:eastAsia="Times New Roman"/>
                  <w:sz w:val="18"/>
                  <w:szCs w:val="18"/>
                </w:rPr>
                <w:t>Second Amended and Restated Bylaws</w:t>
              </w:r>
            </w:hyperlink>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001-35987</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August 24, 2015</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jc w:val="both"/>
              <w:rPr>
                <w:rFonts w:eastAsia="Times New Roman"/>
              </w:rPr>
            </w:pPr>
            <w:r>
              <w:rPr>
                <w:rFonts w:eastAsia="Times New Roman"/>
                <w:color w:val="000000"/>
                <w:sz w:val="18"/>
                <w:szCs w:val="18"/>
              </w:rPr>
              <w:t>3.1</w:t>
            </w:r>
          </w:p>
        </w:tc>
        <w:tc>
          <w:tcPr>
            <w:tcW w:w="0" w:type="auto"/>
            <w:gridSpan w:val="3"/>
            <w:shd w:val="clear" w:color="auto" w:fill="CCEEFF"/>
            <w:tcMar>
              <w:top w:w="0" w:type="dxa"/>
              <w:left w:w="20" w:type="dxa"/>
              <w:bottom w:w="0" w:type="dxa"/>
              <w:right w:w="20" w:type="dxa"/>
            </w:tcMar>
            <w:vAlign w:val="center"/>
            <w:hideMark/>
          </w:tcPr>
          <w:p w:rsidR="00000000" w:rsidRDefault="0061405A">
            <w:pPr>
              <w:jc w:val="both"/>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1833258346"/>
          <w:jc w:val="center"/>
        </w:trPr>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4.1</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divId w:val="1340694724"/>
              <w:rPr>
                <w:rFonts w:eastAsia="Times New Roman"/>
              </w:rPr>
            </w:pPr>
            <w:hyperlink r:id="rId6" w:history="1">
              <w:r>
                <w:rPr>
                  <w:rStyle w:val="a3"/>
                  <w:rFonts w:eastAsia="Times New Roman"/>
                  <w:sz w:val="18"/>
                  <w:szCs w:val="18"/>
                </w:rPr>
                <w:t>Specimen Stock Certificate</w:t>
              </w:r>
            </w:hyperlink>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jc w:val="both"/>
              <w:rPr>
                <w:rFonts w:eastAsia="Times New Roman"/>
              </w:rPr>
            </w:pPr>
            <w:r>
              <w:rPr>
                <w:rFonts w:eastAsia="Times New Roman"/>
                <w:color w:val="000000"/>
                <w:sz w:val="18"/>
                <w:szCs w:val="18"/>
              </w:rPr>
              <w:t>S-1/A</w:t>
            </w:r>
          </w:p>
        </w:tc>
        <w:tc>
          <w:tcPr>
            <w:tcW w:w="0" w:type="auto"/>
            <w:gridSpan w:val="3"/>
            <w:shd w:val="clear" w:color="auto" w:fill="FFFFFF"/>
            <w:tcMar>
              <w:top w:w="0" w:type="dxa"/>
              <w:left w:w="20" w:type="dxa"/>
              <w:bottom w:w="0" w:type="dxa"/>
              <w:right w:w="20" w:type="dxa"/>
            </w:tcMar>
            <w:vAlign w:val="center"/>
            <w:hideMark/>
          </w:tcPr>
          <w:p w:rsidR="00000000" w:rsidRDefault="0061405A">
            <w:pPr>
              <w:jc w:val="both"/>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jc w:val="both"/>
              <w:rPr>
                <w:rFonts w:eastAsia="Times New Roman"/>
              </w:rPr>
            </w:pPr>
            <w:r>
              <w:rPr>
                <w:rFonts w:eastAsia="Times New Roman"/>
                <w:color w:val="000000"/>
                <w:sz w:val="18"/>
                <w:szCs w:val="18"/>
              </w:rPr>
              <w:t>333-188783</w:t>
            </w:r>
          </w:p>
        </w:tc>
        <w:tc>
          <w:tcPr>
            <w:tcW w:w="0" w:type="auto"/>
            <w:gridSpan w:val="3"/>
            <w:shd w:val="clear" w:color="auto" w:fill="FFFFFF"/>
            <w:tcMar>
              <w:top w:w="0" w:type="dxa"/>
              <w:left w:w="20" w:type="dxa"/>
              <w:bottom w:w="0" w:type="dxa"/>
              <w:right w:w="20" w:type="dxa"/>
            </w:tcMar>
            <w:vAlign w:val="center"/>
            <w:hideMark/>
          </w:tcPr>
          <w:p w:rsidR="00000000" w:rsidRDefault="0061405A">
            <w:pPr>
              <w:jc w:val="both"/>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June 17, 2013</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jc w:val="both"/>
              <w:rPr>
                <w:rFonts w:eastAsia="Times New Roman"/>
              </w:rPr>
            </w:pPr>
            <w:r>
              <w:rPr>
                <w:rFonts w:eastAsia="Times New Roman"/>
                <w:color w:val="000000"/>
                <w:sz w:val="18"/>
                <w:szCs w:val="18"/>
              </w:rPr>
              <w:t>4.1</w:t>
            </w:r>
          </w:p>
        </w:tc>
        <w:tc>
          <w:tcPr>
            <w:tcW w:w="0" w:type="auto"/>
            <w:gridSpan w:val="3"/>
            <w:shd w:val="clear" w:color="auto" w:fill="FFFFFF"/>
            <w:tcMar>
              <w:top w:w="0" w:type="dxa"/>
              <w:left w:w="20" w:type="dxa"/>
              <w:bottom w:w="0" w:type="dxa"/>
              <w:right w:w="20" w:type="dxa"/>
            </w:tcMar>
            <w:vAlign w:val="center"/>
            <w:hideMark/>
          </w:tcPr>
          <w:p w:rsidR="00000000" w:rsidRDefault="0061405A">
            <w:pPr>
              <w:jc w:val="both"/>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1833258346"/>
          <w:jc w:val="center"/>
        </w:trPr>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4.2</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divId w:val="1645696862"/>
              <w:rPr>
                <w:rFonts w:eastAsia="Times New Roman"/>
              </w:rPr>
            </w:pPr>
            <w:hyperlink r:id="rId7" w:history="1">
              <w:r>
                <w:rPr>
                  <w:rStyle w:val="a3"/>
                  <w:rFonts w:eastAsia="Times New Roman"/>
                  <w:sz w:val="18"/>
                  <w:szCs w:val="18"/>
                </w:rPr>
                <w:t>Certificate of Designations for Series A Convertible Preferred Stock</w:t>
              </w:r>
            </w:hyperlink>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001-35987</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February 9, 2017</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4.1</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1833258346"/>
          <w:jc w:val="center"/>
        </w:trPr>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4.3</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divId w:val="1267732422"/>
              <w:rPr>
                <w:rFonts w:eastAsia="Times New Roman"/>
              </w:rPr>
            </w:pPr>
            <w:hyperlink r:id="rId8" w:history="1">
              <w:r>
                <w:rPr>
                  <w:rStyle w:val="a3"/>
                  <w:rFonts w:eastAsia="Times New Roman"/>
                  <w:sz w:val="18"/>
                  <w:szCs w:val="18"/>
                </w:rPr>
                <w:t>Form of Warrant to Purchase Class A Common Stock</w:t>
              </w:r>
            </w:hyperlink>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001-35987</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February 9, 2017</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4.2</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1833258346"/>
          <w:jc w:val="center"/>
        </w:trPr>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4.4</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divId w:val="1019041902"/>
              <w:rPr>
                <w:rFonts w:eastAsia="Times New Roman"/>
              </w:rPr>
            </w:pPr>
            <w:hyperlink r:id="rId9" w:history="1">
              <w:r>
                <w:rPr>
                  <w:rStyle w:val="a3"/>
                  <w:rFonts w:eastAsia="Times New Roman"/>
                  <w:sz w:val="18"/>
                  <w:szCs w:val="18"/>
                </w:rPr>
                <w:t>Description of Securities</w:t>
              </w:r>
            </w:hyperlink>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X</w:t>
            </w:r>
          </w:p>
        </w:tc>
      </w:tr>
      <w:tr w:rsidR="00000000">
        <w:trPr>
          <w:divId w:val="1833258346"/>
          <w:jc w:val="center"/>
        </w:trPr>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10.1</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divId w:val="286012127"/>
              <w:rPr>
                <w:rFonts w:eastAsia="Times New Roman"/>
              </w:rPr>
            </w:pPr>
            <w:hyperlink r:id="rId10" w:history="1">
              <w:r>
                <w:rPr>
                  <w:rStyle w:val="a3"/>
                  <w:rFonts w:eastAsia="Times New Roman"/>
                  <w:sz w:val="18"/>
                  <w:szCs w:val="18"/>
                </w:rPr>
                <w:t>Noodles &amp; Company Amended and Restated 2010 Stock Incentive Plan</w:t>
              </w:r>
            </w:hyperlink>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S-1/A</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333-188783</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June 17, 2013</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10.1</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1833258346"/>
          <w:jc w:val="center"/>
        </w:trPr>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10.2</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divId w:val="885995409"/>
              <w:rPr>
                <w:rFonts w:eastAsia="Times New Roman"/>
              </w:rPr>
            </w:pPr>
            <w:hyperlink r:id="rId11" w:history="1">
              <w:r>
                <w:rPr>
                  <w:rStyle w:val="a3"/>
                  <w:rFonts w:eastAsia="Times New Roman"/>
                  <w:sz w:val="18"/>
                  <w:szCs w:val="18"/>
                </w:rPr>
                <w:t>Noodles &amp; Company 2013 Employee Stock Purchase Plan</w:t>
              </w:r>
            </w:hyperlink>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S-1/A</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333-188783</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June 17, 2013</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10.2</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1833258346"/>
          <w:jc w:val="center"/>
        </w:trPr>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10.5</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divId w:val="1415319734"/>
              <w:rPr>
                <w:rFonts w:eastAsia="Times New Roman"/>
              </w:rPr>
            </w:pPr>
            <w:hyperlink r:id="rId12" w:history="1">
              <w:r>
                <w:rPr>
                  <w:rStyle w:val="a3"/>
                  <w:rFonts w:eastAsia="Times New Roman"/>
                  <w:sz w:val="18"/>
                  <w:szCs w:val="18"/>
                </w:rPr>
                <w:t>Credit Agreement, dated May 9, 2018, among Noodles &amp; Company, the other Loan Party thereto, U.S. Bank National Association, as Administrative Agent</w:t>
              </w:r>
              <w:r>
                <w:rPr>
                  <w:rStyle w:val="a3"/>
                  <w:rFonts w:eastAsia="Times New Roman"/>
                  <w:sz w:val="18"/>
                  <w:szCs w:val="18"/>
                </w:rPr>
                <w:t>, L/C Issuer and Swing Line Lender and the other lenders party thereto</w:t>
              </w:r>
            </w:hyperlink>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10-Q</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001-35987</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May 11, 2018</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10.1</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1833258346"/>
          <w:jc w:val="center"/>
        </w:trPr>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10.6</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1405A">
            <w:pPr>
              <w:divId w:val="343476164"/>
              <w:rPr>
                <w:rFonts w:eastAsia="Times New Roman"/>
              </w:rPr>
            </w:pPr>
            <w:hyperlink r:id="rId13" w:history="1">
              <w:r>
                <w:rPr>
                  <w:rStyle w:val="a3"/>
                  <w:rFonts w:eastAsia="Times New Roman"/>
                  <w:sz w:val="18"/>
                  <w:szCs w:val="18"/>
                </w:rPr>
                <w:t xml:space="preserve">First Amendment to Credit Agreement, dated as of November 20, 2019, by and among Noodles &amp; Company, each of the Guarantors signatory thereto, U.S. </w:t>
              </w:r>
              <w:r>
                <w:rPr>
                  <w:rStyle w:val="a3"/>
                  <w:rFonts w:eastAsia="Times New Roman"/>
                  <w:sz w:val="18"/>
                  <w:szCs w:val="18"/>
                </w:rPr>
                <w:t>Bank National Association, as Administrative Agent, L/C Issuer and Swing Line Issuer and the lenders signatory thereto</w:t>
              </w:r>
            </w:hyperlink>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001-35987</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November 21, 2019</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10.1</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1833258346"/>
          <w:jc w:val="center"/>
        </w:trPr>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10.7</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divId w:val="2136096216"/>
              <w:rPr>
                <w:rFonts w:eastAsia="Times New Roman"/>
              </w:rPr>
            </w:pPr>
            <w:hyperlink r:id="rId14" w:history="1">
              <w:r>
                <w:rPr>
                  <w:rStyle w:val="a3"/>
                  <w:rFonts w:eastAsia="Times New Roman"/>
                  <w:sz w:val="18"/>
                  <w:szCs w:val="18"/>
                </w:rPr>
                <w:t>Second Amendment to Credit Agreement dated June 16, 2020, by and among Noodles &amp; Company, each of the Guarantors signatory thereto, U.S. Bank Natio</w:t>
              </w:r>
              <w:r>
                <w:rPr>
                  <w:rStyle w:val="a3"/>
                  <w:rFonts w:eastAsia="Times New Roman"/>
                  <w:sz w:val="18"/>
                  <w:szCs w:val="18"/>
                </w:rPr>
                <w:t>nal Association, as Administrative Agent, L/C Issuer and Swing Line Issuer and the lenders signatory thereto</w:t>
              </w:r>
            </w:hyperlink>
          </w:p>
          <w:p w:rsidR="00000000" w:rsidRDefault="0061405A">
            <w:pPr>
              <w:divId w:val="640308103"/>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10-Q</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001-35987</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June 17, 2020</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10.4</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1833258346"/>
          <w:jc w:val="center"/>
        </w:trPr>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10.8</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divId w:val="340356574"/>
              <w:rPr>
                <w:rFonts w:eastAsia="Times New Roman"/>
              </w:rPr>
            </w:pPr>
            <w:hyperlink r:id="rId15" w:history="1">
              <w:r>
                <w:rPr>
                  <w:rStyle w:val="a3"/>
                  <w:rFonts w:eastAsia="Times New Roman"/>
                  <w:sz w:val="18"/>
                  <w:szCs w:val="18"/>
                </w:rPr>
                <w:t>Security Agreement, dated May 9, 2018, by and between Noodles &amp; Company and U.S. Bank National Association, as administrative agent</w:t>
              </w:r>
            </w:hyperlink>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10-Q</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001-35987</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May 11, 2018</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10.2</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1833258346"/>
          <w:jc w:val="center"/>
        </w:trPr>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10.9</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divId w:val="209272950"/>
              <w:rPr>
                <w:rFonts w:eastAsia="Times New Roman"/>
              </w:rPr>
            </w:pPr>
            <w:hyperlink r:id="rId16" w:history="1">
              <w:r>
                <w:rPr>
                  <w:rStyle w:val="a3"/>
                  <w:rFonts w:eastAsia="Times New Roman"/>
                  <w:sz w:val="18"/>
                  <w:szCs w:val="18"/>
                </w:rPr>
                <w:t>Pledge Agreement, dated May 9, 2018, by and between Noodles &amp; Company and U.S. Bank National Association, as administrative agent</w:t>
              </w:r>
            </w:hyperlink>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10-Q</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001-35987</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May 11, 2018</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10.3</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1833258346"/>
          <w:jc w:val="center"/>
        </w:trPr>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10.10</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divId w:val="230624233"/>
              <w:rPr>
                <w:rFonts w:eastAsia="Times New Roman"/>
              </w:rPr>
            </w:pPr>
            <w:hyperlink r:id="rId17" w:history="1">
              <w:r>
                <w:rPr>
                  <w:rStyle w:val="a3"/>
                  <w:rFonts w:eastAsia="Times New Roman"/>
                  <w:sz w:val="18"/>
                  <w:szCs w:val="18"/>
                </w:rPr>
                <w:t>Form of Indemnification Agreement by and between Noodles &amp; Company and each of its directors</w:t>
              </w:r>
            </w:hyperlink>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S-1/A</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333-188783</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June 17, 2013</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10.15</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r>
    </w:tbl>
    <w:p w:rsidR="00000000" w:rsidRDefault="0061405A">
      <w:pPr>
        <w:jc w:val="center"/>
        <w:divId w:val="1817716688"/>
        <w:rPr>
          <w:rFonts w:eastAsia="Times New Roman"/>
        </w:rPr>
      </w:pPr>
      <w:r>
        <w:rPr>
          <w:rFonts w:eastAsia="Times New Roman"/>
          <w:color w:val="000000"/>
          <w:sz w:val="20"/>
          <w:szCs w:val="20"/>
        </w:rPr>
        <w:t>79</w:t>
      </w:r>
    </w:p>
    <w:p w:rsidR="00000000" w:rsidRDefault="0061405A">
      <w:pPr>
        <w:rPr>
          <w:rFonts w:eastAsia="Times New Roman"/>
        </w:rPr>
      </w:pPr>
      <w:r>
        <w:rPr>
          <w:rFonts w:eastAsia="Times New Roman"/>
        </w:rPr>
        <w:pict>
          <v:rect id="_x0000_i1106" style="width:0;height:1.5pt" o:hralign="center" o:hrstd="t" o:hr="t" fillcolor="#a0a0a0" stroked="f"/>
        </w:pict>
      </w:r>
    </w:p>
    <w:p w:rsidR="00000000" w:rsidRDefault="0061405A">
      <w:pPr>
        <w:divId w:val="1801998913"/>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56"/>
        <w:gridCol w:w="777"/>
        <w:gridCol w:w="36"/>
        <w:gridCol w:w="36"/>
        <w:gridCol w:w="146"/>
        <w:gridCol w:w="36"/>
        <w:gridCol w:w="56"/>
        <w:gridCol w:w="2020"/>
        <w:gridCol w:w="38"/>
        <w:gridCol w:w="36"/>
        <w:gridCol w:w="146"/>
        <w:gridCol w:w="36"/>
        <w:gridCol w:w="56"/>
        <w:gridCol w:w="466"/>
        <w:gridCol w:w="36"/>
        <w:gridCol w:w="36"/>
        <w:gridCol w:w="159"/>
        <w:gridCol w:w="36"/>
        <w:gridCol w:w="56"/>
        <w:gridCol w:w="838"/>
        <w:gridCol w:w="37"/>
        <w:gridCol w:w="36"/>
        <w:gridCol w:w="147"/>
        <w:gridCol w:w="36"/>
        <w:gridCol w:w="82"/>
        <w:gridCol w:w="710"/>
        <w:gridCol w:w="37"/>
        <w:gridCol w:w="36"/>
        <w:gridCol w:w="120"/>
        <w:gridCol w:w="36"/>
        <w:gridCol w:w="57"/>
        <w:gridCol w:w="743"/>
        <w:gridCol w:w="36"/>
        <w:gridCol w:w="36"/>
        <w:gridCol w:w="183"/>
        <w:gridCol w:w="36"/>
        <w:gridCol w:w="57"/>
        <w:gridCol w:w="743"/>
        <w:gridCol w:w="36"/>
      </w:tblGrid>
      <w:tr w:rsidR="00000000">
        <w:trPr>
          <w:divId w:val="2067953572"/>
          <w:jc w:val="center"/>
        </w:trPr>
        <w:tc>
          <w:tcPr>
            <w:tcW w:w="50" w:type="pct"/>
            <w:vAlign w:val="center"/>
            <w:hideMark/>
          </w:tcPr>
          <w:p w:rsidR="00000000" w:rsidRDefault="0061405A">
            <w:pPr>
              <w:rPr>
                <w:rFonts w:eastAsia="Times New Roman"/>
              </w:rPr>
            </w:pPr>
          </w:p>
        </w:tc>
        <w:tc>
          <w:tcPr>
            <w:tcW w:w="483"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104"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123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104"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297"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112"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19"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104"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433"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112"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462"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126"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462"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2067953572"/>
          <w:jc w:val="center"/>
        </w:trPr>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10.11</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divId w:val="327907799"/>
              <w:rPr>
                <w:rFonts w:eastAsia="Times New Roman"/>
              </w:rPr>
            </w:pPr>
            <w:hyperlink r:id="rId18" w:history="1">
              <w:r>
                <w:rPr>
                  <w:rStyle w:val="a3"/>
                  <w:rFonts w:eastAsia="Times New Roman"/>
                  <w:sz w:val="18"/>
                  <w:szCs w:val="18"/>
                </w:rPr>
                <w:t>Form of Area Development Agreement</w:t>
              </w:r>
            </w:hyperlink>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10-K</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001-35987</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February 24, 2015</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10.9</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2067953572"/>
          <w:jc w:val="center"/>
        </w:trPr>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10.12</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divId w:val="1656494076"/>
              <w:rPr>
                <w:rFonts w:eastAsia="Times New Roman"/>
              </w:rPr>
            </w:pPr>
            <w:hyperlink r:id="rId19" w:history="1">
              <w:r>
                <w:rPr>
                  <w:rStyle w:val="a3"/>
                  <w:rFonts w:eastAsia="Times New Roman"/>
                  <w:sz w:val="18"/>
                  <w:szCs w:val="18"/>
                </w:rPr>
                <w:t>Form of Franchise Agreement</w:t>
              </w:r>
            </w:hyperlink>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10-K</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001-35987</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February 24, 2015</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10.10</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2067953572"/>
          <w:jc w:val="center"/>
        </w:trPr>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10.13</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divId w:val="955258419"/>
              <w:rPr>
                <w:rFonts w:eastAsia="Times New Roman"/>
              </w:rPr>
            </w:pPr>
            <w:hyperlink r:id="rId20" w:history="1">
              <w:r>
                <w:rPr>
                  <w:rStyle w:val="a3"/>
                  <w:rFonts w:eastAsia="Times New Roman"/>
                  <w:sz w:val="18"/>
                  <w:szCs w:val="18"/>
                </w:rPr>
                <w:t>Form of Stock Option Agreement (Nonqualified Stock Options)</w:t>
              </w:r>
            </w:hyperlink>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10-Q</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001-35987</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November 9, 2017</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10.7</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2067953572"/>
          <w:jc w:val="center"/>
        </w:trPr>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10.14</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divId w:val="1002974364"/>
              <w:rPr>
                <w:rFonts w:eastAsia="Times New Roman"/>
              </w:rPr>
            </w:pPr>
            <w:hyperlink r:id="rId21" w:history="1">
              <w:r>
                <w:rPr>
                  <w:rStyle w:val="a3"/>
                  <w:rFonts w:eastAsia="Times New Roman"/>
                  <w:sz w:val="18"/>
                  <w:szCs w:val="18"/>
                </w:rPr>
                <w:t>Form of Restricted Stock Unit Agreement</w:t>
              </w:r>
            </w:hyperlink>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10-Q</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001-35987</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November 9, 2017</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10.8</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2067953572"/>
          <w:jc w:val="center"/>
        </w:trPr>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10.15</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divId w:val="2047483109"/>
              <w:rPr>
                <w:rFonts w:eastAsia="Times New Roman"/>
              </w:rPr>
            </w:pPr>
            <w:hyperlink r:id="rId22" w:history="1">
              <w:r>
                <w:rPr>
                  <w:rStyle w:val="a3"/>
                  <w:rFonts w:eastAsia="Times New Roman"/>
                  <w:sz w:val="18"/>
                  <w:szCs w:val="18"/>
                </w:rPr>
                <w:t>Form of Restricted Stock Unit Agreement for Nonemployee Directors</w:t>
              </w:r>
            </w:hyperlink>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10-Q</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001-35987</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November 9, 2017</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10.9</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2067953572"/>
          <w:jc w:val="center"/>
        </w:trPr>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10.16</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divId w:val="441189694"/>
              <w:rPr>
                <w:rFonts w:eastAsia="Times New Roman"/>
              </w:rPr>
            </w:pPr>
            <w:hyperlink r:id="rId23" w:history="1">
              <w:r>
                <w:rPr>
                  <w:rStyle w:val="a3"/>
                  <w:rFonts w:eastAsia="Times New Roman"/>
                  <w:sz w:val="18"/>
                  <w:szCs w:val="18"/>
                </w:rPr>
                <w:t>Form of Performance Restricted Stock Unit Agreement</w:t>
              </w:r>
            </w:hyperlink>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10-Q</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001-35987</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July 19, 2018</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10.1</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2067953572"/>
          <w:jc w:val="center"/>
        </w:trPr>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10.17</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divId w:val="634600656"/>
              <w:rPr>
                <w:rFonts w:eastAsia="Times New Roman"/>
              </w:rPr>
            </w:pPr>
            <w:hyperlink r:id="rId24" w:history="1">
              <w:r>
                <w:rPr>
                  <w:rStyle w:val="a3"/>
                  <w:rFonts w:eastAsia="Times New Roman"/>
                  <w:sz w:val="18"/>
                  <w:szCs w:val="18"/>
                </w:rPr>
                <w:t>The Executive Nonqualified “Excess” Plan Adoption Agreement, adopted by Noodles &amp; Company on May 16, 2013</w:t>
              </w:r>
            </w:hyperlink>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S-1/A</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333-188783</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June 17, 2013</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10.22</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2067953572"/>
          <w:jc w:val="center"/>
        </w:trPr>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10.18*</w:t>
            </w:r>
          </w:p>
        </w:tc>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 </w:t>
            </w:r>
          </w:p>
        </w:tc>
        <w:tc>
          <w:tcPr>
            <w:tcW w:w="0" w:type="auto"/>
            <w:gridSpan w:val="3"/>
            <w:shd w:val="clear" w:color="auto" w:fill="CCEEFF"/>
            <w:tcMar>
              <w:top w:w="30" w:type="dxa"/>
              <w:left w:w="20" w:type="dxa"/>
              <w:bottom w:w="30" w:type="dxa"/>
              <w:right w:w="20" w:type="dxa"/>
            </w:tcMar>
            <w:hideMark/>
          </w:tcPr>
          <w:p w:rsidR="00000000" w:rsidRDefault="0061405A">
            <w:pPr>
              <w:divId w:val="547836097"/>
              <w:rPr>
                <w:rFonts w:eastAsia="Times New Roman"/>
              </w:rPr>
            </w:pPr>
            <w:hyperlink r:id="rId25" w:history="1">
              <w:r>
                <w:rPr>
                  <w:rStyle w:val="a3"/>
                  <w:rFonts w:eastAsia="Times New Roman"/>
                  <w:sz w:val="18"/>
                  <w:szCs w:val="18"/>
                </w:rPr>
                <w:t>Employment Agreement, dated September 21, 2017, between Noodles &amp; Company and Dave Boennighausen</w:t>
              </w:r>
            </w:hyperlink>
          </w:p>
        </w:tc>
        <w:tc>
          <w:tcPr>
            <w:tcW w:w="0" w:type="auto"/>
            <w:gridSpan w:val="3"/>
            <w:shd w:val="clear" w:color="auto" w:fill="CCEEFF"/>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18"/>
                <w:szCs w:val="18"/>
              </w:rPr>
              <w:t> </w:t>
            </w: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8-K</w:t>
            </w: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 </w:t>
            </w: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001-35987</w:t>
            </w: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 </w:t>
            </w: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September 25, 2017</w:t>
            </w: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 </w:t>
            </w: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10.1</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2067953572"/>
          <w:jc w:val="center"/>
        </w:trPr>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10.19*</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divId w:val="362436544"/>
              <w:rPr>
                <w:rFonts w:eastAsia="Times New Roman"/>
              </w:rPr>
            </w:pPr>
            <w:hyperlink r:id="rId26" w:history="1">
              <w:r>
                <w:rPr>
                  <w:rStyle w:val="a3"/>
                  <w:rFonts w:eastAsia="Times New Roman"/>
                  <w:sz w:val="18"/>
                  <w:szCs w:val="18"/>
                </w:rPr>
                <w:t>Offer letter, dated September 28, 2018, between Noodles &amp; Company and Ken Kuick</w:t>
              </w:r>
            </w:hyperlink>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10-Q</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001-35987</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October 23, 2018</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10.1</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2067953572"/>
          <w:jc w:val="center"/>
        </w:trPr>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10.20</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divId w:val="355623006"/>
              <w:rPr>
                <w:rFonts w:eastAsia="Times New Roman"/>
              </w:rPr>
            </w:pPr>
            <w:hyperlink r:id="rId27" w:history="1">
              <w:r>
                <w:rPr>
                  <w:rStyle w:val="a3"/>
                  <w:rFonts w:eastAsia="Times New Roman"/>
                  <w:sz w:val="18"/>
                  <w:szCs w:val="18"/>
                </w:rPr>
                <w:t>Letter Agreement, dated February 15, 2017, between Noodles &amp; Company and Mill Road Capital Management LLC</w:t>
              </w:r>
            </w:hyperlink>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001-35987</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March 14, 2017</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10.2</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2067953572"/>
          <w:jc w:val="center"/>
        </w:trPr>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10.21</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divId w:val="256906681"/>
              <w:rPr>
                <w:rFonts w:eastAsia="Times New Roman"/>
              </w:rPr>
            </w:pPr>
            <w:hyperlink r:id="rId28" w:history="1">
              <w:r>
                <w:rPr>
                  <w:rStyle w:val="a3"/>
                  <w:rFonts w:eastAsia="Times New Roman"/>
                  <w:sz w:val="18"/>
                  <w:szCs w:val="18"/>
                </w:rPr>
                <w:t>Securities Purchase Agreement, dated March 13, 2017, between Noodles &amp; Company and Mill Road Capital Management LLC</w:t>
              </w:r>
            </w:hyperlink>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001-35987</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March 14, 2017</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10.1</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2067953572"/>
          <w:jc w:val="center"/>
        </w:trPr>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10.22*</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divId w:val="1511140352"/>
              <w:rPr>
                <w:rFonts w:eastAsia="Times New Roman"/>
              </w:rPr>
            </w:pPr>
            <w:hyperlink r:id="rId29" w:history="1">
              <w:r>
                <w:rPr>
                  <w:rStyle w:val="a3"/>
                  <w:rFonts w:eastAsia="Times New Roman"/>
                  <w:sz w:val="18"/>
                  <w:szCs w:val="18"/>
                </w:rPr>
                <w:t>Stock Option Agreement (Nonqualified Stock Options), dated September 21, 2017, between Noodles &amp; Company and Dave Boennighausen</w:t>
              </w:r>
            </w:hyperlink>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10-Q</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001-</w:t>
            </w:r>
            <w:r>
              <w:rPr>
                <w:rFonts w:eastAsia="Times New Roman"/>
                <w:color w:val="000000"/>
                <w:sz w:val="18"/>
                <w:szCs w:val="18"/>
              </w:rPr>
              <w:t>35987</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November 9, 2017</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10.4</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2067953572"/>
          <w:jc w:val="center"/>
        </w:trPr>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10.23*</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1405A">
            <w:pPr>
              <w:divId w:val="252982246"/>
              <w:rPr>
                <w:rFonts w:eastAsia="Times New Roman"/>
              </w:rPr>
            </w:pPr>
            <w:hyperlink r:id="rId30" w:history="1">
              <w:r>
                <w:rPr>
                  <w:rStyle w:val="a3"/>
                  <w:rFonts w:eastAsia="Times New Roman"/>
                  <w:sz w:val="18"/>
                  <w:szCs w:val="18"/>
                </w:rPr>
                <w:t>Restricted Stock Unit Agreement, dated September 21, 2017, between Noodles &amp; Company and Dave Boennighausen</w:t>
              </w:r>
            </w:hyperlink>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10-Q</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001-35987</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November 9, 2017</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10.5</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2067953572"/>
          <w:jc w:val="center"/>
        </w:trPr>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10.24*</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1405A">
            <w:pPr>
              <w:divId w:val="193731877"/>
              <w:rPr>
                <w:rFonts w:eastAsia="Times New Roman"/>
              </w:rPr>
            </w:pPr>
            <w:hyperlink r:id="rId31" w:history="1">
              <w:r>
                <w:rPr>
                  <w:rStyle w:val="a3"/>
                  <w:rFonts w:eastAsia="Times New Roman"/>
                  <w:sz w:val="18"/>
                  <w:szCs w:val="18"/>
                </w:rPr>
                <w:t>Restricted Stock Unit Agreement, dated September 21, 2017, between Noodles &amp; Company and Dave Boennighausen</w:t>
              </w:r>
            </w:hyperlink>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10-Q</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001-35987</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November 9, 2017</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10.6</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2067953572"/>
          <w:jc w:val="center"/>
        </w:trPr>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10.25*</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divId w:val="699937659"/>
              <w:rPr>
                <w:rFonts w:eastAsia="Times New Roman"/>
              </w:rPr>
            </w:pPr>
            <w:hyperlink r:id="rId32" w:history="1">
              <w:r>
                <w:rPr>
                  <w:rStyle w:val="a3"/>
                  <w:rFonts w:eastAsia="Times New Roman"/>
                  <w:sz w:val="18"/>
                  <w:szCs w:val="18"/>
                </w:rPr>
                <w:t>Severance Agreement with Melissa Heidman, dated June 6, 2018</w:t>
              </w:r>
            </w:hyperlink>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10-K</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001-35987</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March 15, 2019</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10.32</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2067953572"/>
          <w:jc w:val="center"/>
        </w:trPr>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10.26*</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divId w:val="67070698"/>
              <w:rPr>
                <w:rFonts w:eastAsia="Times New Roman"/>
              </w:rPr>
            </w:pPr>
            <w:hyperlink r:id="rId33" w:history="1">
              <w:r>
                <w:rPr>
                  <w:rStyle w:val="a3"/>
                  <w:rFonts w:eastAsia="Times New Roman"/>
                  <w:sz w:val="18"/>
                  <w:szCs w:val="18"/>
                </w:rPr>
                <w:t>Severance Agreement with Ken Kuick, dated October 11, 2018</w:t>
              </w:r>
            </w:hyperlink>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10-K</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001-35987</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March 15, 2019</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10.33</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2067953572"/>
          <w:jc w:val="center"/>
        </w:trPr>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10.27*</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divId w:val="922882922"/>
              <w:rPr>
                <w:rFonts w:eastAsia="Times New Roman"/>
              </w:rPr>
            </w:pPr>
            <w:hyperlink r:id="rId34" w:history="1">
              <w:r>
                <w:rPr>
                  <w:rStyle w:val="a3"/>
                  <w:rFonts w:eastAsia="Times New Roman"/>
                  <w:sz w:val="18"/>
                  <w:szCs w:val="18"/>
                </w:rPr>
                <w:t>Amended and Restated Noodles &amp; Company Compensation Plan for Non-Employee Directors, dated December 12, 2018</w:t>
              </w:r>
            </w:hyperlink>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10-K</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001-35987</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March 15, 2019</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10.34</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2067953572"/>
          <w:jc w:val="center"/>
        </w:trPr>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10.28*</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divId w:val="1152719872"/>
              <w:rPr>
                <w:rFonts w:eastAsia="Times New Roman"/>
              </w:rPr>
            </w:pPr>
            <w:hyperlink r:id="rId35" w:history="1">
              <w:r>
                <w:rPr>
                  <w:rStyle w:val="a3"/>
                  <w:rFonts w:eastAsia="Times New Roman"/>
                  <w:sz w:val="18"/>
                  <w:szCs w:val="18"/>
                </w:rPr>
                <w:t>Compensation Plan for Non-Employee Directors Amended and Restated September 19, 2019</w:t>
              </w:r>
            </w:hyperlink>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10-Q</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001-35987</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June 17, 2020</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10.2</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2067953572"/>
          <w:jc w:val="center"/>
        </w:trPr>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10.29*</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divId w:val="851145158"/>
              <w:rPr>
                <w:rFonts w:eastAsia="Times New Roman"/>
              </w:rPr>
            </w:pPr>
            <w:hyperlink r:id="rId36" w:history="1">
              <w:r>
                <w:rPr>
                  <w:rStyle w:val="a3"/>
                  <w:rFonts w:eastAsia="Times New Roman"/>
                  <w:sz w:val="18"/>
                  <w:szCs w:val="18"/>
                </w:rPr>
                <w:t>Chas Hermann Separation Letter, dated September 26, 2019</w:t>
              </w:r>
            </w:hyperlink>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10-Q</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001-35987</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November 8, 2019</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10.1</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2067953572"/>
          <w:jc w:val="center"/>
        </w:trPr>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10.30*</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divId w:val="1647272028"/>
              <w:rPr>
                <w:rFonts w:eastAsia="Times New Roman"/>
              </w:rPr>
            </w:pPr>
            <w:hyperlink r:id="rId37" w:history="1">
              <w:r>
                <w:rPr>
                  <w:rStyle w:val="a3"/>
                  <w:rFonts w:eastAsia="Times New Roman"/>
                  <w:sz w:val="18"/>
                  <w:szCs w:val="18"/>
                </w:rPr>
                <w:t>Offer Letter, dated December 4, 2019, between Noodles &amp; Company and Stacey Pool</w:t>
              </w:r>
            </w:hyperlink>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10-K</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001-35987</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February 26, 2020</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10.34</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r>
    </w:tbl>
    <w:p w:rsidR="00000000" w:rsidRDefault="0061405A">
      <w:pPr>
        <w:jc w:val="center"/>
        <w:divId w:val="2028867356"/>
        <w:rPr>
          <w:rFonts w:eastAsia="Times New Roman"/>
        </w:rPr>
      </w:pPr>
      <w:r>
        <w:rPr>
          <w:rFonts w:eastAsia="Times New Roman"/>
          <w:color w:val="000000"/>
          <w:sz w:val="20"/>
          <w:szCs w:val="20"/>
        </w:rPr>
        <w:t>80</w:t>
      </w:r>
    </w:p>
    <w:p w:rsidR="00000000" w:rsidRDefault="0061405A">
      <w:pPr>
        <w:rPr>
          <w:rFonts w:eastAsia="Times New Roman"/>
        </w:rPr>
      </w:pPr>
      <w:r>
        <w:rPr>
          <w:rFonts w:eastAsia="Times New Roman"/>
        </w:rPr>
        <w:pict>
          <v:rect id="_x0000_i1107" style="width:0;height:1.5pt" o:hralign="center" o:hrstd="t" o:hr="t" fillcolor="#a0a0a0" stroked="f"/>
        </w:pict>
      </w:r>
    </w:p>
    <w:p w:rsidR="00000000" w:rsidRDefault="0061405A">
      <w:pPr>
        <w:divId w:val="62992807"/>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66"/>
        <w:gridCol w:w="767"/>
        <w:gridCol w:w="36"/>
        <w:gridCol w:w="36"/>
        <w:gridCol w:w="146"/>
        <w:gridCol w:w="36"/>
        <w:gridCol w:w="56"/>
        <w:gridCol w:w="2020"/>
        <w:gridCol w:w="37"/>
        <w:gridCol w:w="36"/>
        <w:gridCol w:w="146"/>
        <w:gridCol w:w="36"/>
        <w:gridCol w:w="56"/>
        <w:gridCol w:w="466"/>
        <w:gridCol w:w="36"/>
        <w:gridCol w:w="36"/>
        <w:gridCol w:w="160"/>
        <w:gridCol w:w="36"/>
        <w:gridCol w:w="57"/>
        <w:gridCol w:w="838"/>
        <w:gridCol w:w="36"/>
        <w:gridCol w:w="36"/>
        <w:gridCol w:w="147"/>
        <w:gridCol w:w="36"/>
        <w:gridCol w:w="82"/>
        <w:gridCol w:w="710"/>
        <w:gridCol w:w="37"/>
        <w:gridCol w:w="36"/>
        <w:gridCol w:w="120"/>
        <w:gridCol w:w="36"/>
        <w:gridCol w:w="57"/>
        <w:gridCol w:w="743"/>
        <w:gridCol w:w="36"/>
        <w:gridCol w:w="36"/>
        <w:gridCol w:w="183"/>
        <w:gridCol w:w="36"/>
        <w:gridCol w:w="57"/>
        <w:gridCol w:w="743"/>
        <w:gridCol w:w="36"/>
      </w:tblGrid>
      <w:tr w:rsidR="00000000">
        <w:trPr>
          <w:divId w:val="1006370962"/>
          <w:jc w:val="center"/>
        </w:trPr>
        <w:tc>
          <w:tcPr>
            <w:tcW w:w="50" w:type="pct"/>
            <w:vAlign w:val="center"/>
            <w:hideMark/>
          </w:tcPr>
          <w:p w:rsidR="00000000" w:rsidRDefault="0061405A">
            <w:pPr>
              <w:rPr>
                <w:rFonts w:eastAsia="Times New Roman"/>
              </w:rPr>
            </w:pPr>
          </w:p>
        </w:tc>
        <w:tc>
          <w:tcPr>
            <w:tcW w:w="483"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104"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1230"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104"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297"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112"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519"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104"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433"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112"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462"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126"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462"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1006370962"/>
          <w:jc w:val="center"/>
        </w:trPr>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10.31</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divId w:val="1691836693"/>
              <w:rPr>
                <w:rFonts w:eastAsia="Times New Roman"/>
              </w:rPr>
            </w:pPr>
            <w:hyperlink r:id="rId38" w:history="1">
              <w:r>
                <w:rPr>
                  <w:rStyle w:val="a3"/>
                  <w:rFonts w:eastAsia="Times New Roman"/>
                  <w:sz w:val="18"/>
                  <w:szCs w:val="18"/>
                </w:rPr>
                <w:t>Form of Performance Restricted Stock Unit Agreement</w:t>
              </w:r>
            </w:hyperlink>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10-K</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001-35987</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February 26, 2020</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10.35</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1006370962"/>
          <w:jc w:val="center"/>
        </w:trPr>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10.32*</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divId w:val="106316268"/>
              <w:rPr>
                <w:rFonts w:eastAsia="Times New Roman"/>
              </w:rPr>
            </w:pPr>
            <w:hyperlink r:id="rId39" w:history="1">
              <w:r>
                <w:rPr>
                  <w:rStyle w:val="a3"/>
                  <w:rFonts w:eastAsia="Times New Roman"/>
                  <w:sz w:val="18"/>
                  <w:szCs w:val="18"/>
                </w:rPr>
                <w:t xml:space="preserve">Temporary Salary Protection Waiver Letter between Noodles &amp; Company and Dave Boennighausen dated </w:t>
              </w:r>
              <w:r>
                <w:rPr>
                  <w:rStyle w:val="a3"/>
                  <w:rFonts w:eastAsia="Times New Roman"/>
                  <w:sz w:val="18"/>
                  <w:szCs w:val="18"/>
                </w:rPr>
                <w:t>April 1, 2020</w:t>
              </w:r>
            </w:hyperlink>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10-Q</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001-35987</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June 17, 2020</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10.3</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1006370962"/>
          <w:jc w:val="center"/>
        </w:trPr>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10.33*</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divId w:val="419640979"/>
              <w:rPr>
                <w:rFonts w:eastAsia="Times New Roman"/>
              </w:rPr>
            </w:pPr>
            <w:hyperlink r:id="rId40" w:history="1">
              <w:r>
                <w:rPr>
                  <w:rStyle w:val="a3"/>
                  <w:rFonts w:eastAsia="Times New Roman"/>
                  <w:sz w:val="18"/>
                  <w:szCs w:val="18"/>
                </w:rPr>
                <w:t>Employment Agreement, dated October 27, 2020, between Noodles &amp; Company and Dave Boennighausen</w:t>
              </w:r>
            </w:hyperlink>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10-Q</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001-35987</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October 29, 2020</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10.1</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1006370962"/>
          <w:jc w:val="center"/>
        </w:trPr>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10.34*</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divId w:val="1124040045"/>
              <w:rPr>
                <w:rFonts w:eastAsia="Times New Roman"/>
              </w:rPr>
            </w:pPr>
            <w:hyperlink r:id="rId41" w:history="1">
              <w:r>
                <w:rPr>
                  <w:rStyle w:val="a3"/>
                  <w:rFonts w:eastAsia="Times New Roman"/>
                  <w:sz w:val="18"/>
                  <w:szCs w:val="18"/>
                </w:rPr>
                <w:t>Employment Agreement, dated October 27, 2020, between Noodles &amp; Company and Brad West</w:t>
              </w:r>
            </w:hyperlink>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10-Q</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001-35987</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October 29, 2020</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10.2</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1006370962"/>
          <w:jc w:val="center"/>
        </w:trPr>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10.35*</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divId w:val="1827160723"/>
              <w:rPr>
                <w:rFonts w:eastAsia="Times New Roman"/>
              </w:rPr>
            </w:pPr>
            <w:hyperlink r:id="rId42" w:history="1">
              <w:r>
                <w:rPr>
                  <w:rStyle w:val="a3"/>
                  <w:rFonts w:eastAsia="Times New Roman"/>
                  <w:sz w:val="18"/>
                  <w:szCs w:val="18"/>
                </w:rPr>
                <w:t>Employment Agreement, dated October 27, 2020, between Noodles &amp; Company and Stacey Pool</w:t>
              </w:r>
            </w:hyperlink>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10-Q</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001-35987</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October 29, 2020</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10.3</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1006370962"/>
          <w:jc w:val="center"/>
        </w:trPr>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10.36*</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divId w:val="600069408"/>
              <w:rPr>
                <w:rFonts w:eastAsia="Times New Roman"/>
              </w:rPr>
            </w:pPr>
            <w:hyperlink r:id="rId43" w:history="1">
              <w:r>
                <w:rPr>
                  <w:rStyle w:val="a3"/>
                  <w:rFonts w:eastAsia="Times New Roman"/>
                  <w:sz w:val="18"/>
                  <w:szCs w:val="18"/>
                </w:rPr>
                <w:t>Employment Agreement, dated October 27, 2020, between Noodles &amp; Company and Melissa Heidman</w:t>
              </w:r>
            </w:hyperlink>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10-Q</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001-35987</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October 29, 2020</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10.4</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1006370962"/>
          <w:jc w:val="center"/>
        </w:trPr>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10.37*</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divId w:val="1482888687"/>
              <w:rPr>
                <w:rFonts w:eastAsia="Times New Roman"/>
              </w:rPr>
            </w:pPr>
            <w:hyperlink r:id="rId44" w:history="1">
              <w:r>
                <w:rPr>
                  <w:rStyle w:val="a3"/>
                  <w:rFonts w:eastAsia="Times New Roman"/>
                  <w:sz w:val="18"/>
                  <w:szCs w:val="18"/>
                </w:rPr>
                <w:t>Carl Lukach Employment Agreement</w:t>
              </w:r>
            </w:hyperlink>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001-35987</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November 2, 2020</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10.1</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1006370962"/>
          <w:jc w:val="center"/>
        </w:trPr>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10.38*</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divId w:val="237903304"/>
              <w:rPr>
                <w:rFonts w:eastAsia="Times New Roman"/>
              </w:rPr>
            </w:pPr>
            <w:hyperlink r:id="rId45" w:history="1">
              <w:r>
                <w:rPr>
                  <w:rStyle w:val="a3"/>
                  <w:rFonts w:eastAsia="Times New Roman"/>
                  <w:sz w:val="18"/>
                  <w:szCs w:val="18"/>
                </w:rPr>
                <w:t>Carl Lukach Offer Letter</w:t>
              </w:r>
            </w:hyperlink>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001-35987</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November 2, 2020</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10.2</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1006370962"/>
          <w:jc w:val="center"/>
        </w:trPr>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21.1</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divId w:val="333411192"/>
              <w:rPr>
                <w:rFonts w:eastAsia="Times New Roman"/>
              </w:rPr>
            </w:pPr>
            <w:hyperlink r:id="rId46" w:history="1">
              <w:r>
                <w:rPr>
                  <w:rStyle w:val="a3"/>
                  <w:rFonts w:eastAsia="Times New Roman"/>
                  <w:sz w:val="18"/>
                  <w:szCs w:val="18"/>
                </w:rPr>
                <w:t>List of Subsidiaries of Noodles &amp; Company</w:t>
              </w:r>
            </w:hyperlink>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X</w:t>
            </w:r>
          </w:p>
        </w:tc>
      </w:tr>
      <w:tr w:rsidR="00000000">
        <w:trPr>
          <w:divId w:val="1006370962"/>
          <w:jc w:val="center"/>
        </w:trPr>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23.1</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divId w:val="1748720694"/>
              <w:rPr>
                <w:rFonts w:eastAsia="Times New Roman"/>
              </w:rPr>
            </w:pPr>
            <w:hyperlink r:id="rId47" w:history="1">
              <w:r>
                <w:rPr>
                  <w:rStyle w:val="a3"/>
                  <w:rFonts w:eastAsia="Times New Roman"/>
                  <w:sz w:val="18"/>
                  <w:szCs w:val="18"/>
                </w:rPr>
                <w:t>Consent of Ernst &amp; Young LLP</w:t>
              </w:r>
            </w:hyperlink>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X</w:t>
            </w:r>
          </w:p>
        </w:tc>
      </w:tr>
      <w:tr w:rsidR="00000000">
        <w:trPr>
          <w:divId w:val="1006370962"/>
          <w:jc w:val="center"/>
        </w:trPr>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24.1</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divId w:val="610018093"/>
              <w:rPr>
                <w:rFonts w:eastAsia="Times New Roman"/>
              </w:rPr>
            </w:pPr>
            <w:hyperlink w:anchor="i8677812f4896441ea668decd267056f9_208" w:history="1">
              <w:r>
                <w:rPr>
                  <w:rStyle w:val="a3"/>
                  <w:rFonts w:eastAsia="Times New Roman"/>
                  <w:sz w:val="18"/>
                  <w:szCs w:val="18"/>
                </w:rPr>
                <w:t>Power of Attorney (included on signature page of this report)</w:t>
              </w:r>
            </w:hyperlink>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X</w:t>
            </w:r>
          </w:p>
        </w:tc>
      </w:tr>
      <w:tr w:rsidR="00000000">
        <w:trPr>
          <w:divId w:val="1006370962"/>
          <w:jc w:val="center"/>
        </w:trPr>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31.1</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divId w:val="2127461439"/>
              <w:rPr>
                <w:rFonts w:eastAsia="Times New Roman"/>
              </w:rPr>
            </w:pPr>
            <w:hyperlink r:id="rId48" w:history="1">
              <w:r>
                <w:rPr>
                  <w:rStyle w:val="a3"/>
                  <w:rFonts w:eastAsia="Times New Roman"/>
                  <w:sz w:val="18"/>
                  <w:szCs w:val="18"/>
                </w:rPr>
                <w:t>Certification of Principal Executive Officer pursuant to Section 302 of the Sarbanes-Oxley Act of 2002</w:t>
              </w:r>
            </w:hyperlink>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X</w:t>
            </w:r>
          </w:p>
        </w:tc>
      </w:tr>
      <w:tr w:rsidR="00000000">
        <w:trPr>
          <w:divId w:val="1006370962"/>
          <w:jc w:val="center"/>
        </w:trPr>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31.2</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divId w:val="501433829"/>
              <w:rPr>
                <w:rFonts w:eastAsia="Times New Roman"/>
              </w:rPr>
            </w:pPr>
            <w:hyperlink r:id="rId49" w:history="1">
              <w:r>
                <w:rPr>
                  <w:rStyle w:val="a3"/>
                  <w:rFonts w:eastAsia="Times New Roman"/>
                  <w:sz w:val="18"/>
                  <w:szCs w:val="18"/>
                </w:rPr>
                <w:t>Certification of Principal Financial Officer pursuant to Section 302 of the Sarbanes-Oxley Act of 2002</w:t>
              </w:r>
            </w:hyperlink>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X</w:t>
            </w:r>
          </w:p>
        </w:tc>
      </w:tr>
      <w:tr w:rsidR="00000000">
        <w:trPr>
          <w:divId w:val="1006370962"/>
          <w:jc w:val="center"/>
        </w:trPr>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32.1</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divId w:val="1844052509"/>
              <w:rPr>
                <w:rFonts w:eastAsia="Times New Roman"/>
              </w:rPr>
            </w:pPr>
            <w:hyperlink r:id="rId50" w:history="1">
              <w:r>
                <w:rPr>
                  <w:rStyle w:val="a3"/>
                  <w:rFonts w:eastAsia="Times New Roman"/>
                  <w:sz w:val="18"/>
                  <w:szCs w:val="18"/>
                </w:rPr>
                <w:t>Certification of Chief Executive Officer and Chief Financial Officer Section 906 of the Sarbanes-Oxley Act of 2002</w:t>
              </w:r>
            </w:hyperlink>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X</w:t>
            </w:r>
          </w:p>
        </w:tc>
      </w:tr>
      <w:tr w:rsidR="00000000">
        <w:trPr>
          <w:divId w:val="1006370962"/>
          <w:jc w:val="center"/>
        </w:trPr>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101.INS</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Inline XBRL Instance Document - the instance document does not appear in the Interactive Data File because its XBRL tags are embedded within the Inline XBRL document</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X</w:t>
            </w:r>
          </w:p>
        </w:tc>
      </w:tr>
      <w:tr w:rsidR="00000000">
        <w:trPr>
          <w:divId w:val="1006370962"/>
          <w:jc w:val="center"/>
        </w:trPr>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101.SCH</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Inline XBRL Taxonomy Extension Schema Document</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X</w:t>
            </w:r>
          </w:p>
        </w:tc>
      </w:tr>
      <w:tr w:rsidR="00000000">
        <w:trPr>
          <w:divId w:val="1006370962"/>
          <w:jc w:val="center"/>
        </w:trPr>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101.CAL</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Inline XBRL Taxonomy Extension Calculation Linkbase Document</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X</w:t>
            </w:r>
          </w:p>
        </w:tc>
      </w:tr>
      <w:tr w:rsidR="00000000">
        <w:trPr>
          <w:divId w:val="1006370962"/>
          <w:jc w:val="center"/>
        </w:trPr>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101.DEF</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Inline XBRL Taxonomy Extension Definition Linkbase Document</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X</w:t>
            </w:r>
          </w:p>
        </w:tc>
      </w:tr>
      <w:tr w:rsidR="00000000">
        <w:trPr>
          <w:divId w:val="1006370962"/>
          <w:jc w:val="center"/>
        </w:trPr>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101.LAB</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Inline XBRL Taxonomy Extension Label Linkbase Document</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X</w:t>
            </w:r>
          </w:p>
        </w:tc>
      </w:tr>
      <w:tr w:rsidR="00000000">
        <w:trPr>
          <w:divId w:val="1006370962"/>
          <w:jc w:val="center"/>
        </w:trPr>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101.PRE</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Inline XBRL Taxonomy Extension Presentation Linkbase Document</w:t>
            </w: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X</w:t>
            </w:r>
          </w:p>
        </w:tc>
      </w:tr>
      <w:tr w:rsidR="00000000">
        <w:trPr>
          <w:divId w:val="1006370962"/>
          <w:jc w:val="center"/>
        </w:trPr>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104</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Cover Page Interactive Data File (formatted as Inline XBRL and contained in Exhibit 101)</w:t>
            </w: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61405A">
            <w:pPr>
              <w:rPr>
                <w:rFonts w:eastAsia="Times New Roman"/>
              </w:rPr>
            </w:pPr>
            <w:r>
              <w:rPr>
                <w:rFonts w:eastAsia="Times New Roman"/>
                <w:color w:val="000000"/>
                <w:sz w:val="18"/>
                <w:szCs w:val="18"/>
              </w:rPr>
              <w:t>X</w:t>
            </w:r>
          </w:p>
        </w:tc>
      </w:tr>
    </w:tbl>
    <w:p w:rsidR="00000000" w:rsidRDefault="0061405A">
      <w:pPr>
        <w:divId w:val="1754162013"/>
        <w:rPr>
          <w:rFonts w:eastAsia="Times New Roman"/>
        </w:rPr>
      </w:pPr>
      <w:r>
        <w:rPr>
          <w:rFonts w:eastAsia="Times New Roman"/>
          <w:color w:val="000000"/>
          <w:sz w:val="16"/>
          <w:szCs w:val="16"/>
        </w:rPr>
        <w:t>_____________</w:t>
      </w:r>
    </w:p>
    <w:p w:rsidR="00000000" w:rsidRDefault="0061405A">
      <w:pPr>
        <w:divId w:val="2106338512"/>
        <w:rPr>
          <w:rFonts w:eastAsia="Times New Roman"/>
        </w:rPr>
      </w:pPr>
      <w:r>
        <w:rPr>
          <w:rFonts w:eastAsia="Times New Roman"/>
          <w:color w:val="000000"/>
          <w:sz w:val="16"/>
          <w:szCs w:val="16"/>
        </w:rPr>
        <w:t>* Management contract or compensatory plan or arrangement.</w:t>
      </w:r>
    </w:p>
    <w:p w:rsidR="00000000" w:rsidRDefault="0061405A">
      <w:pPr>
        <w:jc w:val="center"/>
        <w:divId w:val="757557819"/>
        <w:rPr>
          <w:rFonts w:eastAsia="Times New Roman"/>
        </w:rPr>
      </w:pPr>
      <w:r>
        <w:rPr>
          <w:rFonts w:eastAsia="Times New Roman"/>
          <w:color w:val="000000"/>
          <w:sz w:val="20"/>
          <w:szCs w:val="20"/>
        </w:rPr>
        <w:t>81</w:t>
      </w:r>
    </w:p>
    <w:p w:rsidR="00000000" w:rsidRDefault="0061405A">
      <w:pPr>
        <w:rPr>
          <w:rFonts w:eastAsia="Times New Roman"/>
        </w:rPr>
      </w:pPr>
      <w:r>
        <w:rPr>
          <w:rFonts w:eastAsia="Times New Roman"/>
        </w:rPr>
        <w:pict>
          <v:rect id="_x0000_i1108" style="width:0;height:1.5pt" o:hralign="center" o:hrstd="t" o:hr="t" fillcolor="#a0a0a0" stroked="f"/>
        </w:pict>
      </w:r>
    </w:p>
    <w:p w:rsidR="00000000" w:rsidRDefault="0061405A">
      <w:pPr>
        <w:divId w:val="107940867"/>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ind w:hanging="1440"/>
        <w:divId w:val="1322734883"/>
        <w:rPr>
          <w:rFonts w:eastAsia="Times New Roman"/>
        </w:rPr>
      </w:pPr>
      <w:r>
        <w:rPr>
          <w:rFonts w:eastAsia="Times New Roman"/>
          <w:b/>
          <w:bCs/>
          <w:color w:val="000000"/>
          <w:sz w:val="20"/>
          <w:szCs w:val="20"/>
        </w:rPr>
        <w:t>ITEM 16.    Form 10-K Summary.</w:t>
      </w:r>
    </w:p>
    <w:p w:rsidR="00000000" w:rsidRDefault="0061405A">
      <w:pPr>
        <w:ind w:hanging="1440"/>
        <w:divId w:val="1383214324"/>
        <w:rPr>
          <w:rFonts w:eastAsia="Times New Roman"/>
        </w:rPr>
      </w:pPr>
    </w:p>
    <w:p w:rsidR="00000000" w:rsidRDefault="0061405A">
      <w:pPr>
        <w:ind w:hanging="1440"/>
        <w:divId w:val="493885017"/>
        <w:rPr>
          <w:rFonts w:eastAsia="Times New Roman"/>
        </w:rPr>
      </w:pPr>
      <w:r>
        <w:rPr>
          <w:rFonts w:eastAsia="Times New Roman"/>
          <w:color w:val="000000"/>
          <w:sz w:val="20"/>
          <w:szCs w:val="20"/>
        </w:rPr>
        <w:t>None.</w:t>
      </w:r>
    </w:p>
    <w:p w:rsidR="00000000" w:rsidRDefault="0061405A">
      <w:pPr>
        <w:divId w:val="1613513419"/>
        <w:rPr>
          <w:rFonts w:eastAsia="Times New Roman"/>
        </w:rPr>
      </w:pPr>
    </w:p>
    <w:p w:rsidR="00000000" w:rsidRDefault="0061405A">
      <w:pPr>
        <w:jc w:val="center"/>
        <w:divId w:val="248201674"/>
        <w:rPr>
          <w:rFonts w:eastAsia="Times New Roman"/>
        </w:rPr>
      </w:pPr>
      <w:r>
        <w:rPr>
          <w:rFonts w:eastAsia="Times New Roman"/>
          <w:color w:val="000000"/>
          <w:sz w:val="20"/>
          <w:szCs w:val="20"/>
        </w:rPr>
        <w:t>82</w:t>
      </w:r>
    </w:p>
    <w:p w:rsidR="00000000" w:rsidRDefault="0061405A">
      <w:pPr>
        <w:rPr>
          <w:rFonts w:eastAsia="Times New Roman"/>
        </w:rPr>
      </w:pPr>
      <w:r>
        <w:rPr>
          <w:rFonts w:eastAsia="Times New Roman"/>
        </w:rPr>
        <w:pict>
          <v:rect id="_x0000_i1109" style="width:0;height:1.5pt" o:hralign="center" o:hrstd="t" o:hr="t" fillcolor="#a0a0a0" stroked="f"/>
        </w:pict>
      </w:r>
    </w:p>
    <w:p w:rsidR="00000000" w:rsidRDefault="0061405A">
      <w:pPr>
        <w:divId w:val="10303072"/>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p w:rsidR="00000000" w:rsidRDefault="0061405A">
      <w:pPr>
        <w:ind w:firstLine="495"/>
        <w:jc w:val="center"/>
        <w:divId w:val="1190685462"/>
        <w:rPr>
          <w:rFonts w:eastAsia="Times New Roman"/>
        </w:rPr>
      </w:pPr>
      <w:r>
        <w:rPr>
          <w:rFonts w:eastAsia="Times New Roman"/>
          <w:b/>
          <w:bCs/>
          <w:color w:val="000000"/>
          <w:sz w:val="20"/>
          <w:szCs w:val="20"/>
        </w:rPr>
        <w:t>SIGNATURES</w:t>
      </w:r>
    </w:p>
    <w:p w:rsidR="00000000" w:rsidRDefault="0061405A">
      <w:pPr>
        <w:jc w:val="both"/>
        <w:divId w:val="1594048549"/>
        <w:rPr>
          <w:rFonts w:eastAsia="Times New Roman"/>
        </w:rPr>
      </w:pPr>
      <w:r>
        <w:rPr>
          <w:rFonts w:eastAsia="Times New Roman"/>
          <w:color w:val="000000"/>
          <w:sz w:val="20"/>
          <w:szCs w:val="20"/>
        </w:rPr>
        <w:t>Pursuant to the requirements of Section 13 or 15(d) of the Securities Exchange Act of 1934, the registrant has duly c</w:t>
      </w:r>
      <w:r>
        <w:rPr>
          <w:rFonts w:eastAsia="Times New Roman"/>
          <w:color w:val="000000"/>
          <w:sz w:val="20"/>
          <w:szCs w:val="20"/>
        </w:rPr>
        <w:t>aused this report to be signed on its behalf by the undersigned, thereunto duly authorized, on February 26, 2021.</w:t>
      </w:r>
    </w:p>
    <w:tbl>
      <w:tblPr>
        <w:tblW w:w="10440" w:type="dxa"/>
        <w:jc w:val="center"/>
        <w:tblCellMar>
          <w:top w:w="15" w:type="dxa"/>
          <w:left w:w="15" w:type="dxa"/>
          <w:bottom w:w="15" w:type="dxa"/>
          <w:right w:w="15" w:type="dxa"/>
        </w:tblCellMar>
        <w:tblLook w:val="04A0" w:firstRow="1" w:lastRow="0" w:firstColumn="1" w:lastColumn="0" w:noHBand="0" w:noVBand="1"/>
      </w:tblPr>
      <w:tblGrid>
        <w:gridCol w:w="36"/>
        <w:gridCol w:w="5246"/>
        <w:gridCol w:w="36"/>
        <w:gridCol w:w="36"/>
        <w:gridCol w:w="5050"/>
        <w:gridCol w:w="36"/>
      </w:tblGrid>
      <w:tr w:rsidR="00000000">
        <w:trPr>
          <w:divId w:val="733042047"/>
          <w:jc w:val="center"/>
        </w:trPr>
        <w:tc>
          <w:tcPr>
            <w:tcW w:w="20" w:type="dxa"/>
            <w:vAlign w:val="center"/>
            <w:hideMark/>
          </w:tcPr>
          <w:p w:rsidR="00000000" w:rsidRDefault="0061405A">
            <w:pPr>
              <w:jc w:val="both"/>
              <w:rPr>
                <w:rFonts w:eastAsia="Times New Roman"/>
              </w:rPr>
            </w:pPr>
          </w:p>
        </w:tc>
        <w:tc>
          <w:tcPr>
            <w:tcW w:w="5285" w:type="dxa"/>
            <w:vAlign w:val="center"/>
            <w:hideMark/>
          </w:tcPr>
          <w:p w:rsidR="00000000" w:rsidRDefault="0061405A">
            <w:pPr>
              <w:rPr>
                <w:rFonts w:eastAsia="Times New Roman"/>
                <w:sz w:val="20"/>
                <w:szCs w:val="20"/>
              </w:rPr>
            </w:pPr>
          </w:p>
        </w:tc>
        <w:tc>
          <w:tcPr>
            <w:tcW w:w="20" w:type="dxa"/>
            <w:vAlign w:val="center"/>
            <w:hideMark/>
          </w:tcPr>
          <w:p w:rsidR="00000000" w:rsidRDefault="0061405A">
            <w:pPr>
              <w:rPr>
                <w:rFonts w:eastAsia="Times New Roman"/>
                <w:sz w:val="20"/>
                <w:szCs w:val="20"/>
              </w:rPr>
            </w:pPr>
          </w:p>
        </w:tc>
        <w:tc>
          <w:tcPr>
            <w:tcW w:w="20" w:type="dxa"/>
            <w:vAlign w:val="center"/>
            <w:hideMark/>
          </w:tcPr>
          <w:p w:rsidR="00000000" w:rsidRDefault="0061405A">
            <w:pPr>
              <w:rPr>
                <w:rFonts w:eastAsia="Times New Roman"/>
                <w:sz w:val="20"/>
                <w:szCs w:val="20"/>
              </w:rPr>
            </w:pPr>
          </w:p>
        </w:tc>
        <w:tc>
          <w:tcPr>
            <w:tcW w:w="5075" w:type="dxa"/>
            <w:vAlign w:val="center"/>
            <w:hideMark/>
          </w:tcPr>
          <w:p w:rsidR="00000000" w:rsidRDefault="0061405A">
            <w:pPr>
              <w:rPr>
                <w:rFonts w:eastAsia="Times New Roman"/>
                <w:sz w:val="20"/>
                <w:szCs w:val="20"/>
              </w:rPr>
            </w:pPr>
          </w:p>
        </w:tc>
        <w:tc>
          <w:tcPr>
            <w:tcW w:w="20" w:type="dxa"/>
            <w:vAlign w:val="center"/>
            <w:hideMark/>
          </w:tcPr>
          <w:p w:rsidR="00000000" w:rsidRDefault="0061405A">
            <w:pPr>
              <w:rPr>
                <w:rFonts w:eastAsia="Times New Roman"/>
                <w:sz w:val="20"/>
                <w:szCs w:val="20"/>
              </w:rPr>
            </w:pPr>
          </w:p>
        </w:tc>
      </w:tr>
      <w:tr w:rsidR="00000000">
        <w:trPr>
          <w:divId w:val="733042047"/>
          <w:trHeight w:val="300"/>
          <w:jc w:val="center"/>
        </w:trPr>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b/>
                <w:bCs/>
                <w:color w:val="000000"/>
                <w:sz w:val="20"/>
                <w:szCs w:val="20"/>
              </w:rPr>
              <w:t>NOODLES &amp; COMPANY</w:t>
            </w:r>
          </w:p>
        </w:tc>
      </w:tr>
      <w:tr w:rsidR="00000000">
        <w:trPr>
          <w:divId w:val="733042047"/>
          <w:trHeight w:val="300"/>
          <w:jc w:val="center"/>
        </w:trPr>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733042047"/>
          <w:trHeight w:val="300"/>
          <w:jc w:val="center"/>
        </w:trPr>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By: /s/ DAVE BOENNIGHAUSEN</w:t>
            </w:r>
          </w:p>
        </w:tc>
      </w:tr>
      <w:tr w:rsidR="00000000">
        <w:trPr>
          <w:divId w:val="733042047"/>
          <w:trHeight w:val="300"/>
          <w:jc w:val="center"/>
        </w:trPr>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405A">
            <w:pPr>
              <w:rPr>
                <w:rFonts w:eastAsia="Times New Roman"/>
              </w:rPr>
            </w:pPr>
            <w:r>
              <w:rPr>
                <w:rFonts w:eastAsia="Times New Roman"/>
                <w:color w:val="000000"/>
                <w:sz w:val="20"/>
                <w:szCs w:val="20"/>
              </w:rPr>
              <w:t>Dave Boennighausen</w:t>
            </w:r>
          </w:p>
        </w:tc>
      </w:tr>
      <w:tr w:rsidR="00000000">
        <w:trPr>
          <w:divId w:val="733042047"/>
          <w:trHeight w:val="300"/>
          <w:jc w:val="center"/>
        </w:trPr>
        <w:tc>
          <w:tcPr>
            <w:tcW w:w="0" w:type="auto"/>
            <w:gridSpan w:val="3"/>
            <w:tcMar>
              <w:top w:w="0" w:type="dxa"/>
              <w:left w:w="20" w:type="dxa"/>
              <w:bottom w:w="0" w:type="dxa"/>
              <w:right w:w="20" w:type="dxa"/>
            </w:tcMar>
            <w:vAlign w:val="center"/>
            <w:hideMark/>
          </w:tcPr>
          <w:p w:rsidR="00000000" w:rsidRDefault="0061405A">
            <w:pPr>
              <w:rPr>
                <w:rFonts w:eastAsia="Times New Roman"/>
              </w:rPr>
            </w:pPr>
          </w:p>
        </w:tc>
        <w:tc>
          <w:tcPr>
            <w:tcW w:w="0" w:type="auto"/>
            <w:gridSpan w:val="3"/>
            <w:tcMar>
              <w:top w:w="30" w:type="dxa"/>
              <w:left w:w="20" w:type="dxa"/>
              <w:bottom w:w="30" w:type="dxa"/>
              <w:right w:w="20" w:type="dxa"/>
            </w:tcMar>
            <w:vAlign w:val="bottom"/>
            <w:hideMark/>
          </w:tcPr>
          <w:p w:rsidR="00000000" w:rsidRDefault="0061405A">
            <w:pPr>
              <w:rPr>
                <w:rFonts w:eastAsia="Times New Roman"/>
              </w:rPr>
            </w:pPr>
            <w:r>
              <w:rPr>
                <w:rFonts w:eastAsia="Times New Roman"/>
                <w:i/>
                <w:iCs/>
                <w:color w:val="000000"/>
                <w:sz w:val="20"/>
                <w:szCs w:val="20"/>
              </w:rPr>
              <w:t>Chief Executive Officer</w:t>
            </w:r>
          </w:p>
        </w:tc>
      </w:tr>
    </w:tbl>
    <w:p w:rsidR="00000000" w:rsidRDefault="0061405A">
      <w:pPr>
        <w:jc w:val="center"/>
        <w:rPr>
          <w:rFonts w:eastAsia="Times New Roman"/>
        </w:rPr>
      </w:pPr>
    </w:p>
    <w:p w:rsidR="00000000" w:rsidRDefault="0061405A">
      <w:pPr>
        <w:jc w:val="center"/>
        <w:rPr>
          <w:rFonts w:eastAsia="Times New Roman"/>
        </w:rPr>
      </w:pPr>
      <w:r>
        <w:rPr>
          <w:rFonts w:eastAsia="Times New Roman"/>
          <w:b/>
          <w:bCs/>
          <w:color w:val="000000"/>
          <w:sz w:val="20"/>
          <w:szCs w:val="20"/>
        </w:rPr>
        <w:t>POWER OF ATTORNEY</w:t>
      </w:r>
    </w:p>
    <w:p w:rsidR="00000000" w:rsidRDefault="0061405A">
      <w:pPr>
        <w:jc w:val="center"/>
        <w:rPr>
          <w:rFonts w:eastAsia="Times New Roman"/>
        </w:rPr>
      </w:pPr>
    </w:p>
    <w:p w:rsidR="00000000" w:rsidRDefault="0061405A">
      <w:pPr>
        <w:jc w:val="both"/>
        <w:rPr>
          <w:rFonts w:eastAsia="Times New Roman"/>
        </w:rPr>
      </w:pPr>
      <w:r>
        <w:rPr>
          <w:rFonts w:eastAsia="Times New Roman"/>
          <w:color w:val="000000"/>
          <w:sz w:val="20"/>
          <w:szCs w:val="20"/>
        </w:rPr>
        <w:t>Know all persons by these presents, that each person whose signature appears below constitutes and appoints Dave Boennighausen or Melissa M. Heidman, or any of them, as such person’s true and lawful attorney-in-fact and agent, with full power of substituti</w:t>
      </w:r>
      <w:r>
        <w:rPr>
          <w:rFonts w:eastAsia="Times New Roman"/>
          <w:color w:val="000000"/>
          <w:sz w:val="20"/>
          <w:szCs w:val="20"/>
        </w:rPr>
        <w:t xml:space="preserve">on and resubstitution, for such person and in such person’s name, place and stead, in any and all capacities, to sign any and all amendments to this Report, and to file the same, with all exhibits thereto, and other documents in connection therewith, with </w:t>
      </w:r>
      <w:r>
        <w:rPr>
          <w:rFonts w:eastAsia="Times New Roman"/>
          <w:color w:val="000000"/>
          <w:sz w:val="20"/>
          <w:szCs w:val="20"/>
        </w:rPr>
        <w:t>the Securities and Exchange Commission, granting unto said attorney-in-fact and agent, and each of them, full power and authority to do and perform each and every act and thing requisite and necessary to be done in connection therewith, as fully to all int</w:t>
      </w:r>
      <w:r>
        <w:rPr>
          <w:rFonts w:eastAsia="Times New Roman"/>
          <w:color w:val="000000"/>
          <w:sz w:val="20"/>
          <w:szCs w:val="20"/>
        </w:rPr>
        <w:t>ents and purposes as such person might or could do in person, hereby ratifying and confirming all that said attorney-in-fact and agent, or any of them or their or such person’s substitute or substitutes, may lawfully do or cause to be done by virtue thereo</w:t>
      </w:r>
      <w:r>
        <w:rPr>
          <w:rFonts w:eastAsia="Times New Roman"/>
          <w:color w:val="000000"/>
          <w:sz w:val="20"/>
          <w:szCs w:val="20"/>
        </w:rPr>
        <w:t>f.</w:t>
      </w:r>
    </w:p>
    <w:p w:rsidR="00000000" w:rsidRDefault="0061405A">
      <w:pPr>
        <w:jc w:val="both"/>
        <w:rPr>
          <w:rFonts w:eastAsia="Times New Roman"/>
        </w:rPr>
      </w:pPr>
    </w:p>
    <w:p w:rsidR="00000000" w:rsidRDefault="0061405A">
      <w:pPr>
        <w:jc w:val="both"/>
        <w:divId w:val="291178051"/>
        <w:rPr>
          <w:rFonts w:eastAsia="Times New Roman"/>
        </w:rPr>
      </w:pPr>
      <w:r>
        <w:rPr>
          <w:rFonts w:eastAsia="Times New Roman"/>
          <w:color w:val="000000"/>
          <w:sz w:val="20"/>
          <w:szCs w:val="20"/>
        </w:rPr>
        <w:t>Pursuant to the requirements of the Securities Act of 1934, this report has been signed below by the following persons on behalf of the registrant and in the capacities and on the dates indicated.</w:t>
      </w:r>
    </w:p>
    <w:p w:rsidR="00000000" w:rsidRDefault="0061405A">
      <w:pPr>
        <w:jc w:val="center"/>
        <w:divId w:val="875237940"/>
        <w:rPr>
          <w:rFonts w:eastAsia="Times New Roman"/>
        </w:rPr>
      </w:pPr>
      <w:r>
        <w:rPr>
          <w:rFonts w:eastAsia="Times New Roman"/>
          <w:color w:val="000000"/>
          <w:sz w:val="20"/>
          <w:szCs w:val="20"/>
        </w:rPr>
        <w:t>83</w:t>
      </w:r>
    </w:p>
    <w:p w:rsidR="00000000" w:rsidRDefault="0061405A">
      <w:pPr>
        <w:rPr>
          <w:rFonts w:eastAsia="Times New Roman"/>
        </w:rPr>
      </w:pPr>
      <w:r>
        <w:rPr>
          <w:rFonts w:eastAsia="Times New Roman"/>
        </w:rPr>
        <w:pict>
          <v:rect id="_x0000_i1110" style="width:0;height:1.5pt" o:hralign="center" o:hrstd="t" o:hr="t" fillcolor="#a0a0a0" stroked="f"/>
        </w:pict>
      </w:r>
    </w:p>
    <w:p w:rsidR="00000000" w:rsidRDefault="0061405A">
      <w:pPr>
        <w:divId w:val="60451789"/>
        <w:rPr>
          <w:rFonts w:eastAsia="Times New Roman"/>
        </w:rPr>
      </w:pPr>
      <w:hyperlink w:anchor="i8677812f4896441ea668decd267056f9_7" w:history="1">
        <w:r>
          <w:rPr>
            <w:rStyle w:val="a3"/>
            <w:rFonts w:eastAsia="Times New Roman"/>
            <w:sz w:val="20"/>
            <w:szCs w:val="20"/>
          </w:rPr>
          <w:t>Table of Contents</w:t>
        </w:r>
      </w:hyperlink>
      <w:r>
        <w:rPr>
          <w:rFonts w:eastAsia="Times New Roman"/>
          <w:b/>
          <w:bCs/>
          <w:color w:val="000000"/>
          <w:sz w:val="20"/>
          <w:szCs w:val="20"/>
        </w:rPr>
        <w:t>                </w:t>
      </w:r>
    </w:p>
    <w:tbl>
      <w:tblPr>
        <w:tblW w:w="4992" w:type="pct"/>
        <w:jc w:val="center"/>
        <w:tblCellMar>
          <w:top w:w="15" w:type="dxa"/>
          <w:left w:w="15" w:type="dxa"/>
          <w:bottom w:w="15" w:type="dxa"/>
          <w:right w:w="15" w:type="dxa"/>
        </w:tblCellMar>
        <w:tblLook w:val="04A0" w:firstRow="1" w:lastRow="0" w:firstColumn="1" w:lastColumn="0" w:noHBand="0" w:noVBand="1"/>
      </w:tblPr>
      <w:tblGrid>
        <w:gridCol w:w="68"/>
        <w:gridCol w:w="2245"/>
        <w:gridCol w:w="36"/>
        <w:gridCol w:w="69"/>
        <w:gridCol w:w="4443"/>
        <w:gridCol w:w="37"/>
        <w:gridCol w:w="69"/>
        <w:gridCol w:w="1290"/>
        <w:gridCol w:w="36"/>
      </w:tblGrid>
      <w:tr w:rsidR="00000000">
        <w:trPr>
          <w:divId w:val="1738628757"/>
          <w:jc w:val="center"/>
        </w:trPr>
        <w:tc>
          <w:tcPr>
            <w:tcW w:w="50" w:type="pct"/>
            <w:vAlign w:val="center"/>
            <w:hideMark/>
          </w:tcPr>
          <w:p w:rsidR="00000000" w:rsidRDefault="0061405A">
            <w:pPr>
              <w:rPr>
                <w:rFonts w:eastAsia="Times New Roman"/>
              </w:rPr>
            </w:pPr>
          </w:p>
        </w:tc>
        <w:tc>
          <w:tcPr>
            <w:tcW w:w="1362"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2686"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c>
          <w:tcPr>
            <w:tcW w:w="50" w:type="pct"/>
            <w:vAlign w:val="center"/>
            <w:hideMark/>
          </w:tcPr>
          <w:p w:rsidR="00000000" w:rsidRDefault="0061405A">
            <w:pPr>
              <w:rPr>
                <w:rFonts w:eastAsia="Times New Roman"/>
                <w:sz w:val="20"/>
                <w:szCs w:val="20"/>
              </w:rPr>
            </w:pPr>
          </w:p>
        </w:tc>
        <w:tc>
          <w:tcPr>
            <w:tcW w:w="786" w:type="pct"/>
            <w:vAlign w:val="center"/>
            <w:hideMark/>
          </w:tcPr>
          <w:p w:rsidR="00000000" w:rsidRDefault="0061405A">
            <w:pPr>
              <w:rPr>
                <w:rFonts w:eastAsia="Times New Roman"/>
                <w:sz w:val="20"/>
                <w:szCs w:val="20"/>
              </w:rPr>
            </w:pPr>
          </w:p>
        </w:tc>
        <w:tc>
          <w:tcPr>
            <w:tcW w:w="5" w:type="pct"/>
            <w:vAlign w:val="center"/>
            <w:hideMark/>
          </w:tcPr>
          <w:p w:rsidR="00000000" w:rsidRDefault="0061405A">
            <w:pPr>
              <w:rPr>
                <w:rFonts w:eastAsia="Times New Roman"/>
                <w:sz w:val="20"/>
                <w:szCs w:val="20"/>
              </w:rPr>
            </w:pPr>
          </w:p>
        </w:tc>
      </w:tr>
      <w:tr w:rsidR="00000000">
        <w:trPr>
          <w:divId w:val="1738628757"/>
          <w:jc w:val="center"/>
        </w:trPr>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20"/>
                <w:szCs w:val="20"/>
                <w:u w:val="single"/>
              </w:rPr>
              <w:t>Signature</w:t>
            </w: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20"/>
                <w:szCs w:val="20"/>
                <w:u w:val="single"/>
              </w:rPr>
              <w:t>Title</w:t>
            </w: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b/>
                <w:bCs/>
                <w:color w:val="000000"/>
                <w:sz w:val="20"/>
                <w:szCs w:val="20"/>
                <w:u w:val="single"/>
              </w:rPr>
              <w:t>Date</w:t>
            </w:r>
          </w:p>
        </w:tc>
      </w:tr>
      <w:tr w:rsidR="00000000">
        <w:trPr>
          <w:divId w:val="1738628757"/>
          <w:jc w:val="center"/>
        </w:trPr>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color w:val="000000"/>
                <w:sz w:val="20"/>
                <w:szCs w:val="20"/>
              </w:rPr>
              <w:t>/s/ DAVE BOENNIGHAUSEN</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1738628757"/>
          <w:jc w:val="center"/>
        </w:trPr>
        <w:tc>
          <w:tcPr>
            <w:tcW w:w="0" w:type="auto"/>
            <w:gridSpan w:val="3"/>
            <w:tcBorders>
              <w:top w:val="single" w:sz="8" w:space="0" w:color="000000"/>
            </w:tcBorders>
            <w:tcMar>
              <w:top w:w="30" w:type="dxa"/>
              <w:left w:w="20" w:type="dxa"/>
              <w:bottom w:w="30" w:type="dxa"/>
              <w:right w:w="20" w:type="dxa"/>
            </w:tcMar>
            <w:hideMark/>
          </w:tcPr>
          <w:p w:rsidR="00000000" w:rsidRDefault="0061405A">
            <w:pPr>
              <w:jc w:val="center"/>
              <w:rPr>
                <w:rFonts w:eastAsia="Times New Roman"/>
              </w:rPr>
            </w:pPr>
            <w:r>
              <w:rPr>
                <w:rFonts w:eastAsia="Times New Roman"/>
                <w:color w:val="000000"/>
                <w:sz w:val="20"/>
                <w:szCs w:val="20"/>
              </w:rPr>
              <w:t>Dave Boennighausen</w:t>
            </w:r>
          </w:p>
        </w:tc>
        <w:tc>
          <w:tcPr>
            <w:tcW w:w="0" w:type="auto"/>
            <w:gridSpan w:val="3"/>
            <w:tcMar>
              <w:top w:w="30" w:type="dxa"/>
              <w:left w:w="20" w:type="dxa"/>
              <w:bottom w:w="30" w:type="dxa"/>
              <w:right w:w="20" w:type="dxa"/>
            </w:tcMar>
            <w:hideMark/>
          </w:tcPr>
          <w:p w:rsidR="00000000" w:rsidRDefault="0061405A">
            <w:pPr>
              <w:jc w:val="center"/>
              <w:rPr>
                <w:rFonts w:eastAsia="Times New Roman"/>
              </w:rPr>
            </w:pPr>
            <w:r>
              <w:rPr>
                <w:rFonts w:eastAsia="Times New Roman"/>
                <w:color w:val="000000"/>
                <w:sz w:val="20"/>
                <w:szCs w:val="20"/>
              </w:rPr>
              <w:t>Director, Chief Executive Officer</w:t>
            </w:r>
          </w:p>
          <w:p w:rsidR="00000000" w:rsidRDefault="0061405A">
            <w:pPr>
              <w:jc w:val="center"/>
              <w:rPr>
                <w:rFonts w:eastAsia="Times New Roman"/>
              </w:rPr>
            </w:pPr>
            <w:r>
              <w:rPr>
                <w:rFonts w:eastAsia="Times New Roman"/>
                <w:i/>
                <w:iCs/>
                <w:color w:val="000000"/>
                <w:sz w:val="20"/>
                <w:szCs w:val="20"/>
              </w:rPr>
              <w:t>(principal executive officer)</w:t>
            </w:r>
          </w:p>
        </w:tc>
        <w:tc>
          <w:tcPr>
            <w:tcW w:w="0" w:type="auto"/>
            <w:gridSpan w:val="3"/>
            <w:tcMar>
              <w:top w:w="30" w:type="dxa"/>
              <w:left w:w="20" w:type="dxa"/>
              <w:bottom w:w="30" w:type="dxa"/>
              <w:right w:w="20" w:type="dxa"/>
            </w:tcMar>
            <w:hideMark/>
          </w:tcPr>
          <w:p w:rsidR="00000000" w:rsidRDefault="0061405A">
            <w:pPr>
              <w:jc w:val="center"/>
              <w:rPr>
                <w:rFonts w:eastAsia="Times New Roman"/>
              </w:rPr>
            </w:pPr>
            <w:r>
              <w:rPr>
                <w:rFonts w:eastAsia="Times New Roman"/>
                <w:color w:val="000000"/>
                <w:sz w:val="20"/>
                <w:szCs w:val="20"/>
              </w:rPr>
              <w:t>February 26, 2021</w:t>
            </w:r>
          </w:p>
        </w:tc>
      </w:tr>
      <w:tr w:rsidR="00000000">
        <w:trPr>
          <w:divId w:val="1738628757"/>
          <w:jc w:val="center"/>
        </w:trPr>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color w:val="000000"/>
                <w:sz w:val="20"/>
                <w:szCs w:val="20"/>
              </w:rPr>
              <w:t>/s/ CARL LUKACH</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1738628757"/>
          <w:jc w:val="center"/>
        </w:trPr>
        <w:tc>
          <w:tcPr>
            <w:tcW w:w="0" w:type="auto"/>
            <w:gridSpan w:val="3"/>
            <w:tcBorders>
              <w:top w:val="single" w:sz="8" w:space="0" w:color="000000"/>
            </w:tcBorders>
            <w:tcMar>
              <w:top w:w="30" w:type="dxa"/>
              <w:left w:w="20" w:type="dxa"/>
              <w:bottom w:w="30" w:type="dxa"/>
              <w:right w:w="20" w:type="dxa"/>
            </w:tcMar>
            <w:hideMark/>
          </w:tcPr>
          <w:p w:rsidR="00000000" w:rsidRDefault="0061405A">
            <w:pPr>
              <w:jc w:val="center"/>
              <w:rPr>
                <w:rFonts w:eastAsia="Times New Roman"/>
              </w:rPr>
            </w:pPr>
            <w:r>
              <w:rPr>
                <w:rFonts w:eastAsia="Times New Roman"/>
                <w:color w:val="000000"/>
                <w:sz w:val="20"/>
                <w:szCs w:val="20"/>
              </w:rPr>
              <w:t>Carl Lukach</w:t>
            </w:r>
          </w:p>
        </w:tc>
        <w:tc>
          <w:tcPr>
            <w:tcW w:w="0" w:type="auto"/>
            <w:gridSpan w:val="3"/>
            <w:tcMar>
              <w:top w:w="30" w:type="dxa"/>
              <w:left w:w="20" w:type="dxa"/>
              <w:bottom w:w="30" w:type="dxa"/>
              <w:right w:w="20" w:type="dxa"/>
            </w:tcMar>
            <w:hideMark/>
          </w:tcPr>
          <w:p w:rsidR="00000000" w:rsidRDefault="0061405A">
            <w:pPr>
              <w:jc w:val="center"/>
              <w:rPr>
                <w:rFonts w:eastAsia="Times New Roman"/>
              </w:rPr>
            </w:pPr>
            <w:r>
              <w:rPr>
                <w:rFonts w:eastAsia="Times New Roman"/>
                <w:color w:val="000000"/>
                <w:sz w:val="20"/>
                <w:szCs w:val="20"/>
              </w:rPr>
              <w:t>Chief Financial Officer</w:t>
            </w:r>
          </w:p>
          <w:p w:rsidR="00000000" w:rsidRDefault="0061405A">
            <w:pPr>
              <w:jc w:val="center"/>
              <w:rPr>
                <w:rFonts w:eastAsia="Times New Roman"/>
              </w:rPr>
            </w:pPr>
            <w:r>
              <w:rPr>
                <w:rFonts w:eastAsia="Times New Roman"/>
                <w:i/>
                <w:iCs/>
                <w:color w:val="000000"/>
                <w:sz w:val="20"/>
                <w:szCs w:val="20"/>
              </w:rPr>
              <w:t>(principal financial officer)</w:t>
            </w:r>
          </w:p>
        </w:tc>
        <w:tc>
          <w:tcPr>
            <w:tcW w:w="0" w:type="auto"/>
            <w:gridSpan w:val="3"/>
            <w:tcMar>
              <w:top w:w="30" w:type="dxa"/>
              <w:left w:w="20" w:type="dxa"/>
              <w:bottom w:w="30" w:type="dxa"/>
              <w:right w:w="20" w:type="dxa"/>
            </w:tcMar>
            <w:hideMark/>
          </w:tcPr>
          <w:p w:rsidR="00000000" w:rsidRDefault="0061405A">
            <w:pPr>
              <w:jc w:val="center"/>
              <w:rPr>
                <w:rFonts w:eastAsia="Times New Roman"/>
              </w:rPr>
            </w:pPr>
            <w:r>
              <w:rPr>
                <w:rFonts w:eastAsia="Times New Roman"/>
                <w:color w:val="000000"/>
                <w:sz w:val="20"/>
                <w:szCs w:val="20"/>
              </w:rPr>
              <w:t>February 26, 2021</w:t>
            </w:r>
          </w:p>
        </w:tc>
      </w:tr>
      <w:tr w:rsidR="00000000">
        <w:trPr>
          <w:divId w:val="1738628757"/>
          <w:jc w:val="center"/>
        </w:trPr>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color w:val="000000"/>
                <w:sz w:val="20"/>
                <w:szCs w:val="20"/>
              </w:rPr>
              <w:t>/s/ KATHY LOCKHART</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1738628757"/>
          <w:jc w:val="center"/>
        </w:trPr>
        <w:tc>
          <w:tcPr>
            <w:tcW w:w="0" w:type="auto"/>
            <w:gridSpan w:val="3"/>
            <w:tcBorders>
              <w:top w:val="single" w:sz="8" w:space="0" w:color="000000"/>
            </w:tcBorders>
            <w:tcMar>
              <w:top w:w="30" w:type="dxa"/>
              <w:left w:w="20" w:type="dxa"/>
              <w:bottom w:w="30" w:type="dxa"/>
              <w:right w:w="20" w:type="dxa"/>
            </w:tcMar>
            <w:hideMark/>
          </w:tcPr>
          <w:p w:rsidR="00000000" w:rsidRDefault="0061405A">
            <w:pPr>
              <w:jc w:val="center"/>
              <w:rPr>
                <w:rFonts w:eastAsia="Times New Roman"/>
              </w:rPr>
            </w:pPr>
            <w:r>
              <w:rPr>
                <w:rFonts w:eastAsia="Times New Roman"/>
                <w:color w:val="000000"/>
                <w:sz w:val="20"/>
                <w:szCs w:val="20"/>
              </w:rPr>
              <w:t>Kathy Lockhart</w:t>
            </w:r>
          </w:p>
        </w:tc>
        <w:tc>
          <w:tcPr>
            <w:tcW w:w="0" w:type="auto"/>
            <w:gridSpan w:val="3"/>
            <w:tcMar>
              <w:top w:w="30" w:type="dxa"/>
              <w:left w:w="20" w:type="dxa"/>
              <w:bottom w:w="30" w:type="dxa"/>
              <w:right w:w="20" w:type="dxa"/>
            </w:tcMar>
            <w:hideMark/>
          </w:tcPr>
          <w:p w:rsidR="00000000" w:rsidRDefault="0061405A">
            <w:pPr>
              <w:jc w:val="center"/>
              <w:rPr>
                <w:rFonts w:eastAsia="Times New Roman"/>
              </w:rPr>
            </w:pPr>
            <w:r>
              <w:rPr>
                <w:rFonts w:eastAsia="Times New Roman"/>
                <w:color w:val="000000"/>
                <w:sz w:val="20"/>
                <w:szCs w:val="20"/>
              </w:rPr>
              <w:t>Vice President and Chief Accounting Officer</w:t>
            </w:r>
          </w:p>
          <w:p w:rsidR="00000000" w:rsidRDefault="0061405A">
            <w:pPr>
              <w:jc w:val="center"/>
              <w:rPr>
                <w:rFonts w:eastAsia="Times New Roman"/>
              </w:rPr>
            </w:pPr>
            <w:r>
              <w:rPr>
                <w:rFonts w:eastAsia="Times New Roman"/>
                <w:i/>
                <w:iCs/>
                <w:color w:val="000000"/>
                <w:sz w:val="20"/>
                <w:szCs w:val="20"/>
              </w:rPr>
              <w:t>(principal accounting officer)</w:t>
            </w:r>
          </w:p>
        </w:tc>
        <w:tc>
          <w:tcPr>
            <w:tcW w:w="0" w:type="auto"/>
            <w:gridSpan w:val="3"/>
            <w:tcMar>
              <w:top w:w="30" w:type="dxa"/>
              <w:left w:w="20" w:type="dxa"/>
              <w:bottom w:w="30" w:type="dxa"/>
              <w:right w:w="20" w:type="dxa"/>
            </w:tcMar>
            <w:hideMark/>
          </w:tcPr>
          <w:p w:rsidR="00000000" w:rsidRDefault="0061405A">
            <w:pPr>
              <w:jc w:val="center"/>
              <w:rPr>
                <w:rFonts w:eastAsia="Times New Roman"/>
              </w:rPr>
            </w:pPr>
            <w:r>
              <w:rPr>
                <w:rFonts w:eastAsia="Times New Roman"/>
                <w:color w:val="000000"/>
                <w:sz w:val="20"/>
                <w:szCs w:val="20"/>
              </w:rPr>
              <w:t>February 26, 2021</w:t>
            </w:r>
          </w:p>
        </w:tc>
      </w:tr>
      <w:tr w:rsidR="00000000">
        <w:trPr>
          <w:divId w:val="1738628757"/>
          <w:jc w:val="center"/>
        </w:trPr>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color w:val="000000"/>
                <w:sz w:val="20"/>
                <w:szCs w:val="20"/>
              </w:rPr>
              <w:t>/s/ JEFFREY JONES</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1738628757"/>
          <w:jc w:val="center"/>
        </w:trPr>
        <w:tc>
          <w:tcPr>
            <w:tcW w:w="0" w:type="auto"/>
            <w:gridSpan w:val="3"/>
            <w:tcBorders>
              <w:top w:val="single" w:sz="8" w:space="0" w:color="000000"/>
            </w:tcBorders>
            <w:tcMar>
              <w:top w:w="30" w:type="dxa"/>
              <w:left w:w="20" w:type="dxa"/>
              <w:bottom w:w="30" w:type="dxa"/>
              <w:right w:w="20" w:type="dxa"/>
            </w:tcMar>
            <w:hideMark/>
          </w:tcPr>
          <w:p w:rsidR="00000000" w:rsidRDefault="0061405A">
            <w:pPr>
              <w:jc w:val="center"/>
              <w:rPr>
                <w:rFonts w:eastAsia="Times New Roman"/>
              </w:rPr>
            </w:pPr>
            <w:r>
              <w:rPr>
                <w:rFonts w:eastAsia="Times New Roman"/>
                <w:color w:val="000000"/>
                <w:sz w:val="20"/>
                <w:szCs w:val="20"/>
              </w:rPr>
              <w:t>Jeffrey Jones</w:t>
            </w:r>
          </w:p>
        </w:tc>
        <w:tc>
          <w:tcPr>
            <w:tcW w:w="0" w:type="auto"/>
            <w:gridSpan w:val="3"/>
            <w:tcMar>
              <w:top w:w="30" w:type="dxa"/>
              <w:left w:w="20" w:type="dxa"/>
              <w:bottom w:w="30" w:type="dxa"/>
              <w:right w:w="20" w:type="dxa"/>
            </w:tcMar>
            <w:hideMark/>
          </w:tcPr>
          <w:p w:rsidR="00000000" w:rsidRDefault="0061405A">
            <w:pPr>
              <w:jc w:val="center"/>
              <w:rPr>
                <w:rFonts w:eastAsia="Times New Roman"/>
              </w:rPr>
            </w:pPr>
            <w:r>
              <w:rPr>
                <w:rFonts w:eastAsia="Times New Roman"/>
                <w:color w:val="000000"/>
                <w:sz w:val="20"/>
                <w:szCs w:val="20"/>
              </w:rPr>
              <w:t>Chairman</w:t>
            </w:r>
          </w:p>
        </w:tc>
        <w:tc>
          <w:tcPr>
            <w:tcW w:w="0" w:type="auto"/>
            <w:gridSpan w:val="3"/>
            <w:tcMar>
              <w:top w:w="30" w:type="dxa"/>
              <w:left w:w="20" w:type="dxa"/>
              <w:bottom w:w="30" w:type="dxa"/>
              <w:right w:w="20" w:type="dxa"/>
            </w:tcMar>
            <w:hideMark/>
          </w:tcPr>
          <w:p w:rsidR="00000000" w:rsidRDefault="0061405A">
            <w:pPr>
              <w:jc w:val="center"/>
              <w:rPr>
                <w:rFonts w:eastAsia="Times New Roman"/>
              </w:rPr>
            </w:pPr>
            <w:r>
              <w:rPr>
                <w:rFonts w:eastAsia="Times New Roman"/>
                <w:color w:val="000000"/>
                <w:sz w:val="20"/>
                <w:szCs w:val="20"/>
              </w:rPr>
              <w:t>February 26, 2021</w:t>
            </w:r>
          </w:p>
        </w:tc>
      </w:tr>
      <w:tr w:rsidR="00000000">
        <w:trPr>
          <w:divId w:val="1738628757"/>
          <w:jc w:val="center"/>
        </w:trPr>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color w:val="000000"/>
                <w:sz w:val="20"/>
                <w:szCs w:val="20"/>
              </w:rPr>
              <w:t>/s/ ROBERT HARTNETT</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1738628757"/>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color w:val="000000"/>
                <w:sz w:val="20"/>
                <w:szCs w:val="20"/>
              </w:rPr>
              <w:t>Robert Hartnett</w:t>
            </w: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hideMark/>
          </w:tcPr>
          <w:p w:rsidR="00000000" w:rsidRDefault="0061405A">
            <w:pPr>
              <w:jc w:val="center"/>
              <w:rPr>
                <w:rFonts w:eastAsia="Times New Roman"/>
              </w:rPr>
            </w:pPr>
            <w:r>
              <w:rPr>
                <w:rFonts w:eastAsia="Times New Roman"/>
                <w:color w:val="000000"/>
                <w:sz w:val="20"/>
                <w:szCs w:val="20"/>
              </w:rPr>
              <w:t>February 26, 2021</w:t>
            </w:r>
          </w:p>
        </w:tc>
      </w:tr>
      <w:tr w:rsidR="00000000">
        <w:trPr>
          <w:divId w:val="1738628757"/>
          <w:jc w:val="center"/>
        </w:trPr>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color w:val="000000"/>
                <w:sz w:val="20"/>
                <w:szCs w:val="20"/>
              </w:rPr>
              <w:t>/s/ MARY EGAN</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1738628757"/>
          <w:jc w:val="center"/>
        </w:trPr>
        <w:tc>
          <w:tcPr>
            <w:tcW w:w="0" w:type="auto"/>
            <w:gridSpan w:val="3"/>
            <w:tcBorders>
              <w:top w:val="single" w:sz="8" w:space="0" w:color="000000"/>
            </w:tcBorders>
            <w:tcMar>
              <w:top w:w="30" w:type="dxa"/>
              <w:left w:w="20" w:type="dxa"/>
              <w:bottom w:w="30" w:type="dxa"/>
              <w:right w:w="20" w:type="dxa"/>
            </w:tcMar>
            <w:hideMark/>
          </w:tcPr>
          <w:p w:rsidR="00000000" w:rsidRDefault="0061405A">
            <w:pPr>
              <w:jc w:val="center"/>
              <w:rPr>
                <w:rFonts w:eastAsia="Times New Roman"/>
              </w:rPr>
            </w:pPr>
            <w:r>
              <w:rPr>
                <w:rFonts w:eastAsia="Times New Roman"/>
                <w:color w:val="000000"/>
                <w:sz w:val="20"/>
                <w:szCs w:val="20"/>
              </w:rPr>
              <w:t>Mary Egan</w:t>
            </w:r>
          </w:p>
        </w:tc>
        <w:tc>
          <w:tcPr>
            <w:tcW w:w="0" w:type="auto"/>
            <w:gridSpan w:val="3"/>
            <w:tcMar>
              <w:top w:w="30" w:type="dxa"/>
              <w:left w:w="20" w:type="dxa"/>
              <w:bottom w:w="30" w:type="dxa"/>
              <w:right w:w="20" w:type="dxa"/>
            </w:tcMar>
            <w:hideMark/>
          </w:tcPr>
          <w:p w:rsidR="00000000" w:rsidRDefault="0061405A">
            <w:pPr>
              <w:jc w:val="center"/>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hideMark/>
          </w:tcPr>
          <w:p w:rsidR="00000000" w:rsidRDefault="0061405A">
            <w:pPr>
              <w:jc w:val="center"/>
              <w:rPr>
                <w:rFonts w:eastAsia="Times New Roman"/>
              </w:rPr>
            </w:pPr>
            <w:r>
              <w:rPr>
                <w:rFonts w:eastAsia="Times New Roman"/>
                <w:color w:val="000000"/>
                <w:sz w:val="20"/>
                <w:szCs w:val="20"/>
              </w:rPr>
              <w:t>February 26, 2021</w:t>
            </w:r>
          </w:p>
        </w:tc>
      </w:tr>
      <w:tr w:rsidR="00000000">
        <w:trPr>
          <w:divId w:val="1738628757"/>
          <w:jc w:val="center"/>
        </w:trPr>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color w:val="000000"/>
                <w:sz w:val="20"/>
                <w:szCs w:val="20"/>
              </w:rPr>
              <w:t>/s/ DREW MADSEN</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1738628757"/>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color w:val="000000"/>
                <w:sz w:val="20"/>
                <w:szCs w:val="20"/>
              </w:rPr>
              <w:t>Drew Madsen</w:t>
            </w: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hideMark/>
          </w:tcPr>
          <w:p w:rsidR="00000000" w:rsidRDefault="0061405A">
            <w:pPr>
              <w:jc w:val="center"/>
              <w:rPr>
                <w:rFonts w:eastAsia="Times New Roman"/>
              </w:rPr>
            </w:pPr>
            <w:r>
              <w:rPr>
                <w:rFonts w:eastAsia="Times New Roman"/>
                <w:color w:val="000000"/>
                <w:sz w:val="20"/>
                <w:szCs w:val="20"/>
              </w:rPr>
              <w:t>February 26, 2021</w:t>
            </w:r>
          </w:p>
        </w:tc>
      </w:tr>
      <w:tr w:rsidR="00000000">
        <w:trPr>
          <w:divId w:val="1738628757"/>
          <w:jc w:val="center"/>
        </w:trPr>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color w:val="000000"/>
                <w:sz w:val="20"/>
                <w:szCs w:val="20"/>
              </w:rPr>
              <w:t>/s/ ELISA SCHREIBER</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1738628757"/>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color w:val="000000"/>
                <w:sz w:val="20"/>
                <w:szCs w:val="20"/>
              </w:rPr>
              <w:t>Elisa Schreiber</w:t>
            </w: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hideMark/>
          </w:tcPr>
          <w:p w:rsidR="00000000" w:rsidRDefault="0061405A">
            <w:pPr>
              <w:jc w:val="center"/>
              <w:rPr>
                <w:rFonts w:eastAsia="Times New Roman"/>
              </w:rPr>
            </w:pPr>
            <w:r>
              <w:rPr>
                <w:rFonts w:eastAsia="Times New Roman"/>
                <w:color w:val="000000"/>
                <w:sz w:val="20"/>
                <w:szCs w:val="20"/>
              </w:rPr>
              <w:t>February 26, 2021</w:t>
            </w:r>
          </w:p>
        </w:tc>
      </w:tr>
      <w:tr w:rsidR="00000000">
        <w:trPr>
          <w:divId w:val="1738628757"/>
          <w:jc w:val="center"/>
        </w:trPr>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color w:val="000000"/>
                <w:sz w:val="20"/>
                <w:szCs w:val="20"/>
              </w:rPr>
              <w:t>/s/ SHAWN TAYLOR</w:t>
            </w:r>
          </w:p>
        </w:tc>
        <w:tc>
          <w:tcPr>
            <w:tcW w:w="0" w:type="auto"/>
            <w:gridSpan w:val="3"/>
            <w:tcMar>
              <w:top w:w="0" w:type="dxa"/>
              <w:left w:w="20" w:type="dxa"/>
              <w:bottom w:w="0" w:type="dxa"/>
              <w:right w:w="20" w:type="dxa"/>
            </w:tcMar>
            <w:vAlign w:val="center"/>
            <w:hideMark/>
          </w:tcPr>
          <w:p w:rsidR="00000000" w:rsidRDefault="0061405A">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1405A">
            <w:pPr>
              <w:rPr>
                <w:rFonts w:eastAsia="Times New Roman"/>
                <w:sz w:val="20"/>
                <w:szCs w:val="20"/>
              </w:rPr>
            </w:pPr>
          </w:p>
        </w:tc>
      </w:tr>
      <w:tr w:rsidR="00000000">
        <w:trPr>
          <w:divId w:val="1738628757"/>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color w:val="000000"/>
                <w:sz w:val="20"/>
                <w:szCs w:val="20"/>
              </w:rPr>
              <w:t>Shawn Taylor</w:t>
            </w:r>
          </w:p>
        </w:tc>
        <w:tc>
          <w:tcPr>
            <w:tcW w:w="0" w:type="auto"/>
            <w:gridSpan w:val="3"/>
            <w:tcMar>
              <w:top w:w="30" w:type="dxa"/>
              <w:left w:w="20" w:type="dxa"/>
              <w:bottom w:w="30" w:type="dxa"/>
              <w:right w:w="20" w:type="dxa"/>
            </w:tcMar>
            <w:vAlign w:val="bottom"/>
            <w:hideMark/>
          </w:tcPr>
          <w:p w:rsidR="00000000" w:rsidRDefault="0061405A">
            <w:pPr>
              <w:jc w:val="center"/>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hideMark/>
          </w:tcPr>
          <w:p w:rsidR="00000000" w:rsidRDefault="0061405A">
            <w:pPr>
              <w:jc w:val="center"/>
              <w:rPr>
                <w:rFonts w:eastAsia="Times New Roman"/>
              </w:rPr>
            </w:pPr>
            <w:r>
              <w:rPr>
                <w:rFonts w:eastAsia="Times New Roman"/>
                <w:color w:val="000000"/>
                <w:sz w:val="20"/>
                <w:szCs w:val="20"/>
              </w:rPr>
              <w:t>February 26, 2021</w:t>
            </w:r>
          </w:p>
        </w:tc>
      </w:tr>
    </w:tbl>
    <w:p w:rsidR="0061405A" w:rsidRDefault="0061405A">
      <w:pPr>
        <w:jc w:val="center"/>
        <w:divId w:val="782041807"/>
        <w:rPr>
          <w:rFonts w:eastAsia="Times New Roman"/>
        </w:rPr>
      </w:pPr>
      <w:r>
        <w:rPr>
          <w:rFonts w:eastAsia="Times New Roman"/>
          <w:color w:val="000000"/>
          <w:sz w:val="20"/>
          <w:szCs w:val="20"/>
        </w:rPr>
        <w:t>84</w:t>
      </w:r>
    </w:p>
    <w:sectPr w:rsidR="0061405A">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1405A"/>
    <w:rsid w:val="0061405A"/>
  </w:rsids>
  <m:mathPr>
    <m:mathFont m:val="Cambria Math"/>
    <m:brkBin m:val="before"/>
    <m:brkBinSub m:val="--"/>
    <m:smallFrac m:val="0"/>
    <m:dispDef/>
    <m:lMargin m:val="0"/>
    <m:rMargin m:val="0"/>
    <m:defJc m:val="centerGroup"/>
    <m:wrapIndent m:val="1440"/>
    <m:intLim m:val="subSup"/>
    <m:naryLim m:val="undOvr"/>
  </m:mathPr>
  <w:attachedSchema w:val="http://fasb.org/srt/2020-01-31"/>
  <w:attachedSchema w:val="http://www.sec.gov/inlineXBRL/transformation/2015-08-31"/>
  <w:attachedSchema w:val="http://www.xbrl.org/2003/linkbase"/>
  <w:attachedSchema w:val="http://fasb.org/us-gaap/2020-01-31"/>
  <w:attachedSchema w:val="http://www.xbrl.org/inlineXBRL/transformation/2015-02-26"/>
  <w:attachedSchema w:val="http://xbrl.org/2006/xbrldi"/>
  <w:attachedSchema w:val="http://www.noodles.com/20201229"/>
  <w:attachedSchema w:val="http://www.xbrl.org/2013/inlineXBRL"/>
  <w:attachedSchema w:val="http://www.xbrl.org/2003/iso4217"/>
  <w:attachedSchema w:val="http://xbrl.sec.gov/dei/2020-01-31"/>
  <w:attachedSchema w:val="http://www.xbrl.org/2003/instance"/>
  <w:attachedSchema w:val="http://www.w3.org/1999/xlink"/>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903">
      <w:marLeft w:val="0"/>
      <w:marRight w:val="0"/>
      <w:marTop w:val="160"/>
      <w:marBottom w:val="160"/>
      <w:divBdr>
        <w:top w:val="none" w:sz="0" w:space="0" w:color="auto"/>
        <w:left w:val="none" w:sz="0" w:space="0" w:color="auto"/>
        <w:bottom w:val="none" w:sz="0" w:space="0" w:color="auto"/>
        <w:right w:val="none" w:sz="0" w:space="0" w:color="auto"/>
      </w:divBdr>
    </w:div>
    <w:div w:id="2711529">
      <w:marLeft w:val="0"/>
      <w:marRight w:val="0"/>
      <w:marTop w:val="0"/>
      <w:marBottom w:val="0"/>
      <w:divBdr>
        <w:top w:val="none" w:sz="0" w:space="0" w:color="auto"/>
        <w:left w:val="none" w:sz="0" w:space="0" w:color="auto"/>
        <w:bottom w:val="none" w:sz="0" w:space="0" w:color="auto"/>
        <w:right w:val="none" w:sz="0" w:space="0" w:color="auto"/>
      </w:divBdr>
      <w:divsChild>
        <w:div w:id="1561558568">
          <w:marLeft w:val="0"/>
          <w:marRight w:val="0"/>
          <w:marTop w:val="160"/>
          <w:marBottom w:val="160"/>
          <w:divBdr>
            <w:top w:val="none" w:sz="0" w:space="0" w:color="auto"/>
            <w:left w:val="none" w:sz="0" w:space="0" w:color="auto"/>
            <w:bottom w:val="none" w:sz="0" w:space="0" w:color="auto"/>
            <w:right w:val="none" w:sz="0" w:space="0" w:color="auto"/>
          </w:divBdr>
        </w:div>
      </w:divsChild>
    </w:div>
    <w:div w:id="4593982">
      <w:marLeft w:val="0"/>
      <w:marRight w:val="0"/>
      <w:marTop w:val="60"/>
      <w:marBottom w:val="60"/>
      <w:divBdr>
        <w:top w:val="none" w:sz="0" w:space="0" w:color="auto"/>
        <w:left w:val="none" w:sz="0" w:space="0" w:color="auto"/>
        <w:bottom w:val="none" w:sz="0" w:space="0" w:color="auto"/>
        <w:right w:val="none" w:sz="0" w:space="0" w:color="auto"/>
      </w:divBdr>
    </w:div>
    <w:div w:id="7025561">
      <w:marLeft w:val="0"/>
      <w:marRight w:val="0"/>
      <w:marTop w:val="0"/>
      <w:marBottom w:val="0"/>
      <w:divBdr>
        <w:top w:val="none" w:sz="0" w:space="0" w:color="auto"/>
        <w:left w:val="none" w:sz="0" w:space="0" w:color="auto"/>
        <w:bottom w:val="none" w:sz="0" w:space="0" w:color="auto"/>
        <w:right w:val="none" w:sz="0" w:space="0" w:color="auto"/>
      </w:divBdr>
    </w:div>
    <w:div w:id="11534411">
      <w:marLeft w:val="0"/>
      <w:marRight w:val="0"/>
      <w:marTop w:val="0"/>
      <w:marBottom w:val="240"/>
      <w:divBdr>
        <w:top w:val="none" w:sz="0" w:space="0" w:color="auto"/>
        <w:left w:val="none" w:sz="0" w:space="0" w:color="auto"/>
        <w:bottom w:val="none" w:sz="0" w:space="0" w:color="auto"/>
        <w:right w:val="none" w:sz="0" w:space="0" w:color="auto"/>
      </w:divBdr>
    </w:div>
    <w:div w:id="17632065">
      <w:marLeft w:val="0"/>
      <w:marRight w:val="0"/>
      <w:marTop w:val="0"/>
      <w:marBottom w:val="0"/>
      <w:divBdr>
        <w:top w:val="none" w:sz="0" w:space="0" w:color="auto"/>
        <w:left w:val="none" w:sz="0" w:space="0" w:color="auto"/>
        <w:bottom w:val="none" w:sz="0" w:space="0" w:color="auto"/>
        <w:right w:val="none" w:sz="0" w:space="0" w:color="auto"/>
      </w:divBdr>
      <w:divsChild>
        <w:div w:id="516577336">
          <w:marLeft w:val="0"/>
          <w:marRight w:val="0"/>
          <w:marTop w:val="0"/>
          <w:marBottom w:val="0"/>
          <w:divBdr>
            <w:top w:val="none" w:sz="0" w:space="0" w:color="auto"/>
            <w:left w:val="none" w:sz="0" w:space="0" w:color="auto"/>
            <w:bottom w:val="none" w:sz="0" w:space="0" w:color="auto"/>
            <w:right w:val="none" w:sz="0" w:space="0" w:color="auto"/>
          </w:divBdr>
        </w:div>
      </w:divsChild>
    </w:div>
    <w:div w:id="20516984">
      <w:marLeft w:val="0"/>
      <w:marRight w:val="0"/>
      <w:marTop w:val="100"/>
      <w:marBottom w:val="100"/>
      <w:divBdr>
        <w:top w:val="none" w:sz="0" w:space="0" w:color="auto"/>
        <w:left w:val="none" w:sz="0" w:space="0" w:color="auto"/>
        <w:bottom w:val="none" w:sz="0" w:space="0" w:color="auto"/>
        <w:right w:val="none" w:sz="0" w:space="0" w:color="auto"/>
      </w:divBdr>
    </w:div>
    <w:div w:id="22480712">
      <w:marLeft w:val="0"/>
      <w:marRight w:val="0"/>
      <w:marTop w:val="100"/>
      <w:marBottom w:val="240"/>
      <w:divBdr>
        <w:top w:val="none" w:sz="0" w:space="0" w:color="auto"/>
        <w:left w:val="none" w:sz="0" w:space="0" w:color="auto"/>
        <w:bottom w:val="none" w:sz="0" w:space="0" w:color="auto"/>
        <w:right w:val="none" w:sz="0" w:space="0" w:color="auto"/>
      </w:divBdr>
    </w:div>
    <w:div w:id="26025661">
      <w:marLeft w:val="0"/>
      <w:marRight w:val="0"/>
      <w:marTop w:val="60"/>
      <w:marBottom w:val="0"/>
      <w:divBdr>
        <w:top w:val="none" w:sz="0" w:space="0" w:color="auto"/>
        <w:left w:val="none" w:sz="0" w:space="0" w:color="auto"/>
        <w:bottom w:val="none" w:sz="0" w:space="0" w:color="auto"/>
        <w:right w:val="none" w:sz="0" w:space="0" w:color="auto"/>
      </w:divBdr>
    </w:div>
    <w:div w:id="29115598">
      <w:marLeft w:val="0"/>
      <w:marRight w:val="0"/>
      <w:marTop w:val="0"/>
      <w:marBottom w:val="240"/>
      <w:divBdr>
        <w:top w:val="none" w:sz="0" w:space="0" w:color="auto"/>
        <w:left w:val="none" w:sz="0" w:space="0" w:color="auto"/>
        <w:bottom w:val="none" w:sz="0" w:space="0" w:color="auto"/>
        <w:right w:val="none" w:sz="0" w:space="0" w:color="auto"/>
      </w:divBdr>
    </w:div>
    <w:div w:id="29654536">
      <w:marLeft w:val="0"/>
      <w:marRight w:val="0"/>
      <w:marTop w:val="100"/>
      <w:marBottom w:val="240"/>
      <w:divBdr>
        <w:top w:val="none" w:sz="0" w:space="0" w:color="auto"/>
        <w:left w:val="none" w:sz="0" w:space="0" w:color="auto"/>
        <w:bottom w:val="none" w:sz="0" w:space="0" w:color="auto"/>
        <w:right w:val="none" w:sz="0" w:space="0" w:color="auto"/>
      </w:divBdr>
    </w:div>
    <w:div w:id="31729779">
      <w:marLeft w:val="0"/>
      <w:marRight w:val="0"/>
      <w:marTop w:val="0"/>
      <w:marBottom w:val="0"/>
      <w:divBdr>
        <w:top w:val="none" w:sz="0" w:space="0" w:color="auto"/>
        <w:left w:val="none" w:sz="0" w:space="0" w:color="auto"/>
        <w:bottom w:val="none" w:sz="0" w:space="0" w:color="auto"/>
        <w:right w:val="none" w:sz="0" w:space="0" w:color="auto"/>
      </w:divBdr>
      <w:divsChild>
        <w:div w:id="422653612">
          <w:marLeft w:val="0"/>
          <w:marRight w:val="0"/>
          <w:marTop w:val="0"/>
          <w:marBottom w:val="0"/>
          <w:divBdr>
            <w:top w:val="none" w:sz="0" w:space="0" w:color="auto"/>
            <w:left w:val="none" w:sz="0" w:space="0" w:color="auto"/>
            <w:bottom w:val="none" w:sz="0" w:space="0" w:color="auto"/>
            <w:right w:val="none" w:sz="0" w:space="0" w:color="auto"/>
          </w:divBdr>
        </w:div>
      </w:divsChild>
    </w:div>
    <w:div w:id="33237307">
      <w:marLeft w:val="0"/>
      <w:marRight w:val="0"/>
      <w:marTop w:val="100"/>
      <w:marBottom w:val="100"/>
      <w:divBdr>
        <w:top w:val="none" w:sz="0" w:space="0" w:color="auto"/>
        <w:left w:val="none" w:sz="0" w:space="0" w:color="auto"/>
        <w:bottom w:val="none" w:sz="0" w:space="0" w:color="auto"/>
        <w:right w:val="none" w:sz="0" w:space="0" w:color="auto"/>
      </w:divBdr>
    </w:div>
    <w:div w:id="33510398">
      <w:marLeft w:val="0"/>
      <w:marRight w:val="0"/>
      <w:marTop w:val="0"/>
      <w:marBottom w:val="180"/>
      <w:divBdr>
        <w:top w:val="none" w:sz="0" w:space="0" w:color="auto"/>
        <w:left w:val="none" w:sz="0" w:space="0" w:color="auto"/>
        <w:bottom w:val="none" w:sz="0" w:space="0" w:color="auto"/>
        <w:right w:val="none" w:sz="0" w:space="0" w:color="auto"/>
      </w:divBdr>
    </w:div>
    <w:div w:id="38281314">
      <w:marLeft w:val="0"/>
      <w:marRight w:val="0"/>
      <w:marTop w:val="100"/>
      <w:marBottom w:val="240"/>
      <w:divBdr>
        <w:top w:val="none" w:sz="0" w:space="0" w:color="auto"/>
        <w:left w:val="none" w:sz="0" w:space="0" w:color="auto"/>
        <w:bottom w:val="none" w:sz="0" w:space="0" w:color="auto"/>
        <w:right w:val="none" w:sz="0" w:space="0" w:color="auto"/>
      </w:divBdr>
    </w:div>
    <w:div w:id="42101152">
      <w:marLeft w:val="0"/>
      <w:marRight w:val="0"/>
      <w:marTop w:val="180"/>
      <w:marBottom w:val="240"/>
      <w:divBdr>
        <w:top w:val="none" w:sz="0" w:space="0" w:color="auto"/>
        <w:left w:val="none" w:sz="0" w:space="0" w:color="auto"/>
        <w:bottom w:val="none" w:sz="0" w:space="0" w:color="auto"/>
        <w:right w:val="none" w:sz="0" w:space="0" w:color="auto"/>
      </w:divBdr>
    </w:div>
    <w:div w:id="48186470">
      <w:marLeft w:val="0"/>
      <w:marRight w:val="0"/>
      <w:marTop w:val="100"/>
      <w:marBottom w:val="100"/>
      <w:divBdr>
        <w:top w:val="none" w:sz="0" w:space="0" w:color="auto"/>
        <w:left w:val="none" w:sz="0" w:space="0" w:color="auto"/>
        <w:bottom w:val="none" w:sz="0" w:space="0" w:color="auto"/>
        <w:right w:val="none" w:sz="0" w:space="0" w:color="auto"/>
      </w:divBdr>
    </w:div>
    <w:div w:id="51926192">
      <w:marLeft w:val="0"/>
      <w:marRight w:val="0"/>
      <w:marTop w:val="0"/>
      <w:marBottom w:val="0"/>
      <w:divBdr>
        <w:top w:val="none" w:sz="0" w:space="0" w:color="auto"/>
        <w:left w:val="none" w:sz="0" w:space="0" w:color="auto"/>
        <w:bottom w:val="none" w:sz="0" w:space="0" w:color="auto"/>
        <w:right w:val="none" w:sz="0" w:space="0" w:color="auto"/>
      </w:divBdr>
      <w:divsChild>
        <w:div w:id="757557819">
          <w:marLeft w:val="0"/>
          <w:marRight w:val="0"/>
          <w:marTop w:val="0"/>
          <w:marBottom w:val="0"/>
          <w:divBdr>
            <w:top w:val="none" w:sz="0" w:space="0" w:color="auto"/>
            <w:left w:val="none" w:sz="0" w:space="0" w:color="auto"/>
            <w:bottom w:val="none" w:sz="0" w:space="0" w:color="auto"/>
            <w:right w:val="none" w:sz="0" w:space="0" w:color="auto"/>
          </w:divBdr>
        </w:div>
      </w:divsChild>
    </w:div>
    <w:div w:id="52431940">
      <w:marLeft w:val="0"/>
      <w:marRight w:val="0"/>
      <w:marTop w:val="100"/>
      <w:marBottom w:val="240"/>
      <w:divBdr>
        <w:top w:val="none" w:sz="0" w:space="0" w:color="auto"/>
        <w:left w:val="none" w:sz="0" w:space="0" w:color="auto"/>
        <w:bottom w:val="none" w:sz="0" w:space="0" w:color="auto"/>
        <w:right w:val="none" w:sz="0" w:space="0" w:color="auto"/>
      </w:divBdr>
    </w:div>
    <w:div w:id="56367616">
      <w:marLeft w:val="0"/>
      <w:marRight w:val="0"/>
      <w:marTop w:val="0"/>
      <w:marBottom w:val="240"/>
      <w:divBdr>
        <w:top w:val="none" w:sz="0" w:space="0" w:color="auto"/>
        <w:left w:val="none" w:sz="0" w:space="0" w:color="auto"/>
        <w:bottom w:val="none" w:sz="0" w:space="0" w:color="auto"/>
        <w:right w:val="none" w:sz="0" w:space="0" w:color="auto"/>
      </w:divBdr>
    </w:div>
    <w:div w:id="58133642">
      <w:marLeft w:val="0"/>
      <w:marRight w:val="0"/>
      <w:marTop w:val="0"/>
      <w:marBottom w:val="240"/>
      <w:divBdr>
        <w:top w:val="none" w:sz="0" w:space="0" w:color="auto"/>
        <w:left w:val="none" w:sz="0" w:space="0" w:color="auto"/>
        <w:bottom w:val="none" w:sz="0" w:space="0" w:color="auto"/>
        <w:right w:val="none" w:sz="0" w:space="0" w:color="auto"/>
      </w:divBdr>
    </w:div>
    <w:div w:id="59183554">
      <w:marLeft w:val="0"/>
      <w:marRight w:val="0"/>
      <w:marTop w:val="0"/>
      <w:marBottom w:val="240"/>
      <w:divBdr>
        <w:top w:val="none" w:sz="0" w:space="0" w:color="auto"/>
        <w:left w:val="none" w:sz="0" w:space="0" w:color="auto"/>
        <w:bottom w:val="none" w:sz="0" w:space="0" w:color="auto"/>
        <w:right w:val="none" w:sz="0" w:space="0" w:color="auto"/>
      </w:divBdr>
    </w:div>
    <w:div w:id="60687339">
      <w:marLeft w:val="0"/>
      <w:marRight w:val="0"/>
      <w:marTop w:val="0"/>
      <w:marBottom w:val="180"/>
      <w:divBdr>
        <w:top w:val="none" w:sz="0" w:space="0" w:color="auto"/>
        <w:left w:val="none" w:sz="0" w:space="0" w:color="auto"/>
        <w:bottom w:val="none" w:sz="0" w:space="0" w:color="auto"/>
        <w:right w:val="none" w:sz="0" w:space="0" w:color="auto"/>
      </w:divBdr>
    </w:div>
    <w:div w:id="67506308">
      <w:marLeft w:val="0"/>
      <w:marRight w:val="0"/>
      <w:marTop w:val="0"/>
      <w:marBottom w:val="240"/>
      <w:divBdr>
        <w:top w:val="none" w:sz="0" w:space="0" w:color="auto"/>
        <w:left w:val="none" w:sz="0" w:space="0" w:color="auto"/>
        <w:bottom w:val="none" w:sz="0" w:space="0" w:color="auto"/>
        <w:right w:val="none" w:sz="0" w:space="0" w:color="auto"/>
      </w:divBdr>
    </w:div>
    <w:div w:id="73473556">
      <w:marLeft w:val="0"/>
      <w:marRight w:val="0"/>
      <w:marTop w:val="0"/>
      <w:marBottom w:val="240"/>
      <w:divBdr>
        <w:top w:val="none" w:sz="0" w:space="0" w:color="auto"/>
        <w:left w:val="none" w:sz="0" w:space="0" w:color="auto"/>
        <w:bottom w:val="none" w:sz="0" w:space="0" w:color="auto"/>
        <w:right w:val="none" w:sz="0" w:space="0" w:color="auto"/>
      </w:divBdr>
    </w:div>
    <w:div w:id="74207217">
      <w:marLeft w:val="0"/>
      <w:marRight w:val="0"/>
      <w:marTop w:val="100"/>
      <w:marBottom w:val="0"/>
      <w:divBdr>
        <w:top w:val="none" w:sz="0" w:space="0" w:color="auto"/>
        <w:left w:val="none" w:sz="0" w:space="0" w:color="auto"/>
        <w:bottom w:val="none" w:sz="0" w:space="0" w:color="auto"/>
        <w:right w:val="none" w:sz="0" w:space="0" w:color="auto"/>
      </w:divBdr>
      <w:divsChild>
        <w:div w:id="1304895059">
          <w:marLeft w:val="0"/>
          <w:marRight w:val="0"/>
          <w:marTop w:val="0"/>
          <w:marBottom w:val="0"/>
          <w:divBdr>
            <w:top w:val="none" w:sz="0" w:space="0" w:color="auto"/>
            <w:left w:val="none" w:sz="0" w:space="0" w:color="auto"/>
            <w:bottom w:val="none" w:sz="0" w:space="0" w:color="auto"/>
            <w:right w:val="none" w:sz="0" w:space="0" w:color="auto"/>
          </w:divBdr>
        </w:div>
        <w:div w:id="1571227552">
          <w:marLeft w:val="0"/>
          <w:marRight w:val="0"/>
          <w:marTop w:val="0"/>
          <w:marBottom w:val="0"/>
          <w:divBdr>
            <w:top w:val="none" w:sz="0" w:space="0" w:color="auto"/>
            <w:left w:val="none" w:sz="0" w:space="0" w:color="auto"/>
            <w:bottom w:val="none" w:sz="0" w:space="0" w:color="auto"/>
            <w:right w:val="none" w:sz="0" w:space="0" w:color="auto"/>
          </w:divBdr>
        </w:div>
        <w:div w:id="568074279">
          <w:marLeft w:val="0"/>
          <w:marRight w:val="0"/>
          <w:marTop w:val="0"/>
          <w:marBottom w:val="0"/>
          <w:divBdr>
            <w:top w:val="none" w:sz="0" w:space="0" w:color="auto"/>
            <w:left w:val="none" w:sz="0" w:space="0" w:color="auto"/>
            <w:bottom w:val="none" w:sz="0" w:space="0" w:color="auto"/>
            <w:right w:val="none" w:sz="0" w:space="0" w:color="auto"/>
          </w:divBdr>
        </w:div>
        <w:div w:id="229734557">
          <w:marLeft w:val="0"/>
          <w:marRight w:val="0"/>
          <w:marTop w:val="0"/>
          <w:marBottom w:val="0"/>
          <w:divBdr>
            <w:top w:val="none" w:sz="0" w:space="0" w:color="auto"/>
            <w:left w:val="none" w:sz="0" w:space="0" w:color="auto"/>
            <w:bottom w:val="none" w:sz="0" w:space="0" w:color="auto"/>
            <w:right w:val="none" w:sz="0" w:space="0" w:color="auto"/>
          </w:divBdr>
        </w:div>
      </w:divsChild>
    </w:div>
    <w:div w:id="80807033">
      <w:marLeft w:val="0"/>
      <w:marRight w:val="0"/>
      <w:marTop w:val="0"/>
      <w:marBottom w:val="240"/>
      <w:divBdr>
        <w:top w:val="none" w:sz="0" w:space="0" w:color="auto"/>
        <w:left w:val="none" w:sz="0" w:space="0" w:color="auto"/>
        <w:bottom w:val="none" w:sz="0" w:space="0" w:color="auto"/>
        <w:right w:val="none" w:sz="0" w:space="0" w:color="auto"/>
      </w:divBdr>
    </w:div>
    <w:div w:id="82188500">
      <w:marLeft w:val="0"/>
      <w:marRight w:val="0"/>
      <w:marTop w:val="0"/>
      <w:marBottom w:val="0"/>
      <w:divBdr>
        <w:top w:val="none" w:sz="0" w:space="0" w:color="auto"/>
        <w:left w:val="none" w:sz="0" w:space="0" w:color="auto"/>
        <w:bottom w:val="none" w:sz="0" w:space="0" w:color="auto"/>
        <w:right w:val="none" w:sz="0" w:space="0" w:color="auto"/>
      </w:divBdr>
      <w:divsChild>
        <w:div w:id="388722722">
          <w:marLeft w:val="0"/>
          <w:marRight w:val="0"/>
          <w:marTop w:val="160"/>
          <w:marBottom w:val="160"/>
          <w:divBdr>
            <w:top w:val="none" w:sz="0" w:space="0" w:color="auto"/>
            <w:left w:val="none" w:sz="0" w:space="0" w:color="auto"/>
            <w:bottom w:val="none" w:sz="0" w:space="0" w:color="auto"/>
            <w:right w:val="none" w:sz="0" w:space="0" w:color="auto"/>
          </w:divBdr>
        </w:div>
      </w:divsChild>
    </w:div>
    <w:div w:id="82728939">
      <w:marLeft w:val="0"/>
      <w:marRight w:val="0"/>
      <w:marTop w:val="0"/>
      <w:marBottom w:val="240"/>
      <w:divBdr>
        <w:top w:val="none" w:sz="0" w:space="0" w:color="auto"/>
        <w:left w:val="none" w:sz="0" w:space="0" w:color="auto"/>
        <w:bottom w:val="none" w:sz="0" w:space="0" w:color="auto"/>
        <w:right w:val="none" w:sz="0" w:space="0" w:color="auto"/>
      </w:divBdr>
    </w:div>
    <w:div w:id="83768908">
      <w:marLeft w:val="0"/>
      <w:marRight w:val="0"/>
      <w:marTop w:val="0"/>
      <w:marBottom w:val="240"/>
      <w:divBdr>
        <w:top w:val="none" w:sz="0" w:space="0" w:color="auto"/>
        <w:left w:val="none" w:sz="0" w:space="0" w:color="auto"/>
        <w:bottom w:val="none" w:sz="0" w:space="0" w:color="auto"/>
        <w:right w:val="none" w:sz="0" w:space="0" w:color="auto"/>
      </w:divBdr>
    </w:div>
    <w:div w:id="84302891">
      <w:marLeft w:val="0"/>
      <w:marRight w:val="0"/>
      <w:marTop w:val="80"/>
      <w:marBottom w:val="0"/>
      <w:divBdr>
        <w:top w:val="none" w:sz="0" w:space="0" w:color="auto"/>
        <w:left w:val="none" w:sz="0" w:space="0" w:color="auto"/>
        <w:bottom w:val="none" w:sz="0" w:space="0" w:color="auto"/>
        <w:right w:val="none" w:sz="0" w:space="0" w:color="auto"/>
      </w:divBdr>
    </w:div>
    <w:div w:id="86192624">
      <w:marLeft w:val="0"/>
      <w:marRight w:val="0"/>
      <w:marTop w:val="0"/>
      <w:marBottom w:val="240"/>
      <w:divBdr>
        <w:top w:val="none" w:sz="0" w:space="0" w:color="auto"/>
        <w:left w:val="none" w:sz="0" w:space="0" w:color="auto"/>
        <w:bottom w:val="none" w:sz="0" w:space="0" w:color="auto"/>
        <w:right w:val="none" w:sz="0" w:space="0" w:color="auto"/>
      </w:divBdr>
    </w:div>
    <w:div w:id="86537382">
      <w:marLeft w:val="0"/>
      <w:marRight w:val="0"/>
      <w:marTop w:val="100"/>
      <w:marBottom w:val="240"/>
      <w:divBdr>
        <w:top w:val="none" w:sz="0" w:space="0" w:color="auto"/>
        <w:left w:val="none" w:sz="0" w:space="0" w:color="auto"/>
        <w:bottom w:val="none" w:sz="0" w:space="0" w:color="auto"/>
        <w:right w:val="none" w:sz="0" w:space="0" w:color="auto"/>
      </w:divBdr>
    </w:div>
    <w:div w:id="87431677">
      <w:marLeft w:val="0"/>
      <w:marRight w:val="0"/>
      <w:marTop w:val="0"/>
      <w:marBottom w:val="0"/>
      <w:divBdr>
        <w:top w:val="none" w:sz="0" w:space="0" w:color="auto"/>
        <w:left w:val="none" w:sz="0" w:space="0" w:color="auto"/>
        <w:bottom w:val="none" w:sz="0" w:space="0" w:color="auto"/>
        <w:right w:val="none" w:sz="0" w:space="0" w:color="auto"/>
      </w:divBdr>
      <w:divsChild>
        <w:div w:id="1945073476">
          <w:marLeft w:val="0"/>
          <w:marRight w:val="0"/>
          <w:marTop w:val="0"/>
          <w:marBottom w:val="0"/>
          <w:divBdr>
            <w:top w:val="none" w:sz="0" w:space="0" w:color="auto"/>
            <w:left w:val="none" w:sz="0" w:space="0" w:color="auto"/>
            <w:bottom w:val="none" w:sz="0" w:space="0" w:color="auto"/>
            <w:right w:val="none" w:sz="0" w:space="0" w:color="auto"/>
          </w:divBdr>
        </w:div>
      </w:divsChild>
    </w:div>
    <w:div w:id="87888395">
      <w:marLeft w:val="0"/>
      <w:marRight w:val="0"/>
      <w:marTop w:val="0"/>
      <w:marBottom w:val="0"/>
      <w:divBdr>
        <w:top w:val="none" w:sz="0" w:space="0" w:color="auto"/>
        <w:left w:val="none" w:sz="0" w:space="0" w:color="auto"/>
        <w:bottom w:val="none" w:sz="0" w:space="0" w:color="auto"/>
        <w:right w:val="none" w:sz="0" w:space="0" w:color="auto"/>
      </w:divBdr>
    </w:div>
    <w:div w:id="88894269">
      <w:marLeft w:val="0"/>
      <w:marRight w:val="0"/>
      <w:marTop w:val="0"/>
      <w:marBottom w:val="0"/>
      <w:divBdr>
        <w:top w:val="none" w:sz="0" w:space="0" w:color="auto"/>
        <w:left w:val="none" w:sz="0" w:space="0" w:color="auto"/>
        <w:bottom w:val="none" w:sz="0" w:space="0" w:color="auto"/>
        <w:right w:val="none" w:sz="0" w:space="0" w:color="auto"/>
      </w:divBdr>
      <w:divsChild>
        <w:div w:id="693460405">
          <w:marLeft w:val="0"/>
          <w:marRight w:val="0"/>
          <w:marTop w:val="160"/>
          <w:marBottom w:val="160"/>
          <w:divBdr>
            <w:top w:val="none" w:sz="0" w:space="0" w:color="auto"/>
            <w:left w:val="none" w:sz="0" w:space="0" w:color="auto"/>
            <w:bottom w:val="none" w:sz="0" w:space="0" w:color="auto"/>
            <w:right w:val="none" w:sz="0" w:space="0" w:color="auto"/>
          </w:divBdr>
        </w:div>
      </w:divsChild>
    </w:div>
    <w:div w:id="94255881">
      <w:marLeft w:val="0"/>
      <w:marRight w:val="0"/>
      <w:marTop w:val="0"/>
      <w:marBottom w:val="0"/>
      <w:divBdr>
        <w:top w:val="none" w:sz="0" w:space="0" w:color="auto"/>
        <w:left w:val="none" w:sz="0" w:space="0" w:color="auto"/>
        <w:bottom w:val="none" w:sz="0" w:space="0" w:color="auto"/>
        <w:right w:val="none" w:sz="0" w:space="0" w:color="auto"/>
      </w:divBdr>
      <w:divsChild>
        <w:div w:id="1437753911">
          <w:marLeft w:val="0"/>
          <w:marRight w:val="0"/>
          <w:marTop w:val="0"/>
          <w:marBottom w:val="0"/>
          <w:divBdr>
            <w:top w:val="none" w:sz="0" w:space="0" w:color="auto"/>
            <w:left w:val="none" w:sz="0" w:space="0" w:color="auto"/>
            <w:bottom w:val="none" w:sz="0" w:space="0" w:color="auto"/>
            <w:right w:val="none" w:sz="0" w:space="0" w:color="auto"/>
          </w:divBdr>
        </w:div>
      </w:divsChild>
    </w:div>
    <w:div w:id="96103619">
      <w:marLeft w:val="0"/>
      <w:marRight w:val="0"/>
      <w:marTop w:val="0"/>
      <w:marBottom w:val="240"/>
      <w:divBdr>
        <w:top w:val="none" w:sz="0" w:space="0" w:color="auto"/>
        <w:left w:val="none" w:sz="0" w:space="0" w:color="auto"/>
        <w:bottom w:val="none" w:sz="0" w:space="0" w:color="auto"/>
        <w:right w:val="none" w:sz="0" w:space="0" w:color="auto"/>
      </w:divBdr>
    </w:div>
    <w:div w:id="97986509">
      <w:marLeft w:val="0"/>
      <w:marRight w:val="0"/>
      <w:marTop w:val="100"/>
      <w:marBottom w:val="240"/>
      <w:divBdr>
        <w:top w:val="none" w:sz="0" w:space="0" w:color="auto"/>
        <w:left w:val="none" w:sz="0" w:space="0" w:color="auto"/>
        <w:bottom w:val="none" w:sz="0" w:space="0" w:color="auto"/>
        <w:right w:val="none" w:sz="0" w:space="0" w:color="auto"/>
      </w:divBdr>
    </w:div>
    <w:div w:id="98990511">
      <w:marLeft w:val="0"/>
      <w:marRight w:val="0"/>
      <w:marTop w:val="0"/>
      <w:marBottom w:val="80"/>
      <w:divBdr>
        <w:top w:val="none" w:sz="0" w:space="0" w:color="auto"/>
        <w:left w:val="none" w:sz="0" w:space="0" w:color="auto"/>
        <w:bottom w:val="none" w:sz="0" w:space="0" w:color="auto"/>
        <w:right w:val="none" w:sz="0" w:space="0" w:color="auto"/>
      </w:divBdr>
    </w:div>
    <w:div w:id="102656338">
      <w:marLeft w:val="0"/>
      <w:marRight w:val="0"/>
      <w:marTop w:val="0"/>
      <w:marBottom w:val="240"/>
      <w:divBdr>
        <w:top w:val="none" w:sz="0" w:space="0" w:color="auto"/>
        <w:left w:val="none" w:sz="0" w:space="0" w:color="auto"/>
        <w:bottom w:val="none" w:sz="0" w:space="0" w:color="auto"/>
        <w:right w:val="none" w:sz="0" w:space="0" w:color="auto"/>
      </w:divBdr>
    </w:div>
    <w:div w:id="105975114">
      <w:marLeft w:val="0"/>
      <w:marRight w:val="0"/>
      <w:marTop w:val="0"/>
      <w:marBottom w:val="0"/>
      <w:divBdr>
        <w:top w:val="none" w:sz="0" w:space="0" w:color="auto"/>
        <w:left w:val="none" w:sz="0" w:space="0" w:color="auto"/>
        <w:bottom w:val="none" w:sz="0" w:space="0" w:color="auto"/>
        <w:right w:val="none" w:sz="0" w:space="0" w:color="auto"/>
      </w:divBdr>
    </w:div>
    <w:div w:id="108476867">
      <w:marLeft w:val="0"/>
      <w:marRight w:val="0"/>
      <w:marTop w:val="0"/>
      <w:marBottom w:val="240"/>
      <w:divBdr>
        <w:top w:val="none" w:sz="0" w:space="0" w:color="auto"/>
        <w:left w:val="none" w:sz="0" w:space="0" w:color="auto"/>
        <w:bottom w:val="none" w:sz="0" w:space="0" w:color="auto"/>
        <w:right w:val="none" w:sz="0" w:space="0" w:color="auto"/>
      </w:divBdr>
    </w:div>
    <w:div w:id="111437100">
      <w:marLeft w:val="0"/>
      <w:marRight w:val="0"/>
      <w:marTop w:val="160"/>
      <w:marBottom w:val="160"/>
      <w:divBdr>
        <w:top w:val="none" w:sz="0" w:space="0" w:color="auto"/>
        <w:left w:val="none" w:sz="0" w:space="0" w:color="auto"/>
        <w:bottom w:val="none" w:sz="0" w:space="0" w:color="auto"/>
        <w:right w:val="none" w:sz="0" w:space="0" w:color="auto"/>
      </w:divBdr>
    </w:div>
    <w:div w:id="112018806">
      <w:marLeft w:val="0"/>
      <w:marRight w:val="0"/>
      <w:marTop w:val="100"/>
      <w:marBottom w:val="160"/>
      <w:divBdr>
        <w:top w:val="none" w:sz="0" w:space="0" w:color="auto"/>
        <w:left w:val="none" w:sz="0" w:space="0" w:color="auto"/>
        <w:bottom w:val="none" w:sz="0" w:space="0" w:color="auto"/>
        <w:right w:val="none" w:sz="0" w:space="0" w:color="auto"/>
      </w:divBdr>
    </w:div>
    <w:div w:id="113988625">
      <w:marLeft w:val="0"/>
      <w:marRight w:val="0"/>
      <w:marTop w:val="0"/>
      <w:marBottom w:val="0"/>
      <w:divBdr>
        <w:top w:val="none" w:sz="0" w:space="0" w:color="auto"/>
        <w:left w:val="none" w:sz="0" w:space="0" w:color="auto"/>
        <w:bottom w:val="none" w:sz="0" w:space="0" w:color="auto"/>
        <w:right w:val="none" w:sz="0" w:space="0" w:color="auto"/>
      </w:divBdr>
      <w:divsChild>
        <w:div w:id="49309512">
          <w:marLeft w:val="0"/>
          <w:marRight w:val="0"/>
          <w:marTop w:val="160"/>
          <w:marBottom w:val="0"/>
          <w:divBdr>
            <w:top w:val="none" w:sz="0" w:space="0" w:color="auto"/>
            <w:left w:val="none" w:sz="0" w:space="0" w:color="auto"/>
            <w:bottom w:val="none" w:sz="0" w:space="0" w:color="auto"/>
            <w:right w:val="none" w:sz="0" w:space="0" w:color="auto"/>
          </w:divBdr>
        </w:div>
        <w:div w:id="1573202517">
          <w:marLeft w:val="0"/>
          <w:marRight w:val="0"/>
          <w:marTop w:val="60"/>
          <w:marBottom w:val="60"/>
          <w:divBdr>
            <w:top w:val="none" w:sz="0" w:space="0" w:color="auto"/>
            <w:left w:val="none" w:sz="0" w:space="0" w:color="auto"/>
            <w:bottom w:val="none" w:sz="0" w:space="0" w:color="auto"/>
            <w:right w:val="none" w:sz="0" w:space="0" w:color="auto"/>
          </w:divBdr>
        </w:div>
        <w:div w:id="119963371">
          <w:marLeft w:val="0"/>
          <w:marRight w:val="0"/>
          <w:marTop w:val="60"/>
          <w:marBottom w:val="60"/>
          <w:divBdr>
            <w:top w:val="none" w:sz="0" w:space="0" w:color="auto"/>
            <w:left w:val="none" w:sz="0" w:space="0" w:color="auto"/>
            <w:bottom w:val="none" w:sz="0" w:space="0" w:color="auto"/>
            <w:right w:val="none" w:sz="0" w:space="0" w:color="auto"/>
          </w:divBdr>
        </w:div>
        <w:div w:id="854274028">
          <w:marLeft w:val="0"/>
          <w:marRight w:val="0"/>
          <w:marTop w:val="60"/>
          <w:marBottom w:val="60"/>
          <w:divBdr>
            <w:top w:val="none" w:sz="0" w:space="0" w:color="auto"/>
            <w:left w:val="none" w:sz="0" w:space="0" w:color="auto"/>
            <w:bottom w:val="none" w:sz="0" w:space="0" w:color="auto"/>
            <w:right w:val="none" w:sz="0" w:space="0" w:color="auto"/>
          </w:divBdr>
        </w:div>
      </w:divsChild>
    </w:div>
    <w:div w:id="114643637">
      <w:marLeft w:val="0"/>
      <w:marRight w:val="0"/>
      <w:marTop w:val="0"/>
      <w:marBottom w:val="0"/>
      <w:divBdr>
        <w:top w:val="none" w:sz="0" w:space="0" w:color="auto"/>
        <w:left w:val="none" w:sz="0" w:space="0" w:color="auto"/>
        <w:bottom w:val="none" w:sz="0" w:space="0" w:color="auto"/>
        <w:right w:val="none" w:sz="0" w:space="0" w:color="auto"/>
      </w:divBdr>
      <w:divsChild>
        <w:div w:id="2024477240">
          <w:marLeft w:val="0"/>
          <w:marRight w:val="0"/>
          <w:marTop w:val="0"/>
          <w:marBottom w:val="0"/>
          <w:divBdr>
            <w:top w:val="none" w:sz="0" w:space="0" w:color="auto"/>
            <w:left w:val="none" w:sz="0" w:space="0" w:color="auto"/>
            <w:bottom w:val="none" w:sz="0" w:space="0" w:color="auto"/>
            <w:right w:val="none" w:sz="0" w:space="0" w:color="auto"/>
          </w:divBdr>
        </w:div>
      </w:divsChild>
    </w:div>
    <w:div w:id="116141848">
      <w:marLeft w:val="0"/>
      <w:marRight w:val="0"/>
      <w:marTop w:val="300"/>
      <w:marBottom w:val="180"/>
      <w:divBdr>
        <w:top w:val="none" w:sz="0" w:space="0" w:color="auto"/>
        <w:left w:val="none" w:sz="0" w:space="0" w:color="auto"/>
        <w:bottom w:val="none" w:sz="0" w:space="0" w:color="auto"/>
        <w:right w:val="none" w:sz="0" w:space="0" w:color="auto"/>
      </w:divBdr>
    </w:div>
    <w:div w:id="117992535">
      <w:marLeft w:val="0"/>
      <w:marRight w:val="0"/>
      <w:marTop w:val="0"/>
      <w:marBottom w:val="240"/>
      <w:divBdr>
        <w:top w:val="none" w:sz="0" w:space="0" w:color="auto"/>
        <w:left w:val="none" w:sz="0" w:space="0" w:color="auto"/>
        <w:bottom w:val="none" w:sz="0" w:space="0" w:color="auto"/>
        <w:right w:val="none" w:sz="0" w:space="0" w:color="auto"/>
      </w:divBdr>
    </w:div>
    <w:div w:id="119999128">
      <w:marLeft w:val="0"/>
      <w:marRight w:val="0"/>
      <w:marTop w:val="100"/>
      <w:marBottom w:val="180"/>
      <w:divBdr>
        <w:top w:val="none" w:sz="0" w:space="0" w:color="auto"/>
        <w:left w:val="none" w:sz="0" w:space="0" w:color="auto"/>
        <w:bottom w:val="none" w:sz="0" w:space="0" w:color="auto"/>
        <w:right w:val="none" w:sz="0" w:space="0" w:color="auto"/>
      </w:divBdr>
    </w:div>
    <w:div w:id="122356915">
      <w:marLeft w:val="0"/>
      <w:marRight w:val="0"/>
      <w:marTop w:val="0"/>
      <w:marBottom w:val="240"/>
      <w:divBdr>
        <w:top w:val="none" w:sz="0" w:space="0" w:color="auto"/>
        <w:left w:val="none" w:sz="0" w:space="0" w:color="auto"/>
        <w:bottom w:val="none" w:sz="0" w:space="0" w:color="auto"/>
        <w:right w:val="none" w:sz="0" w:space="0" w:color="auto"/>
      </w:divBdr>
    </w:div>
    <w:div w:id="124858562">
      <w:marLeft w:val="0"/>
      <w:marRight w:val="0"/>
      <w:marTop w:val="0"/>
      <w:marBottom w:val="0"/>
      <w:divBdr>
        <w:top w:val="none" w:sz="0" w:space="0" w:color="auto"/>
        <w:left w:val="none" w:sz="0" w:space="0" w:color="auto"/>
        <w:bottom w:val="none" w:sz="0" w:space="0" w:color="auto"/>
        <w:right w:val="none" w:sz="0" w:space="0" w:color="auto"/>
      </w:divBdr>
      <w:divsChild>
        <w:div w:id="1196967647">
          <w:marLeft w:val="0"/>
          <w:marRight w:val="0"/>
          <w:marTop w:val="160"/>
          <w:marBottom w:val="0"/>
          <w:divBdr>
            <w:top w:val="none" w:sz="0" w:space="0" w:color="auto"/>
            <w:left w:val="none" w:sz="0" w:space="0" w:color="auto"/>
            <w:bottom w:val="none" w:sz="0" w:space="0" w:color="auto"/>
            <w:right w:val="none" w:sz="0" w:space="0" w:color="auto"/>
          </w:divBdr>
        </w:div>
        <w:div w:id="1995136499">
          <w:marLeft w:val="0"/>
          <w:marRight w:val="0"/>
          <w:marTop w:val="60"/>
          <w:marBottom w:val="60"/>
          <w:divBdr>
            <w:top w:val="none" w:sz="0" w:space="0" w:color="auto"/>
            <w:left w:val="none" w:sz="0" w:space="0" w:color="auto"/>
            <w:bottom w:val="none" w:sz="0" w:space="0" w:color="auto"/>
            <w:right w:val="none" w:sz="0" w:space="0" w:color="auto"/>
          </w:divBdr>
        </w:div>
        <w:div w:id="1627465368">
          <w:marLeft w:val="0"/>
          <w:marRight w:val="0"/>
          <w:marTop w:val="60"/>
          <w:marBottom w:val="60"/>
          <w:divBdr>
            <w:top w:val="none" w:sz="0" w:space="0" w:color="auto"/>
            <w:left w:val="none" w:sz="0" w:space="0" w:color="auto"/>
            <w:bottom w:val="none" w:sz="0" w:space="0" w:color="auto"/>
            <w:right w:val="none" w:sz="0" w:space="0" w:color="auto"/>
          </w:divBdr>
        </w:div>
        <w:div w:id="855847663">
          <w:marLeft w:val="0"/>
          <w:marRight w:val="0"/>
          <w:marTop w:val="60"/>
          <w:marBottom w:val="60"/>
          <w:divBdr>
            <w:top w:val="none" w:sz="0" w:space="0" w:color="auto"/>
            <w:left w:val="none" w:sz="0" w:space="0" w:color="auto"/>
            <w:bottom w:val="none" w:sz="0" w:space="0" w:color="auto"/>
            <w:right w:val="none" w:sz="0" w:space="0" w:color="auto"/>
          </w:divBdr>
        </w:div>
      </w:divsChild>
    </w:div>
    <w:div w:id="125586365">
      <w:marLeft w:val="0"/>
      <w:marRight w:val="0"/>
      <w:marTop w:val="180"/>
      <w:marBottom w:val="240"/>
      <w:divBdr>
        <w:top w:val="none" w:sz="0" w:space="0" w:color="auto"/>
        <w:left w:val="none" w:sz="0" w:space="0" w:color="auto"/>
        <w:bottom w:val="none" w:sz="0" w:space="0" w:color="auto"/>
        <w:right w:val="none" w:sz="0" w:space="0" w:color="auto"/>
      </w:divBdr>
    </w:div>
    <w:div w:id="126440110">
      <w:marLeft w:val="0"/>
      <w:marRight w:val="0"/>
      <w:marTop w:val="160"/>
      <w:marBottom w:val="160"/>
      <w:divBdr>
        <w:top w:val="none" w:sz="0" w:space="0" w:color="auto"/>
        <w:left w:val="none" w:sz="0" w:space="0" w:color="auto"/>
        <w:bottom w:val="none" w:sz="0" w:space="0" w:color="auto"/>
        <w:right w:val="none" w:sz="0" w:space="0" w:color="auto"/>
      </w:divBdr>
    </w:div>
    <w:div w:id="128667991">
      <w:marLeft w:val="0"/>
      <w:marRight w:val="0"/>
      <w:marTop w:val="0"/>
      <w:marBottom w:val="0"/>
      <w:divBdr>
        <w:top w:val="none" w:sz="0" w:space="0" w:color="auto"/>
        <w:left w:val="none" w:sz="0" w:space="0" w:color="auto"/>
        <w:bottom w:val="none" w:sz="0" w:space="0" w:color="auto"/>
        <w:right w:val="none" w:sz="0" w:space="0" w:color="auto"/>
      </w:divBdr>
      <w:divsChild>
        <w:div w:id="36512950">
          <w:marLeft w:val="0"/>
          <w:marRight w:val="0"/>
          <w:marTop w:val="160"/>
          <w:marBottom w:val="0"/>
          <w:divBdr>
            <w:top w:val="none" w:sz="0" w:space="0" w:color="auto"/>
            <w:left w:val="none" w:sz="0" w:space="0" w:color="auto"/>
            <w:bottom w:val="none" w:sz="0" w:space="0" w:color="auto"/>
            <w:right w:val="none" w:sz="0" w:space="0" w:color="auto"/>
          </w:divBdr>
        </w:div>
        <w:div w:id="1955287813">
          <w:marLeft w:val="0"/>
          <w:marRight w:val="0"/>
          <w:marTop w:val="60"/>
          <w:marBottom w:val="60"/>
          <w:divBdr>
            <w:top w:val="none" w:sz="0" w:space="0" w:color="auto"/>
            <w:left w:val="none" w:sz="0" w:space="0" w:color="auto"/>
            <w:bottom w:val="none" w:sz="0" w:space="0" w:color="auto"/>
            <w:right w:val="none" w:sz="0" w:space="0" w:color="auto"/>
          </w:divBdr>
        </w:div>
        <w:div w:id="2021928512">
          <w:marLeft w:val="0"/>
          <w:marRight w:val="0"/>
          <w:marTop w:val="60"/>
          <w:marBottom w:val="60"/>
          <w:divBdr>
            <w:top w:val="none" w:sz="0" w:space="0" w:color="auto"/>
            <w:left w:val="none" w:sz="0" w:space="0" w:color="auto"/>
            <w:bottom w:val="none" w:sz="0" w:space="0" w:color="auto"/>
            <w:right w:val="none" w:sz="0" w:space="0" w:color="auto"/>
          </w:divBdr>
        </w:div>
        <w:div w:id="1646860920">
          <w:marLeft w:val="0"/>
          <w:marRight w:val="0"/>
          <w:marTop w:val="60"/>
          <w:marBottom w:val="60"/>
          <w:divBdr>
            <w:top w:val="none" w:sz="0" w:space="0" w:color="auto"/>
            <w:left w:val="none" w:sz="0" w:space="0" w:color="auto"/>
            <w:bottom w:val="none" w:sz="0" w:space="0" w:color="auto"/>
            <w:right w:val="none" w:sz="0" w:space="0" w:color="auto"/>
          </w:divBdr>
        </w:div>
      </w:divsChild>
    </w:div>
    <w:div w:id="132335369">
      <w:marLeft w:val="0"/>
      <w:marRight w:val="0"/>
      <w:marTop w:val="160"/>
      <w:marBottom w:val="160"/>
      <w:divBdr>
        <w:top w:val="none" w:sz="0" w:space="0" w:color="auto"/>
        <w:left w:val="none" w:sz="0" w:space="0" w:color="auto"/>
        <w:bottom w:val="none" w:sz="0" w:space="0" w:color="auto"/>
        <w:right w:val="none" w:sz="0" w:space="0" w:color="auto"/>
      </w:divBdr>
    </w:div>
    <w:div w:id="134566063">
      <w:marLeft w:val="0"/>
      <w:marRight w:val="0"/>
      <w:marTop w:val="0"/>
      <w:marBottom w:val="240"/>
      <w:divBdr>
        <w:top w:val="none" w:sz="0" w:space="0" w:color="auto"/>
        <w:left w:val="none" w:sz="0" w:space="0" w:color="auto"/>
        <w:bottom w:val="none" w:sz="0" w:space="0" w:color="auto"/>
        <w:right w:val="none" w:sz="0" w:space="0" w:color="auto"/>
      </w:divBdr>
    </w:div>
    <w:div w:id="138423997">
      <w:marLeft w:val="0"/>
      <w:marRight w:val="0"/>
      <w:marTop w:val="160"/>
      <w:marBottom w:val="160"/>
      <w:divBdr>
        <w:top w:val="none" w:sz="0" w:space="0" w:color="auto"/>
        <w:left w:val="none" w:sz="0" w:space="0" w:color="auto"/>
        <w:bottom w:val="none" w:sz="0" w:space="0" w:color="auto"/>
        <w:right w:val="none" w:sz="0" w:space="0" w:color="auto"/>
      </w:divBdr>
    </w:div>
    <w:div w:id="140116611">
      <w:marLeft w:val="0"/>
      <w:marRight w:val="0"/>
      <w:marTop w:val="100"/>
      <w:marBottom w:val="100"/>
      <w:divBdr>
        <w:top w:val="none" w:sz="0" w:space="0" w:color="auto"/>
        <w:left w:val="none" w:sz="0" w:space="0" w:color="auto"/>
        <w:bottom w:val="none" w:sz="0" w:space="0" w:color="auto"/>
        <w:right w:val="none" w:sz="0" w:space="0" w:color="auto"/>
      </w:divBdr>
      <w:divsChild>
        <w:div w:id="1809936799">
          <w:marLeft w:val="0"/>
          <w:marRight w:val="0"/>
          <w:marTop w:val="0"/>
          <w:marBottom w:val="0"/>
          <w:divBdr>
            <w:top w:val="none" w:sz="0" w:space="0" w:color="auto"/>
            <w:left w:val="none" w:sz="0" w:space="0" w:color="auto"/>
            <w:bottom w:val="none" w:sz="0" w:space="0" w:color="auto"/>
            <w:right w:val="none" w:sz="0" w:space="0" w:color="auto"/>
          </w:divBdr>
        </w:div>
      </w:divsChild>
    </w:div>
    <w:div w:id="140197749">
      <w:marLeft w:val="0"/>
      <w:marRight w:val="0"/>
      <w:marTop w:val="0"/>
      <w:marBottom w:val="0"/>
      <w:divBdr>
        <w:top w:val="none" w:sz="0" w:space="0" w:color="auto"/>
        <w:left w:val="none" w:sz="0" w:space="0" w:color="auto"/>
        <w:bottom w:val="none" w:sz="0" w:space="0" w:color="auto"/>
        <w:right w:val="none" w:sz="0" w:space="0" w:color="auto"/>
      </w:divBdr>
    </w:div>
    <w:div w:id="142309089">
      <w:marLeft w:val="0"/>
      <w:marRight w:val="0"/>
      <w:marTop w:val="100"/>
      <w:marBottom w:val="100"/>
      <w:divBdr>
        <w:top w:val="none" w:sz="0" w:space="0" w:color="auto"/>
        <w:left w:val="none" w:sz="0" w:space="0" w:color="auto"/>
        <w:bottom w:val="none" w:sz="0" w:space="0" w:color="auto"/>
        <w:right w:val="none" w:sz="0" w:space="0" w:color="auto"/>
      </w:divBdr>
    </w:div>
    <w:div w:id="145098852">
      <w:marLeft w:val="0"/>
      <w:marRight w:val="0"/>
      <w:marTop w:val="100"/>
      <w:marBottom w:val="240"/>
      <w:divBdr>
        <w:top w:val="none" w:sz="0" w:space="0" w:color="auto"/>
        <w:left w:val="none" w:sz="0" w:space="0" w:color="auto"/>
        <w:bottom w:val="none" w:sz="0" w:space="0" w:color="auto"/>
        <w:right w:val="none" w:sz="0" w:space="0" w:color="auto"/>
      </w:divBdr>
    </w:div>
    <w:div w:id="145511634">
      <w:marLeft w:val="0"/>
      <w:marRight w:val="0"/>
      <w:marTop w:val="100"/>
      <w:marBottom w:val="240"/>
      <w:divBdr>
        <w:top w:val="none" w:sz="0" w:space="0" w:color="auto"/>
        <w:left w:val="none" w:sz="0" w:space="0" w:color="auto"/>
        <w:bottom w:val="none" w:sz="0" w:space="0" w:color="auto"/>
        <w:right w:val="none" w:sz="0" w:space="0" w:color="auto"/>
      </w:divBdr>
    </w:div>
    <w:div w:id="145978244">
      <w:marLeft w:val="0"/>
      <w:marRight w:val="0"/>
      <w:marTop w:val="0"/>
      <w:marBottom w:val="240"/>
      <w:divBdr>
        <w:top w:val="none" w:sz="0" w:space="0" w:color="auto"/>
        <w:left w:val="none" w:sz="0" w:space="0" w:color="auto"/>
        <w:bottom w:val="none" w:sz="0" w:space="0" w:color="auto"/>
        <w:right w:val="none" w:sz="0" w:space="0" w:color="auto"/>
      </w:divBdr>
    </w:div>
    <w:div w:id="148331483">
      <w:marLeft w:val="0"/>
      <w:marRight w:val="0"/>
      <w:marTop w:val="0"/>
      <w:marBottom w:val="180"/>
      <w:divBdr>
        <w:top w:val="none" w:sz="0" w:space="0" w:color="auto"/>
        <w:left w:val="none" w:sz="0" w:space="0" w:color="auto"/>
        <w:bottom w:val="none" w:sz="0" w:space="0" w:color="auto"/>
        <w:right w:val="none" w:sz="0" w:space="0" w:color="auto"/>
      </w:divBdr>
    </w:div>
    <w:div w:id="150144520">
      <w:marLeft w:val="0"/>
      <w:marRight w:val="0"/>
      <w:marTop w:val="100"/>
      <w:marBottom w:val="240"/>
      <w:divBdr>
        <w:top w:val="none" w:sz="0" w:space="0" w:color="auto"/>
        <w:left w:val="none" w:sz="0" w:space="0" w:color="auto"/>
        <w:bottom w:val="none" w:sz="0" w:space="0" w:color="auto"/>
        <w:right w:val="none" w:sz="0" w:space="0" w:color="auto"/>
      </w:divBdr>
    </w:div>
    <w:div w:id="151945157">
      <w:marLeft w:val="0"/>
      <w:marRight w:val="0"/>
      <w:marTop w:val="0"/>
      <w:marBottom w:val="60"/>
      <w:divBdr>
        <w:top w:val="none" w:sz="0" w:space="0" w:color="auto"/>
        <w:left w:val="none" w:sz="0" w:space="0" w:color="auto"/>
        <w:bottom w:val="none" w:sz="0" w:space="0" w:color="auto"/>
        <w:right w:val="none" w:sz="0" w:space="0" w:color="auto"/>
      </w:divBdr>
    </w:div>
    <w:div w:id="161745438">
      <w:marLeft w:val="0"/>
      <w:marRight w:val="0"/>
      <w:marTop w:val="160"/>
      <w:marBottom w:val="160"/>
      <w:divBdr>
        <w:top w:val="none" w:sz="0" w:space="0" w:color="auto"/>
        <w:left w:val="none" w:sz="0" w:space="0" w:color="auto"/>
        <w:bottom w:val="none" w:sz="0" w:space="0" w:color="auto"/>
        <w:right w:val="none" w:sz="0" w:space="0" w:color="auto"/>
      </w:divBdr>
    </w:div>
    <w:div w:id="169955410">
      <w:marLeft w:val="0"/>
      <w:marRight w:val="0"/>
      <w:marTop w:val="0"/>
      <w:marBottom w:val="0"/>
      <w:divBdr>
        <w:top w:val="none" w:sz="0" w:space="0" w:color="auto"/>
        <w:left w:val="none" w:sz="0" w:space="0" w:color="auto"/>
        <w:bottom w:val="none" w:sz="0" w:space="0" w:color="auto"/>
        <w:right w:val="none" w:sz="0" w:space="0" w:color="auto"/>
      </w:divBdr>
      <w:divsChild>
        <w:div w:id="83108205">
          <w:marLeft w:val="0"/>
          <w:marRight w:val="0"/>
          <w:marTop w:val="160"/>
          <w:marBottom w:val="0"/>
          <w:divBdr>
            <w:top w:val="none" w:sz="0" w:space="0" w:color="auto"/>
            <w:left w:val="none" w:sz="0" w:space="0" w:color="auto"/>
            <w:bottom w:val="none" w:sz="0" w:space="0" w:color="auto"/>
            <w:right w:val="none" w:sz="0" w:space="0" w:color="auto"/>
          </w:divBdr>
        </w:div>
        <w:div w:id="1924298373">
          <w:marLeft w:val="0"/>
          <w:marRight w:val="0"/>
          <w:marTop w:val="0"/>
          <w:marBottom w:val="120"/>
          <w:divBdr>
            <w:top w:val="none" w:sz="0" w:space="0" w:color="auto"/>
            <w:left w:val="none" w:sz="0" w:space="0" w:color="auto"/>
            <w:bottom w:val="none" w:sz="0" w:space="0" w:color="auto"/>
            <w:right w:val="none" w:sz="0" w:space="0" w:color="auto"/>
          </w:divBdr>
        </w:div>
      </w:divsChild>
    </w:div>
    <w:div w:id="170801486">
      <w:marLeft w:val="0"/>
      <w:marRight w:val="0"/>
      <w:marTop w:val="0"/>
      <w:marBottom w:val="0"/>
      <w:divBdr>
        <w:top w:val="none" w:sz="0" w:space="0" w:color="auto"/>
        <w:left w:val="none" w:sz="0" w:space="0" w:color="auto"/>
        <w:bottom w:val="none" w:sz="0" w:space="0" w:color="auto"/>
        <w:right w:val="none" w:sz="0" w:space="0" w:color="auto"/>
      </w:divBdr>
      <w:divsChild>
        <w:div w:id="248201674">
          <w:marLeft w:val="0"/>
          <w:marRight w:val="0"/>
          <w:marTop w:val="0"/>
          <w:marBottom w:val="0"/>
          <w:divBdr>
            <w:top w:val="none" w:sz="0" w:space="0" w:color="auto"/>
            <w:left w:val="none" w:sz="0" w:space="0" w:color="auto"/>
            <w:bottom w:val="none" w:sz="0" w:space="0" w:color="auto"/>
            <w:right w:val="none" w:sz="0" w:space="0" w:color="auto"/>
          </w:divBdr>
        </w:div>
      </w:divsChild>
    </w:div>
    <w:div w:id="171604285">
      <w:marLeft w:val="0"/>
      <w:marRight w:val="0"/>
      <w:marTop w:val="0"/>
      <w:marBottom w:val="0"/>
      <w:divBdr>
        <w:top w:val="none" w:sz="0" w:space="0" w:color="auto"/>
        <w:left w:val="none" w:sz="0" w:space="0" w:color="auto"/>
        <w:bottom w:val="none" w:sz="0" w:space="0" w:color="auto"/>
        <w:right w:val="none" w:sz="0" w:space="0" w:color="auto"/>
      </w:divBdr>
    </w:div>
    <w:div w:id="176310975">
      <w:marLeft w:val="0"/>
      <w:marRight w:val="0"/>
      <w:marTop w:val="160"/>
      <w:marBottom w:val="0"/>
      <w:divBdr>
        <w:top w:val="none" w:sz="0" w:space="0" w:color="auto"/>
        <w:left w:val="none" w:sz="0" w:space="0" w:color="auto"/>
        <w:bottom w:val="none" w:sz="0" w:space="0" w:color="auto"/>
        <w:right w:val="none" w:sz="0" w:space="0" w:color="auto"/>
      </w:divBdr>
    </w:div>
    <w:div w:id="177349805">
      <w:marLeft w:val="0"/>
      <w:marRight w:val="0"/>
      <w:marTop w:val="0"/>
      <w:marBottom w:val="240"/>
      <w:divBdr>
        <w:top w:val="none" w:sz="0" w:space="0" w:color="auto"/>
        <w:left w:val="none" w:sz="0" w:space="0" w:color="auto"/>
        <w:bottom w:val="none" w:sz="0" w:space="0" w:color="auto"/>
        <w:right w:val="none" w:sz="0" w:space="0" w:color="auto"/>
      </w:divBdr>
    </w:div>
    <w:div w:id="185603622">
      <w:marLeft w:val="0"/>
      <w:marRight w:val="0"/>
      <w:marTop w:val="160"/>
      <w:marBottom w:val="160"/>
      <w:divBdr>
        <w:top w:val="none" w:sz="0" w:space="0" w:color="auto"/>
        <w:left w:val="none" w:sz="0" w:space="0" w:color="auto"/>
        <w:bottom w:val="none" w:sz="0" w:space="0" w:color="auto"/>
        <w:right w:val="none" w:sz="0" w:space="0" w:color="auto"/>
      </w:divBdr>
    </w:div>
    <w:div w:id="185868439">
      <w:marLeft w:val="0"/>
      <w:marRight w:val="0"/>
      <w:marTop w:val="66"/>
      <w:marBottom w:val="0"/>
      <w:divBdr>
        <w:top w:val="none" w:sz="0" w:space="0" w:color="auto"/>
        <w:left w:val="none" w:sz="0" w:space="0" w:color="auto"/>
        <w:bottom w:val="none" w:sz="0" w:space="0" w:color="auto"/>
        <w:right w:val="none" w:sz="0" w:space="0" w:color="auto"/>
      </w:divBdr>
    </w:div>
    <w:div w:id="192231331">
      <w:marLeft w:val="0"/>
      <w:marRight w:val="0"/>
      <w:marTop w:val="0"/>
      <w:marBottom w:val="0"/>
      <w:divBdr>
        <w:top w:val="none" w:sz="0" w:space="0" w:color="auto"/>
        <w:left w:val="none" w:sz="0" w:space="0" w:color="auto"/>
        <w:bottom w:val="none" w:sz="0" w:space="0" w:color="auto"/>
        <w:right w:val="none" w:sz="0" w:space="0" w:color="auto"/>
      </w:divBdr>
      <w:divsChild>
        <w:div w:id="1249118063">
          <w:marLeft w:val="0"/>
          <w:marRight w:val="0"/>
          <w:marTop w:val="160"/>
          <w:marBottom w:val="0"/>
          <w:divBdr>
            <w:top w:val="none" w:sz="0" w:space="0" w:color="auto"/>
            <w:left w:val="none" w:sz="0" w:space="0" w:color="auto"/>
            <w:bottom w:val="none" w:sz="0" w:space="0" w:color="auto"/>
            <w:right w:val="none" w:sz="0" w:space="0" w:color="auto"/>
          </w:divBdr>
        </w:div>
        <w:div w:id="705563190">
          <w:marLeft w:val="0"/>
          <w:marRight w:val="0"/>
          <w:marTop w:val="60"/>
          <w:marBottom w:val="60"/>
          <w:divBdr>
            <w:top w:val="none" w:sz="0" w:space="0" w:color="auto"/>
            <w:left w:val="none" w:sz="0" w:space="0" w:color="auto"/>
            <w:bottom w:val="none" w:sz="0" w:space="0" w:color="auto"/>
            <w:right w:val="none" w:sz="0" w:space="0" w:color="auto"/>
          </w:divBdr>
        </w:div>
        <w:div w:id="944531920">
          <w:marLeft w:val="0"/>
          <w:marRight w:val="0"/>
          <w:marTop w:val="60"/>
          <w:marBottom w:val="60"/>
          <w:divBdr>
            <w:top w:val="none" w:sz="0" w:space="0" w:color="auto"/>
            <w:left w:val="none" w:sz="0" w:space="0" w:color="auto"/>
            <w:bottom w:val="none" w:sz="0" w:space="0" w:color="auto"/>
            <w:right w:val="none" w:sz="0" w:space="0" w:color="auto"/>
          </w:divBdr>
        </w:div>
        <w:div w:id="159976629">
          <w:marLeft w:val="0"/>
          <w:marRight w:val="0"/>
          <w:marTop w:val="60"/>
          <w:marBottom w:val="60"/>
          <w:divBdr>
            <w:top w:val="none" w:sz="0" w:space="0" w:color="auto"/>
            <w:left w:val="none" w:sz="0" w:space="0" w:color="auto"/>
            <w:bottom w:val="none" w:sz="0" w:space="0" w:color="auto"/>
            <w:right w:val="none" w:sz="0" w:space="0" w:color="auto"/>
          </w:divBdr>
        </w:div>
      </w:divsChild>
    </w:div>
    <w:div w:id="192883694">
      <w:marLeft w:val="0"/>
      <w:marRight w:val="0"/>
      <w:marTop w:val="160"/>
      <w:marBottom w:val="160"/>
      <w:divBdr>
        <w:top w:val="none" w:sz="0" w:space="0" w:color="auto"/>
        <w:left w:val="none" w:sz="0" w:space="0" w:color="auto"/>
        <w:bottom w:val="none" w:sz="0" w:space="0" w:color="auto"/>
        <w:right w:val="none" w:sz="0" w:space="0" w:color="auto"/>
      </w:divBdr>
    </w:div>
    <w:div w:id="198784410">
      <w:marLeft w:val="0"/>
      <w:marRight w:val="0"/>
      <w:marTop w:val="180"/>
      <w:marBottom w:val="160"/>
      <w:divBdr>
        <w:top w:val="none" w:sz="0" w:space="0" w:color="auto"/>
        <w:left w:val="none" w:sz="0" w:space="0" w:color="auto"/>
        <w:bottom w:val="none" w:sz="0" w:space="0" w:color="auto"/>
        <w:right w:val="none" w:sz="0" w:space="0" w:color="auto"/>
      </w:divBdr>
    </w:div>
    <w:div w:id="199125375">
      <w:marLeft w:val="0"/>
      <w:marRight w:val="0"/>
      <w:marTop w:val="0"/>
      <w:marBottom w:val="240"/>
      <w:divBdr>
        <w:top w:val="none" w:sz="0" w:space="0" w:color="auto"/>
        <w:left w:val="none" w:sz="0" w:space="0" w:color="auto"/>
        <w:bottom w:val="none" w:sz="0" w:space="0" w:color="auto"/>
        <w:right w:val="none" w:sz="0" w:space="0" w:color="auto"/>
      </w:divBdr>
    </w:div>
    <w:div w:id="199172060">
      <w:marLeft w:val="0"/>
      <w:marRight w:val="0"/>
      <w:marTop w:val="160"/>
      <w:marBottom w:val="240"/>
      <w:divBdr>
        <w:top w:val="none" w:sz="0" w:space="0" w:color="auto"/>
        <w:left w:val="none" w:sz="0" w:space="0" w:color="auto"/>
        <w:bottom w:val="none" w:sz="0" w:space="0" w:color="auto"/>
        <w:right w:val="none" w:sz="0" w:space="0" w:color="auto"/>
      </w:divBdr>
    </w:div>
    <w:div w:id="200169798">
      <w:marLeft w:val="0"/>
      <w:marRight w:val="0"/>
      <w:marTop w:val="0"/>
      <w:marBottom w:val="240"/>
      <w:divBdr>
        <w:top w:val="none" w:sz="0" w:space="0" w:color="auto"/>
        <w:left w:val="none" w:sz="0" w:space="0" w:color="auto"/>
        <w:bottom w:val="none" w:sz="0" w:space="0" w:color="auto"/>
        <w:right w:val="none" w:sz="0" w:space="0" w:color="auto"/>
      </w:divBdr>
    </w:div>
    <w:div w:id="204370588">
      <w:marLeft w:val="0"/>
      <w:marRight w:val="0"/>
      <w:marTop w:val="0"/>
      <w:marBottom w:val="160"/>
      <w:divBdr>
        <w:top w:val="none" w:sz="0" w:space="0" w:color="auto"/>
        <w:left w:val="none" w:sz="0" w:space="0" w:color="auto"/>
        <w:bottom w:val="none" w:sz="0" w:space="0" w:color="auto"/>
        <w:right w:val="none" w:sz="0" w:space="0" w:color="auto"/>
      </w:divBdr>
    </w:div>
    <w:div w:id="210196580">
      <w:marLeft w:val="0"/>
      <w:marRight w:val="0"/>
      <w:marTop w:val="160"/>
      <w:marBottom w:val="160"/>
      <w:divBdr>
        <w:top w:val="none" w:sz="0" w:space="0" w:color="auto"/>
        <w:left w:val="none" w:sz="0" w:space="0" w:color="auto"/>
        <w:bottom w:val="none" w:sz="0" w:space="0" w:color="auto"/>
        <w:right w:val="none" w:sz="0" w:space="0" w:color="auto"/>
      </w:divBdr>
    </w:div>
    <w:div w:id="217086139">
      <w:marLeft w:val="0"/>
      <w:marRight w:val="0"/>
      <w:marTop w:val="0"/>
      <w:marBottom w:val="180"/>
      <w:divBdr>
        <w:top w:val="none" w:sz="0" w:space="0" w:color="auto"/>
        <w:left w:val="none" w:sz="0" w:space="0" w:color="auto"/>
        <w:bottom w:val="none" w:sz="0" w:space="0" w:color="auto"/>
        <w:right w:val="none" w:sz="0" w:space="0" w:color="auto"/>
      </w:divBdr>
    </w:div>
    <w:div w:id="218128151">
      <w:marLeft w:val="0"/>
      <w:marRight w:val="0"/>
      <w:marTop w:val="0"/>
      <w:marBottom w:val="240"/>
      <w:divBdr>
        <w:top w:val="none" w:sz="0" w:space="0" w:color="auto"/>
        <w:left w:val="none" w:sz="0" w:space="0" w:color="auto"/>
        <w:bottom w:val="none" w:sz="0" w:space="0" w:color="auto"/>
        <w:right w:val="none" w:sz="0" w:space="0" w:color="auto"/>
      </w:divBdr>
    </w:div>
    <w:div w:id="220676922">
      <w:marLeft w:val="0"/>
      <w:marRight w:val="0"/>
      <w:marTop w:val="0"/>
      <w:marBottom w:val="180"/>
      <w:divBdr>
        <w:top w:val="none" w:sz="0" w:space="0" w:color="auto"/>
        <w:left w:val="none" w:sz="0" w:space="0" w:color="auto"/>
        <w:bottom w:val="none" w:sz="0" w:space="0" w:color="auto"/>
        <w:right w:val="none" w:sz="0" w:space="0" w:color="auto"/>
      </w:divBdr>
    </w:div>
    <w:div w:id="221992286">
      <w:marLeft w:val="0"/>
      <w:marRight w:val="0"/>
      <w:marTop w:val="100"/>
      <w:marBottom w:val="100"/>
      <w:divBdr>
        <w:top w:val="none" w:sz="0" w:space="0" w:color="auto"/>
        <w:left w:val="none" w:sz="0" w:space="0" w:color="auto"/>
        <w:bottom w:val="none" w:sz="0" w:space="0" w:color="auto"/>
        <w:right w:val="none" w:sz="0" w:space="0" w:color="auto"/>
      </w:divBdr>
      <w:divsChild>
        <w:div w:id="78403557">
          <w:marLeft w:val="0"/>
          <w:marRight w:val="0"/>
          <w:marTop w:val="0"/>
          <w:marBottom w:val="0"/>
          <w:divBdr>
            <w:top w:val="none" w:sz="0" w:space="0" w:color="auto"/>
            <w:left w:val="none" w:sz="0" w:space="0" w:color="auto"/>
            <w:bottom w:val="none" w:sz="0" w:space="0" w:color="auto"/>
            <w:right w:val="none" w:sz="0" w:space="0" w:color="auto"/>
          </w:divBdr>
        </w:div>
      </w:divsChild>
    </w:div>
    <w:div w:id="227226879">
      <w:marLeft w:val="0"/>
      <w:marRight w:val="0"/>
      <w:marTop w:val="80"/>
      <w:marBottom w:val="0"/>
      <w:divBdr>
        <w:top w:val="none" w:sz="0" w:space="0" w:color="auto"/>
        <w:left w:val="none" w:sz="0" w:space="0" w:color="auto"/>
        <w:bottom w:val="none" w:sz="0" w:space="0" w:color="auto"/>
        <w:right w:val="none" w:sz="0" w:space="0" w:color="auto"/>
      </w:divBdr>
    </w:div>
    <w:div w:id="233124064">
      <w:marLeft w:val="0"/>
      <w:marRight w:val="0"/>
      <w:marTop w:val="0"/>
      <w:marBottom w:val="0"/>
      <w:divBdr>
        <w:top w:val="none" w:sz="0" w:space="0" w:color="auto"/>
        <w:left w:val="none" w:sz="0" w:space="0" w:color="auto"/>
        <w:bottom w:val="none" w:sz="0" w:space="0" w:color="auto"/>
        <w:right w:val="none" w:sz="0" w:space="0" w:color="auto"/>
      </w:divBdr>
      <w:divsChild>
        <w:div w:id="1703283397">
          <w:marLeft w:val="0"/>
          <w:marRight w:val="0"/>
          <w:marTop w:val="160"/>
          <w:marBottom w:val="0"/>
          <w:divBdr>
            <w:top w:val="none" w:sz="0" w:space="0" w:color="auto"/>
            <w:left w:val="none" w:sz="0" w:space="0" w:color="auto"/>
            <w:bottom w:val="none" w:sz="0" w:space="0" w:color="auto"/>
            <w:right w:val="none" w:sz="0" w:space="0" w:color="auto"/>
          </w:divBdr>
        </w:div>
        <w:div w:id="901676186">
          <w:marLeft w:val="0"/>
          <w:marRight w:val="0"/>
          <w:marTop w:val="60"/>
          <w:marBottom w:val="60"/>
          <w:divBdr>
            <w:top w:val="none" w:sz="0" w:space="0" w:color="auto"/>
            <w:left w:val="none" w:sz="0" w:space="0" w:color="auto"/>
            <w:bottom w:val="none" w:sz="0" w:space="0" w:color="auto"/>
            <w:right w:val="none" w:sz="0" w:space="0" w:color="auto"/>
          </w:divBdr>
        </w:div>
        <w:div w:id="1208570664">
          <w:marLeft w:val="0"/>
          <w:marRight w:val="0"/>
          <w:marTop w:val="60"/>
          <w:marBottom w:val="60"/>
          <w:divBdr>
            <w:top w:val="none" w:sz="0" w:space="0" w:color="auto"/>
            <w:left w:val="none" w:sz="0" w:space="0" w:color="auto"/>
            <w:bottom w:val="none" w:sz="0" w:space="0" w:color="auto"/>
            <w:right w:val="none" w:sz="0" w:space="0" w:color="auto"/>
          </w:divBdr>
        </w:div>
        <w:div w:id="1178932049">
          <w:marLeft w:val="0"/>
          <w:marRight w:val="0"/>
          <w:marTop w:val="60"/>
          <w:marBottom w:val="60"/>
          <w:divBdr>
            <w:top w:val="none" w:sz="0" w:space="0" w:color="auto"/>
            <w:left w:val="none" w:sz="0" w:space="0" w:color="auto"/>
            <w:bottom w:val="none" w:sz="0" w:space="0" w:color="auto"/>
            <w:right w:val="none" w:sz="0" w:space="0" w:color="auto"/>
          </w:divBdr>
        </w:div>
      </w:divsChild>
    </w:div>
    <w:div w:id="233666821">
      <w:marLeft w:val="0"/>
      <w:marRight w:val="0"/>
      <w:marTop w:val="0"/>
      <w:marBottom w:val="240"/>
      <w:divBdr>
        <w:top w:val="none" w:sz="0" w:space="0" w:color="auto"/>
        <w:left w:val="none" w:sz="0" w:space="0" w:color="auto"/>
        <w:bottom w:val="none" w:sz="0" w:space="0" w:color="auto"/>
        <w:right w:val="none" w:sz="0" w:space="0" w:color="auto"/>
      </w:divBdr>
    </w:div>
    <w:div w:id="235671787">
      <w:marLeft w:val="0"/>
      <w:marRight w:val="0"/>
      <w:marTop w:val="0"/>
      <w:marBottom w:val="240"/>
      <w:divBdr>
        <w:top w:val="none" w:sz="0" w:space="0" w:color="auto"/>
        <w:left w:val="none" w:sz="0" w:space="0" w:color="auto"/>
        <w:bottom w:val="none" w:sz="0" w:space="0" w:color="auto"/>
        <w:right w:val="none" w:sz="0" w:space="0" w:color="auto"/>
      </w:divBdr>
    </w:div>
    <w:div w:id="239992840">
      <w:marLeft w:val="0"/>
      <w:marRight w:val="0"/>
      <w:marTop w:val="240"/>
      <w:marBottom w:val="40"/>
      <w:divBdr>
        <w:top w:val="none" w:sz="0" w:space="0" w:color="auto"/>
        <w:left w:val="none" w:sz="0" w:space="0" w:color="auto"/>
        <w:bottom w:val="none" w:sz="0" w:space="0" w:color="auto"/>
        <w:right w:val="none" w:sz="0" w:space="0" w:color="auto"/>
      </w:divBdr>
    </w:div>
    <w:div w:id="243145213">
      <w:marLeft w:val="0"/>
      <w:marRight w:val="0"/>
      <w:marTop w:val="260"/>
      <w:marBottom w:val="260"/>
      <w:divBdr>
        <w:top w:val="none" w:sz="0" w:space="0" w:color="auto"/>
        <w:left w:val="none" w:sz="0" w:space="0" w:color="auto"/>
        <w:bottom w:val="none" w:sz="0" w:space="0" w:color="auto"/>
        <w:right w:val="none" w:sz="0" w:space="0" w:color="auto"/>
      </w:divBdr>
    </w:div>
    <w:div w:id="243147941">
      <w:marLeft w:val="0"/>
      <w:marRight w:val="0"/>
      <w:marTop w:val="0"/>
      <w:marBottom w:val="160"/>
      <w:divBdr>
        <w:top w:val="none" w:sz="0" w:space="0" w:color="auto"/>
        <w:left w:val="none" w:sz="0" w:space="0" w:color="auto"/>
        <w:bottom w:val="none" w:sz="0" w:space="0" w:color="auto"/>
        <w:right w:val="none" w:sz="0" w:space="0" w:color="auto"/>
      </w:divBdr>
    </w:div>
    <w:div w:id="245500791">
      <w:marLeft w:val="0"/>
      <w:marRight w:val="0"/>
      <w:marTop w:val="0"/>
      <w:marBottom w:val="240"/>
      <w:divBdr>
        <w:top w:val="none" w:sz="0" w:space="0" w:color="auto"/>
        <w:left w:val="none" w:sz="0" w:space="0" w:color="auto"/>
        <w:bottom w:val="none" w:sz="0" w:space="0" w:color="auto"/>
        <w:right w:val="none" w:sz="0" w:space="0" w:color="auto"/>
      </w:divBdr>
    </w:div>
    <w:div w:id="245769013">
      <w:marLeft w:val="0"/>
      <w:marRight w:val="0"/>
      <w:marTop w:val="0"/>
      <w:marBottom w:val="0"/>
      <w:divBdr>
        <w:top w:val="none" w:sz="0" w:space="0" w:color="auto"/>
        <w:left w:val="none" w:sz="0" w:space="0" w:color="auto"/>
        <w:bottom w:val="none" w:sz="0" w:space="0" w:color="auto"/>
        <w:right w:val="none" w:sz="0" w:space="0" w:color="auto"/>
      </w:divBdr>
      <w:divsChild>
        <w:div w:id="220531056">
          <w:marLeft w:val="0"/>
          <w:marRight w:val="0"/>
          <w:marTop w:val="160"/>
          <w:marBottom w:val="0"/>
          <w:divBdr>
            <w:top w:val="none" w:sz="0" w:space="0" w:color="auto"/>
            <w:left w:val="none" w:sz="0" w:space="0" w:color="auto"/>
            <w:bottom w:val="none" w:sz="0" w:space="0" w:color="auto"/>
            <w:right w:val="none" w:sz="0" w:space="0" w:color="auto"/>
          </w:divBdr>
        </w:div>
        <w:div w:id="337392852">
          <w:marLeft w:val="0"/>
          <w:marRight w:val="0"/>
          <w:marTop w:val="60"/>
          <w:marBottom w:val="60"/>
          <w:divBdr>
            <w:top w:val="none" w:sz="0" w:space="0" w:color="auto"/>
            <w:left w:val="none" w:sz="0" w:space="0" w:color="auto"/>
            <w:bottom w:val="none" w:sz="0" w:space="0" w:color="auto"/>
            <w:right w:val="none" w:sz="0" w:space="0" w:color="auto"/>
          </w:divBdr>
        </w:div>
        <w:div w:id="1297829630">
          <w:marLeft w:val="0"/>
          <w:marRight w:val="0"/>
          <w:marTop w:val="60"/>
          <w:marBottom w:val="60"/>
          <w:divBdr>
            <w:top w:val="none" w:sz="0" w:space="0" w:color="auto"/>
            <w:left w:val="none" w:sz="0" w:space="0" w:color="auto"/>
            <w:bottom w:val="none" w:sz="0" w:space="0" w:color="auto"/>
            <w:right w:val="none" w:sz="0" w:space="0" w:color="auto"/>
          </w:divBdr>
        </w:div>
        <w:div w:id="100416213">
          <w:marLeft w:val="0"/>
          <w:marRight w:val="0"/>
          <w:marTop w:val="60"/>
          <w:marBottom w:val="60"/>
          <w:divBdr>
            <w:top w:val="none" w:sz="0" w:space="0" w:color="auto"/>
            <w:left w:val="none" w:sz="0" w:space="0" w:color="auto"/>
            <w:bottom w:val="none" w:sz="0" w:space="0" w:color="auto"/>
            <w:right w:val="none" w:sz="0" w:space="0" w:color="auto"/>
          </w:divBdr>
        </w:div>
      </w:divsChild>
    </w:div>
    <w:div w:id="251550161">
      <w:marLeft w:val="0"/>
      <w:marRight w:val="0"/>
      <w:marTop w:val="160"/>
      <w:marBottom w:val="160"/>
      <w:divBdr>
        <w:top w:val="none" w:sz="0" w:space="0" w:color="auto"/>
        <w:left w:val="none" w:sz="0" w:space="0" w:color="auto"/>
        <w:bottom w:val="none" w:sz="0" w:space="0" w:color="auto"/>
        <w:right w:val="none" w:sz="0" w:space="0" w:color="auto"/>
      </w:divBdr>
    </w:div>
    <w:div w:id="253709733">
      <w:marLeft w:val="0"/>
      <w:marRight w:val="0"/>
      <w:marTop w:val="100"/>
      <w:marBottom w:val="240"/>
      <w:divBdr>
        <w:top w:val="none" w:sz="0" w:space="0" w:color="auto"/>
        <w:left w:val="none" w:sz="0" w:space="0" w:color="auto"/>
        <w:bottom w:val="none" w:sz="0" w:space="0" w:color="auto"/>
        <w:right w:val="none" w:sz="0" w:space="0" w:color="auto"/>
      </w:divBdr>
    </w:div>
    <w:div w:id="254901796">
      <w:marLeft w:val="0"/>
      <w:marRight w:val="0"/>
      <w:marTop w:val="0"/>
      <w:marBottom w:val="0"/>
      <w:divBdr>
        <w:top w:val="none" w:sz="0" w:space="0" w:color="auto"/>
        <w:left w:val="none" w:sz="0" w:space="0" w:color="auto"/>
        <w:bottom w:val="none" w:sz="0" w:space="0" w:color="auto"/>
        <w:right w:val="none" w:sz="0" w:space="0" w:color="auto"/>
      </w:divBdr>
      <w:divsChild>
        <w:div w:id="1769424654">
          <w:marLeft w:val="0"/>
          <w:marRight w:val="0"/>
          <w:marTop w:val="0"/>
          <w:marBottom w:val="0"/>
          <w:divBdr>
            <w:top w:val="none" w:sz="0" w:space="0" w:color="auto"/>
            <w:left w:val="none" w:sz="0" w:space="0" w:color="auto"/>
            <w:bottom w:val="none" w:sz="0" w:space="0" w:color="auto"/>
            <w:right w:val="none" w:sz="0" w:space="0" w:color="auto"/>
          </w:divBdr>
        </w:div>
      </w:divsChild>
    </w:div>
    <w:div w:id="262417340">
      <w:marLeft w:val="0"/>
      <w:marRight w:val="0"/>
      <w:marTop w:val="0"/>
      <w:marBottom w:val="0"/>
      <w:divBdr>
        <w:top w:val="none" w:sz="0" w:space="0" w:color="auto"/>
        <w:left w:val="none" w:sz="0" w:space="0" w:color="auto"/>
        <w:bottom w:val="none" w:sz="0" w:space="0" w:color="auto"/>
        <w:right w:val="none" w:sz="0" w:space="0" w:color="auto"/>
      </w:divBdr>
    </w:div>
    <w:div w:id="265888333">
      <w:marLeft w:val="0"/>
      <w:marRight w:val="0"/>
      <w:marTop w:val="0"/>
      <w:marBottom w:val="0"/>
      <w:divBdr>
        <w:top w:val="none" w:sz="0" w:space="0" w:color="auto"/>
        <w:left w:val="none" w:sz="0" w:space="0" w:color="auto"/>
        <w:bottom w:val="none" w:sz="0" w:space="0" w:color="auto"/>
        <w:right w:val="none" w:sz="0" w:space="0" w:color="auto"/>
      </w:divBdr>
      <w:divsChild>
        <w:div w:id="128058695">
          <w:marLeft w:val="0"/>
          <w:marRight w:val="0"/>
          <w:marTop w:val="160"/>
          <w:marBottom w:val="160"/>
          <w:divBdr>
            <w:top w:val="none" w:sz="0" w:space="0" w:color="auto"/>
            <w:left w:val="none" w:sz="0" w:space="0" w:color="auto"/>
            <w:bottom w:val="none" w:sz="0" w:space="0" w:color="auto"/>
            <w:right w:val="none" w:sz="0" w:space="0" w:color="auto"/>
          </w:divBdr>
        </w:div>
      </w:divsChild>
    </w:div>
    <w:div w:id="269747935">
      <w:marLeft w:val="0"/>
      <w:marRight w:val="0"/>
      <w:marTop w:val="0"/>
      <w:marBottom w:val="0"/>
      <w:divBdr>
        <w:top w:val="none" w:sz="0" w:space="0" w:color="auto"/>
        <w:left w:val="none" w:sz="0" w:space="0" w:color="auto"/>
        <w:bottom w:val="none" w:sz="0" w:space="0" w:color="auto"/>
        <w:right w:val="none" w:sz="0" w:space="0" w:color="auto"/>
      </w:divBdr>
      <w:divsChild>
        <w:div w:id="1156799451">
          <w:marLeft w:val="0"/>
          <w:marRight w:val="0"/>
          <w:marTop w:val="160"/>
          <w:marBottom w:val="160"/>
          <w:divBdr>
            <w:top w:val="none" w:sz="0" w:space="0" w:color="auto"/>
            <w:left w:val="none" w:sz="0" w:space="0" w:color="auto"/>
            <w:bottom w:val="none" w:sz="0" w:space="0" w:color="auto"/>
            <w:right w:val="none" w:sz="0" w:space="0" w:color="auto"/>
          </w:divBdr>
        </w:div>
      </w:divsChild>
    </w:div>
    <w:div w:id="270284967">
      <w:marLeft w:val="0"/>
      <w:marRight w:val="0"/>
      <w:marTop w:val="60"/>
      <w:marBottom w:val="240"/>
      <w:divBdr>
        <w:top w:val="none" w:sz="0" w:space="0" w:color="auto"/>
        <w:left w:val="none" w:sz="0" w:space="0" w:color="auto"/>
        <w:bottom w:val="none" w:sz="0" w:space="0" w:color="auto"/>
        <w:right w:val="none" w:sz="0" w:space="0" w:color="auto"/>
      </w:divBdr>
    </w:div>
    <w:div w:id="272446581">
      <w:marLeft w:val="0"/>
      <w:marRight w:val="0"/>
      <w:marTop w:val="100"/>
      <w:marBottom w:val="240"/>
      <w:divBdr>
        <w:top w:val="none" w:sz="0" w:space="0" w:color="auto"/>
        <w:left w:val="none" w:sz="0" w:space="0" w:color="auto"/>
        <w:bottom w:val="none" w:sz="0" w:space="0" w:color="auto"/>
        <w:right w:val="none" w:sz="0" w:space="0" w:color="auto"/>
      </w:divBdr>
    </w:div>
    <w:div w:id="273447132">
      <w:marLeft w:val="0"/>
      <w:marRight w:val="0"/>
      <w:marTop w:val="160"/>
      <w:marBottom w:val="160"/>
      <w:divBdr>
        <w:top w:val="none" w:sz="0" w:space="0" w:color="auto"/>
        <w:left w:val="none" w:sz="0" w:space="0" w:color="auto"/>
        <w:bottom w:val="none" w:sz="0" w:space="0" w:color="auto"/>
        <w:right w:val="none" w:sz="0" w:space="0" w:color="auto"/>
      </w:divBdr>
    </w:div>
    <w:div w:id="278612874">
      <w:marLeft w:val="0"/>
      <w:marRight w:val="0"/>
      <w:marTop w:val="100"/>
      <w:marBottom w:val="240"/>
      <w:divBdr>
        <w:top w:val="none" w:sz="0" w:space="0" w:color="auto"/>
        <w:left w:val="none" w:sz="0" w:space="0" w:color="auto"/>
        <w:bottom w:val="none" w:sz="0" w:space="0" w:color="auto"/>
        <w:right w:val="none" w:sz="0" w:space="0" w:color="auto"/>
      </w:divBdr>
    </w:div>
    <w:div w:id="279386989">
      <w:marLeft w:val="0"/>
      <w:marRight w:val="0"/>
      <w:marTop w:val="0"/>
      <w:marBottom w:val="240"/>
      <w:divBdr>
        <w:top w:val="none" w:sz="0" w:space="0" w:color="auto"/>
        <w:left w:val="none" w:sz="0" w:space="0" w:color="auto"/>
        <w:bottom w:val="none" w:sz="0" w:space="0" w:color="auto"/>
        <w:right w:val="none" w:sz="0" w:space="0" w:color="auto"/>
      </w:divBdr>
    </w:div>
    <w:div w:id="280692349">
      <w:marLeft w:val="0"/>
      <w:marRight w:val="0"/>
      <w:marTop w:val="0"/>
      <w:marBottom w:val="240"/>
      <w:divBdr>
        <w:top w:val="none" w:sz="0" w:space="0" w:color="auto"/>
        <w:left w:val="none" w:sz="0" w:space="0" w:color="auto"/>
        <w:bottom w:val="none" w:sz="0" w:space="0" w:color="auto"/>
        <w:right w:val="none" w:sz="0" w:space="0" w:color="auto"/>
      </w:divBdr>
    </w:div>
    <w:div w:id="283850220">
      <w:marLeft w:val="0"/>
      <w:marRight w:val="0"/>
      <w:marTop w:val="60"/>
      <w:marBottom w:val="160"/>
      <w:divBdr>
        <w:top w:val="none" w:sz="0" w:space="0" w:color="auto"/>
        <w:left w:val="none" w:sz="0" w:space="0" w:color="auto"/>
        <w:bottom w:val="none" w:sz="0" w:space="0" w:color="auto"/>
        <w:right w:val="none" w:sz="0" w:space="0" w:color="auto"/>
      </w:divBdr>
    </w:div>
    <w:div w:id="286589453">
      <w:marLeft w:val="0"/>
      <w:marRight w:val="0"/>
      <w:marTop w:val="0"/>
      <w:marBottom w:val="0"/>
      <w:divBdr>
        <w:top w:val="none" w:sz="0" w:space="0" w:color="auto"/>
        <w:left w:val="none" w:sz="0" w:space="0" w:color="auto"/>
        <w:bottom w:val="none" w:sz="0" w:space="0" w:color="auto"/>
        <w:right w:val="none" w:sz="0" w:space="0" w:color="auto"/>
      </w:divBdr>
      <w:divsChild>
        <w:div w:id="10303072">
          <w:marLeft w:val="0"/>
          <w:marRight w:val="0"/>
          <w:marTop w:val="160"/>
          <w:marBottom w:val="160"/>
          <w:divBdr>
            <w:top w:val="none" w:sz="0" w:space="0" w:color="auto"/>
            <w:left w:val="none" w:sz="0" w:space="0" w:color="auto"/>
            <w:bottom w:val="none" w:sz="0" w:space="0" w:color="auto"/>
            <w:right w:val="none" w:sz="0" w:space="0" w:color="auto"/>
          </w:divBdr>
        </w:div>
      </w:divsChild>
    </w:div>
    <w:div w:id="291178051">
      <w:marLeft w:val="0"/>
      <w:marRight w:val="0"/>
      <w:marTop w:val="0"/>
      <w:marBottom w:val="240"/>
      <w:divBdr>
        <w:top w:val="none" w:sz="0" w:space="0" w:color="auto"/>
        <w:left w:val="none" w:sz="0" w:space="0" w:color="auto"/>
        <w:bottom w:val="none" w:sz="0" w:space="0" w:color="auto"/>
        <w:right w:val="none" w:sz="0" w:space="0" w:color="auto"/>
      </w:divBdr>
    </w:div>
    <w:div w:id="291786107">
      <w:marLeft w:val="0"/>
      <w:marRight w:val="0"/>
      <w:marTop w:val="0"/>
      <w:marBottom w:val="0"/>
      <w:divBdr>
        <w:top w:val="none" w:sz="0" w:space="0" w:color="auto"/>
        <w:left w:val="none" w:sz="0" w:space="0" w:color="auto"/>
        <w:bottom w:val="none" w:sz="0" w:space="0" w:color="auto"/>
        <w:right w:val="none" w:sz="0" w:space="0" w:color="auto"/>
      </w:divBdr>
    </w:div>
    <w:div w:id="292561366">
      <w:marLeft w:val="0"/>
      <w:marRight w:val="0"/>
      <w:marTop w:val="0"/>
      <w:marBottom w:val="0"/>
      <w:divBdr>
        <w:top w:val="none" w:sz="0" w:space="0" w:color="auto"/>
        <w:left w:val="none" w:sz="0" w:space="0" w:color="auto"/>
        <w:bottom w:val="none" w:sz="0" w:space="0" w:color="auto"/>
        <w:right w:val="none" w:sz="0" w:space="0" w:color="auto"/>
      </w:divBdr>
      <w:divsChild>
        <w:div w:id="483011878">
          <w:marLeft w:val="0"/>
          <w:marRight w:val="0"/>
          <w:marTop w:val="0"/>
          <w:marBottom w:val="0"/>
          <w:divBdr>
            <w:top w:val="none" w:sz="0" w:space="0" w:color="auto"/>
            <w:left w:val="none" w:sz="0" w:space="0" w:color="auto"/>
            <w:bottom w:val="none" w:sz="0" w:space="0" w:color="auto"/>
            <w:right w:val="none" w:sz="0" w:space="0" w:color="auto"/>
          </w:divBdr>
        </w:div>
      </w:divsChild>
    </w:div>
    <w:div w:id="293757261">
      <w:marLeft w:val="0"/>
      <w:marRight w:val="0"/>
      <w:marTop w:val="0"/>
      <w:marBottom w:val="0"/>
      <w:divBdr>
        <w:top w:val="none" w:sz="0" w:space="0" w:color="auto"/>
        <w:left w:val="none" w:sz="0" w:space="0" w:color="auto"/>
        <w:bottom w:val="none" w:sz="0" w:space="0" w:color="auto"/>
        <w:right w:val="none" w:sz="0" w:space="0" w:color="auto"/>
      </w:divBdr>
      <w:divsChild>
        <w:div w:id="1445343629">
          <w:marLeft w:val="0"/>
          <w:marRight w:val="0"/>
          <w:marTop w:val="160"/>
          <w:marBottom w:val="160"/>
          <w:divBdr>
            <w:top w:val="none" w:sz="0" w:space="0" w:color="auto"/>
            <w:left w:val="none" w:sz="0" w:space="0" w:color="auto"/>
            <w:bottom w:val="none" w:sz="0" w:space="0" w:color="auto"/>
            <w:right w:val="none" w:sz="0" w:space="0" w:color="auto"/>
          </w:divBdr>
        </w:div>
      </w:divsChild>
    </w:div>
    <w:div w:id="297951621">
      <w:marLeft w:val="0"/>
      <w:marRight w:val="0"/>
      <w:marTop w:val="0"/>
      <w:marBottom w:val="0"/>
      <w:divBdr>
        <w:top w:val="none" w:sz="0" w:space="0" w:color="auto"/>
        <w:left w:val="none" w:sz="0" w:space="0" w:color="auto"/>
        <w:bottom w:val="none" w:sz="0" w:space="0" w:color="auto"/>
        <w:right w:val="none" w:sz="0" w:space="0" w:color="auto"/>
      </w:divBdr>
      <w:divsChild>
        <w:div w:id="620965748">
          <w:marLeft w:val="0"/>
          <w:marRight w:val="0"/>
          <w:marTop w:val="0"/>
          <w:marBottom w:val="0"/>
          <w:divBdr>
            <w:top w:val="none" w:sz="0" w:space="0" w:color="auto"/>
            <w:left w:val="none" w:sz="0" w:space="0" w:color="auto"/>
            <w:bottom w:val="none" w:sz="0" w:space="0" w:color="auto"/>
            <w:right w:val="none" w:sz="0" w:space="0" w:color="auto"/>
          </w:divBdr>
        </w:div>
      </w:divsChild>
    </w:div>
    <w:div w:id="304966782">
      <w:marLeft w:val="0"/>
      <w:marRight w:val="0"/>
      <w:marTop w:val="66"/>
      <w:marBottom w:val="0"/>
      <w:divBdr>
        <w:top w:val="none" w:sz="0" w:space="0" w:color="auto"/>
        <w:left w:val="none" w:sz="0" w:space="0" w:color="auto"/>
        <w:bottom w:val="none" w:sz="0" w:space="0" w:color="auto"/>
        <w:right w:val="none" w:sz="0" w:space="0" w:color="auto"/>
      </w:divBdr>
    </w:div>
    <w:div w:id="307051433">
      <w:marLeft w:val="0"/>
      <w:marRight w:val="0"/>
      <w:marTop w:val="160"/>
      <w:marBottom w:val="160"/>
      <w:divBdr>
        <w:top w:val="none" w:sz="0" w:space="0" w:color="auto"/>
        <w:left w:val="none" w:sz="0" w:space="0" w:color="auto"/>
        <w:bottom w:val="none" w:sz="0" w:space="0" w:color="auto"/>
        <w:right w:val="none" w:sz="0" w:space="0" w:color="auto"/>
      </w:divBdr>
    </w:div>
    <w:div w:id="308290936">
      <w:marLeft w:val="0"/>
      <w:marRight w:val="0"/>
      <w:marTop w:val="100"/>
      <w:marBottom w:val="100"/>
      <w:divBdr>
        <w:top w:val="none" w:sz="0" w:space="0" w:color="auto"/>
        <w:left w:val="none" w:sz="0" w:space="0" w:color="auto"/>
        <w:bottom w:val="none" w:sz="0" w:space="0" w:color="auto"/>
        <w:right w:val="none" w:sz="0" w:space="0" w:color="auto"/>
      </w:divBdr>
    </w:div>
    <w:div w:id="308829443">
      <w:marLeft w:val="0"/>
      <w:marRight w:val="0"/>
      <w:marTop w:val="0"/>
      <w:marBottom w:val="240"/>
      <w:divBdr>
        <w:top w:val="none" w:sz="0" w:space="0" w:color="auto"/>
        <w:left w:val="none" w:sz="0" w:space="0" w:color="auto"/>
        <w:bottom w:val="none" w:sz="0" w:space="0" w:color="auto"/>
        <w:right w:val="none" w:sz="0" w:space="0" w:color="auto"/>
      </w:divBdr>
    </w:div>
    <w:div w:id="311297358">
      <w:marLeft w:val="0"/>
      <w:marRight w:val="0"/>
      <w:marTop w:val="100"/>
      <w:marBottom w:val="240"/>
      <w:divBdr>
        <w:top w:val="none" w:sz="0" w:space="0" w:color="auto"/>
        <w:left w:val="none" w:sz="0" w:space="0" w:color="auto"/>
        <w:bottom w:val="none" w:sz="0" w:space="0" w:color="auto"/>
        <w:right w:val="none" w:sz="0" w:space="0" w:color="auto"/>
      </w:divBdr>
    </w:div>
    <w:div w:id="315183444">
      <w:marLeft w:val="0"/>
      <w:marRight w:val="0"/>
      <w:marTop w:val="0"/>
      <w:marBottom w:val="240"/>
      <w:divBdr>
        <w:top w:val="none" w:sz="0" w:space="0" w:color="auto"/>
        <w:left w:val="none" w:sz="0" w:space="0" w:color="auto"/>
        <w:bottom w:val="none" w:sz="0" w:space="0" w:color="auto"/>
        <w:right w:val="none" w:sz="0" w:space="0" w:color="auto"/>
      </w:divBdr>
    </w:div>
    <w:div w:id="315573376">
      <w:marLeft w:val="0"/>
      <w:marRight w:val="0"/>
      <w:marTop w:val="0"/>
      <w:marBottom w:val="240"/>
      <w:divBdr>
        <w:top w:val="none" w:sz="0" w:space="0" w:color="auto"/>
        <w:left w:val="none" w:sz="0" w:space="0" w:color="auto"/>
        <w:bottom w:val="none" w:sz="0" w:space="0" w:color="auto"/>
        <w:right w:val="none" w:sz="0" w:space="0" w:color="auto"/>
      </w:divBdr>
    </w:div>
    <w:div w:id="318923872">
      <w:marLeft w:val="0"/>
      <w:marRight w:val="0"/>
      <w:marTop w:val="0"/>
      <w:marBottom w:val="240"/>
      <w:divBdr>
        <w:top w:val="none" w:sz="0" w:space="0" w:color="auto"/>
        <w:left w:val="none" w:sz="0" w:space="0" w:color="auto"/>
        <w:bottom w:val="none" w:sz="0" w:space="0" w:color="auto"/>
        <w:right w:val="none" w:sz="0" w:space="0" w:color="auto"/>
      </w:divBdr>
    </w:div>
    <w:div w:id="320433144">
      <w:marLeft w:val="0"/>
      <w:marRight w:val="0"/>
      <w:marTop w:val="0"/>
      <w:marBottom w:val="240"/>
      <w:divBdr>
        <w:top w:val="none" w:sz="0" w:space="0" w:color="auto"/>
        <w:left w:val="none" w:sz="0" w:space="0" w:color="auto"/>
        <w:bottom w:val="none" w:sz="0" w:space="0" w:color="auto"/>
        <w:right w:val="none" w:sz="0" w:space="0" w:color="auto"/>
      </w:divBdr>
    </w:div>
    <w:div w:id="321591769">
      <w:marLeft w:val="0"/>
      <w:marRight w:val="0"/>
      <w:marTop w:val="100"/>
      <w:marBottom w:val="180"/>
      <w:divBdr>
        <w:top w:val="none" w:sz="0" w:space="0" w:color="auto"/>
        <w:left w:val="none" w:sz="0" w:space="0" w:color="auto"/>
        <w:bottom w:val="none" w:sz="0" w:space="0" w:color="auto"/>
        <w:right w:val="none" w:sz="0" w:space="0" w:color="auto"/>
      </w:divBdr>
    </w:div>
    <w:div w:id="326597296">
      <w:marLeft w:val="0"/>
      <w:marRight w:val="0"/>
      <w:marTop w:val="0"/>
      <w:marBottom w:val="0"/>
      <w:divBdr>
        <w:top w:val="none" w:sz="0" w:space="0" w:color="auto"/>
        <w:left w:val="none" w:sz="0" w:space="0" w:color="auto"/>
        <w:bottom w:val="none" w:sz="0" w:space="0" w:color="auto"/>
        <w:right w:val="none" w:sz="0" w:space="0" w:color="auto"/>
      </w:divBdr>
      <w:divsChild>
        <w:div w:id="790056068">
          <w:marLeft w:val="0"/>
          <w:marRight w:val="0"/>
          <w:marTop w:val="0"/>
          <w:marBottom w:val="0"/>
          <w:divBdr>
            <w:top w:val="none" w:sz="0" w:space="0" w:color="auto"/>
            <w:left w:val="none" w:sz="0" w:space="0" w:color="auto"/>
            <w:bottom w:val="none" w:sz="0" w:space="0" w:color="auto"/>
            <w:right w:val="none" w:sz="0" w:space="0" w:color="auto"/>
          </w:divBdr>
        </w:div>
      </w:divsChild>
    </w:div>
    <w:div w:id="330062645">
      <w:marLeft w:val="0"/>
      <w:marRight w:val="0"/>
      <w:marTop w:val="0"/>
      <w:marBottom w:val="0"/>
      <w:divBdr>
        <w:top w:val="none" w:sz="0" w:space="0" w:color="auto"/>
        <w:left w:val="none" w:sz="0" w:space="0" w:color="auto"/>
        <w:bottom w:val="none" w:sz="0" w:space="0" w:color="auto"/>
        <w:right w:val="none" w:sz="0" w:space="0" w:color="auto"/>
      </w:divBdr>
      <w:divsChild>
        <w:div w:id="224341753">
          <w:marLeft w:val="0"/>
          <w:marRight w:val="0"/>
          <w:marTop w:val="0"/>
          <w:marBottom w:val="0"/>
          <w:divBdr>
            <w:top w:val="none" w:sz="0" w:space="0" w:color="auto"/>
            <w:left w:val="none" w:sz="0" w:space="0" w:color="auto"/>
            <w:bottom w:val="none" w:sz="0" w:space="0" w:color="auto"/>
            <w:right w:val="none" w:sz="0" w:space="0" w:color="auto"/>
          </w:divBdr>
        </w:div>
      </w:divsChild>
    </w:div>
    <w:div w:id="331102588">
      <w:marLeft w:val="0"/>
      <w:marRight w:val="0"/>
      <w:marTop w:val="0"/>
      <w:marBottom w:val="0"/>
      <w:divBdr>
        <w:top w:val="none" w:sz="0" w:space="0" w:color="auto"/>
        <w:left w:val="none" w:sz="0" w:space="0" w:color="auto"/>
        <w:bottom w:val="none" w:sz="0" w:space="0" w:color="auto"/>
        <w:right w:val="none" w:sz="0" w:space="0" w:color="auto"/>
      </w:divBdr>
      <w:divsChild>
        <w:div w:id="565533386">
          <w:marLeft w:val="0"/>
          <w:marRight w:val="0"/>
          <w:marTop w:val="0"/>
          <w:marBottom w:val="0"/>
          <w:divBdr>
            <w:top w:val="none" w:sz="0" w:space="0" w:color="auto"/>
            <w:left w:val="none" w:sz="0" w:space="0" w:color="auto"/>
            <w:bottom w:val="none" w:sz="0" w:space="0" w:color="auto"/>
            <w:right w:val="none" w:sz="0" w:space="0" w:color="auto"/>
          </w:divBdr>
        </w:div>
      </w:divsChild>
    </w:div>
    <w:div w:id="332883222">
      <w:marLeft w:val="0"/>
      <w:marRight w:val="0"/>
      <w:marTop w:val="0"/>
      <w:marBottom w:val="240"/>
      <w:divBdr>
        <w:top w:val="none" w:sz="0" w:space="0" w:color="auto"/>
        <w:left w:val="none" w:sz="0" w:space="0" w:color="auto"/>
        <w:bottom w:val="none" w:sz="0" w:space="0" w:color="auto"/>
        <w:right w:val="none" w:sz="0" w:space="0" w:color="auto"/>
      </w:divBdr>
    </w:div>
    <w:div w:id="334378147">
      <w:marLeft w:val="0"/>
      <w:marRight w:val="0"/>
      <w:marTop w:val="0"/>
      <w:marBottom w:val="0"/>
      <w:divBdr>
        <w:top w:val="none" w:sz="0" w:space="0" w:color="auto"/>
        <w:left w:val="none" w:sz="0" w:space="0" w:color="auto"/>
        <w:bottom w:val="none" w:sz="0" w:space="0" w:color="auto"/>
        <w:right w:val="none" w:sz="0" w:space="0" w:color="auto"/>
      </w:divBdr>
      <w:divsChild>
        <w:div w:id="1107433357">
          <w:marLeft w:val="0"/>
          <w:marRight w:val="0"/>
          <w:marTop w:val="0"/>
          <w:marBottom w:val="0"/>
          <w:divBdr>
            <w:top w:val="none" w:sz="0" w:space="0" w:color="auto"/>
            <w:left w:val="none" w:sz="0" w:space="0" w:color="auto"/>
            <w:bottom w:val="none" w:sz="0" w:space="0" w:color="auto"/>
            <w:right w:val="none" w:sz="0" w:space="0" w:color="auto"/>
          </w:divBdr>
        </w:div>
      </w:divsChild>
    </w:div>
    <w:div w:id="334918117">
      <w:marLeft w:val="0"/>
      <w:marRight w:val="0"/>
      <w:marTop w:val="0"/>
      <w:marBottom w:val="0"/>
      <w:divBdr>
        <w:top w:val="none" w:sz="0" w:space="0" w:color="auto"/>
        <w:left w:val="none" w:sz="0" w:space="0" w:color="auto"/>
        <w:bottom w:val="none" w:sz="0" w:space="0" w:color="auto"/>
        <w:right w:val="none" w:sz="0" w:space="0" w:color="auto"/>
      </w:divBdr>
      <w:divsChild>
        <w:div w:id="1962686255">
          <w:marLeft w:val="0"/>
          <w:marRight w:val="0"/>
          <w:marTop w:val="160"/>
          <w:marBottom w:val="160"/>
          <w:divBdr>
            <w:top w:val="none" w:sz="0" w:space="0" w:color="auto"/>
            <w:left w:val="none" w:sz="0" w:space="0" w:color="auto"/>
            <w:bottom w:val="none" w:sz="0" w:space="0" w:color="auto"/>
            <w:right w:val="none" w:sz="0" w:space="0" w:color="auto"/>
          </w:divBdr>
        </w:div>
      </w:divsChild>
    </w:div>
    <w:div w:id="344288415">
      <w:marLeft w:val="0"/>
      <w:marRight w:val="0"/>
      <w:marTop w:val="0"/>
      <w:marBottom w:val="160"/>
      <w:divBdr>
        <w:top w:val="none" w:sz="0" w:space="0" w:color="auto"/>
        <w:left w:val="none" w:sz="0" w:space="0" w:color="auto"/>
        <w:bottom w:val="none" w:sz="0" w:space="0" w:color="auto"/>
        <w:right w:val="none" w:sz="0" w:space="0" w:color="auto"/>
      </w:divBdr>
    </w:div>
    <w:div w:id="345207470">
      <w:marLeft w:val="0"/>
      <w:marRight w:val="0"/>
      <w:marTop w:val="0"/>
      <w:marBottom w:val="0"/>
      <w:divBdr>
        <w:top w:val="none" w:sz="0" w:space="0" w:color="auto"/>
        <w:left w:val="none" w:sz="0" w:space="0" w:color="auto"/>
        <w:bottom w:val="none" w:sz="0" w:space="0" w:color="auto"/>
        <w:right w:val="none" w:sz="0" w:space="0" w:color="auto"/>
      </w:divBdr>
      <w:divsChild>
        <w:div w:id="3172733">
          <w:marLeft w:val="0"/>
          <w:marRight w:val="0"/>
          <w:marTop w:val="0"/>
          <w:marBottom w:val="0"/>
          <w:divBdr>
            <w:top w:val="none" w:sz="0" w:space="0" w:color="auto"/>
            <w:left w:val="none" w:sz="0" w:space="0" w:color="auto"/>
            <w:bottom w:val="none" w:sz="0" w:space="0" w:color="auto"/>
            <w:right w:val="none" w:sz="0" w:space="0" w:color="auto"/>
          </w:divBdr>
        </w:div>
      </w:divsChild>
    </w:div>
    <w:div w:id="347028725">
      <w:marLeft w:val="0"/>
      <w:marRight w:val="0"/>
      <w:marTop w:val="160"/>
      <w:marBottom w:val="160"/>
      <w:divBdr>
        <w:top w:val="none" w:sz="0" w:space="0" w:color="auto"/>
        <w:left w:val="none" w:sz="0" w:space="0" w:color="auto"/>
        <w:bottom w:val="none" w:sz="0" w:space="0" w:color="auto"/>
        <w:right w:val="none" w:sz="0" w:space="0" w:color="auto"/>
      </w:divBdr>
    </w:div>
    <w:div w:id="347370183">
      <w:marLeft w:val="0"/>
      <w:marRight w:val="0"/>
      <w:marTop w:val="160"/>
      <w:marBottom w:val="160"/>
      <w:divBdr>
        <w:top w:val="none" w:sz="0" w:space="0" w:color="auto"/>
        <w:left w:val="none" w:sz="0" w:space="0" w:color="auto"/>
        <w:bottom w:val="none" w:sz="0" w:space="0" w:color="auto"/>
        <w:right w:val="none" w:sz="0" w:space="0" w:color="auto"/>
      </w:divBdr>
    </w:div>
    <w:div w:id="347607796">
      <w:marLeft w:val="0"/>
      <w:marRight w:val="0"/>
      <w:marTop w:val="100"/>
      <w:marBottom w:val="100"/>
      <w:divBdr>
        <w:top w:val="none" w:sz="0" w:space="0" w:color="auto"/>
        <w:left w:val="none" w:sz="0" w:space="0" w:color="auto"/>
        <w:bottom w:val="none" w:sz="0" w:space="0" w:color="auto"/>
        <w:right w:val="none" w:sz="0" w:space="0" w:color="auto"/>
      </w:divBdr>
    </w:div>
    <w:div w:id="349845100">
      <w:marLeft w:val="0"/>
      <w:marRight w:val="0"/>
      <w:marTop w:val="100"/>
      <w:marBottom w:val="240"/>
      <w:divBdr>
        <w:top w:val="none" w:sz="0" w:space="0" w:color="auto"/>
        <w:left w:val="none" w:sz="0" w:space="0" w:color="auto"/>
        <w:bottom w:val="none" w:sz="0" w:space="0" w:color="auto"/>
        <w:right w:val="none" w:sz="0" w:space="0" w:color="auto"/>
      </w:divBdr>
    </w:div>
    <w:div w:id="351147287">
      <w:marLeft w:val="0"/>
      <w:marRight w:val="0"/>
      <w:marTop w:val="0"/>
      <w:marBottom w:val="240"/>
      <w:divBdr>
        <w:top w:val="none" w:sz="0" w:space="0" w:color="auto"/>
        <w:left w:val="none" w:sz="0" w:space="0" w:color="auto"/>
        <w:bottom w:val="none" w:sz="0" w:space="0" w:color="auto"/>
        <w:right w:val="none" w:sz="0" w:space="0" w:color="auto"/>
      </w:divBdr>
    </w:div>
    <w:div w:id="354186525">
      <w:marLeft w:val="0"/>
      <w:marRight w:val="0"/>
      <w:marTop w:val="0"/>
      <w:marBottom w:val="0"/>
      <w:divBdr>
        <w:top w:val="none" w:sz="0" w:space="0" w:color="auto"/>
        <w:left w:val="none" w:sz="0" w:space="0" w:color="auto"/>
        <w:bottom w:val="none" w:sz="0" w:space="0" w:color="auto"/>
        <w:right w:val="none" w:sz="0" w:space="0" w:color="auto"/>
      </w:divBdr>
      <w:divsChild>
        <w:div w:id="477109117">
          <w:marLeft w:val="0"/>
          <w:marRight w:val="0"/>
          <w:marTop w:val="160"/>
          <w:marBottom w:val="160"/>
          <w:divBdr>
            <w:top w:val="none" w:sz="0" w:space="0" w:color="auto"/>
            <w:left w:val="none" w:sz="0" w:space="0" w:color="auto"/>
            <w:bottom w:val="none" w:sz="0" w:space="0" w:color="auto"/>
            <w:right w:val="none" w:sz="0" w:space="0" w:color="auto"/>
          </w:divBdr>
        </w:div>
      </w:divsChild>
    </w:div>
    <w:div w:id="354696816">
      <w:marLeft w:val="0"/>
      <w:marRight w:val="0"/>
      <w:marTop w:val="0"/>
      <w:marBottom w:val="0"/>
      <w:divBdr>
        <w:top w:val="none" w:sz="0" w:space="0" w:color="auto"/>
        <w:left w:val="none" w:sz="0" w:space="0" w:color="auto"/>
        <w:bottom w:val="none" w:sz="0" w:space="0" w:color="auto"/>
        <w:right w:val="none" w:sz="0" w:space="0" w:color="auto"/>
      </w:divBdr>
    </w:div>
    <w:div w:id="357046786">
      <w:marLeft w:val="0"/>
      <w:marRight w:val="0"/>
      <w:marTop w:val="220"/>
      <w:marBottom w:val="160"/>
      <w:divBdr>
        <w:top w:val="none" w:sz="0" w:space="0" w:color="auto"/>
        <w:left w:val="none" w:sz="0" w:space="0" w:color="auto"/>
        <w:bottom w:val="none" w:sz="0" w:space="0" w:color="auto"/>
        <w:right w:val="none" w:sz="0" w:space="0" w:color="auto"/>
      </w:divBdr>
    </w:div>
    <w:div w:id="357396252">
      <w:marLeft w:val="0"/>
      <w:marRight w:val="0"/>
      <w:marTop w:val="0"/>
      <w:marBottom w:val="240"/>
      <w:divBdr>
        <w:top w:val="none" w:sz="0" w:space="0" w:color="auto"/>
        <w:left w:val="none" w:sz="0" w:space="0" w:color="auto"/>
        <w:bottom w:val="none" w:sz="0" w:space="0" w:color="auto"/>
        <w:right w:val="none" w:sz="0" w:space="0" w:color="auto"/>
      </w:divBdr>
    </w:div>
    <w:div w:id="366570388">
      <w:marLeft w:val="0"/>
      <w:marRight w:val="0"/>
      <w:marTop w:val="0"/>
      <w:marBottom w:val="240"/>
      <w:divBdr>
        <w:top w:val="none" w:sz="0" w:space="0" w:color="auto"/>
        <w:left w:val="none" w:sz="0" w:space="0" w:color="auto"/>
        <w:bottom w:val="none" w:sz="0" w:space="0" w:color="auto"/>
        <w:right w:val="none" w:sz="0" w:space="0" w:color="auto"/>
      </w:divBdr>
    </w:div>
    <w:div w:id="369304061">
      <w:marLeft w:val="0"/>
      <w:marRight w:val="0"/>
      <w:marTop w:val="0"/>
      <w:marBottom w:val="40"/>
      <w:divBdr>
        <w:top w:val="none" w:sz="0" w:space="0" w:color="auto"/>
        <w:left w:val="none" w:sz="0" w:space="0" w:color="auto"/>
        <w:bottom w:val="none" w:sz="0" w:space="0" w:color="auto"/>
        <w:right w:val="none" w:sz="0" w:space="0" w:color="auto"/>
      </w:divBdr>
    </w:div>
    <w:div w:id="371464493">
      <w:marLeft w:val="0"/>
      <w:marRight w:val="0"/>
      <w:marTop w:val="160"/>
      <w:marBottom w:val="0"/>
      <w:divBdr>
        <w:top w:val="none" w:sz="0" w:space="0" w:color="auto"/>
        <w:left w:val="none" w:sz="0" w:space="0" w:color="auto"/>
        <w:bottom w:val="none" w:sz="0" w:space="0" w:color="auto"/>
        <w:right w:val="none" w:sz="0" w:space="0" w:color="auto"/>
      </w:divBdr>
    </w:div>
    <w:div w:id="372922508">
      <w:marLeft w:val="0"/>
      <w:marRight w:val="0"/>
      <w:marTop w:val="0"/>
      <w:marBottom w:val="0"/>
      <w:divBdr>
        <w:top w:val="none" w:sz="0" w:space="0" w:color="auto"/>
        <w:left w:val="none" w:sz="0" w:space="0" w:color="auto"/>
        <w:bottom w:val="none" w:sz="0" w:space="0" w:color="auto"/>
        <w:right w:val="none" w:sz="0" w:space="0" w:color="auto"/>
      </w:divBdr>
      <w:divsChild>
        <w:div w:id="1949122635">
          <w:marLeft w:val="0"/>
          <w:marRight w:val="0"/>
          <w:marTop w:val="0"/>
          <w:marBottom w:val="0"/>
          <w:divBdr>
            <w:top w:val="none" w:sz="0" w:space="0" w:color="auto"/>
            <w:left w:val="none" w:sz="0" w:space="0" w:color="auto"/>
            <w:bottom w:val="none" w:sz="0" w:space="0" w:color="auto"/>
            <w:right w:val="none" w:sz="0" w:space="0" w:color="auto"/>
          </w:divBdr>
        </w:div>
      </w:divsChild>
    </w:div>
    <w:div w:id="376399962">
      <w:marLeft w:val="0"/>
      <w:marRight w:val="0"/>
      <w:marTop w:val="0"/>
      <w:marBottom w:val="240"/>
      <w:divBdr>
        <w:top w:val="none" w:sz="0" w:space="0" w:color="auto"/>
        <w:left w:val="none" w:sz="0" w:space="0" w:color="auto"/>
        <w:bottom w:val="none" w:sz="0" w:space="0" w:color="auto"/>
        <w:right w:val="none" w:sz="0" w:space="0" w:color="auto"/>
      </w:divBdr>
    </w:div>
    <w:div w:id="378165317">
      <w:marLeft w:val="0"/>
      <w:marRight w:val="0"/>
      <w:marTop w:val="0"/>
      <w:marBottom w:val="40"/>
      <w:divBdr>
        <w:top w:val="none" w:sz="0" w:space="0" w:color="auto"/>
        <w:left w:val="none" w:sz="0" w:space="0" w:color="auto"/>
        <w:bottom w:val="none" w:sz="0" w:space="0" w:color="auto"/>
        <w:right w:val="none" w:sz="0" w:space="0" w:color="auto"/>
      </w:divBdr>
    </w:div>
    <w:div w:id="378944599">
      <w:marLeft w:val="0"/>
      <w:marRight w:val="0"/>
      <w:marTop w:val="0"/>
      <w:marBottom w:val="0"/>
      <w:divBdr>
        <w:top w:val="none" w:sz="0" w:space="0" w:color="auto"/>
        <w:left w:val="none" w:sz="0" w:space="0" w:color="auto"/>
        <w:bottom w:val="none" w:sz="0" w:space="0" w:color="auto"/>
        <w:right w:val="none" w:sz="0" w:space="0" w:color="auto"/>
      </w:divBdr>
      <w:divsChild>
        <w:div w:id="1438712839">
          <w:marLeft w:val="0"/>
          <w:marRight w:val="0"/>
          <w:marTop w:val="0"/>
          <w:marBottom w:val="0"/>
          <w:divBdr>
            <w:top w:val="none" w:sz="0" w:space="0" w:color="auto"/>
            <w:left w:val="none" w:sz="0" w:space="0" w:color="auto"/>
            <w:bottom w:val="none" w:sz="0" w:space="0" w:color="auto"/>
            <w:right w:val="none" w:sz="0" w:space="0" w:color="auto"/>
          </w:divBdr>
        </w:div>
      </w:divsChild>
    </w:div>
    <w:div w:id="379092277">
      <w:marLeft w:val="0"/>
      <w:marRight w:val="0"/>
      <w:marTop w:val="220"/>
      <w:marBottom w:val="160"/>
      <w:divBdr>
        <w:top w:val="none" w:sz="0" w:space="0" w:color="auto"/>
        <w:left w:val="none" w:sz="0" w:space="0" w:color="auto"/>
        <w:bottom w:val="none" w:sz="0" w:space="0" w:color="auto"/>
        <w:right w:val="none" w:sz="0" w:space="0" w:color="auto"/>
      </w:divBdr>
    </w:div>
    <w:div w:id="382411632">
      <w:marLeft w:val="0"/>
      <w:marRight w:val="0"/>
      <w:marTop w:val="0"/>
      <w:marBottom w:val="240"/>
      <w:divBdr>
        <w:top w:val="none" w:sz="0" w:space="0" w:color="auto"/>
        <w:left w:val="none" w:sz="0" w:space="0" w:color="auto"/>
        <w:bottom w:val="none" w:sz="0" w:space="0" w:color="auto"/>
        <w:right w:val="none" w:sz="0" w:space="0" w:color="auto"/>
      </w:divBdr>
    </w:div>
    <w:div w:id="384110994">
      <w:marLeft w:val="0"/>
      <w:marRight w:val="0"/>
      <w:marTop w:val="0"/>
      <w:marBottom w:val="0"/>
      <w:divBdr>
        <w:top w:val="none" w:sz="0" w:space="0" w:color="auto"/>
        <w:left w:val="none" w:sz="0" w:space="0" w:color="auto"/>
        <w:bottom w:val="none" w:sz="0" w:space="0" w:color="auto"/>
        <w:right w:val="none" w:sz="0" w:space="0" w:color="auto"/>
      </w:divBdr>
    </w:div>
    <w:div w:id="388773325">
      <w:marLeft w:val="0"/>
      <w:marRight w:val="0"/>
      <w:marTop w:val="160"/>
      <w:marBottom w:val="160"/>
      <w:divBdr>
        <w:top w:val="none" w:sz="0" w:space="0" w:color="auto"/>
        <w:left w:val="none" w:sz="0" w:space="0" w:color="auto"/>
        <w:bottom w:val="none" w:sz="0" w:space="0" w:color="auto"/>
        <w:right w:val="none" w:sz="0" w:space="0" w:color="auto"/>
      </w:divBdr>
    </w:div>
    <w:div w:id="389115841">
      <w:marLeft w:val="0"/>
      <w:marRight w:val="0"/>
      <w:marTop w:val="0"/>
      <w:marBottom w:val="0"/>
      <w:divBdr>
        <w:top w:val="none" w:sz="0" w:space="0" w:color="auto"/>
        <w:left w:val="none" w:sz="0" w:space="0" w:color="auto"/>
        <w:bottom w:val="none" w:sz="0" w:space="0" w:color="auto"/>
        <w:right w:val="none" w:sz="0" w:space="0" w:color="auto"/>
      </w:divBdr>
      <w:divsChild>
        <w:div w:id="1888059218">
          <w:marLeft w:val="0"/>
          <w:marRight w:val="0"/>
          <w:marTop w:val="0"/>
          <w:marBottom w:val="0"/>
          <w:divBdr>
            <w:top w:val="none" w:sz="0" w:space="0" w:color="auto"/>
            <w:left w:val="none" w:sz="0" w:space="0" w:color="auto"/>
            <w:bottom w:val="none" w:sz="0" w:space="0" w:color="auto"/>
            <w:right w:val="none" w:sz="0" w:space="0" w:color="auto"/>
          </w:divBdr>
        </w:div>
      </w:divsChild>
    </w:div>
    <w:div w:id="392848702">
      <w:marLeft w:val="0"/>
      <w:marRight w:val="0"/>
      <w:marTop w:val="0"/>
      <w:marBottom w:val="240"/>
      <w:divBdr>
        <w:top w:val="none" w:sz="0" w:space="0" w:color="auto"/>
        <w:left w:val="none" w:sz="0" w:space="0" w:color="auto"/>
        <w:bottom w:val="none" w:sz="0" w:space="0" w:color="auto"/>
        <w:right w:val="none" w:sz="0" w:space="0" w:color="auto"/>
      </w:divBdr>
    </w:div>
    <w:div w:id="393621527">
      <w:marLeft w:val="0"/>
      <w:marRight w:val="0"/>
      <w:marTop w:val="0"/>
      <w:marBottom w:val="0"/>
      <w:divBdr>
        <w:top w:val="none" w:sz="0" w:space="0" w:color="auto"/>
        <w:left w:val="none" w:sz="0" w:space="0" w:color="auto"/>
        <w:bottom w:val="none" w:sz="0" w:space="0" w:color="auto"/>
        <w:right w:val="none" w:sz="0" w:space="0" w:color="auto"/>
      </w:divBdr>
    </w:div>
    <w:div w:id="395518286">
      <w:marLeft w:val="0"/>
      <w:marRight w:val="0"/>
      <w:marTop w:val="0"/>
      <w:marBottom w:val="240"/>
      <w:divBdr>
        <w:top w:val="none" w:sz="0" w:space="0" w:color="auto"/>
        <w:left w:val="none" w:sz="0" w:space="0" w:color="auto"/>
        <w:bottom w:val="none" w:sz="0" w:space="0" w:color="auto"/>
        <w:right w:val="none" w:sz="0" w:space="0" w:color="auto"/>
      </w:divBdr>
    </w:div>
    <w:div w:id="395905709">
      <w:marLeft w:val="0"/>
      <w:marRight w:val="0"/>
      <w:marTop w:val="0"/>
      <w:marBottom w:val="0"/>
      <w:divBdr>
        <w:top w:val="none" w:sz="0" w:space="0" w:color="auto"/>
        <w:left w:val="none" w:sz="0" w:space="0" w:color="auto"/>
        <w:bottom w:val="none" w:sz="0" w:space="0" w:color="auto"/>
        <w:right w:val="none" w:sz="0" w:space="0" w:color="auto"/>
      </w:divBdr>
      <w:divsChild>
        <w:div w:id="1789204292">
          <w:marLeft w:val="0"/>
          <w:marRight w:val="0"/>
          <w:marTop w:val="160"/>
          <w:marBottom w:val="160"/>
          <w:divBdr>
            <w:top w:val="none" w:sz="0" w:space="0" w:color="auto"/>
            <w:left w:val="none" w:sz="0" w:space="0" w:color="auto"/>
            <w:bottom w:val="none" w:sz="0" w:space="0" w:color="auto"/>
            <w:right w:val="none" w:sz="0" w:space="0" w:color="auto"/>
          </w:divBdr>
        </w:div>
      </w:divsChild>
    </w:div>
    <w:div w:id="396250380">
      <w:marLeft w:val="0"/>
      <w:marRight w:val="0"/>
      <w:marTop w:val="0"/>
      <w:marBottom w:val="240"/>
      <w:divBdr>
        <w:top w:val="none" w:sz="0" w:space="0" w:color="auto"/>
        <w:left w:val="none" w:sz="0" w:space="0" w:color="auto"/>
        <w:bottom w:val="none" w:sz="0" w:space="0" w:color="auto"/>
        <w:right w:val="none" w:sz="0" w:space="0" w:color="auto"/>
      </w:divBdr>
    </w:div>
    <w:div w:id="396780131">
      <w:marLeft w:val="0"/>
      <w:marRight w:val="0"/>
      <w:marTop w:val="0"/>
      <w:marBottom w:val="240"/>
      <w:divBdr>
        <w:top w:val="none" w:sz="0" w:space="0" w:color="auto"/>
        <w:left w:val="none" w:sz="0" w:space="0" w:color="auto"/>
        <w:bottom w:val="none" w:sz="0" w:space="0" w:color="auto"/>
        <w:right w:val="none" w:sz="0" w:space="0" w:color="auto"/>
      </w:divBdr>
    </w:div>
    <w:div w:id="397554449">
      <w:marLeft w:val="0"/>
      <w:marRight w:val="0"/>
      <w:marTop w:val="0"/>
      <w:marBottom w:val="0"/>
      <w:divBdr>
        <w:top w:val="none" w:sz="0" w:space="0" w:color="auto"/>
        <w:left w:val="none" w:sz="0" w:space="0" w:color="auto"/>
        <w:bottom w:val="none" w:sz="0" w:space="0" w:color="auto"/>
        <w:right w:val="none" w:sz="0" w:space="0" w:color="auto"/>
      </w:divBdr>
      <w:divsChild>
        <w:div w:id="737246794">
          <w:marLeft w:val="0"/>
          <w:marRight w:val="0"/>
          <w:marTop w:val="160"/>
          <w:marBottom w:val="160"/>
          <w:divBdr>
            <w:top w:val="none" w:sz="0" w:space="0" w:color="auto"/>
            <w:left w:val="none" w:sz="0" w:space="0" w:color="auto"/>
            <w:bottom w:val="none" w:sz="0" w:space="0" w:color="auto"/>
            <w:right w:val="none" w:sz="0" w:space="0" w:color="auto"/>
          </w:divBdr>
        </w:div>
      </w:divsChild>
    </w:div>
    <w:div w:id="398984392">
      <w:marLeft w:val="0"/>
      <w:marRight w:val="0"/>
      <w:marTop w:val="80"/>
      <w:marBottom w:val="0"/>
      <w:divBdr>
        <w:top w:val="none" w:sz="0" w:space="0" w:color="auto"/>
        <w:left w:val="none" w:sz="0" w:space="0" w:color="auto"/>
        <w:bottom w:val="none" w:sz="0" w:space="0" w:color="auto"/>
        <w:right w:val="none" w:sz="0" w:space="0" w:color="auto"/>
      </w:divBdr>
    </w:div>
    <w:div w:id="399401983">
      <w:marLeft w:val="0"/>
      <w:marRight w:val="0"/>
      <w:marTop w:val="160"/>
      <w:marBottom w:val="240"/>
      <w:divBdr>
        <w:top w:val="none" w:sz="0" w:space="0" w:color="auto"/>
        <w:left w:val="none" w:sz="0" w:space="0" w:color="auto"/>
        <w:bottom w:val="none" w:sz="0" w:space="0" w:color="auto"/>
        <w:right w:val="none" w:sz="0" w:space="0" w:color="auto"/>
      </w:divBdr>
    </w:div>
    <w:div w:id="400639396">
      <w:marLeft w:val="0"/>
      <w:marRight w:val="0"/>
      <w:marTop w:val="100"/>
      <w:marBottom w:val="240"/>
      <w:divBdr>
        <w:top w:val="none" w:sz="0" w:space="0" w:color="auto"/>
        <w:left w:val="none" w:sz="0" w:space="0" w:color="auto"/>
        <w:bottom w:val="none" w:sz="0" w:space="0" w:color="auto"/>
        <w:right w:val="none" w:sz="0" w:space="0" w:color="auto"/>
      </w:divBdr>
    </w:div>
    <w:div w:id="401294164">
      <w:marLeft w:val="0"/>
      <w:marRight w:val="0"/>
      <w:marTop w:val="0"/>
      <w:marBottom w:val="160"/>
      <w:divBdr>
        <w:top w:val="none" w:sz="0" w:space="0" w:color="auto"/>
        <w:left w:val="none" w:sz="0" w:space="0" w:color="auto"/>
        <w:bottom w:val="none" w:sz="0" w:space="0" w:color="auto"/>
        <w:right w:val="none" w:sz="0" w:space="0" w:color="auto"/>
      </w:divBdr>
    </w:div>
    <w:div w:id="401949109">
      <w:marLeft w:val="0"/>
      <w:marRight w:val="0"/>
      <w:marTop w:val="160"/>
      <w:marBottom w:val="100"/>
      <w:divBdr>
        <w:top w:val="none" w:sz="0" w:space="0" w:color="auto"/>
        <w:left w:val="none" w:sz="0" w:space="0" w:color="auto"/>
        <w:bottom w:val="none" w:sz="0" w:space="0" w:color="auto"/>
        <w:right w:val="none" w:sz="0" w:space="0" w:color="auto"/>
      </w:divBdr>
    </w:div>
    <w:div w:id="403458591">
      <w:marLeft w:val="0"/>
      <w:marRight w:val="0"/>
      <w:marTop w:val="300"/>
      <w:marBottom w:val="0"/>
      <w:divBdr>
        <w:top w:val="none" w:sz="0" w:space="0" w:color="auto"/>
        <w:left w:val="none" w:sz="0" w:space="0" w:color="auto"/>
        <w:bottom w:val="none" w:sz="0" w:space="0" w:color="auto"/>
        <w:right w:val="none" w:sz="0" w:space="0" w:color="auto"/>
      </w:divBdr>
    </w:div>
    <w:div w:id="406726988">
      <w:marLeft w:val="0"/>
      <w:marRight w:val="0"/>
      <w:marTop w:val="0"/>
      <w:marBottom w:val="0"/>
      <w:divBdr>
        <w:top w:val="none" w:sz="0" w:space="0" w:color="auto"/>
        <w:left w:val="none" w:sz="0" w:space="0" w:color="auto"/>
        <w:bottom w:val="none" w:sz="0" w:space="0" w:color="auto"/>
        <w:right w:val="none" w:sz="0" w:space="0" w:color="auto"/>
      </w:divBdr>
      <w:divsChild>
        <w:div w:id="349339240">
          <w:marLeft w:val="0"/>
          <w:marRight w:val="0"/>
          <w:marTop w:val="0"/>
          <w:marBottom w:val="0"/>
          <w:divBdr>
            <w:top w:val="none" w:sz="0" w:space="0" w:color="auto"/>
            <w:left w:val="none" w:sz="0" w:space="0" w:color="auto"/>
            <w:bottom w:val="none" w:sz="0" w:space="0" w:color="auto"/>
            <w:right w:val="none" w:sz="0" w:space="0" w:color="auto"/>
          </w:divBdr>
        </w:div>
      </w:divsChild>
    </w:div>
    <w:div w:id="407653441">
      <w:marLeft w:val="0"/>
      <w:marRight w:val="0"/>
      <w:marTop w:val="0"/>
      <w:marBottom w:val="240"/>
      <w:divBdr>
        <w:top w:val="none" w:sz="0" w:space="0" w:color="auto"/>
        <w:left w:val="none" w:sz="0" w:space="0" w:color="auto"/>
        <w:bottom w:val="none" w:sz="0" w:space="0" w:color="auto"/>
        <w:right w:val="none" w:sz="0" w:space="0" w:color="auto"/>
      </w:divBdr>
    </w:div>
    <w:div w:id="412703019">
      <w:marLeft w:val="0"/>
      <w:marRight w:val="0"/>
      <w:marTop w:val="160"/>
      <w:marBottom w:val="160"/>
      <w:divBdr>
        <w:top w:val="none" w:sz="0" w:space="0" w:color="auto"/>
        <w:left w:val="none" w:sz="0" w:space="0" w:color="auto"/>
        <w:bottom w:val="none" w:sz="0" w:space="0" w:color="auto"/>
        <w:right w:val="none" w:sz="0" w:space="0" w:color="auto"/>
      </w:divBdr>
    </w:div>
    <w:div w:id="414909340">
      <w:marLeft w:val="0"/>
      <w:marRight w:val="0"/>
      <w:marTop w:val="120"/>
      <w:marBottom w:val="160"/>
      <w:divBdr>
        <w:top w:val="none" w:sz="0" w:space="0" w:color="auto"/>
        <w:left w:val="none" w:sz="0" w:space="0" w:color="auto"/>
        <w:bottom w:val="none" w:sz="0" w:space="0" w:color="auto"/>
        <w:right w:val="none" w:sz="0" w:space="0" w:color="auto"/>
      </w:divBdr>
    </w:div>
    <w:div w:id="416756023">
      <w:marLeft w:val="0"/>
      <w:marRight w:val="0"/>
      <w:marTop w:val="40"/>
      <w:marBottom w:val="240"/>
      <w:divBdr>
        <w:top w:val="none" w:sz="0" w:space="0" w:color="auto"/>
        <w:left w:val="none" w:sz="0" w:space="0" w:color="auto"/>
        <w:bottom w:val="none" w:sz="0" w:space="0" w:color="auto"/>
        <w:right w:val="none" w:sz="0" w:space="0" w:color="auto"/>
      </w:divBdr>
    </w:div>
    <w:div w:id="421030206">
      <w:marLeft w:val="0"/>
      <w:marRight w:val="0"/>
      <w:marTop w:val="0"/>
      <w:marBottom w:val="240"/>
      <w:divBdr>
        <w:top w:val="none" w:sz="0" w:space="0" w:color="auto"/>
        <w:left w:val="none" w:sz="0" w:space="0" w:color="auto"/>
        <w:bottom w:val="none" w:sz="0" w:space="0" w:color="auto"/>
        <w:right w:val="none" w:sz="0" w:space="0" w:color="auto"/>
      </w:divBdr>
    </w:div>
    <w:div w:id="422655144">
      <w:marLeft w:val="0"/>
      <w:marRight w:val="0"/>
      <w:marTop w:val="160"/>
      <w:marBottom w:val="160"/>
      <w:divBdr>
        <w:top w:val="none" w:sz="0" w:space="0" w:color="auto"/>
        <w:left w:val="none" w:sz="0" w:space="0" w:color="auto"/>
        <w:bottom w:val="none" w:sz="0" w:space="0" w:color="auto"/>
        <w:right w:val="none" w:sz="0" w:space="0" w:color="auto"/>
      </w:divBdr>
    </w:div>
    <w:div w:id="423186600">
      <w:marLeft w:val="0"/>
      <w:marRight w:val="0"/>
      <w:marTop w:val="0"/>
      <w:marBottom w:val="0"/>
      <w:divBdr>
        <w:top w:val="none" w:sz="0" w:space="0" w:color="auto"/>
        <w:left w:val="none" w:sz="0" w:space="0" w:color="auto"/>
        <w:bottom w:val="none" w:sz="0" w:space="0" w:color="auto"/>
        <w:right w:val="none" w:sz="0" w:space="0" w:color="auto"/>
      </w:divBdr>
      <w:divsChild>
        <w:div w:id="1210995251">
          <w:marLeft w:val="0"/>
          <w:marRight w:val="0"/>
          <w:marTop w:val="0"/>
          <w:marBottom w:val="0"/>
          <w:divBdr>
            <w:top w:val="none" w:sz="0" w:space="0" w:color="auto"/>
            <w:left w:val="none" w:sz="0" w:space="0" w:color="auto"/>
            <w:bottom w:val="none" w:sz="0" w:space="0" w:color="auto"/>
            <w:right w:val="none" w:sz="0" w:space="0" w:color="auto"/>
          </w:divBdr>
        </w:div>
      </w:divsChild>
    </w:div>
    <w:div w:id="425536853">
      <w:marLeft w:val="0"/>
      <w:marRight w:val="0"/>
      <w:marTop w:val="0"/>
      <w:marBottom w:val="240"/>
      <w:divBdr>
        <w:top w:val="none" w:sz="0" w:space="0" w:color="auto"/>
        <w:left w:val="none" w:sz="0" w:space="0" w:color="auto"/>
        <w:bottom w:val="none" w:sz="0" w:space="0" w:color="auto"/>
        <w:right w:val="none" w:sz="0" w:space="0" w:color="auto"/>
      </w:divBdr>
    </w:div>
    <w:div w:id="435029039">
      <w:marLeft w:val="0"/>
      <w:marRight w:val="0"/>
      <w:marTop w:val="0"/>
      <w:marBottom w:val="240"/>
      <w:divBdr>
        <w:top w:val="none" w:sz="0" w:space="0" w:color="auto"/>
        <w:left w:val="none" w:sz="0" w:space="0" w:color="auto"/>
        <w:bottom w:val="none" w:sz="0" w:space="0" w:color="auto"/>
        <w:right w:val="none" w:sz="0" w:space="0" w:color="auto"/>
      </w:divBdr>
    </w:div>
    <w:div w:id="438838191">
      <w:marLeft w:val="0"/>
      <w:marRight w:val="0"/>
      <w:marTop w:val="0"/>
      <w:marBottom w:val="0"/>
      <w:divBdr>
        <w:top w:val="none" w:sz="0" w:space="0" w:color="auto"/>
        <w:left w:val="none" w:sz="0" w:space="0" w:color="auto"/>
        <w:bottom w:val="none" w:sz="0" w:space="0" w:color="auto"/>
        <w:right w:val="none" w:sz="0" w:space="0" w:color="auto"/>
      </w:divBdr>
      <w:divsChild>
        <w:div w:id="2036225037">
          <w:marLeft w:val="0"/>
          <w:marRight w:val="0"/>
          <w:marTop w:val="0"/>
          <w:marBottom w:val="0"/>
          <w:divBdr>
            <w:top w:val="none" w:sz="0" w:space="0" w:color="auto"/>
            <w:left w:val="none" w:sz="0" w:space="0" w:color="auto"/>
            <w:bottom w:val="none" w:sz="0" w:space="0" w:color="auto"/>
            <w:right w:val="none" w:sz="0" w:space="0" w:color="auto"/>
          </w:divBdr>
        </w:div>
      </w:divsChild>
    </w:div>
    <w:div w:id="439765448">
      <w:marLeft w:val="0"/>
      <w:marRight w:val="0"/>
      <w:marTop w:val="0"/>
      <w:marBottom w:val="0"/>
      <w:divBdr>
        <w:top w:val="none" w:sz="0" w:space="0" w:color="auto"/>
        <w:left w:val="none" w:sz="0" w:space="0" w:color="auto"/>
        <w:bottom w:val="none" w:sz="0" w:space="0" w:color="auto"/>
        <w:right w:val="none" w:sz="0" w:space="0" w:color="auto"/>
      </w:divBdr>
    </w:div>
    <w:div w:id="440732077">
      <w:marLeft w:val="0"/>
      <w:marRight w:val="0"/>
      <w:marTop w:val="160"/>
      <w:marBottom w:val="160"/>
      <w:divBdr>
        <w:top w:val="none" w:sz="0" w:space="0" w:color="auto"/>
        <w:left w:val="none" w:sz="0" w:space="0" w:color="auto"/>
        <w:bottom w:val="none" w:sz="0" w:space="0" w:color="auto"/>
        <w:right w:val="none" w:sz="0" w:space="0" w:color="auto"/>
      </w:divBdr>
    </w:div>
    <w:div w:id="441076220">
      <w:marLeft w:val="0"/>
      <w:marRight w:val="0"/>
      <w:marTop w:val="0"/>
      <w:marBottom w:val="240"/>
      <w:divBdr>
        <w:top w:val="none" w:sz="0" w:space="0" w:color="auto"/>
        <w:left w:val="none" w:sz="0" w:space="0" w:color="auto"/>
        <w:bottom w:val="none" w:sz="0" w:space="0" w:color="auto"/>
        <w:right w:val="none" w:sz="0" w:space="0" w:color="auto"/>
      </w:divBdr>
    </w:div>
    <w:div w:id="445580756">
      <w:marLeft w:val="0"/>
      <w:marRight w:val="0"/>
      <w:marTop w:val="0"/>
      <w:marBottom w:val="240"/>
      <w:divBdr>
        <w:top w:val="none" w:sz="0" w:space="0" w:color="auto"/>
        <w:left w:val="none" w:sz="0" w:space="0" w:color="auto"/>
        <w:bottom w:val="none" w:sz="0" w:space="0" w:color="auto"/>
        <w:right w:val="none" w:sz="0" w:space="0" w:color="auto"/>
      </w:divBdr>
    </w:div>
    <w:div w:id="445930968">
      <w:marLeft w:val="0"/>
      <w:marRight w:val="0"/>
      <w:marTop w:val="160"/>
      <w:marBottom w:val="160"/>
      <w:divBdr>
        <w:top w:val="none" w:sz="0" w:space="0" w:color="auto"/>
        <w:left w:val="none" w:sz="0" w:space="0" w:color="auto"/>
        <w:bottom w:val="none" w:sz="0" w:space="0" w:color="auto"/>
        <w:right w:val="none" w:sz="0" w:space="0" w:color="auto"/>
      </w:divBdr>
    </w:div>
    <w:div w:id="447432078">
      <w:marLeft w:val="0"/>
      <w:marRight w:val="0"/>
      <w:marTop w:val="0"/>
      <w:marBottom w:val="240"/>
      <w:divBdr>
        <w:top w:val="none" w:sz="0" w:space="0" w:color="auto"/>
        <w:left w:val="none" w:sz="0" w:space="0" w:color="auto"/>
        <w:bottom w:val="none" w:sz="0" w:space="0" w:color="auto"/>
        <w:right w:val="none" w:sz="0" w:space="0" w:color="auto"/>
      </w:divBdr>
    </w:div>
    <w:div w:id="450369898">
      <w:marLeft w:val="0"/>
      <w:marRight w:val="0"/>
      <w:marTop w:val="0"/>
      <w:marBottom w:val="0"/>
      <w:divBdr>
        <w:top w:val="none" w:sz="0" w:space="0" w:color="auto"/>
        <w:left w:val="none" w:sz="0" w:space="0" w:color="auto"/>
        <w:bottom w:val="none" w:sz="0" w:space="0" w:color="auto"/>
        <w:right w:val="none" w:sz="0" w:space="0" w:color="auto"/>
      </w:divBdr>
      <w:divsChild>
        <w:div w:id="958221902">
          <w:marLeft w:val="0"/>
          <w:marRight w:val="0"/>
          <w:marTop w:val="0"/>
          <w:marBottom w:val="0"/>
          <w:divBdr>
            <w:top w:val="none" w:sz="0" w:space="0" w:color="auto"/>
            <w:left w:val="none" w:sz="0" w:space="0" w:color="auto"/>
            <w:bottom w:val="none" w:sz="0" w:space="0" w:color="auto"/>
            <w:right w:val="none" w:sz="0" w:space="0" w:color="auto"/>
          </w:divBdr>
        </w:div>
      </w:divsChild>
    </w:div>
    <w:div w:id="450437426">
      <w:marLeft w:val="0"/>
      <w:marRight w:val="0"/>
      <w:marTop w:val="0"/>
      <w:marBottom w:val="0"/>
      <w:divBdr>
        <w:top w:val="none" w:sz="0" w:space="0" w:color="auto"/>
        <w:left w:val="none" w:sz="0" w:space="0" w:color="auto"/>
        <w:bottom w:val="none" w:sz="0" w:space="0" w:color="auto"/>
        <w:right w:val="none" w:sz="0" w:space="0" w:color="auto"/>
      </w:divBdr>
      <w:divsChild>
        <w:div w:id="1248419981">
          <w:marLeft w:val="0"/>
          <w:marRight w:val="0"/>
          <w:marTop w:val="0"/>
          <w:marBottom w:val="0"/>
          <w:divBdr>
            <w:top w:val="none" w:sz="0" w:space="0" w:color="auto"/>
            <w:left w:val="none" w:sz="0" w:space="0" w:color="auto"/>
            <w:bottom w:val="none" w:sz="0" w:space="0" w:color="auto"/>
            <w:right w:val="none" w:sz="0" w:space="0" w:color="auto"/>
          </w:divBdr>
        </w:div>
      </w:divsChild>
    </w:div>
    <w:div w:id="450901864">
      <w:marLeft w:val="0"/>
      <w:marRight w:val="0"/>
      <w:marTop w:val="0"/>
      <w:marBottom w:val="160"/>
      <w:divBdr>
        <w:top w:val="none" w:sz="0" w:space="0" w:color="auto"/>
        <w:left w:val="none" w:sz="0" w:space="0" w:color="auto"/>
        <w:bottom w:val="none" w:sz="0" w:space="0" w:color="auto"/>
        <w:right w:val="none" w:sz="0" w:space="0" w:color="auto"/>
      </w:divBdr>
    </w:div>
    <w:div w:id="451092911">
      <w:marLeft w:val="0"/>
      <w:marRight w:val="0"/>
      <w:marTop w:val="0"/>
      <w:marBottom w:val="60"/>
      <w:divBdr>
        <w:top w:val="none" w:sz="0" w:space="0" w:color="auto"/>
        <w:left w:val="none" w:sz="0" w:space="0" w:color="auto"/>
        <w:bottom w:val="none" w:sz="0" w:space="0" w:color="auto"/>
        <w:right w:val="none" w:sz="0" w:space="0" w:color="auto"/>
      </w:divBdr>
    </w:div>
    <w:div w:id="451093091">
      <w:marLeft w:val="0"/>
      <w:marRight w:val="0"/>
      <w:marTop w:val="220"/>
      <w:marBottom w:val="160"/>
      <w:divBdr>
        <w:top w:val="none" w:sz="0" w:space="0" w:color="auto"/>
        <w:left w:val="none" w:sz="0" w:space="0" w:color="auto"/>
        <w:bottom w:val="none" w:sz="0" w:space="0" w:color="auto"/>
        <w:right w:val="none" w:sz="0" w:space="0" w:color="auto"/>
      </w:divBdr>
    </w:div>
    <w:div w:id="451943009">
      <w:marLeft w:val="0"/>
      <w:marRight w:val="0"/>
      <w:marTop w:val="0"/>
      <w:marBottom w:val="0"/>
      <w:divBdr>
        <w:top w:val="none" w:sz="0" w:space="0" w:color="auto"/>
        <w:left w:val="none" w:sz="0" w:space="0" w:color="auto"/>
        <w:bottom w:val="none" w:sz="0" w:space="0" w:color="auto"/>
        <w:right w:val="none" w:sz="0" w:space="0" w:color="auto"/>
      </w:divBdr>
      <w:divsChild>
        <w:div w:id="350768444">
          <w:marLeft w:val="0"/>
          <w:marRight w:val="0"/>
          <w:marTop w:val="0"/>
          <w:marBottom w:val="0"/>
          <w:divBdr>
            <w:top w:val="none" w:sz="0" w:space="0" w:color="auto"/>
            <w:left w:val="none" w:sz="0" w:space="0" w:color="auto"/>
            <w:bottom w:val="none" w:sz="0" w:space="0" w:color="auto"/>
            <w:right w:val="none" w:sz="0" w:space="0" w:color="auto"/>
          </w:divBdr>
        </w:div>
      </w:divsChild>
    </w:div>
    <w:div w:id="453250794">
      <w:marLeft w:val="0"/>
      <w:marRight w:val="0"/>
      <w:marTop w:val="160"/>
      <w:marBottom w:val="240"/>
      <w:divBdr>
        <w:top w:val="none" w:sz="0" w:space="0" w:color="auto"/>
        <w:left w:val="none" w:sz="0" w:space="0" w:color="auto"/>
        <w:bottom w:val="none" w:sz="0" w:space="0" w:color="auto"/>
        <w:right w:val="none" w:sz="0" w:space="0" w:color="auto"/>
      </w:divBdr>
    </w:div>
    <w:div w:id="455638374">
      <w:marLeft w:val="0"/>
      <w:marRight w:val="0"/>
      <w:marTop w:val="0"/>
      <w:marBottom w:val="240"/>
      <w:divBdr>
        <w:top w:val="none" w:sz="0" w:space="0" w:color="auto"/>
        <w:left w:val="none" w:sz="0" w:space="0" w:color="auto"/>
        <w:bottom w:val="none" w:sz="0" w:space="0" w:color="auto"/>
        <w:right w:val="none" w:sz="0" w:space="0" w:color="auto"/>
      </w:divBdr>
    </w:div>
    <w:div w:id="456677386">
      <w:marLeft w:val="0"/>
      <w:marRight w:val="0"/>
      <w:marTop w:val="0"/>
      <w:marBottom w:val="240"/>
      <w:divBdr>
        <w:top w:val="none" w:sz="0" w:space="0" w:color="auto"/>
        <w:left w:val="none" w:sz="0" w:space="0" w:color="auto"/>
        <w:bottom w:val="none" w:sz="0" w:space="0" w:color="auto"/>
        <w:right w:val="none" w:sz="0" w:space="0" w:color="auto"/>
      </w:divBdr>
    </w:div>
    <w:div w:id="457339961">
      <w:marLeft w:val="0"/>
      <w:marRight w:val="0"/>
      <w:marTop w:val="100"/>
      <w:marBottom w:val="240"/>
      <w:divBdr>
        <w:top w:val="none" w:sz="0" w:space="0" w:color="auto"/>
        <w:left w:val="none" w:sz="0" w:space="0" w:color="auto"/>
        <w:bottom w:val="none" w:sz="0" w:space="0" w:color="auto"/>
        <w:right w:val="none" w:sz="0" w:space="0" w:color="auto"/>
      </w:divBdr>
    </w:div>
    <w:div w:id="458377033">
      <w:marLeft w:val="0"/>
      <w:marRight w:val="0"/>
      <w:marTop w:val="0"/>
      <w:marBottom w:val="0"/>
      <w:divBdr>
        <w:top w:val="none" w:sz="0" w:space="0" w:color="auto"/>
        <w:left w:val="none" w:sz="0" w:space="0" w:color="auto"/>
        <w:bottom w:val="none" w:sz="0" w:space="0" w:color="auto"/>
        <w:right w:val="none" w:sz="0" w:space="0" w:color="auto"/>
      </w:divBdr>
      <w:divsChild>
        <w:div w:id="1202521719">
          <w:marLeft w:val="0"/>
          <w:marRight w:val="0"/>
          <w:marTop w:val="160"/>
          <w:marBottom w:val="160"/>
          <w:divBdr>
            <w:top w:val="none" w:sz="0" w:space="0" w:color="auto"/>
            <w:left w:val="none" w:sz="0" w:space="0" w:color="auto"/>
            <w:bottom w:val="none" w:sz="0" w:space="0" w:color="auto"/>
            <w:right w:val="none" w:sz="0" w:space="0" w:color="auto"/>
          </w:divBdr>
        </w:div>
      </w:divsChild>
    </w:div>
    <w:div w:id="460225940">
      <w:marLeft w:val="0"/>
      <w:marRight w:val="0"/>
      <w:marTop w:val="0"/>
      <w:marBottom w:val="180"/>
      <w:divBdr>
        <w:top w:val="none" w:sz="0" w:space="0" w:color="auto"/>
        <w:left w:val="none" w:sz="0" w:space="0" w:color="auto"/>
        <w:bottom w:val="none" w:sz="0" w:space="0" w:color="auto"/>
        <w:right w:val="none" w:sz="0" w:space="0" w:color="auto"/>
      </w:divBdr>
    </w:div>
    <w:div w:id="461927117">
      <w:marLeft w:val="0"/>
      <w:marRight w:val="0"/>
      <w:marTop w:val="0"/>
      <w:marBottom w:val="240"/>
      <w:divBdr>
        <w:top w:val="none" w:sz="0" w:space="0" w:color="auto"/>
        <w:left w:val="none" w:sz="0" w:space="0" w:color="auto"/>
        <w:bottom w:val="none" w:sz="0" w:space="0" w:color="auto"/>
        <w:right w:val="none" w:sz="0" w:space="0" w:color="auto"/>
      </w:divBdr>
    </w:div>
    <w:div w:id="463351041">
      <w:marLeft w:val="0"/>
      <w:marRight w:val="0"/>
      <w:marTop w:val="0"/>
      <w:marBottom w:val="240"/>
      <w:divBdr>
        <w:top w:val="none" w:sz="0" w:space="0" w:color="auto"/>
        <w:left w:val="none" w:sz="0" w:space="0" w:color="auto"/>
        <w:bottom w:val="none" w:sz="0" w:space="0" w:color="auto"/>
        <w:right w:val="none" w:sz="0" w:space="0" w:color="auto"/>
      </w:divBdr>
    </w:div>
    <w:div w:id="464852787">
      <w:marLeft w:val="0"/>
      <w:marRight w:val="0"/>
      <w:marTop w:val="240"/>
      <w:marBottom w:val="160"/>
      <w:divBdr>
        <w:top w:val="none" w:sz="0" w:space="0" w:color="auto"/>
        <w:left w:val="none" w:sz="0" w:space="0" w:color="auto"/>
        <w:bottom w:val="none" w:sz="0" w:space="0" w:color="auto"/>
        <w:right w:val="none" w:sz="0" w:space="0" w:color="auto"/>
      </w:divBdr>
    </w:div>
    <w:div w:id="465126484">
      <w:marLeft w:val="0"/>
      <w:marRight w:val="0"/>
      <w:marTop w:val="0"/>
      <w:marBottom w:val="0"/>
      <w:divBdr>
        <w:top w:val="none" w:sz="0" w:space="0" w:color="auto"/>
        <w:left w:val="none" w:sz="0" w:space="0" w:color="auto"/>
        <w:bottom w:val="none" w:sz="0" w:space="0" w:color="auto"/>
        <w:right w:val="none" w:sz="0" w:space="0" w:color="auto"/>
      </w:divBdr>
      <w:divsChild>
        <w:div w:id="1336222950">
          <w:marLeft w:val="0"/>
          <w:marRight w:val="0"/>
          <w:marTop w:val="0"/>
          <w:marBottom w:val="0"/>
          <w:divBdr>
            <w:top w:val="none" w:sz="0" w:space="0" w:color="auto"/>
            <w:left w:val="none" w:sz="0" w:space="0" w:color="auto"/>
            <w:bottom w:val="none" w:sz="0" w:space="0" w:color="auto"/>
            <w:right w:val="none" w:sz="0" w:space="0" w:color="auto"/>
          </w:divBdr>
        </w:div>
      </w:divsChild>
    </w:div>
    <w:div w:id="468019311">
      <w:marLeft w:val="0"/>
      <w:marRight w:val="0"/>
      <w:marTop w:val="80"/>
      <w:marBottom w:val="0"/>
      <w:divBdr>
        <w:top w:val="none" w:sz="0" w:space="0" w:color="auto"/>
        <w:left w:val="none" w:sz="0" w:space="0" w:color="auto"/>
        <w:bottom w:val="none" w:sz="0" w:space="0" w:color="auto"/>
        <w:right w:val="none" w:sz="0" w:space="0" w:color="auto"/>
      </w:divBdr>
    </w:div>
    <w:div w:id="469834258">
      <w:marLeft w:val="0"/>
      <w:marRight w:val="0"/>
      <w:marTop w:val="100"/>
      <w:marBottom w:val="240"/>
      <w:divBdr>
        <w:top w:val="none" w:sz="0" w:space="0" w:color="auto"/>
        <w:left w:val="none" w:sz="0" w:space="0" w:color="auto"/>
        <w:bottom w:val="none" w:sz="0" w:space="0" w:color="auto"/>
        <w:right w:val="none" w:sz="0" w:space="0" w:color="auto"/>
      </w:divBdr>
    </w:div>
    <w:div w:id="475878886">
      <w:marLeft w:val="0"/>
      <w:marRight w:val="0"/>
      <w:marTop w:val="80"/>
      <w:marBottom w:val="0"/>
      <w:divBdr>
        <w:top w:val="none" w:sz="0" w:space="0" w:color="auto"/>
        <w:left w:val="none" w:sz="0" w:space="0" w:color="auto"/>
        <w:bottom w:val="none" w:sz="0" w:space="0" w:color="auto"/>
        <w:right w:val="none" w:sz="0" w:space="0" w:color="auto"/>
      </w:divBdr>
    </w:div>
    <w:div w:id="477458374">
      <w:marLeft w:val="0"/>
      <w:marRight w:val="0"/>
      <w:marTop w:val="0"/>
      <w:marBottom w:val="240"/>
      <w:divBdr>
        <w:top w:val="none" w:sz="0" w:space="0" w:color="auto"/>
        <w:left w:val="none" w:sz="0" w:space="0" w:color="auto"/>
        <w:bottom w:val="none" w:sz="0" w:space="0" w:color="auto"/>
        <w:right w:val="none" w:sz="0" w:space="0" w:color="auto"/>
      </w:divBdr>
    </w:div>
    <w:div w:id="479227518">
      <w:marLeft w:val="0"/>
      <w:marRight w:val="0"/>
      <w:marTop w:val="60"/>
      <w:marBottom w:val="160"/>
      <w:divBdr>
        <w:top w:val="none" w:sz="0" w:space="0" w:color="auto"/>
        <w:left w:val="none" w:sz="0" w:space="0" w:color="auto"/>
        <w:bottom w:val="none" w:sz="0" w:space="0" w:color="auto"/>
        <w:right w:val="none" w:sz="0" w:space="0" w:color="auto"/>
      </w:divBdr>
    </w:div>
    <w:div w:id="488641548">
      <w:marLeft w:val="0"/>
      <w:marRight w:val="0"/>
      <w:marTop w:val="0"/>
      <w:marBottom w:val="0"/>
      <w:divBdr>
        <w:top w:val="none" w:sz="0" w:space="0" w:color="auto"/>
        <w:left w:val="none" w:sz="0" w:space="0" w:color="auto"/>
        <w:bottom w:val="none" w:sz="0" w:space="0" w:color="auto"/>
        <w:right w:val="none" w:sz="0" w:space="0" w:color="auto"/>
      </w:divBdr>
      <w:divsChild>
        <w:div w:id="1204174563">
          <w:marLeft w:val="0"/>
          <w:marRight w:val="0"/>
          <w:marTop w:val="0"/>
          <w:marBottom w:val="0"/>
          <w:divBdr>
            <w:top w:val="none" w:sz="0" w:space="0" w:color="auto"/>
            <w:left w:val="none" w:sz="0" w:space="0" w:color="auto"/>
            <w:bottom w:val="none" w:sz="0" w:space="0" w:color="auto"/>
            <w:right w:val="none" w:sz="0" w:space="0" w:color="auto"/>
          </w:divBdr>
        </w:div>
      </w:divsChild>
    </w:div>
    <w:div w:id="489449956">
      <w:marLeft w:val="0"/>
      <w:marRight w:val="0"/>
      <w:marTop w:val="0"/>
      <w:marBottom w:val="0"/>
      <w:divBdr>
        <w:top w:val="none" w:sz="0" w:space="0" w:color="auto"/>
        <w:left w:val="none" w:sz="0" w:space="0" w:color="auto"/>
        <w:bottom w:val="none" w:sz="0" w:space="0" w:color="auto"/>
        <w:right w:val="none" w:sz="0" w:space="0" w:color="auto"/>
      </w:divBdr>
    </w:div>
    <w:div w:id="491606867">
      <w:marLeft w:val="0"/>
      <w:marRight w:val="0"/>
      <w:marTop w:val="0"/>
      <w:marBottom w:val="0"/>
      <w:divBdr>
        <w:top w:val="none" w:sz="0" w:space="0" w:color="auto"/>
        <w:left w:val="none" w:sz="0" w:space="0" w:color="auto"/>
        <w:bottom w:val="none" w:sz="0" w:space="0" w:color="auto"/>
        <w:right w:val="none" w:sz="0" w:space="0" w:color="auto"/>
      </w:divBdr>
      <w:divsChild>
        <w:div w:id="554200362">
          <w:marLeft w:val="0"/>
          <w:marRight w:val="0"/>
          <w:marTop w:val="160"/>
          <w:marBottom w:val="160"/>
          <w:divBdr>
            <w:top w:val="none" w:sz="0" w:space="0" w:color="auto"/>
            <w:left w:val="none" w:sz="0" w:space="0" w:color="auto"/>
            <w:bottom w:val="none" w:sz="0" w:space="0" w:color="auto"/>
            <w:right w:val="none" w:sz="0" w:space="0" w:color="auto"/>
          </w:divBdr>
        </w:div>
      </w:divsChild>
    </w:div>
    <w:div w:id="493885017">
      <w:marLeft w:val="0"/>
      <w:marRight w:val="0"/>
      <w:marTop w:val="0"/>
      <w:marBottom w:val="0"/>
      <w:divBdr>
        <w:top w:val="none" w:sz="0" w:space="0" w:color="auto"/>
        <w:left w:val="none" w:sz="0" w:space="0" w:color="auto"/>
        <w:bottom w:val="none" w:sz="0" w:space="0" w:color="auto"/>
        <w:right w:val="none" w:sz="0" w:space="0" w:color="auto"/>
      </w:divBdr>
    </w:div>
    <w:div w:id="498470738">
      <w:marLeft w:val="0"/>
      <w:marRight w:val="0"/>
      <w:marTop w:val="100"/>
      <w:marBottom w:val="240"/>
      <w:divBdr>
        <w:top w:val="none" w:sz="0" w:space="0" w:color="auto"/>
        <w:left w:val="none" w:sz="0" w:space="0" w:color="auto"/>
        <w:bottom w:val="none" w:sz="0" w:space="0" w:color="auto"/>
        <w:right w:val="none" w:sz="0" w:space="0" w:color="auto"/>
      </w:divBdr>
    </w:div>
    <w:div w:id="498935165">
      <w:marLeft w:val="0"/>
      <w:marRight w:val="0"/>
      <w:marTop w:val="160"/>
      <w:marBottom w:val="160"/>
      <w:divBdr>
        <w:top w:val="none" w:sz="0" w:space="0" w:color="auto"/>
        <w:left w:val="none" w:sz="0" w:space="0" w:color="auto"/>
        <w:bottom w:val="none" w:sz="0" w:space="0" w:color="auto"/>
        <w:right w:val="none" w:sz="0" w:space="0" w:color="auto"/>
      </w:divBdr>
    </w:div>
    <w:div w:id="500581731">
      <w:marLeft w:val="0"/>
      <w:marRight w:val="0"/>
      <w:marTop w:val="160"/>
      <w:marBottom w:val="160"/>
      <w:divBdr>
        <w:top w:val="none" w:sz="0" w:space="0" w:color="auto"/>
        <w:left w:val="none" w:sz="0" w:space="0" w:color="auto"/>
        <w:bottom w:val="none" w:sz="0" w:space="0" w:color="auto"/>
        <w:right w:val="none" w:sz="0" w:space="0" w:color="auto"/>
      </w:divBdr>
    </w:div>
    <w:div w:id="501119450">
      <w:marLeft w:val="0"/>
      <w:marRight w:val="0"/>
      <w:marTop w:val="0"/>
      <w:marBottom w:val="240"/>
      <w:divBdr>
        <w:top w:val="none" w:sz="0" w:space="0" w:color="auto"/>
        <w:left w:val="none" w:sz="0" w:space="0" w:color="auto"/>
        <w:bottom w:val="none" w:sz="0" w:space="0" w:color="auto"/>
        <w:right w:val="none" w:sz="0" w:space="0" w:color="auto"/>
      </w:divBdr>
    </w:div>
    <w:div w:id="505023273">
      <w:marLeft w:val="0"/>
      <w:marRight w:val="0"/>
      <w:marTop w:val="100"/>
      <w:marBottom w:val="240"/>
      <w:divBdr>
        <w:top w:val="none" w:sz="0" w:space="0" w:color="auto"/>
        <w:left w:val="none" w:sz="0" w:space="0" w:color="auto"/>
        <w:bottom w:val="none" w:sz="0" w:space="0" w:color="auto"/>
        <w:right w:val="none" w:sz="0" w:space="0" w:color="auto"/>
      </w:divBdr>
    </w:div>
    <w:div w:id="505480675">
      <w:marLeft w:val="0"/>
      <w:marRight w:val="0"/>
      <w:marTop w:val="240"/>
      <w:marBottom w:val="160"/>
      <w:divBdr>
        <w:top w:val="none" w:sz="0" w:space="0" w:color="auto"/>
        <w:left w:val="none" w:sz="0" w:space="0" w:color="auto"/>
        <w:bottom w:val="none" w:sz="0" w:space="0" w:color="auto"/>
        <w:right w:val="none" w:sz="0" w:space="0" w:color="auto"/>
      </w:divBdr>
    </w:div>
    <w:div w:id="505482188">
      <w:marLeft w:val="0"/>
      <w:marRight w:val="0"/>
      <w:marTop w:val="0"/>
      <w:marBottom w:val="0"/>
      <w:divBdr>
        <w:top w:val="none" w:sz="0" w:space="0" w:color="auto"/>
        <w:left w:val="none" w:sz="0" w:space="0" w:color="auto"/>
        <w:bottom w:val="none" w:sz="0" w:space="0" w:color="auto"/>
        <w:right w:val="none" w:sz="0" w:space="0" w:color="auto"/>
      </w:divBdr>
      <w:divsChild>
        <w:div w:id="1556358965">
          <w:marLeft w:val="0"/>
          <w:marRight w:val="0"/>
          <w:marTop w:val="160"/>
          <w:marBottom w:val="160"/>
          <w:divBdr>
            <w:top w:val="none" w:sz="0" w:space="0" w:color="auto"/>
            <w:left w:val="none" w:sz="0" w:space="0" w:color="auto"/>
            <w:bottom w:val="none" w:sz="0" w:space="0" w:color="auto"/>
            <w:right w:val="none" w:sz="0" w:space="0" w:color="auto"/>
          </w:divBdr>
        </w:div>
      </w:divsChild>
    </w:div>
    <w:div w:id="506677057">
      <w:marLeft w:val="0"/>
      <w:marRight w:val="0"/>
      <w:marTop w:val="0"/>
      <w:marBottom w:val="240"/>
      <w:divBdr>
        <w:top w:val="none" w:sz="0" w:space="0" w:color="auto"/>
        <w:left w:val="none" w:sz="0" w:space="0" w:color="auto"/>
        <w:bottom w:val="none" w:sz="0" w:space="0" w:color="auto"/>
        <w:right w:val="none" w:sz="0" w:space="0" w:color="auto"/>
      </w:divBdr>
    </w:div>
    <w:div w:id="508954985">
      <w:marLeft w:val="0"/>
      <w:marRight w:val="0"/>
      <w:marTop w:val="160"/>
      <w:marBottom w:val="160"/>
      <w:divBdr>
        <w:top w:val="none" w:sz="0" w:space="0" w:color="auto"/>
        <w:left w:val="none" w:sz="0" w:space="0" w:color="auto"/>
        <w:bottom w:val="none" w:sz="0" w:space="0" w:color="auto"/>
        <w:right w:val="none" w:sz="0" w:space="0" w:color="auto"/>
      </w:divBdr>
    </w:div>
    <w:div w:id="509953303">
      <w:marLeft w:val="0"/>
      <w:marRight w:val="0"/>
      <w:marTop w:val="100"/>
      <w:marBottom w:val="340"/>
      <w:divBdr>
        <w:top w:val="none" w:sz="0" w:space="0" w:color="auto"/>
        <w:left w:val="none" w:sz="0" w:space="0" w:color="auto"/>
        <w:bottom w:val="none" w:sz="0" w:space="0" w:color="auto"/>
        <w:right w:val="none" w:sz="0" w:space="0" w:color="auto"/>
      </w:divBdr>
    </w:div>
    <w:div w:id="510795784">
      <w:marLeft w:val="0"/>
      <w:marRight w:val="0"/>
      <w:marTop w:val="0"/>
      <w:marBottom w:val="160"/>
      <w:divBdr>
        <w:top w:val="none" w:sz="0" w:space="0" w:color="auto"/>
        <w:left w:val="none" w:sz="0" w:space="0" w:color="auto"/>
        <w:bottom w:val="none" w:sz="0" w:space="0" w:color="auto"/>
        <w:right w:val="none" w:sz="0" w:space="0" w:color="auto"/>
      </w:divBdr>
    </w:div>
    <w:div w:id="512301737">
      <w:marLeft w:val="0"/>
      <w:marRight w:val="0"/>
      <w:marTop w:val="100"/>
      <w:marBottom w:val="100"/>
      <w:divBdr>
        <w:top w:val="none" w:sz="0" w:space="0" w:color="auto"/>
        <w:left w:val="none" w:sz="0" w:space="0" w:color="auto"/>
        <w:bottom w:val="none" w:sz="0" w:space="0" w:color="auto"/>
        <w:right w:val="none" w:sz="0" w:space="0" w:color="auto"/>
      </w:divBdr>
      <w:divsChild>
        <w:div w:id="1622376150">
          <w:marLeft w:val="0"/>
          <w:marRight w:val="0"/>
          <w:marTop w:val="0"/>
          <w:marBottom w:val="0"/>
          <w:divBdr>
            <w:top w:val="none" w:sz="0" w:space="0" w:color="auto"/>
            <w:left w:val="none" w:sz="0" w:space="0" w:color="auto"/>
            <w:bottom w:val="none" w:sz="0" w:space="0" w:color="auto"/>
            <w:right w:val="none" w:sz="0" w:space="0" w:color="auto"/>
          </w:divBdr>
        </w:div>
      </w:divsChild>
    </w:div>
    <w:div w:id="512649139">
      <w:marLeft w:val="0"/>
      <w:marRight w:val="0"/>
      <w:marTop w:val="100"/>
      <w:marBottom w:val="160"/>
      <w:divBdr>
        <w:top w:val="none" w:sz="0" w:space="0" w:color="auto"/>
        <w:left w:val="none" w:sz="0" w:space="0" w:color="auto"/>
        <w:bottom w:val="none" w:sz="0" w:space="0" w:color="auto"/>
        <w:right w:val="none" w:sz="0" w:space="0" w:color="auto"/>
      </w:divBdr>
    </w:div>
    <w:div w:id="516583014">
      <w:marLeft w:val="0"/>
      <w:marRight w:val="0"/>
      <w:marTop w:val="160"/>
      <w:marBottom w:val="160"/>
      <w:divBdr>
        <w:top w:val="none" w:sz="0" w:space="0" w:color="auto"/>
        <w:left w:val="none" w:sz="0" w:space="0" w:color="auto"/>
        <w:bottom w:val="none" w:sz="0" w:space="0" w:color="auto"/>
        <w:right w:val="none" w:sz="0" w:space="0" w:color="auto"/>
      </w:divBdr>
    </w:div>
    <w:div w:id="521824309">
      <w:marLeft w:val="0"/>
      <w:marRight w:val="0"/>
      <w:marTop w:val="100"/>
      <w:marBottom w:val="340"/>
      <w:divBdr>
        <w:top w:val="none" w:sz="0" w:space="0" w:color="auto"/>
        <w:left w:val="none" w:sz="0" w:space="0" w:color="auto"/>
        <w:bottom w:val="none" w:sz="0" w:space="0" w:color="auto"/>
        <w:right w:val="none" w:sz="0" w:space="0" w:color="auto"/>
      </w:divBdr>
    </w:div>
    <w:div w:id="522279588">
      <w:marLeft w:val="0"/>
      <w:marRight w:val="0"/>
      <w:marTop w:val="0"/>
      <w:marBottom w:val="0"/>
      <w:divBdr>
        <w:top w:val="none" w:sz="0" w:space="0" w:color="auto"/>
        <w:left w:val="none" w:sz="0" w:space="0" w:color="auto"/>
        <w:bottom w:val="none" w:sz="0" w:space="0" w:color="auto"/>
        <w:right w:val="none" w:sz="0" w:space="0" w:color="auto"/>
      </w:divBdr>
      <w:divsChild>
        <w:div w:id="1191916465">
          <w:marLeft w:val="0"/>
          <w:marRight w:val="0"/>
          <w:marTop w:val="0"/>
          <w:marBottom w:val="0"/>
          <w:divBdr>
            <w:top w:val="none" w:sz="0" w:space="0" w:color="auto"/>
            <w:left w:val="none" w:sz="0" w:space="0" w:color="auto"/>
            <w:bottom w:val="none" w:sz="0" w:space="0" w:color="auto"/>
            <w:right w:val="none" w:sz="0" w:space="0" w:color="auto"/>
          </w:divBdr>
        </w:div>
      </w:divsChild>
    </w:div>
    <w:div w:id="522325065">
      <w:marLeft w:val="0"/>
      <w:marRight w:val="0"/>
      <w:marTop w:val="0"/>
      <w:marBottom w:val="240"/>
      <w:divBdr>
        <w:top w:val="none" w:sz="0" w:space="0" w:color="auto"/>
        <w:left w:val="none" w:sz="0" w:space="0" w:color="auto"/>
        <w:bottom w:val="none" w:sz="0" w:space="0" w:color="auto"/>
        <w:right w:val="none" w:sz="0" w:space="0" w:color="auto"/>
      </w:divBdr>
    </w:div>
    <w:div w:id="522785679">
      <w:marLeft w:val="0"/>
      <w:marRight w:val="0"/>
      <w:marTop w:val="0"/>
      <w:marBottom w:val="0"/>
      <w:divBdr>
        <w:top w:val="none" w:sz="0" w:space="0" w:color="auto"/>
        <w:left w:val="none" w:sz="0" w:space="0" w:color="auto"/>
        <w:bottom w:val="none" w:sz="0" w:space="0" w:color="auto"/>
        <w:right w:val="none" w:sz="0" w:space="0" w:color="auto"/>
      </w:divBdr>
      <w:divsChild>
        <w:div w:id="503325569">
          <w:marLeft w:val="0"/>
          <w:marRight w:val="0"/>
          <w:marTop w:val="0"/>
          <w:marBottom w:val="0"/>
          <w:divBdr>
            <w:top w:val="none" w:sz="0" w:space="0" w:color="auto"/>
            <w:left w:val="none" w:sz="0" w:space="0" w:color="auto"/>
            <w:bottom w:val="none" w:sz="0" w:space="0" w:color="auto"/>
            <w:right w:val="none" w:sz="0" w:space="0" w:color="auto"/>
          </w:divBdr>
        </w:div>
      </w:divsChild>
    </w:div>
    <w:div w:id="524828493">
      <w:marLeft w:val="0"/>
      <w:marRight w:val="0"/>
      <w:marTop w:val="0"/>
      <w:marBottom w:val="240"/>
      <w:divBdr>
        <w:top w:val="none" w:sz="0" w:space="0" w:color="auto"/>
        <w:left w:val="none" w:sz="0" w:space="0" w:color="auto"/>
        <w:bottom w:val="none" w:sz="0" w:space="0" w:color="auto"/>
        <w:right w:val="none" w:sz="0" w:space="0" w:color="auto"/>
      </w:divBdr>
    </w:div>
    <w:div w:id="525873569">
      <w:marLeft w:val="0"/>
      <w:marRight w:val="0"/>
      <w:marTop w:val="160"/>
      <w:marBottom w:val="160"/>
      <w:divBdr>
        <w:top w:val="none" w:sz="0" w:space="0" w:color="auto"/>
        <w:left w:val="none" w:sz="0" w:space="0" w:color="auto"/>
        <w:bottom w:val="none" w:sz="0" w:space="0" w:color="auto"/>
        <w:right w:val="none" w:sz="0" w:space="0" w:color="auto"/>
      </w:divBdr>
    </w:div>
    <w:div w:id="527371994">
      <w:marLeft w:val="0"/>
      <w:marRight w:val="0"/>
      <w:marTop w:val="0"/>
      <w:marBottom w:val="0"/>
      <w:divBdr>
        <w:top w:val="none" w:sz="0" w:space="0" w:color="auto"/>
        <w:left w:val="none" w:sz="0" w:space="0" w:color="auto"/>
        <w:bottom w:val="none" w:sz="0" w:space="0" w:color="auto"/>
        <w:right w:val="none" w:sz="0" w:space="0" w:color="auto"/>
      </w:divBdr>
      <w:divsChild>
        <w:div w:id="1023897342">
          <w:marLeft w:val="0"/>
          <w:marRight w:val="0"/>
          <w:marTop w:val="160"/>
          <w:marBottom w:val="160"/>
          <w:divBdr>
            <w:top w:val="none" w:sz="0" w:space="0" w:color="auto"/>
            <w:left w:val="none" w:sz="0" w:space="0" w:color="auto"/>
            <w:bottom w:val="none" w:sz="0" w:space="0" w:color="auto"/>
            <w:right w:val="none" w:sz="0" w:space="0" w:color="auto"/>
          </w:divBdr>
        </w:div>
      </w:divsChild>
    </w:div>
    <w:div w:id="527375628">
      <w:marLeft w:val="0"/>
      <w:marRight w:val="0"/>
      <w:marTop w:val="0"/>
      <w:marBottom w:val="0"/>
      <w:divBdr>
        <w:top w:val="none" w:sz="0" w:space="0" w:color="auto"/>
        <w:left w:val="none" w:sz="0" w:space="0" w:color="auto"/>
        <w:bottom w:val="none" w:sz="0" w:space="0" w:color="auto"/>
        <w:right w:val="none" w:sz="0" w:space="0" w:color="auto"/>
      </w:divBdr>
    </w:div>
    <w:div w:id="529338317">
      <w:marLeft w:val="0"/>
      <w:marRight w:val="0"/>
      <w:marTop w:val="0"/>
      <w:marBottom w:val="240"/>
      <w:divBdr>
        <w:top w:val="none" w:sz="0" w:space="0" w:color="auto"/>
        <w:left w:val="none" w:sz="0" w:space="0" w:color="auto"/>
        <w:bottom w:val="none" w:sz="0" w:space="0" w:color="auto"/>
        <w:right w:val="none" w:sz="0" w:space="0" w:color="auto"/>
      </w:divBdr>
    </w:div>
    <w:div w:id="530067287">
      <w:marLeft w:val="0"/>
      <w:marRight w:val="0"/>
      <w:marTop w:val="100"/>
      <w:marBottom w:val="240"/>
      <w:divBdr>
        <w:top w:val="none" w:sz="0" w:space="0" w:color="auto"/>
        <w:left w:val="none" w:sz="0" w:space="0" w:color="auto"/>
        <w:bottom w:val="none" w:sz="0" w:space="0" w:color="auto"/>
        <w:right w:val="none" w:sz="0" w:space="0" w:color="auto"/>
      </w:divBdr>
    </w:div>
    <w:div w:id="531577913">
      <w:marLeft w:val="0"/>
      <w:marRight w:val="0"/>
      <w:marTop w:val="0"/>
      <w:marBottom w:val="240"/>
      <w:divBdr>
        <w:top w:val="none" w:sz="0" w:space="0" w:color="auto"/>
        <w:left w:val="none" w:sz="0" w:space="0" w:color="auto"/>
        <w:bottom w:val="none" w:sz="0" w:space="0" w:color="auto"/>
        <w:right w:val="none" w:sz="0" w:space="0" w:color="auto"/>
      </w:divBdr>
    </w:div>
    <w:div w:id="532230297">
      <w:marLeft w:val="0"/>
      <w:marRight w:val="0"/>
      <w:marTop w:val="120"/>
      <w:marBottom w:val="0"/>
      <w:divBdr>
        <w:top w:val="none" w:sz="0" w:space="0" w:color="auto"/>
        <w:left w:val="none" w:sz="0" w:space="0" w:color="auto"/>
        <w:bottom w:val="none" w:sz="0" w:space="0" w:color="auto"/>
        <w:right w:val="none" w:sz="0" w:space="0" w:color="auto"/>
      </w:divBdr>
    </w:div>
    <w:div w:id="532886321">
      <w:marLeft w:val="0"/>
      <w:marRight w:val="0"/>
      <w:marTop w:val="0"/>
      <w:marBottom w:val="180"/>
      <w:divBdr>
        <w:top w:val="none" w:sz="0" w:space="0" w:color="auto"/>
        <w:left w:val="none" w:sz="0" w:space="0" w:color="auto"/>
        <w:bottom w:val="none" w:sz="0" w:space="0" w:color="auto"/>
        <w:right w:val="none" w:sz="0" w:space="0" w:color="auto"/>
      </w:divBdr>
    </w:div>
    <w:div w:id="533225577">
      <w:marLeft w:val="0"/>
      <w:marRight w:val="0"/>
      <w:marTop w:val="100"/>
      <w:marBottom w:val="180"/>
      <w:divBdr>
        <w:top w:val="none" w:sz="0" w:space="0" w:color="auto"/>
        <w:left w:val="none" w:sz="0" w:space="0" w:color="auto"/>
        <w:bottom w:val="none" w:sz="0" w:space="0" w:color="auto"/>
        <w:right w:val="none" w:sz="0" w:space="0" w:color="auto"/>
      </w:divBdr>
    </w:div>
    <w:div w:id="544103918">
      <w:marLeft w:val="0"/>
      <w:marRight w:val="0"/>
      <w:marTop w:val="0"/>
      <w:marBottom w:val="0"/>
      <w:divBdr>
        <w:top w:val="none" w:sz="0" w:space="0" w:color="auto"/>
        <w:left w:val="none" w:sz="0" w:space="0" w:color="auto"/>
        <w:bottom w:val="none" w:sz="0" w:space="0" w:color="auto"/>
        <w:right w:val="none" w:sz="0" w:space="0" w:color="auto"/>
      </w:divBdr>
      <w:divsChild>
        <w:div w:id="1801998913">
          <w:marLeft w:val="0"/>
          <w:marRight w:val="0"/>
          <w:marTop w:val="160"/>
          <w:marBottom w:val="160"/>
          <w:divBdr>
            <w:top w:val="none" w:sz="0" w:space="0" w:color="auto"/>
            <w:left w:val="none" w:sz="0" w:space="0" w:color="auto"/>
            <w:bottom w:val="none" w:sz="0" w:space="0" w:color="auto"/>
            <w:right w:val="none" w:sz="0" w:space="0" w:color="auto"/>
          </w:divBdr>
        </w:div>
      </w:divsChild>
    </w:div>
    <w:div w:id="547113282">
      <w:marLeft w:val="0"/>
      <w:marRight w:val="0"/>
      <w:marTop w:val="0"/>
      <w:marBottom w:val="140"/>
      <w:divBdr>
        <w:top w:val="none" w:sz="0" w:space="0" w:color="auto"/>
        <w:left w:val="none" w:sz="0" w:space="0" w:color="auto"/>
        <w:bottom w:val="none" w:sz="0" w:space="0" w:color="auto"/>
        <w:right w:val="none" w:sz="0" w:space="0" w:color="auto"/>
      </w:divBdr>
    </w:div>
    <w:div w:id="548343299">
      <w:marLeft w:val="0"/>
      <w:marRight w:val="0"/>
      <w:marTop w:val="0"/>
      <w:marBottom w:val="240"/>
      <w:divBdr>
        <w:top w:val="none" w:sz="0" w:space="0" w:color="auto"/>
        <w:left w:val="none" w:sz="0" w:space="0" w:color="auto"/>
        <w:bottom w:val="none" w:sz="0" w:space="0" w:color="auto"/>
        <w:right w:val="none" w:sz="0" w:space="0" w:color="auto"/>
      </w:divBdr>
    </w:div>
    <w:div w:id="548372328">
      <w:marLeft w:val="0"/>
      <w:marRight w:val="0"/>
      <w:marTop w:val="0"/>
      <w:marBottom w:val="0"/>
      <w:divBdr>
        <w:top w:val="none" w:sz="0" w:space="0" w:color="auto"/>
        <w:left w:val="none" w:sz="0" w:space="0" w:color="auto"/>
        <w:bottom w:val="none" w:sz="0" w:space="0" w:color="auto"/>
        <w:right w:val="none" w:sz="0" w:space="0" w:color="auto"/>
      </w:divBdr>
      <w:divsChild>
        <w:div w:id="1357734112">
          <w:marLeft w:val="0"/>
          <w:marRight w:val="0"/>
          <w:marTop w:val="0"/>
          <w:marBottom w:val="0"/>
          <w:divBdr>
            <w:top w:val="none" w:sz="0" w:space="0" w:color="auto"/>
            <w:left w:val="none" w:sz="0" w:space="0" w:color="auto"/>
            <w:bottom w:val="none" w:sz="0" w:space="0" w:color="auto"/>
            <w:right w:val="none" w:sz="0" w:space="0" w:color="auto"/>
          </w:divBdr>
        </w:div>
      </w:divsChild>
    </w:div>
    <w:div w:id="549925114">
      <w:marLeft w:val="0"/>
      <w:marRight w:val="0"/>
      <w:marTop w:val="240"/>
      <w:marBottom w:val="160"/>
      <w:divBdr>
        <w:top w:val="none" w:sz="0" w:space="0" w:color="auto"/>
        <w:left w:val="none" w:sz="0" w:space="0" w:color="auto"/>
        <w:bottom w:val="none" w:sz="0" w:space="0" w:color="auto"/>
        <w:right w:val="none" w:sz="0" w:space="0" w:color="auto"/>
      </w:divBdr>
    </w:div>
    <w:div w:id="550461167">
      <w:marLeft w:val="0"/>
      <w:marRight w:val="0"/>
      <w:marTop w:val="180"/>
      <w:marBottom w:val="160"/>
      <w:divBdr>
        <w:top w:val="none" w:sz="0" w:space="0" w:color="auto"/>
        <w:left w:val="none" w:sz="0" w:space="0" w:color="auto"/>
        <w:bottom w:val="none" w:sz="0" w:space="0" w:color="auto"/>
        <w:right w:val="none" w:sz="0" w:space="0" w:color="auto"/>
      </w:divBdr>
    </w:div>
    <w:div w:id="551117114">
      <w:marLeft w:val="0"/>
      <w:marRight w:val="0"/>
      <w:marTop w:val="0"/>
      <w:marBottom w:val="160"/>
      <w:divBdr>
        <w:top w:val="none" w:sz="0" w:space="0" w:color="auto"/>
        <w:left w:val="none" w:sz="0" w:space="0" w:color="auto"/>
        <w:bottom w:val="none" w:sz="0" w:space="0" w:color="auto"/>
        <w:right w:val="none" w:sz="0" w:space="0" w:color="auto"/>
      </w:divBdr>
    </w:div>
    <w:div w:id="552427199">
      <w:marLeft w:val="0"/>
      <w:marRight w:val="0"/>
      <w:marTop w:val="240"/>
      <w:marBottom w:val="240"/>
      <w:divBdr>
        <w:top w:val="none" w:sz="0" w:space="0" w:color="auto"/>
        <w:left w:val="none" w:sz="0" w:space="0" w:color="auto"/>
        <w:bottom w:val="none" w:sz="0" w:space="0" w:color="auto"/>
        <w:right w:val="none" w:sz="0" w:space="0" w:color="auto"/>
      </w:divBdr>
    </w:div>
    <w:div w:id="554969884">
      <w:marLeft w:val="0"/>
      <w:marRight w:val="0"/>
      <w:marTop w:val="0"/>
      <w:marBottom w:val="240"/>
      <w:divBdr>
        <w:top w:val="none" w:sz="0" w:space="0" w:color="auto"/>
        <w:left w:val="none" w:sz="0" w:space="0" w:color="auto"/>
        <w:bottom w:val="none" w:sz="0" w:space="0" w:color="auto"/>
        <w:right w:val="none" w:sz="0" w:space="0" w:color="auto"/>
      </w:divBdr>
    </w:div>
    <w:div w:id="555970553">
      <w:marLeft w:val="0"/>
      <w:marRight w:val="0"/>
      <w:marTop w:val="160"/>
      <w:marBottom w:val="160"/>
      <w:divBdr>
        <w:top w:val="none" w:sz="0" w:space="0" w:color="auto"/>
        <w:left w:val="none" w:sz="0" w:space="0" w:color="auto"/>
        <w:bottom w:val="none" w:sz="0" w:space="0" w:color="auto"/>
        <w:right w:val="none" w:sz="0" w:space="0" w:color="auto"/>
      </w:divBdr>
    </w:div>
    <w:div w:id="557252989">
      <w:marLeft w:val="0"/>
      <w:marRight w:val="0"/>
      <w:marTop w:val="0"/>
      <w:marBottom w:val="0"/>
      <w:divBdr>
        <w:top w:val="none" w:sz="0" w:space="0" w:color="auto"/>
        <w:left w:val="none" w:sz="0" w:space="0" w:color="auto"/>
        <w:bottom w:val="none" w:sz="0" w:space="0" w:color="auto"/>
        <w:right w:val="none" w:sz="0" w:space="0" w:color="auto"/>
      </w:divBdr>
    </w:div>
    <w:div w:id="558901145">
      <w:marLeft w:val="0"/>
      <w:marRight w:val="0"/>
      <w:marTop w:val="0"/>
      <w:marBottom w:val="0"/>
      <w:divBdr>
        <w:top w:val="none" w:sz="0" w:space="0" w:color="auto"/>
        <w:left w:val="none" w:sz="0" w:space="0" w:color="auto"/>
        <w:bottom w:val="none" w:sz="0" w:space="0" w:color="auto"/>
        <w:right w:val="none" w:sz="0" w:space="0" w:color="auto"/>
      </w:divBdr>
      <w:divsChild>
        <w:div w:id="1812865304">
          <w:marLeft w:val="0"/>
          <w:marRight w:val="0"/>
          <w:marTop w:val="160"/>
          <w:marBottom w:val="0"/>
          <w:divBdr>
            <w:top w:val="none" w:sz="0" w:space="0" w:color="auto"/>
            <w:left w:val="none" w:sz="0" w:space="0" w:color="auto"/>
            <w:bottom w:val="none" w:sz="0" w:space="0" w:color="auto"/>
            <w:right w:val="none" w:sz="0" w:space="0" w:color="auto"/>
          </w:divBdr>
        </w:div>
        <w:div w:id="740324069">
          <w:marLeft w:val="0"/>
          <w:marRight w:val="0"/>
          <w:marTop w:val="60"/>
          <w:marBottom w:val="60"/>
          <w:divBdr>
            <w:top w:val="none" w:sz="0" w:space="0" w:color="auto"/>
            <w:left w:val="none" w:sz="0" w:space="0" w:color="auto"/>
            <w:bottom w:val="none" w:sz="0" w:space="0" w:color="auto"/>
            <w:right w:val="none" w:sz="0" w:space="0" w:color="auto"/>
          </w:divBdr>
        </w:div>
        <w:div w:id="1505851604">
          <w:marLeft w:val="0"/>
          <w:marRight w:val="0"/>
          <w:marTop w:val="60"/>
          <w:marBottom w:val="60"/>
          <w:divBdr>
            <w:top w:val="none" w:sz="0" w:space="0" w:color="auto"/>
            <w:left w:val="none" w:sz="0" w:space="0" w:color="auto"/>
            <w:bottom w:val="none" w:sz="0" w:space="0" w:color="auto"/>
            <w:right w:val="none" w:sz="0" w:space="0" w:color="auto"/>
          </w:divBdr>
        </w:div>
        <w:div w:id="126707313">
          <w:marLeft w:val="0"/>
          <w:marRight w:val="0"/>
          <w:marTop w:val="60"/>
          <w:marBottom w:val="60"/>
          <w:divBdr>
            <w:top w:val="none" w:sz="0" w:space="0" w:color="auto"/>
            <w:left w:val="none" w:sz="0" w:space="0" w:color="auto"/>
            <w:bottom w:val="none" w:sz="0" w:space="0" w:color="auto"/>
            <w:right w:val="none" w:sz="0" w:space="0" w:color="auto"/>
          </w:divBdr>
        </w:div>
      </w:divsChild>
    </w:div>
    <w:div w:id="560597576">
      <w:marLeft w:val="0"/>
      <w:marRight w:val="0"/>
      <w:marTop w:val="0"/>
      <w:marBottom w:val="0"/>
      <w:divBdr>
        <w:top w:val="none" w:sz="0" w:space="0" w:color="auto"/>
        <w:left w:val="none" w:sz="0" w:space="0" w:color="auto"/>
        <w:bottom w:val="none" w:sz="0" w:space="0" w:color="auto"/>
        <w:right w:val="none" w:sz="0" w:space="0" w:color="auto"/>
      </w:divBdr>
      <w:divsChild>
        <w:div w:id="1781682653">
          <w:marLeft w:val="0"/>
          <w:marRight w:val="0"/>
          <w:marTop w:val="160"/>
          <w:marBottom w:val="160"/>
          <w:divBdr>
            <w:top w:val="none" w:sz="0" w:space="0" w:color="auto"/>
            <w:left w:val="none" w:sz="0" w:space="0" w:color="auto"/>
            <w:bottom w:val="none" w:sz="0" w:space="0" w:color="auto"/>
            <w:right w:val="none" w:sz="0" w:space="0" w:color="auto"/>
          </w:divBdr>
        </w:div>
      </w:divsChild>
    </w:div>
    <w:div w:id="560794849">
      <w:marLeft w:val="0"/>
      <w:marRight w:val="0"/>
      <w:marTop w:val="0"/>
      <w:marBottom w:val="0"/>
      <w:divBdr>
        <w:top w:val="none" w:sz="0" w:space="0" w:color="auto"/>
        <w:left w:val="none" w:sz="0" w:space="0" w:color="auto"/>
        <w:bottom w:val="none" w:sz="0" w:space="0" w:color="auto"/>
        <w:right w:val="none" w:sz="0" w:space="0" w:color="auto"/>
      </w:divBdr>
    </w:div>
    <w:div w:id="564030742">
      <w:marLeft w:val="0"/>
      <w:marRight w:val="0"/>
      <w:marTop w:val="160"/>
      <w:marBottom w:val="160"/>
      <w:divBdr>
        <w:top w:val="none" w:sz="0" w:space="0" w:color="auto"/>
        <w:left w:val="none" w:sz="0" w:space="0" w:color="auto"/>
        <w:bottom w:val="none" w:sz="0" w:space="0" w:color="auto"/>
        <w:right w:val="none" w:sz="0" w:space="0" w:color="auto"/>
      </w:divBdr>
    </w:div>
    <w:div w:id="566383700">
      <w:marLeft w:val="0"/>
      <w:marRight w:val="0"/>
      <w:marTop w:val="0"/>
      <w:marBottom w:val="240"/>
      <w:divBdr>
        <w:top w:val="none" w:sz="0" w:space="0" w:color="auto"/>
        <w:left w:val="none" w:sz="0" w:space="0" w:color="auto"/>
        <w:bottom w:val="none" w:sz="0" w:space="0" w:color="auto"/>
        <w:right w:val="none" w:sz="0" w:space="0" w:color="auto"/>
      </w:divBdr>
    </w:div>
    <w:div w:id="568421288">
      <w:marLeft w:val="0"/>
      <w:marRight w:val="0"/>
      <w:marTop w:val="0"/>
      <w:marBottom w:val="0"/>
      <w:divBdr>
        <w:top w:val="none" w:sz="0" w:space="0" w:color="auto"/>
        <w:left w:val="none" w:sz="0" w:space="0" w:color="auto"/>
        <w:bottom w:val="none" w:sz="0" w:space="0" w:color="auto"/>
        <w:right w:val="none" w:sz="0" w:space="0" w:color="auto"/>
      </w:divBdr>
    </w:div>
    <w:div w:id="569579582">
      <w:marLeft w:val="0"/>
      <w:marRight w:val="0"/>
      <w:marTop w:val="0"/>
      <w:marBottom w:val="0"/>
      <w:divBdr>
        <w:top w:val="none" w:sz="0" w:space="0" w:color="auto"/>
        <w:left w:val="none" w:sz="0" w:space="0" w:color="auto"/>
        <w:bottom w:val="none" w:sz="0" w:space="0" w:color="auto"/>
        <w:right w:val="none" w:sz="0" w:space="0" w:color="auto"/>
      </w:divBdr>
      <w:divsChild>
        <w:div w:id="1627348479">
          <w:marLeft w:val="0"/>
          <w:marRight w:val="0"/>
          <w:marTop w:val="160"/>
          <w:marBottom w:val="160"/>
          <w:divBdr>
            <w:top w:val="none" w:sz="0" w:space="0" w:color="auto"/>
            <w:left w:val="none" w:sz="0" w:space="0" w:color="auto"/>
            <w:bottom w:val="none" w:sz="0" w:space="0" w:color="auto"/>
            <w:right w:val="none" w:sz="0" w:space="0" w:color="auto"/>
          </w:divBdr>
        </w:div>
      </w:divsChild>
    </w:div>
    <w:div w:id="569582221">
      <w:marLeft w:val="0"/>
      <w:marRight w:val="0"/>
      <w:marTop w:val="0"/>
      <w:marBottom w:val="240"/>
      <w:divBdr>
        <w:top w:val="none" w:sz="0" w:space="0" w:color="auto"/>
        <w:left w:val="none" w:sz="0" w:space="0" w:color="auto"/>
        <w:bottom w:val="none" w:sz="0" w:space="0" w:color="auto"/>
        <w:right w:val="none" w:sz="0" w:space="0" w:color="auto"/>
      </w:divBdr>
    </w:div>
    <w:div w:id="571427199">
      <w:marLeft w:val="0"/>
      <w:marRight w:val="0"/>
      <w:marTop w:val="100"/>
      <w:marBottom w:val="100"/>
      <w:divBdr>
        <w:top w:val="none" w:sz="0" w:space="0" w:color="auto"/>
        <w:left w:val="none" w:sz="0" w:space="0" w:color="auto"/>
        <w:bottom w:val="none" w:sz="0" w:space="0" w:color="auto"/>
        <w:right w:val="none" w:sz="0" w:space="0" w:color="auto"/>
      </w:divBdr>
    </w:div>
    <w:div w:id="581450571">
      <w:marLeft w:val="0"/>
      <w:marRight w:val="0"/>
      <w:marTop w:val="0"/>
      <w:marBottom w:val="240"/>
      <w:divBdr>
        <w:top w:val="none" w:sz="0" w:space="0" w:color="auto"/>
        <w:left w:val="none" w:sz="0" w:space="0" w:color="auto"/>
        <w:bottom w:val="none" w:sz="0" w:space="0" w:color="auto"/>
        <w:right w:val="none" w:sz="0" w:space="0" w:color="auto"/>
      </w:divBdr>
    </w:div>
    <w:div w:id="586965310">
      <w:marLeft w:val="0"/>
      <w:marRight w:val="0"/>
      <w:marTop w:val="100"/>
      <w:marBottom w:val="240"/>
      <w:divBdr>
        <w:top w:val="none" w:sz="0" w:space="0" w:color="auto"/>
        <w:left w:val="none" w:sz="0" w:space="0" w:color="auto"/>
        <w:bottom w:val="none" w:sz="0" w:space="0" w:color="auto"/>
        <w:right w:val="none" w:sz="0" w:space="0" w:color="auto"/>
      </w:divBdr>
    </w:div>
    <w:div w:id="587038299">
      <w:marLeft w:val="0"/>
      <w:marRight w:val="0"/>
      <w:marTop w:val="160"/>
      <w:marBottom w:val="160"/>
      <w:divBdr>
        <w:top w:val="none" w:sz="0" w:space="0" w:color="auto"/>
        <w:left w:val="none" w:sz="0" w:space="0" w:color="auto"/>
        <w:bottom w:val="none" w:sz="0" w:space="0" w:color="auto"/>
        <w:right w:val="none" w:sz="0" w:space="0" w:color="auto"/>
      </w:divBdr>
    </w:div>
    <w:div w:id="588974005">
      <w:marLeft w:val="0"/>
      <w:marRight w:val="0"/>
      <w:marTop w:val="100"/>
      <w:marBottom w:val="100"/>
      <w:divBdr>
        <w:top w:val="none" w:sz="0" w:space="0" w:color="auto"/>
        <w:left w:val="none" w:sz="0" w:space="0" w:color="auto"/>
        <w:bottom w:val="none" w:sz="0" w:space="0" w:color="auto"/>
        <w:right w:val="none" w:sz="0" w:space="0" w:color="auto"/>
      </w:divBdr>
    </w:div>
    <w:div w:id="590433011">
      <w:marLeft w:val="0"/>
      <w:marRight w:val="0"/>
      <w:marTop w:val="0"/>
      <w:marBottom w:val="0"/>
      <w:divBdr>
        <w:top w:val="none" w:sz="0" w:space="0" w:color="auto"/>
        <w:left w:val="none" w:sz="0" w:space="0" w:color="auto"/>
        <w:bottom w:val="none" w:sz="0" w:space="0" w:color="auto"/>
        <w:right w:val="none" w:sz="0" w:space="0" w:color="auto"/>
      </w:divBdr>
      <w:divsChild>
        <w:div w:id="693655349">
          <w:marLeft w:val="0"/>
          <w:marRight w:val="0"/>
          <w:marTop w:val="0"/>
          <w:marBottom w:val="0"/>
          <w:divBdr>
            <w:top w:val="none" w:sz="0" w:space="0" w:color="auto"/>
            <w:left w:val="none" w:sz="0" w:space="0" w:color="auto"/>
            <w:bottom w:val="none" w:sz="0" w:space="0" w:color="auto"/>
            <w:right w:val="none" w:sz="0" w:space="0" w:color="auto"/>
          </w:divBdr>
        </w:div>
      </w:divsChild>
    </w:div>
    <w:div w:id="591358659">
      <w:marLeft w:val="0"/>
      <w:marRight w:val="0"/>
      <w:marTop w:val="0"/>
      <w:marBottom w:val="0"/>
      <w:divBdr>
        <w:top w:val="none" w:sz="0" w:space="0" w:color="auto"/>
        <w:left w:val="none" w:sz="0" w:space="0" w:color="auto"/>
        <w:bottom w:val="none" w:sz="0" w:space="0" w:color="auto"/>
        <w:right w:val="none" w:sz="0" w:space="0" w:color="auto"/>
      </w:divBdr>
      <w:divsChild>
        <w:div w:id="677271917">
          <w:marLeft w:val="0"/>
          <w:marRight w:val="0"/>
          <w:marTop w:val="160"/>
          <w:marBottom w:val="0"/>
          <w:divBdr>
            <w:top w:val="none" w:sz="0" w:space="0" w:color="auto"/>
            <w:left w:val="none" w:sz="0" w:space="0" w:color="auto"/>
            <w:bottom w:val="none" w:sz="0" w:space="0" w:color="auto"/>
            <w:right w:val="none" w:sz="0" w:space="0" w:color="auto"/>
          </w:divBdr>
        </w:div>
        <w:div w:id="1137528907">
          <w:marLeft w:val="0"/>
          <w:marRight w:val="0"/>
          <w:marTop w:val="60"/>
          <w:marBottom w:val="60"/>
          <w:divBdr>
            <w:top w:val="none" w:sz="0" w:space="0" w:color="auto"/>
            <w:left w:val="none" w:sz="0" w:space="0" w:color="auto"/>
            <w:bottom w:val="none" w:sz="0" w:space="0" w:color="auto"/>
            <w:right w:val="none" w:sz="0" w:space="0" w:color="auto"/>
          </w:divBdr>
        </w:div>
        <w:div w:id="1546673968">
          <w:marLeft w:val="0"/>
          <w:marRight w:val="0"/>
          <w:marTop w:val="60"/>
          <w:marBottom w:val="60"/>
          <w:divBdr>
            <w:top w:val="none" w:sz="0" w:space="0" w:color="auto"/>
            <w:left w:val="none" w:sz="0" w:space="0" w:color="auto"/>
            <w:bottom w:val="none" w:sz="0" w:space="0" w:color="auto"/>
            <w:right w:val="none" w:sz="0" w:space="0" w:color="auto"/>
          </w:divBdr>
        </w:div>
        <w:div w:id="1708217484">
          <w:marLeft w:val="0"/>
          <w:marRight w:val="0"/>
          <w:marTop w:val="60"/>
          <w:marBottom w:val="60"/>
          <w:divBdr>
            <w:top w:val="none" w:sz="0" w:space="0" w:color="auto"/>
            <w:left w:val="none" w:sz="0" w:space="0" w:color="auto"/>
            <w:bottom w:val="none" w:sz="0" w:space="0" w:color="auto"/>
            <w:right w:val="none" w:sz="0" w:space="0" w:color="auto"/>
          </w:divBdr>
        </w:div>
      </w:divsChild>
    </w:div>
    <w:div w:id="591473968">
      <w:marLeft w:val="0"/>
      <w:marRight w:val="0"/>
      <w:marTop w:val="160"/>
      <w:marBottom w:val="300"/>
      <w:divBdr>
        <w:top w:val="none" w:sz="0" w:space="0" w:color="auto"/>
        <w:left w:val="none" w:sz="0" w:space="0" w:color="auto"/>
        <w:bottom w:val="none" w:sz="0" w:space="0" w:color="auto"/>
        <w:right w:val="none" w:sz="0" w:space="0" w:color="auto"/>
      </w:divBdr>
    </w:div>
    <w:div w:id="592200854">
      <w:marLeft w:val="0"/>
      <w:marRight w:val="0"/>
      <w:marTop w:val="100"/>
      <w:marBottom w:val="100"/>
      <w:divBdr>
        <w:top w:val="none" w:sz="0" w:space="0" w:color="auto"/>
        <w:left w:val="none" w:sz="0" w:space="0" w:color="auto"/>
        <w:bottom w:val="none" w:sz="0" w:space="0" w:color="auto"/>
        <w:right w:val="none" w:sz="0" w:space="0" w:color="auto"/>
      </w:divBdr>
    </w:div>
    <w:div w:id="595209650">
      <w:marLeft w:val="0"/>
      <w:marRight w:val="0"/>
      <w:marTop w:val="100"/>
      <w:marBottom w:val="100"/>
      <w:divBdr>
        <w:top w:val="none" w:sz="0" w:space="0" w:color="auto"/>
        <w:left w:val="none" w:sz="0" w:space="0" w:color="auto"/>
        <w:bottom w:val="none" w:sz="0" w:space="0" w:color="auto"/>
        <w:right w:val="none" w:sz="0" w:space="0" w:color="auto"/>
      </w:divBdr>
    </w:div>
    <w:div w:id="598827894">
      <w:marLeft w:val="0"/>
      <w:marRight w:val="0"/>
      <w:marTop w:val="100"/>
      <w:marBottom w:val="240"/>
      <w:divBdr>
        <w:top w:val="none" w:sz="0" w:space="0" w:color="auto"/>
        <w:left w:val="none" w:sz="0" w:space="0" w:color="auto"/>
        <w:bottom w:val="none" w:sz="0" w:space="0" w:color="auto"/>
        <w:right w:val="none" w:sz="0" w:space="0" w:color="auto"/>
      </w:divBdr>
    </w:div>
    <w:div w:id="601376411">
      <w:marLeft w:val="0"/>
      <w:marRight w:val="0"/>
      <w:marTop w:val="0"/>
      <w:marBottom w:val="0"/>
      <w:divBdr>
        <w:top w:val="none" w:sz="0" w:space="0" w:color="auto"/>
        <w:left w:val="none" w:sz="0" w:space="0" w:color="auto"/>
        <w:bottom w:val="none" w:sz="0" w:space="0" w:color="auto"/>
        <w:right w:val="none" w:sz="0" w:space="0" w:color="auto"/>
      </w:divBdr>
      <w:divsChild>
        <w:div w:id="44372367">
          <w:marLeft w:val="0"/>
          <w:marRight w:val="0"/>
          <w:marTop w:val="0"/>
          <w:marBottom w:val="0"/>
          <w:divBdr>
            <w:top w:val="none" w:sz="0" w:space="0" w:color="auto"/>
            <w:left w:val="none" w:sz="0" w:space="0" w:color="auto"/>
            <w:bottom w:val="none" w:sz="0" w:space="0" w:color="auto"/>
            <w:right w:val="none" w:sz="0" w:space="0" w:color="auto"/>
          </w:divBdr>
        </w:div>
      </w:divsChild>
    </w:div>
    <w:div w:id="603154879">
      <w:marLeft w:val="0"/>
      <w:marRight w:val="0"/>
      <w:marTop w:val="0"/>
      <w:marBottom w:val="0"/>
      <w:divBdr>
        <w:top w:val="none" w:sz="0" w:space="0" w:color="auto"/>
        <w:left w:val="none" w:sz="0" w:space="0" w:color="auto"/>
        <w:bottom w:val="none" w:sz="0" w:space="0" w:color="auto"/>
        <w:right w:val="none" w:sz="0" w:space="0" w:color="auto"/>
      </w:divBdr>
      <w:divsChild>
        <w:div w:id="1773864301">
          <w:marLeft w:val="0"/>
          <w:marRight w:val="0"/>
          <w:marTop w:val="0"/>
          <w:marBottom w:val="0"/>
          <w:divBdr>
            <w:top w:val="none" w:sz="0" w:space="0" w:color="auto"/>
            <w:left w:val="none" w:sz="0" w:space="0" w:color="auto"/>
            <w:bottom w:val="none" w:sz="0" w:space="0" w:color="auto"/>
            <w:right w:val="none" w:sz="0" w:space="0" w:color="auto"/>
          </w:divBdr>
        </w:div>
      </w:divsChild>
    </w:div>
    <w:div w:id="605311719">
      <w:marLeft w:val="0"/>
      <w:marRight w:val="0"/>
      <w:marTop w:val="0"/>
      <w:marBottom w:val="240"/>
      <w:divBdr>
        <w:top w:val="none" w:sz="0" w:space="0" w:color="auto"/>
        <w:left w:val="none" w:sz="0" w:space="0" w:color="auto"/>
        <w:bottom w:val="none" w:sz="0" w:space="0" w:color="auto"/>
        <w:right w:val="none" w:sz="0" w:space="0" w:color="auto"/>
      </w:divBdr>
    </w:div>
    <w:div w:id="607935219">
      <w:marLeft w:val="0"/>
      <w:marRight w:val="0"/>
      <w:marTop w:val="0"/>
      <w:marBottom w:val="0"/>
      <w:divBdr>
        <w:top w:val="none" w:sz="0" w:space="0" w:color="auto"/>
        <w:left w:val="none" w:sz="0" w:space="0" w:color="auto"/>
        <w:bottom w:val="none" w:sz="0" w:space="0" w:color="auto"/>
        <w:right w:val="none" w:sz="0" w:space="0" w:color="auto"/>
      </w:divBdr>
      <w:divsChild>
        <w:div w:id="1130974127">
          <w:marLeft w:val="0"/>
          <w:marRight w:val="0"/>
          <w:marTop w:val="160"/>
          <w:marBottom w:val="160"/>
          <w:divBdr>
            <w:top w:val="none" w:sz="0" w:space="0" w:color="auto"/>
            <w:left w:val="none" w:sz="0" w:space="0" w:color="auto"/>
            <w:bottom w:val="none" w:sz="0" w:space="0" w:color="auto"/>
            <w:right w:val="none" w:sz="0" w:space="0" w:color="auto"/>
          </w:divBdr>
        </w:div>
      </w:divsChild>
    </w:div>
    <w:div w:id="608202542">
      <w:marLeft w:val="0"/>
      <w:marRight w:val="0"/>
      <w:marTop w:val="0"/>
      <w:marBottom w:val="240"/>
      <w:divBdr>
        <w:top w:val="none" w:sz="0" w:space="0" w:color="auto"/>
        <w:left w:val="none" w:sz="0" w:space="0" w:color="auto"/>
        <w:bottom w:val="none" w:sz="0" w:space="0" w:color="auto"/>
        <w:right w:val="none" w:sz="0" w:space="0" w:color="auto"/>
      </w:divBdr>
    </w:div>
    <w:div w:id="613291652">
      <w:marLeft w:val="0"/>
      <w:marRight w:val="0"/>
      <w:marTop w:val="0"/>
      <w:marBottom w:val="60"/>
      <w:divBdr>
        <w:top w:val="none" w:sz="0" w:space="0" w:color="auto"/>
        <w:left w:val="none" w:sz="0" w:space="0" w:color="auto"/>
        <w:bottom w:val="none" w:sz="0" w:space="0" w:color="auto"/>
        <w:right w:val="none" w:sz="0" w:space="0" w:color="auto"/>
      </w:divBdr>
    </w:div>
    <w:div w:id="614335694">
      <w:marLeft w:val="0"/>
      <w:marRight w:val="0"/>
      <w:marTop w:val="100"/>
      <w:marBottom w:val="240"/>
      <w:divBdr>
        <w:top w:val="none" w:sz="0" w:space="0" w:color="auto"/>
        <w:left w:val="none" w:sz="0" w:space="0" w:color="auto"/>
        <w:bottom w:val="none" w:sz="0" w:space="0" w:color="auto"/>
        <w:right w:val="none" w:sz="0" w:space="0" w:color="auto"/>
      </w:divBdr>
    </w:div>
    <w:div w:id="618101487">
      <w:marLeft w:val="0"/>
      <w:marRight w:val="0"/>
      <w:marTop w:val="0"/>
      <w:marBottom w:val="240"/>
      <w:divBdr>
        <w:top w:val="none" w:sz="0" w:space="0" w:color="auto"/>
        <w:left w:val="none" w:sz="0" w:space="0" w:color="auto"/>
        <w:bottom w:val="none" w:sz="0" w:space="0" w:color="auto"/>
        <w:right w:val="none" w:sz="0" w:space="0" w:color="auto"/>
      </w:divBdr>
    </w:div>
    <w:div w:id="619805937">
      <w:marLeft w:val="0"/>
      <w:marRight w:val="0"/>
      <w:marTop w:val="0"/>
      <w:marBottom w:val="0"/>
      <w:divBdr>
        <w:top w:val="none" w:sz="0" w:space="0" w:color="auto"/>
        <w:left w:val="none" w:sz="0" w:space="0" w:color="auto"/>
        <w:bottom w:val="none" w:sz="0" w:space="0" w:color="auto"/>
        <w:right w:val="none" w:sz="0" w:space="0" w:color="auto"/>
      </w:divBdr>
      <w:divsChild>
        <w:div w:id="2037151370">
          <w:marLeft w:val="0"/>
          <w:marRight w:val="0"/>
          <w:marTop w:val="160"/>
          <w:marBottom w:val="160"/>
          <w:divBdr>
            <w:top w:val="none" w:sz="0" w:space="0" w:color="auto"/>
            <w:left w:val="none" w:sz="0" w:space="0" w:color="auto"/>
            <w:bottom w:val="none" w:sz="0" w:space="0" w:color="auto"/>
            <w:right w:val="none" w:sz="0" w:space="0" w:color="auto"/>
          </w:divBdr>
        </w:div>
      </w:divsChild>
    </w:div>
    <w:div w:id="621569477">
      <w:marLeft w:val="0"/>
      <w:marRight w:val="0"/>
      <w:marTop w:val="160"/>
      <w:marBottom w:val="160"/>
      <w:divBdr>
        <w:top w:val="none" w:sz="0" w:space="0" w:color="auto"/>
        <w:left w:val="none" w:sz="0" w:space="0" w:color="auto"/>
        <w:bottom w:val="none" w:sz="0" w:space="0" w:color="auto"/>
        <w:right w:val="none" w:sz="0" w:space="0" w:color="auto"/>
      </w:divBdr>
    </w:div>
    <w:div w:id="623733988">
      <w:marLeft w:val="0"/>
      <w:marRight w:val="0"/>
      <w:marTop w:val="180"/>
      <w:marBottom w:val="160"/>
      <w:divBdr>
        <w:top w:val="none" w:sz="0" w:space="0" w:color="auto"/>
        <w:left w:val="none" w:sz="0" w:space="0" w:color="auto"/>
        <w:bottom w:val="none" w:sz="0" w:space="0" w:color="auto"/>
        <w:right w:val="none" w:sz="0" w:space="0" w:color="auto"/>
      </w:divBdr>
    </w:div>
    <w:div w:id="623998182">
      <w:marLeft w:val="0"/>
      <w:marRight w:val="0"/>
      <w:marTop w:val="0"/>
      <w:marBottom w:val="240"/>
      <w:divBdr>
        <w:top w:val="none" w:sz="0" w:space="0" w:color="auto"/>
        <w:left w:val="none" w:sz="0" w:space="0" w:color="auto"/>
        <w:bottom w:val="none" w:sz="0" w:space="0" w:color="auto"/>
        <w:right w:val="none" w:sz="0" w:space="0" w:color="auto"/>
      </w:divBdr>
    </w:div>
    <w:div w:id="625889394">
      <w:marLeft w:val="0"/>
      <w:marRight w:val="0"/>
      <w:marTop w:val="0"/>
      <w:marBottom w:val="240"/>
      <w:divBdr>
        <w:top w:val="none" w:sz="0" w:space="0" w:color="auto"/>
        <w:left w:val="none" w:sz="0" w:space="0" w:color="auto"/>
        <w:bottom w:val="none" w:sz="0" w:space="0" w:color="auto"/>
        <w:right w:val="none" w:sz="0" w:space="0" w:color="auto"/>
      </w:divBdr>
    </w:div>
    <w:div w:id="627277493">
      <w:marLeft w:val="0"/>
      <w:marRight w:val="0"/>
      <w:marTop w:val="0"/>
      <w:marBottom w:val="0"/>
      <w:divBdr>
        <w:top w:val="none" w:sz="0" w:space="0" w:color="auto"/>
        <w:left w:val="none" w:sz="0" w:space="0" w:color="auto"/>
        <w:bottom w:val="none" w:sz="0" w:space="0" w:color="auto"/>
        <w:right w:val="none" w:sz="0" w:space="0" w:color="auto"/>
      </w:divBdr>
      <w:divsChild>
        <w:div w:id="1524128748">
          <w:marLeft w:val="0"/>
          <w:marRight w:val="0"/>
          <w:marTop w:val="160"/>
          <w:marBottom w:val="0"/>
          <w:divBdr>
            <w:top w:val="none" w:sz="0" w:space="0" w:color="auto"/>
            <w:left w:val="none" w:sz="0" w:space="0" w:color="auto"/>
            <w:bottom w:val="none" w:sz="0" w:space="0" w:color="auto"/>
            <w:right w:val="none" w:sz="0" w:space="0" w:color="auto"/>
          </w:divBdr>
        </w:div>
        <w:div w:id="122622684">
          <w:marLeft w:val="0"/>
          <w:marRight w:val="0"/>
          <w:marTop w:val="60"/>
          <w:marBottom w:val="60"/>
          <w:divBdr>
            <w:top w:val="none" w:sz="0" w:space="0" w:color="auto"/>
            <w:left w:val="none" w:sz="0" w:space="0" w:color="auto"/>
            <w:bottom w:val="none" w:sz="0" w:space="0" w:color="auto"/>
            <w:right w:val="none" w:sz="0" w:space="0" w:color="auto"/>
          </w:divBdr>
        </w:div>
        <w:div w:id="205875751">
          <w:marLeft w:val="0"/>
          <w:marRight w:val="0"/>
          <w:marTop w:val="60"/>
          <w:marBottom w:val="60"/>
          <w:divBdr>
            <w:top w:val="none" w:sz="0" w:space="0" w:color="auto"/>
            <w:left w:val="none" w:sz="0" w:space="0" w:color="auto"/>
            <w:bottom w:val="none" w:sz="0" w:space="0" w:color="auto"/>
            <w:right w:val="none" w:sz="0" w:space="0" w:color="auto"/>
          </w:divBdr>
        </w:div>
        <w:div w:id="1858737925">
          <w:marLeft w:val="0"/>
          <w:marRight w:val="0"/>
          <w:marTop w:val="60"/>
          <w:marBottom w:val="60"/>
          <w:divBdr>
            <w:top w:val="none" w:sz="0" w:space="0" w:color="auto"/>
            <w:left w:val="none" w:sz="0" w:space="0" w:color="auto"/>
            <w:bottom w:val="none" w:sz="0" w:space="0" w:color="auto"/>
            <w:right w:val="none" w:sz="0" w:space="0" w:color="auto"/>
          </w:divBdr>
        </w:div>
      </w:divsChild>
    </w:div>
    <w:div w:id="634945177">
      <w:marLeft w:val="0"/>
      <w:marRight w:val="0"/>
      <w:marTop w:val="160"/>
      <w:marBottom w:val="160"/>
      <w:divBdr>
        <w:top w:val="none" w:sz="0" w:space="0" w:color="auto"/>
        <w:left w:val="none" w:sz="0" w:space="0" w:color="auto"/>
        <w:bottom w:val="none" w:sz="0" w:space="0" w:color="auto"/>
        <w:right w:val="none" w:sz="0" w:space="0" w:color="auto"/>
      </w:divBdr>
    </w:div>
    <w:div w:id="635141571">
      <w:marLeft w:val="0"/>
      <w:marRight w:val="0"/>
      <w:marTop w:val="160"/>
      <w:marBottom w:val="160"/>
      <w:divBdr>
        <w:top w:val="none" w:sz="0" w:space="0" w:color="auto"/>
        <w:left w:val="none" w:sz="0" w:space="0" w:color="auto"/>
        <w:bottom w:val="none" w:sz="0" w:space="0" w:color="auto"/>
        <w:right w:val="none" w:sz="0" w:space="0" w:color="auto"/>
      </w:divBdr>
    </w:div>
    <w:div w:id="636187269">
      <w:marLeft w:val="0"/>
      <w:marRight w:val="0"/>
      <w:marTop w:val="80"/>
      <w:marBottom w:val="0"/>
      <w:divBdr>
        <w:top w:val="none" w:sz="0" w:space="0" w:color="auto"/>
        <w:left w:val="none" w:sz="0" w:space="0" w:color="auto"/>
        <w:bottom w:val="none" w:sz="0" w:space="0" w:color="auto"/>
        <w:right w:val="none" w:sz="0" w:space="0" w:color="auto"/>
      </w:divBdr>
    </w:div>
    <w:div w:id="637808552">
      <w:marLeft w:val="0"/>
      <w:marRight w:val="0"/>
      <w:marTop w:val="0"/>
      <w:marBottom w:val="0"/>
      <w:divBdr>
        <w:top w:val="none" w:sz="0" w:space="0" w:color="auto"/>
        <w:left w:val="none" w:sz="0" w:space="0" w:color="auto"/>
        <w:bottom w:val="none" w:sz="0" w:space="0" w:color="auto"/>
        <w:right w:val="none" w:sz="0" w:space="0" w:color="auto"/>
      </w:divBdr>
      <w:divsChild>
        <w:div w:id="13306805">
          <w:marLeft w:val="0"/>
          <w:marRight w:val="0"/>
          <w:marTop w:val="160"/>
          <w:marBottom w:val="160"/>
          <w:divBdr>
            <w:top w:val="none" w:sz="0" w:space="0" w:color="auto"/>
            <w:left w:val="none" w:sz="0" w:space="0" w:color="auto"/>
            <w:bottom w:val="none" w:sz="0" w:space="0" w:color="auto"/>
            <w:right w:val="none" w:sz="0" w:space="0" w:color="auto"/>
          </w:divBdr>
        </w:div>
      </w:divsChild>
    </w:div>
    <w:div w:id="637993290">
      <w:marLeft w:val="0"/>
      <w:marRight w:val="0"/>
      <w:marTop w:val="0"/>
      <w:marBottom w:val="0"/>
      <w:divBdr>
        <w:top w:val="none" w:sz="0" w:space="0" w:color="auto"/>
        <w:left w:val="none" w:sz="0" w:space="0" w:color="auto"/>
        <w:bottom w:val="none" w:sz="0" w:space="0" w:color="auto"/>
        <w:right w:val="none" w:sz="0" w:space="0" w:color="auto"/>
      </w:divBdr>
    </w:div>
    <w:div w:id="640887548">
      <w:marLeft w:val="0"/>
      <w:marRight w:val="0"/>
      <w:marTop w:val="0"/>
      <w:marBottom w:val="0"/>
      <w:divBdr>
        <w:top w:val="none" w:sz="0" w:space="0" w:color="auto"/>
        <w:left w:val="none" w:sz="0" w:space="0" w:color="auto"/>
        <w:bottom w:val="none" w:sz="0" w:space="0" w:color="auto"/>
        <w:right w:val="none" w:sz="0" w:space="0" w:color="auto"/>
      </w:divBdr>
      <w:divsChild>
        <w:div w:id="936060444">
          <w:marLeft w:val="0"/>
          <w:marRight w:val="0"/>
          <w:marTop w:val="160"/>
          <w:marBottom w:val="160"/>
          <w:divBdr>
            <w:top w:val="none" w:sz="0" w:space="0" w:color="auto"/>
            <w:left w:val="none" w:sz="0" w:space="0" w:color="auto"/>
            <w:bottom w:val="none" w:sz="0" w:space="0" w:color="auto"/>
            <w:right w:val="none" w:sz="0" w:space="0" w:color="auto"/>
          </w:divBdr>
        </w:div>
      </w:divsChild>
    </w:div>
    <w:div w:id="642001354">
      <w:marLeft w:val="0"/>
      <w:marRight w:val="0"/>
      <w:marTop w:val="0"/>
      <w:marBottom w:val="0"/>
      <w:divBdr>
        <w:top w:val="none" w:sz="0" w:space="0" w:color="auto"/>
        <w:left w:val="none" w:sz="0" w:space="0" w:color="auto"/>
        <w:bottom w:val="none" w:sz="0" w:space="0" w:color="auto"/>
        <w:right w:val="none" w:sz="0" w:space="0" w:color="auto"/>
      </w:divBdr>
      <w:divsChild>
        <w:div w:id="1054426435">
          <w:marLeft w:val="0"/>
          <w:marRight w:val="0"/>
          <w:marTop w:val="0"/>
          <w:marBottom w:val="0"/>
          <w:divBdr>
            <w:top w:val="none" w:sz="0" w:space="0" w:color="auto"/>
            <w:left w:val="none" w:sz="0" w:space="0" w:color="auto"/>
            <w:bottom w:val="none" w:sz="0" w:space="0" w:color="auto"/>
            <w:right w:val="none" w:sz="0" w:space="0" w:color="auto"/>
          </w:divBdr>
        </w:div>
      </w:divsChild>
    </w:div>
    <w:div w:id="647128074">
      <w:marLeft w:val="0"/>
      <w:marRight w:val="0"/>
      <w:marTop w:val="0"/>
      <w:marBottom w:val="240"/>
      <w:divBdr>
        <w:top w:val="none" w:sz="0" w:space="0" w:color="auto"/>
        <w:left w:val="none" w:sz="0" w:space="0" w:color="auto"/>
        <w:bottom w:val="none" w:sz="0" w:space="0" w:color="auto"/>
        <w:right w:val="none" w:sz="0" w:space="0" w:color="auto"/>
      </w:divBdr>
    </w:div>
    <w:div w:id="649486575">
      <w:marLeft w:val="0"/>
      <w:marRight w:val="0"/>
      <w:marTop w:val="100"/>
      <w:marBottom w:val="240"/>
      <w:divBdr>
        <w:top w:val="none" w:sz="0" w:space="0" w:color="auto"/>
        <w:left w:val="none" w:sz="0" w:space="0" w:color="auto"/>
        <w:bottom w:val="none" w:sz="0" w:space="0" w:color="auto"/>
        <w:right w:val="none" w:sz="0" w:space="0" w:color="auto"/>
      </w:divBdr>
    </w:div>
    <w:div w:id="655374780">
      <w:marLeft w:val="0"/>
      <w:marRight w:val="0"/>
      <w:marTop w:val="160"/>
      <w:marBottom w:val="160"/>
      <w:divBdr>
        <w:top w:val="none" w:sz="0" w:space="0" w:color="auto"/>
        <w:left w:val="none" w:sz="0" w:space="0" w:color="auto"/>
        <w:bottom w:val="none" w:sz="0" w:space="0" w:color="auto"/>
        <w:right w:val="none" w:sz="0" w:space="0" w:color="auto"/>
      </w:divBdr>
    </w:div>
    <w:div w:id="655379600">
      <w:marLeft w:val="0"/>
      <w:marRight w:val="0"/>
      <w:marTop w:val="100"/>
      <w:marBottom w:val="100"/>
      <w:divBdr>
        <w:top w:val="none" w:sz="0" w:space="0" w:color="auto"/>
        <w:left w:val="none" w:sz="0" w:space="0" w:color="auto"/>
        <w:bottom w:val="none" w:sz="0" w:space="0" w:color="auto"/>
        <w:right w:val="none" w:sz="0" w:space="0" w:color="auto"/>
      </w:divBdr>
      <w:divsChild>
        <w:div w:id="723140579">
          <w:marLeft w:val="0"/>
          <w:marRight w:val="0"/>
          <w:marTop w:val="0"/>
          <w:marBottom w:val="0"/>
          <w:divBdr>
            <w:top w:val="none" w:sz="0" w:space="0" w:color="auto"/>
            <w:left w:val="none" w:sz="0" w:space="0" w:color="auto"/>
            <w:bottom w:val="none" w:sz="0" w:space="0" w:color="auto"/>
            <w:right w:val="none" w:sz="0" w:space="0" w:color="auto"/>
          </w:divBdr>
        </w:div>
        <w:div w:id="207688234">
          <w:marLeft w:val="0"/>
          <w:marRight w:val="0"/>
          <w:marTop w:val="0"/>
          <w:marBottom w:val="0"/>
          <w:divBdr>
            <w:top w:val="none" w:sz="0" w:space="0" w:color="auto"/>
            <w:left w:val="none" w:sz="0" w:space="0" w:color="auto"/>
            <w:bottom w:val="none" w:sz="0" w:space="0" w:color="auto"/>
            <w:right w:val="none" w:sz="0" w:space="0" w:color="auto"/>
          </w:divBdr>
        </w:div>
        <w:div w:id="1591696316">
          <w:marLeft w:val="0"/>
          <w:marRight w:val="0"/>
          <w:marTop w:val="0"/>
          <w:marBottom w:val="0"/>
          <w:divBdr>
            <w:top w:val="none" w:sz="0" w:space="0" w:color="auto"/>
            <w:left w:val="none" w:sz="0" w:space="0" w:color="auto"/>
            <w:bottom w:val="none" w:sz="0" w:space="0" w:color="auto"/>
            <w:right w:val="none" w:sz="0" w:space="0" w:color="auto"/>
          </w:divBdr>
        </w:div>
        <w:div w:id="1407535604">
          <w:marLeft w:val="0"/>
          <w:marRight w:val="0"/>
          <w:marTop w:val="0"/>
          <w:marBottom w:val="0"/>
          <w:divBdr>
            <w:top w:val="none" w:sz="0" w:space="0" w:color="auto"/>
            <w:left w:val="none" w:sz="0" w:space="0" w:color="auto"/>
            <w:bottom w:val="none" w:sz="0" w:space="0" w:color="auto"/>
            <w:right w:val="none" w:sz="0" w:space="0" w:color="auto"/>
          </w:divBdr>
        </w:div>
        <w:div w:id="1107387249">
          <w:marLeft w:val="0"/>
          <w:marRight w:val="0"/>
          <w:marTop w:val="0"/>
          <w:marBottom w:val="0"/>
          <w:divBdr>
            <w:top w:val="none" w:sz="0" w:space="0" w:color="auto"/>
            <w:left w:val="none" w:sz="0" w:space="0" w:color="auto"/>
            <w:bottom w:val="none" w:sz="0" w:space="0" w:color="auto"/>
            <w:right w:val="none" w:sz="0" w:space="0" w:color="auto"/>
          </w:divBdr>
        </w:div>
        <w:div w:id="228082344">
          <w:marLeft w:val="0"/>
          <w:marRight w:val="0"/>
          <w:marTop w:val="0"/>
          <w:marBottom w:val="0"/>
          <w:divBdr>
            <w:top w:val="none" w:sz="0" w:space="0" w:color="auto"/>
            <w:left w:val="none" w:sz="0" w:space="0" w:color="auto"/>
            <w:bottom w:val="none" w:sz="0" w:space="0" w:color="auto"/>
            <w:right w:val="none" w:sz="0" w:space="0" w:color="auto"/>
          </w:divBdr>
        </w:div>
        <w:div w:id="1097562073">
          <w:marLeft w:val="0"/>
          <w:marRight w:val="0"/>
          <w:marTop w:val="0"/>
          <w:marBottom w:val="0"/>
          <w:divBdr>
            <w:top w:val="none" w:sz="0" w:space="0" w:color="auto"/>
            <w:left w:val="none" w:sz="0" w:space="0" w:color="auto"/>
            <w:bottom w:val="none" w:sz="0" w:space="0" w:color="auto"/>
            <w:right w:val="none" w:sz="0" w:space="0" w:color="auto"/>
          </w:divBdr>
        </w:div>
        <w:div w:id="1644382124">
          <w:marLeft w:val="0"/>
          <w:marRight w:val="0"/>
          <w:marTop w:val="0"/>
          <w:marBottom w:val="0"/>
          <w:divBdr>
            <w:top w:val="none" w:sz="0" w:space="0" w:color="auto"/>
            <w:left w:val="none" w:sz="0" w:space="0" w:color="auto"/>
            <w:bottom w:val="none" w:sz="0" w:space="0" w:color="auto"/>
            <w:right w:val="none" w:sz="0" w:space="0" w:color="auto"/>
          </w:divBdr>
        </w:div>
        <w:div w:id="507672835">
          <w:marLeft w:val="0"/>
          <w:marRight w:val="0"/>
          <w:marTop w:val="0"/>
          <w:marBottom w:val="0"/>
          <w:divBdr>
            <w:top w:val="none" w:sz="0" w:space="0" w:color="auto"/>
            <w:left w:val="none" w:sz="0" w:space="0" w:color="auto"/>
            <w:bottom w:val="none" w:sz="0" w:space="0" w:color="auto"/>
            <w:right w:val="none" w:sz="0" w:space="0" w:color="auto"/>
          </w:divBdr>
        </w:div>
        <w:div w:id="278924799">
          <w:marLeft w:val="0"/>
          <w:marRight w:val="0"/>
          <w:marTop w:val="0"/>
          <w:marBottom w:val="0"/>
          <w:divBdr>
            <w:top w:val="none" w:sz="0" w:space="0" w:color="auto"/>
            <w:left w:val="none" w:sz="0" w:space="0" w:color="auto"/>
            <w:bottom w:val="none" w:sz="0" w:space="0" w:color="auto"/>
            <w:right w:val="none" w:sz="0" w:space="0" w:color="auto"/>
          </w:divBdr>
        </w:div>
        <w:div w:id="2014918427">
          <w:marLeft w:val="0"/>
          <w:marRight w:val="0"/>
          <w:marTop w:val="0"/>
          <w:marBottom w:val="0"/>
          <w:divBdr>
            <w:top w:val="none" w:sz="0" w:space="0" w:color="auto"/>
            <w:left w:val="none" w:sz="0" w:space="0" w:color="auto"/>
            <w:bottom w:val="none" w:sz="0" w:space="0" w:color="auto"/>
            <w:right w:val="none" w:sz="0" w:space="0" w:color="auto"/>
          </w:divBdr>
        </w:div>
        <w:div w:id="662247033">
          <w:marLeft w:val="0"/>
          <w:marRight w:val="0"/>
          <w:marTop w:val="0"/>
          <w:marBottom w:val="0"/>
          <w:divBdr>
            <w:top w:val="none" w:sz="0" w:space="0" w:color="auto"/>
            <w:left w:val="none" w:sz="0" w:space="0" w:color="auto"/>
            <w:bottom w:val="none" w:sz="0" w:space="0" w:color="auto"/>
            <w:right w:val="none" w:sz="0" w:space="0" w:color="auto"/>
          </w:divBdr>
        </w:div>
        <w:div w:id="679235425">
          <w:marLeft w:val="0"/>
          <w:marRight w:val="0"/>
          <w:marTop w:val="0"/>
          <w:marBottom w:val="0"/>
          <w:divBdr>
            <w:top w:val="none" w:sz="0" w:space="0" w:color="auto"/>
            <w:left w:val="none" w:sz="0" w:space="0" w:color="auto"/>
            <w:bottom w:val="none" w:sz="0" w:space="0" w:color="auto"/>
            <w:right w:val="none" w:sz="0" w:space="0" w:color="auto"/>
          </w:divBdr>
        </w:div>
        <w:div w:id="1615819845">
          <w:marLeft w:val="0"/>
          <w:marRight w:val="0"/>
          <w:marTop w:val="0"/>
          <w:marBottom w:val="0"/>
          <w:divBdr>
            <w:top w:val="none" w:sz="0" w:space="0" w:color="auto"/>
            <w:left w:val="none" w:sz="0" w:space="0" w:color="auto"/>
            <w:bottom w:val="none" w:sz="0" w:space="0" w:color="auto"/>
            <w:right w:val="none" w:sz="0" w:space="0" w:color="auto"/>
          </w:divBdr>
        </w:div>
        <w:div w:id="684208114">
          <w:marLeft w:val="0"/>
          <w:marRight w:val="0"/>
          <w:marTop w:val="0"/>
          <w:marBottom w:val="0"/>
          <w:divBdr>
            <w:top w:val="none" w:sz="0" w:space="0" w:color="auto"/>
            <w:left w:val="none" w:sz="0" w:space="0" w:color="auto"/>
            <w:bottom w:val="none" w:sz="0" w:space="0" w:color="auto"/>
            <w:right w:val="none" w:sz="0" w:space="0" w:color="auto"/>
          </w:divBdr>
        </w:div>
        <w:div w:id="1523935543">
          <w:marLeft w:val="0"/>
          <w:marRight w:val="0"/>
          <w:marTop w:val="0"/>
          <w:marBottom w:val="0"/>
          <w:divBdr>
            <w:top w:val="none" w:sz="0" w:space="0" w:color="auto"/>
            <w:left w:val="none" w:sz="0" w:space="0" w:color="auto"/>
            <w:bottom w:val="none" w:sz="0" w:space="0" w:color="auto"/>
            <w:right w:val="none" w:sz="0" w:space="0" w:color="auto"/>
          </w:divBdr>
        </w:div>
        <w:div w:id="216166785">
          <w:marLeft w:val="0"/>
          <w:marRight w:val="0"/>
          <w:marTop w:val="0"/>
          <w:marBottom w:val="0"/>
          <w:divBdr>
            <w:top w:val="none" w:sz="0" w:space="0" w:color="auto"/>
            <w:left w:val="none" w:sz="0" w:space="0" w:color="auto"/>
            <w:bottom w:val="none" w:sz="0" w:space="0" w:color="auto"/>
            <w:right w:val="none" w:sz="0" w:space="0" w:color="auto"/>
          </w:divBdr>
        </w:div>
        <w:div w:id="255872049">
          <w:marLeft w:val="0"/>
          <w:marRight w:val="0"/>
          <w:marTop w:val="0"/>
          <w:marBottom w:val="0"/>
          <w:divBdr>
            <w:top w:val="none" w:sz="0" w:space="0" w:color="auto"/>
            <w:left w:val="none" w:sz="0" w:space="0" w:color="auto"/>
            <w:bottom w:val="none" w:sz="0" w:space="0" w:color="auto"/>
            <w:right w:val="none" w:sz="0" w:space="0" w:color="auto"/>
          </w:divBdr>
        </w:div>
        <w:div w:id="356464909">
          <w:marLeft w:val="0"/>
          <w:marRight w:val="0"/>
          <w:marTop w:val="0"/>
          <w:marBottom w:val="0"/>
          <w:divBdr>
            <w:top w:val="none" w:sz="0" w:space="0" w:color="auto"/>
            <w:left w:val="none" w:sz="0" w:space="0" w:color="auto"/>
            <w:bottom w:val="none" w:sz="0" w:space="0" w:color="auto"/>
            <w:right w:val="none" w:sz="0" w:space="0" w:color="auto"/>
          </w:divBdr>
        </w:div>
        <w:div w:id="1273778259">
          <w:marLeft w:val="0"/>
          <w:marRight w:val="0"/>
          <w:marTop w:val="0"/>
          <w:marBottom w:val="0"/>
          <w:divBdr>
            <w:top w:val="none" w:sz="0" w:space="0" w:color="auto"/>
            <w:left w:val="none" w:sz="0" w:space="0" w:color="auto"/>
            <w:bottom w:val="none" w:sz="0" w:space="0" w:color="auto"/>
            <w:right w:val="none" w:sz="0" w:space="0" w:color="auto"/>
          </w:divBdr>
        </w:div>
        <w:div w:id="844252006">
          <w:marLeft w:val="0"/>
          <w:marRight w:val="0"/>
          <w:marTop w:val="0"/>
          <w:marBottom w:val="0"/>
          <w:divBdr>
            <w:top w:val="none" w:sz="0" w:space="0" w:color="auto"/>
            <w:left w:val="none" w:sz="0" w:space="0" w:color="auto"/>
            <w:bottom w:val="none" w:sz="0" w:space="0" w:color="auto"/>
            <w:right w:val="none" w:sz="0" w:space="0" w:color="auto"/>
          </w:divBdr>
        </w:div>
      </w:divsChild>
    </w:div>
    <w:div w:id="658197472">
      <w:marLeft w:val="0"/>
      <w:marRight w:val="0"/>
      <w:marTop w:val="0"/>
      <w:marBottom w:val="240"/>
      <w:divBdr>
        <w:top w:val="none" w:sz="0" w:space="0" w:color="auto"/>
        <w:left w:val="none" w:sz="0" w:space="0" w:color="auto"/>
        <w:bottom w:val="none" w:sz="0" w:space="0" w:color="auto"/>
        <w:right w:val="none" w:sz="0" w:space="0" w:color="auto"/>
      </w:divBdr>
    </w:div>
    <w:div w:id="658928820">
      <w:marLeft w:val="0"/>
      <w:marRight w:val="0"/>
      <w:marTop w:val="0"/>
      <w:marBottom w:val="0"/>
      <w:divBdr>
        <w:top w:val="none" w:sz="0" w:space="0" w:color="auto"/>
        <w:left w:val="none" w:sz="0" w:space="0" w:color="auto"/>
        <w:bottom w:val="none" w:sz="0" w:space="0" w:color="auto"/>
        <w:right w:val="none" w:sz="0" w:space="0" w:color="auto"/>
      </w:divBdr>
      <w:divsChild>
        <w:div w:id="959529452">
          <w:marLeft w:val="0"/>
          <w:marRight w:val="0"/>
          <w:marTop w:val="0"/>
          <w:marBottom w:val="0"/>
          <w:divBdr>
            <w:top w:val="none" w:sz="0" w:space="0" w:color="auto"/>
            <w:left w:val="none" w:sz="0" w:space="0" w:color="auto"/>
            <w:bottom w:val="none" w:sz="0" w:space="0" w:color="auto"/>
            <w:right w:val="none" w:sz="0" w:space="0" w:color="auto"/>
          </w:divBdr>
        </w:div>
      </w:divsChild>
    </w:div>
    <w:div w:id="663357618">
      <w:marLeft w:val="0"/>
      <w:marRight w:val="0"/>
      <w:marTop w:val="80"/>
      <w:marBottom w:val="0"/>
      <w:divBdr>
        <w:top w:val="none" w:sz="0" w:space="0" w:color="auto"/>
        <w:left w:val="none" w:sz="0" w:space="0" w:color="auto"/>
        <w:bottom w:val="none" w:sz="0" w:space="0" w:color="auto"/>
        <w:right w:val="none" w:sz="0" w:space="0" w:color="auto"/>
      </w:divBdr>
    </w:div>
    <w:div w:id="664867689">
      <w:marLeft w:val="0"/>
      <w:marRight w:val="0"/>
      <w:marTop w:val="0"/>
      <w:marBottom w:val="40"/>
      <w:divBdr>
        <w:top w:val="none" w:sz="0" w:space="0" w:color="auto"/>
        <w:left w:val="none" w:sz="0" w:space="0" w:color="auto"/>
        <w:bottom w:val="none" w:sz="0" w:space="0" w:color="auto"/>
        <w:right w:val="none" w:sz="0" w:space="0" w:color="auto"/>
      </w:divBdr>
    </w:div>
    <w:div w:id="665085645">
      <w:marLeft w:val="0"/>
      <w:marRight w:val="0"/>
      <w:marTop w:val="0"/>
      <w:marBottom w:val="0"/>
      <w:divBdr>
        <w:top w:val="none" w:sz="0" w:space="0" w:color="auto"/>
        <w:left w:val="none" w:sz="0" w:space="0" w:color="auto"/>
        <w:bottom w:val="none" w:sz="0" w:space="0" w:color="auto"/>
        <w:right w:val="none" w:sz="0" w:space="0" w:color="auto"/>
      </w:divBdr>
      <w:divsChild>
        <w:div w:id="121582229">
          <w:marLeft w:val="0"/>
          <w:marRight w:val="0"/>
          <w:marTop w:val="0"/>
          <w:marBottom w:val="0"/>
          <w:divBdr>
            <w:top w:val="none" w:sz="0" w:space="0" w:color="auto"/>
            <w:left w:val="none" w:sz="0" w:space="0" w:color="auto"/>
            <w:bottom w:val="none" w:sz="0" w:space="0" w:color="auto"/>
            <w:right w:val="none" w:sz="0" w:space="0" w:color="auto"/>
          </w:divBdr>
        </w:div>
      </w:divsChild>
    </w:div>
    <w:div w:id="667245695">
      <w:marLeft w:val="0"/>
      <w:marRight w:val="0"/>
      <w:marTop w:val="80"/>
      <w:marBottom w:val="0"/>
      <w:divBdr>
        <w:top w:val="none" w:sz="0" w:space="0" w:color="auto"/>
        <w:left w:val="none" w:sz="0" w:space="0" w:color="auto"/>
        <w:bottom w:val="none" w:sz="0" w:space="0" w:color="auto"/>
        <w:right w:val="none" w:sz="0" w:space="0" w:color="auto"/>
      </w:divBdr>
    </w:div>
    <w:div w:id="675961671">
      <w:marLeft w:val="0"/>
      <w:marRight w:val="0"/>
      <w:marTop w:val="0"/>
      <w:marBottom w:val="0"/>
      <w:divBdr>
        <w:top w:val="none" w:sz="0" w:space="0" w:color="auto"/>
        <w:left w:val="none" w:sz="0" w:space="0" w:color="auto"/>
        <w:bottom w:val="none" w:sz="0" w:space="0" w:color="auto"/>
        <w:right w:val="none" w:sz="0" w:space="0" w:color="auto"/>
      </w:divBdr>
      <w:divsChild>
        <w:div w:id="1117486510">
          <w:marLeft w:val="0"/>
          <w:marRight w:val="0"/>
          <w:marTop w:val="0"/>
          <w:marBottom w:val="0"/>
          <w:divBdr>
            <w:top w:val="none" w:sz="0" w:space="0" w:color="auto"/>
            <w:left w:val="none" w:sz="0" w:space="0" w:color="auto"/>
            <w:bottom w:val="none" w:sz="0" w:space="0" w:color="auto"/>
            <w:right w:val="none" w:sz="0" w:space="0" w:color="auto"/>
          </w:divBdr>
        </w:div>
      </w:divsChild>
    </w:div>
    <w:div w:id="677582855">
      <w:marLeft w:val="0"/>
      <w:marRight w:val="0"/>
      <w:marTop w:val="0"/>
      <w:marBottom w:val="240"/>
      <w:divBdr>
        <w:top w:val="none" w:sz="0" w:space="0" w:color="auto"/>
        <w:left w:val="none" w:sz="0" w:space="0" w:color="auto"/>
        <w:bottom w:val="none" w:sz="0" w:space="0" w:color="auto"/>
        <w:right w:val="none" w:sz="0" w:space="0" w:color="auto"/>
      </w:divBdr>
    </w:div>
    <w:div w:id="685404390">
      <w:marLeft w:val="0"/>
      <w:marRight w:val="0"/>
      <w:marTop w:val="0"/>
      <w:marBottom w:val="160"/>
      <w:divBdr>
        <w:top w:val="none" w:sz="0" w:space="0" w:color="auto"/>
        <w:left w:val="none" w:sz="0" w:space="0" w:color="auto"/>
        <w:bottom w:val="none" w:sz="0" w:space="0" w:color="auto"/>
        <w:right w:val="none" w:sz="0" w:space="0" w:color="auto"/>
      </w:divBdr>
    </w:div>
    <w:div w:id="699014708">
      <w:marLeft w:val="0"/>
      <w:marRight w:val="0"/>
      <w:marTop w:val="0"/>
      <w:marBottom w:val="240"/>
      <w:divBdr>
        <w:top w:val="none" w:sz="0" w:space="0" w:color="auto"/>
        <w:left w:val="none" w:sz="0" w:space="0" w:color="auto"/>
        <w:bottom w:val="none" w:sz="0" w:space="0" w:color="auto"/>
        <w:right w:val="none" w:sz="0" w:space="0" w:color="auto"/>
      </w:divBdr>
    </w:div>
    <w:div w:id="701516060">
      <w:marLeft w:val="0"/>
      <w:marRight w:val="0"/>
      <w:marTop w:val="220"/>
      <w:marBottom w:val="160"/>
      <w:divBdr>
        <w:top w:val="none" w:sz="0" w:space="0" w:color="auto"/>
        <w:left w:val="none" w:sz="0" w:space="0" w:color="auto"/>
        <w:bottom w:val="none" w:sz="0" w:space="0" w:color="auto"/>
        <w:right w:val="none" w:sz="0" w:space="0" w:color="auto"/>
      </w:divBdr>
    </w:div>
    <w:div w:id="706222354">
      <w:marLeft w:val="0"/>
      <w:marRight w:val="0"/>
      <w:marTop w:val="100"/>
      <w:marBottom w:val="240"/>
      <w:divBdr>
        <w:top w:val="none" w:sz="0" w:space="0" w:color="auto"/>
        <w:left w:val="none" w:sz="0" w:space="0" w:color="auto"/>
        <w:bottom w:val="none" w:sz="0" w:space="0" w:color="auto"/>
        <w:right w:val="none" w:sz="0" w:space="0" w:color="auto"/>
      </w:divBdr>
    </w:div>
    <w:div w:id="708455509">
      <w:marLeft w:val="0"/>
      <w:marRight w:val="0"/>
      <w:marTop w:val="160"/>
      <w:marBottom w:val="160"/>
      <w:divBdr>
        <w:top w:val="none" w:sz="0" w:space="0" w:color="auto"/>
        <w:left w:val="none" w:sz="0" w:space="0" w:color="auto"/>
        <w:bottom w:val="none" w:sz="0" w:space="0" w:color="auto"/>
        <w:right w:val="none" w:sz="0" w:space="0" w:color="auto"/>
      </w:divBdr>
    </w:div>
    <w:div w:id="711418554">
      <w:marLeft w:val="0"/>
      <w:marRight w:val="0"/>
      <w:marTop w:val="100"/>
      <w:marBottom w:val="220"/>
      <w:divBdr>
        <w:top w:val="none" w:sz="0" w:space="0" w:color="auto"/>
        <w:left w:val="none" w:sz="0" w:space="0" w:color="auto"/>
        <w:bottom w:val="none" w:sz="0" w:space="0" w:color="auto"/>
        <w:right w:val="none" w:sz="0" w:space="0" w:color="auto"/>
      </w:divBdr>
    </w:div>
    <w:div w:id="711420535">
      <w:marLeft w:val="0"/>
      <w:marRight w:val="0"/>
      <w:marTop w:val="0"/>
      <w:marBottom w:val="112"/>
      <w:divBdr>
        <w:top w:val="none" w:sz="0" w:space="0" w:color="auto"/>
        <w:left w:val="none" w:sz="0" w:space="0" w:color="auto"/>
        <w:bottom w:val="none" w:sz="0" w:space="0" w:color="auto"/>
        <w:right w:val="none" w:sz="0" w:space="0" w:color="auto"/>
      </w:divBdr>
    </w:div>
    <w:div w:id="713308044">
      <w:marLeft w:val="0"/>
      <w:marRight w:val="0"/>
      <w:marTop w:val="0"/>
      <w:marBottom w:val="240"/>
      <w:divBdr>
        <w:top w:val="none" w:sz="0" w:space="0" w:color="auto"/>
        <w:left w:val="none" w:sz="0" w:space="0" w:color="auto"/>
        <w:bottom w:val="none" w:sz="0" w:space="0" w:color="auto"/>
        <w:right w:val="none" w:sz="0" w:space="0" w:color="auto"/>
      </w:divBdr>
    </w:div>
    <w:div w:id="715276096">
      <w:marLeft w:val="0"/>
      <w:marRight w:val="0"/>
      <w:marTop w:val="0"/>
      <w:marBottom w:val="240"/>
      <w:divBdr>
        <w:top w:val="none" w:sz="0" w:space="0" w:color="auto"/>
        <w:left w:val="none" w:sz="0" w:space="0" w:color="auto"/>
        <w:bottom w:val="none" w:sz="0" w:space="0" w:color="auto"/>
        <w:right w:val="none" w:sz="0" w:space="0" w:color="auto"/>
      </w:divBdr>
    </w:div>
    <w:div w:id="721637749">
      <w:marLeft w:val="0"/>
      <w:marRight w:val="0"/>
      <w:marTop w:val="0"/>
      <w:marBottom w:val="0"/>
      <w:divBdr>
        <w:top w:val="none" w:sz="0" w:space="0" w:color="auto"/>
        <w:left w:val="none" w:sz="0" w:space="0" w:color="auto"/>
        <w:bottom w:val="none" w:sz="0" w:space="0" w:color="auto"/>
        <w:right w:val="none" w:sz="0" w:space="0" w:color="auto"/>
      </w:divBdr>
    </w:div>
    <w:div w:id="722757434">
      <w:marLeft w:val="0"/>
      <w:marRight w:val="0"/>
      <w:marTop w:val="0"/>
      <w:marBottom w:val="240"/>
      <w:divBdr>
        <w:top w:val="none" w:sz="0" w:space="0" w:color="auto"/>
        <w:left w:val="none" w:sz="0" w:space="0" w:color="auto"/>
        <w:bottom w:val="none" w:sz="0" w:space="0" w:color="auto"/>
        <w:right w:val="none" w:sz="0" w:space="0" w:color="auto"/>
      </w:divBdr>
    </w:div>
    <w:div w:id="722945943">
      <w:marLeft w:val="0"/>
      <w:marRight w:val="0"/>
      <w:marTop w:val="100"/>
      <w:marBottom w:val="240"/>
      <w:divBdr>
        <w:top w:val="none" w:sz="0" w:space="0" w:color="auto"/>
        <w:left w:val="none" w:sz="0" w:space="0" w:color="auto"/>
        <w:bottom w:val="none" w:sz="0" w:space="0" w:color="auto"/>
        <w:right w:val="none" w:sz="0" w:space="0" w:color="auto"/>
      </w:divBdr>
    </w:div>
    <w:div w:id="724110391">
      <w:marLeft w:val="0"/>
      <w:marRight w:val="0"/>
      <w:marTop w:val="100"/>
      <w:marBottom w:val="240"/>
      <w:divBdr>
        <w:top w:val="none" w:sz="0" w:space="0" w:color="auto"/>
        <w:left w:val="none" w:sz="0" w:space="0" w:color="auto"/>
        <w:bottom w:val="none" w:sz="0" w:space="0" w:color="auto"/>
        <w:right w:val="none" w:sz="0" w:space="0" w:color="auto"/>
      </w:divBdr>
    </w:div>
    <w:div w:id="729502438">
      <w:marLeft w:val="0"/>
      <w:marRight w:val="0"/>
      <w:marTop w:val="0"/>
      <w:marBottom w:val="240"/>
      <w:divBdr>
        <w:top w:val="none" w:sz="0" w:space="0" w:color="auto"/>
        <w:left w:val="none" w:sz="0" w:space="0" w:color="auto"/>
        <w:bottom w:val="none" w:sz="0" w:space="0" w:color="auto"/>
        <w:right w:val="none" w:sz="0" w:space="0" w:color="auto"/>
      </w:divBdr>
    </w:div>
    <w:div w:id="732236696">
      <w:marLeft w:val="0"/>
      <w:marRight w:val="0"/>
      <w:marTop w:val="0"/>
      <w:marBottom w:val="0"/>
      <w:divBdr>
        <w:top w:val="none" w:sz="0" w:space="0" w:color="auto"/>
        <w:left w:val="none" w:sz="0" w:space="0" w:color="auto"/>
        <w:bottom w:val="none" w:sz="0" w:space="0" w:color="auto"/>
        <w:right w:val="none" w:sz="0" w:space="0" w:color="auto"/>
      </w:divBdr>
    </w:div>
    <w:div w:id="733042047">
      <w:marLeft w:val="0"/>
      <w:marRight w:val="0"/>
      <w:marTop w:val="220"/>
      <w:marBottom w:val="220"/>
      <w:divBdr>
        <w:top w:val="none" w:sz="0" w:space="0" w:color="auto"/>
        <w:left w:val="none" w:sz="0" w:space="0" w:color="auto"/>
        <w:bottom w:val="none" w:sz="0" w:space="0" w:color="auto"/>
        <w:right w:val="none" w:sz="0" w:space="0" w:color="auto"/>
      </w:divBdr>
    </w:div>
    <w:div w:id="733623505">
      <w:marLeft w:val="0"/>
      <w:marRight w:val="0"/>
      <w:marTop w:val="0"/>
      <w:marBottom w:val="240"/>
      <w:divBdr>
        <w:top w:val="none" w:sz="0" w:space="0" w:color="auto"/>
        <w:left w:val="none" w:sz="0" w:space="0" w:color="auto"/>
        <w:bottom w:val="none" w:sz="0" w:space="0" w:color="auto"/>
        <w:right w:val="none" w:sz="0" w:space="0" w:color="auto"/>
      </w:divBdr>
    </w:div>
    <w:div w:id="747115584">
      <w:marLeft w:val="0"/>
      <w:marRight w:val="0"/>
      <w:marTop w:val="0"/>
      <w:marBottom w:val="0"/>
      <w:divBdr>
        <w:top w:val="none" w:sz="0" w:space="0" w:color="auto"/>
        <w:left w:val="none" w:sz="0" w:space="0" w:color="auto"/>
        <w:bottom w:val="none" w:sz="0" w:space="0" w:color="auto"/>
        <w:right w:val="none" w:sz="0" w:space="0" w:color="auto"/>
      </w:divBdr>
      <w:divsChild>
        <w:div w:id="1917283937">
          <w:marLeft w:val="0"/>
          <w:marRight w:val="0"/>
          <w:marTop w:val="0"/>
          <w:marBottom w:val="0"/>
          <w:divBdr>
            <w:top w:val="none" w:sz="0" w:space="0" w:color="auto"/>
            <w:left w:val="none" w:sz="0" w:space="0" w:color="auto"/>
            <w:bottom w:val="none" w:sz="0" w:space="0" w:color="auto"/>
            <w:right w:val="none" w:sz="0" w:space="0" w:color="auto"/>
          </w:divBdr>
        </w:div>
      </w:divsChild>
    </w:div>
    <w:div w:id="749430051">
      <w:marLeft w:val="0"/>
      <w:marRight w:val="0"/>
      <w:marTop w:val="0"/>
      <w:marBottom w:val="240"/>
      <w:divBdr>
        <w:top w:val="none" w:sz="0" w:space="0" w:color="auto"/>
        <w:left w:val="none" w:sz="0" w:space="0" w:color="auto"/>
        <w:bottom w:val="none" w:sz="0" w:space="0" w:color="auto"/>
        <w:right w:val="none" w:sz="0" w:space="0" w:color="auto"/>
      </w:divBdr>
    </w:div>
    <w:div w:id="751119924">
      <w:marLeft w:val="0"/>
      <w:marRight w:val="0"/>
      <w:marTop w:val="160"/>
      <w:marBottom w:val="160"/>
      <w:divBdr>
        <w:top w:val="none" w:sz="0" w:space="0" w:color="auto"/>
        <w:left w:val="none" w:sz="0" w:space="0" w:color="auto"/>
        <w:bottom w:val="none" w:sz="0" w:space="0" w:color="auto"/>
        <w:right w:val="none" w:sz="0" w:space="0" w:color="auto"/>
      </w:divBdr>
    </w:div>
    <w:div w:id="752045562">
      <w:marLeft w:val="0"/>
      <w:marRight w:val="0"/>
      <w:marTop w:val="0"/>
      <w:marBottom w:val="240"/>
      <w:divBdr>
        <w:top w:val="none" w:sz="0" w:space="0" w:color="auto"/>
        <w:left w:val="none" w:sz="0" w:space="0" w:color="auto"/>
        <w:bottom w:val="none" w:sz="0" w:space="0" w:color="auto"/>
        <w:right w:val="none" w:sz="0" w:space="0" w:color="auto"/>
      </w:divBdr>
    </w:div>
    <w:div w:id="753015262">
      <w:marLeft w:val="0"/>
      <w:marRight w:val="0"/>
      <w:marTop w:val="100"/>
      <w:marBottom w:val="240"/>
      <w:divBdr>
        <w:top w:val="none" w:sz="0" w:space="0" w:color="auto"/>
        <w:left w:val="none" w:sz="0" w:space="0" w:color="auto"/>
        <w:bottom w:val="none" w:sz="0" w:space="0" w:color="auto"/>
        <w:right w:val="none" w:sz="0" w:space="0" w:color="auto"/>
      </w:divBdr>
    </w:div>
    <w:div w:id="753168027">
      <w:marLeft w:val="0"/>
      <w:marRight w:val="0"/>
      <w:marTop w:val="0"/>
      <w:marBottom w:val="0"/>
      <w:divBdr>
        <w:top w:val="none" w:sz="0" w:space="0" w:color="auto"/>
        <w:left w:val="none" w:sz="0" w:space="0" w:color="auto"/>
        <w:bottom w:val="none" w:sz="0" w:space="0" w:color="auto"/>
        <w:right w:val="none" w:sz="0" w:space="0" w:color="auto"/>
      </w:divBdr>
      <w:divsChild>
        <w:div w:id="1350835220">
          <w:marLeft w:val="0"/>
          <w:marRight w:val="0"/>
          <w:marTop w:val="0"/>
          <w:marBottom w:val="0"/>
          <w:divBdr>
            <w:top w:val="none" w:sz="0" w:space="0" w:color="auto"/>
            <w:left w:val="none" w:sz="0" w:space="0" w:color="auto"/>
            <w:bottom w:val="none" w:sz="0" w:space="0" w:color="auto"/>
            <w:right w:val="none" w:sz="0" w:space="0" w:color="auto"/>
          </w:divBdr>
        </w:div>
      </w:divsChild>
    </w:div>
    <w:div w:id="756294488">
      <w:marLeft w:val="0"/>
      <w:marRight w:val="0"/>
      <w:marTop w:val="0"/>
      <w:marBottom w:val="0"/>
      <w:divBdr>
        <w:top w:val="none" w:sz="0" w:space="0" w:color="auto"/>
        <w:left w:val="none" w:sz="0" w:space="0" w:color="auto"/>
        <w:bottom w:val="none" w:sz="0" w:space="0" w:color="auto"/>
        <w:right w:val="none" w:sz="0" w:space="0" w:color="auto"/>
      </w:divBdr>
    </w:div>
    <w:div w:id="756947775">
      <w:marLeft w:val="0"/>
      <w:marRight w:val="0"/>
      <w:marTop w:val="340"/>
      <w:marBottom w:val="160"/>
      <w:divBdr>
        <w:top w:val="none" w:sz="0" w:space="0" w:color="auto"/>
        <w:left w:val="none" w:sz="0" w:space="0" w:color="auto"/>
        <w:bottom w:val="none" w:sz="0" w:space="0" w:color="auto"/>
        <w:right w:val="none" w:sz="0" w:space="0" w:color="auto"/>
      </w:divBdr>
    </w:div>
    <w:div w:id="757941718">
      <w:marLeft w:val="0"/>
      <w:marRight w:val="0"/>
      <w:marTop w:val="100"/>
      <w:marBottom w:val="240"/>
      <w:divBdr>
        <w:top w:val="none" w:sz="0" w:space="0" w:color="auto"/>
        <w:left w:val="none" w:sz="0" w:space="0" w:color="auto"/>
        <w:bottom w:val="none" w:sz="0" w:space="0" w:color="auto"/>
        <w:right w:val="none" w:sz="0" w:space="0" w:color="auto"/>
      </w:divBdr>
    </w:div>
    <w:div w:id="759369555">
      <w:marLeft w:val="0"/>
      <w:marRight w:val="0"/>
      <w:marTop w:val="0"/>
      <w:marBottom w:val="40"/>
      <w:divBdr>
        <w:top w:val="none" w:sz="0" w:space="0" w:color="auto"/>
        <w:left w:val="none" w:sz="0" w:space="0" w:color="auto"/>
        <w:bottom w:val="none" w:sz="0" w:space="0" w:color="auto"/>
        <w:right w:val="none" w:sz="0" w:space="0" w:color="auto"/>
      </w:divBdr>
    </w:div>
    <w:div w:id="759763297">
      <w:marLeft w:val="0"/>
      <w:marRight w:val="0"/>
      <w:marTop w:val="0"/>
      <w:marBottom w:val="180"/>
      <w:divBdr>
        <w:top w:val="none" w:sz="0" w:space="0" w:color="auto"/>
        <w:left w:val="none" w:sz="0" w:space="0" w:color="auto"/>
        <w:bottom w:val="none" w:sz="0" w:space="0" w:color="auto"/>
        <w:right w:val="none" w:sz="0" w:space="0" w:color="auto"/>
      </w:divBdr>
    </w:div>
    <w:div w:id="760953023">
      <w:marLeft w:val="0"/>
      <w:marRight w:val="0"/>
      <w:marTop w:val="0"/>
      <w:marBottom w:val="240"/>
      <w:divBdr>
        <w:top w:val="none" w:sz="0" w:space="0" w:color="auto"/>
        <w:left w:val="none" w:sz="0" w:space="0" w:color="auto"/>
        <w:bottom w:val="none" w:sz="0" w:space="0" w:color="auto"/>
        <w:right w:val="none" w:sz="0" w:space="0" w:color="auto"/>
      </w:divBdr>
    </w:div>
    <w:div w:id="766541257">
      <w:marLeft w:val="0"/>
      <w:marRight w:val="0"/>
      <w:marTop w:val="0"/>
      <w:marBottom w:val="240"/>
      <w:divBdr>
        <w:top w:val="none" w:sz="0" w:space="0" w:color="auto"/>
        <w:left w:val="none" w:sz="0" w:space="0" w:color="auto"/>
        <w:bottom w:val="none" w:sz="0" w:space="0" w:color="auto"/>
        <w:right w:val="none" w:sz="0" w:space="0" w:color="auto"/>
      </w:divBdr>
    </w:div>
    <w:div w:id="768696388">
      <w:marLeft w:val="0"/>
      <w:marRight w:val="0"/>
      <w:marTop w:val="160"/>
      <w:marBottom w:val="160"/>
      <w:divBdr>
        <w:top w:val="none" w:sz="0" w:space="0" w:color="auto"/>
        <w:left w:val="none" w:sz="0" w:space="0" w:color="auto"/>
        <w:bottom w:val="none" w:sz="0" w:space="0" w:color="auto"/>
        <w:right w:val="none" w:sz="0" w:space="0" w:color="auto"/>
      </w:divBdr>
    </w:div>
    <w:div w:id="768814826">
      <w:marLeft w:val="0"/>
      <w:marRight w:val="0"/>
      <w:marTop w:val="0"/>
      <w:marBottom w:val="0"/>
      <w:divBdr>
        <w:top w:val="none" w:sz="0" w:space="0" w:color="auto"/>
        <w:left w:val="none" w:sz="0" w:space="0" w:color="auto"/>
        <w:bottom w:val="none" w:sz="0" w:space="0" w:color="auto"/>
        <w:right w:val="none" w:sz="0" w:space="0" w:color="auto"/>
      </w:divBdr>
      <w:divsChild>
        <w:div w:id="793790500">
          <w:marLeft w:val="0"/>
          <w:marRight w:val="0"/>
          <w:marTop w:val="0"/>
          <w:marBottom w:val="0"/>
          <w:divBdr>
            <w:top w:val="none" w:sz="0" w:space="0" w:color="auto"/>
            <w:left w:val="none" w:sz="0" w:space="0" w:color="auto"/>
            <w:bottom w:val="none" w:sz="0" w:space="0" w:color="auto"/>
            <w:right w:val="none" w:sz="0" w:space="0" w:color="auto"/>
          </w:divBdr>
        </w:div>
      </w:divsChild>
    </w:div>
    <w:div w:id="770781666">
      <w:marLeft w:val="0"/>
      <w:marRight w:val="0"/>
      <w:marTop w:val="160"/>
      <w:marBottom w:val="160"/>
      <w:divBdr>
        <w:top w:val="none" w:sz="0" w:space="0" w:color="auto"/>
        <w:left w:val="none" w:sz="0" w:space="0" w:color="auto"/>
        <w:bottom w:val="none" w:sz="0" w:space="0" w:color="auto"/>
        <w:right w:val="none" w:sz="0" w:space="0" w:color="auto"/>
      </w:divBdr>
    </w:div>
    <w:div w:id="775247014">
      <w:marLeft w:val="0"/>
      <w:marRight w:val="0"/>
      <w:marTop w:val="0"/>
      <w:marBottom w:val="0"/>
      <w:divBdr>
        <w:top w:val="none" w:sz="0" w:space="0" w:color="auto"/>
        <w:left w:val="none" w:sz="0" w:space="0" w:color="auto"/>
        <w:bottom w:val="none" w:sz="0" w:space="0" w:color="auto"/>
        <w:right w:val="none" w:sz="0" w:space="0" w:color="auto"/>
      </w:divBdr>
      <w:divsChild>
        <w:div w:id="375004276">
          <w:marLeft w:val="0"/>
          <w:marRight w:val="0"/>
          <w:marTop w:val="0"/>
          <w:marBottom w:val="0"/>
          <w:divBdr>
            <w:top w:val="none" w:sz="0" w:space="0" w:color="auto"/>
            <w:left w:val="none" w:sz="0" w:space="0" w:color="auto"/>
            <w:bottom w:val="none" w:sz="0" w:space="0" w:color="auto"/>
            <w:right w:val="none" w:sz="0" w:space="0" w:color="auto"/>
          </w:divBdr>
        </w:div>
      </w:divsChild>
    </w:div>
    <w:div w:id="775490914">
      <w:marLeft w:val="0"/>
      <w:marRight w:val="0"/>
      <w:marTop w:val="0"/>
      <w:marBottom w:val="111"/>
      <w:divBdr>
        <w:top w:val="none" w:sz="0" w:space="0" w:color="auto"/>
        <w:left w:val="none" w:sz="0" w:space="0" w:color="auto"/>
        <w:bottom w:val="none" w:sz="0" w:space="0" w:color="auto"/>
        <w:right w:val="none" w:sz="0" w:space="0" w:color="auto"/>
      </w:divBdr>
    </w:div>
    <w:div w:id="775638219">
      <w:marLeft w:val="0"/>
      <w:marRight w:val="0"/>
      <w:marTop w:val="180"/>
      <w:marBottom w:val="160"/>
      <w:divBdr>
        <w:top w:val="none" w:sz="0" w:space="0" w:color="auto"/>
        <w:left w:val="none" w:sz="0" w:space="0" w:color="auto"/>
        <w:bottom w:val="none" w:sz="0" w:space="0" w:color="auto"/>
        <w:right w:val="none" w:sz="0" w:space="0" w:color="auto"/>
      </w:divBdr>
    </w:div>
    <w:div w:id="776143603">
      <w:marLeft w:val="0"/>
      <w:marRight w:val="0"/>
      <w:marTop w:val="160"/>
      <w:marBottom w:val="160"/>
      <w:divBdr>
        <w:top w:val="none" w:sz="0" w:space="0" w:color="auto"/>
        <w:left w:val="none" w:sz="0" w:space="0" w:color="auto"/>
        <w:bottom w:val="none" w:sz="0" w:space="0" w:color="auto"/>
        <w:right w:val="none" w:sz="0" w:space="0" w:color="auto"/>
      </w:divBdr>
    </w:div>
    <w:div w:id="776414638">
      <w:marLeft w:val="0"/>
      <w:marRight w:val="0"/>
      <w:marTop w:val="240"/>
      <w:marBottom w:val="160"/>
      <w:divBdr>
        <w:top w:val="none" w:sz="0" w:space="0" w:color="auto"/>
        <w:left w:val="none" w:sz="0" w:space="0" w:color="auto"/>
        <w:bottom w:val="none" w:sz="0" w:space="0" w:color="auto"/>
        <w:right w:val="none" w:sz="0" w:space="0" w:color="auto"/>
      </w:divBdr>
    </w:div>
    <w:div w:id="776874268">
      <w:marLeft w:val="0"/>
      <w:marRight w:val="0"/>
      <w:marTop w:val="220"/>
      <w:marBottom w:val="160"/>
      <w:divBdr>
        <w:top w:val="none" w:sz="0" w:space="0" w:color="auto"/>
        <w:left w:val="none" w:sz="0" w:space="0" w:color="auto"/>
        <w:bottom w:val="none" w:sz="0" w:space="0" w:color="auto"/>
        <w:right w:val="none" w:sz="0" w:space="0" w:color="auto"/>
      </w:divBdr>
    </w:div>
    <w:div w:id="778837454">
      <w:marLeft w:val="0"/>
      <w:marRight w:val="0"/>
      <w:marTop w:val="0"/>
      <w:marBottom w:val="0"/>
      <w:divBdr>
        <w:top w:val="none" w:sz="0" w:space="0" w:color="auto"/>
        <w:left w:val="none" w:sz="0" w:space="0" w:color="auto"/>
        <w:bottom w:val="none" w:sz="0" w:space="0" w:color="auto"/>
        <w:right w:val="none" w:sz="0" w:space="0" w:color="auto"/>
      </w:divBdr>
      <w:divsChild>
        <w:div w:id="1822960954">
          <w:marLeft w:val="0"/>
          <w:marRight w:val="0"/>
          <w:marTop w:val="160"/>
          <w:marBottom w:val="0"/>
          <w:divBdr>
            <w:top w:val="none" w:sz="0" w:space="0" w:color="auto"/>
            <w:left w:val="none" w:sz="0" w:space="0" w:color="auto"/>
            <w:bottom w:val="none" w:sz="0" w:space="0" w:color="auto"/>
            <w:right w:val="none" w:sz="0" w:space="0" w:color="auto"/>
          </w:divBdr>
        </w:div>
        <w:div w:id="632246606">
          <w:marLeft w:val="0"/>
          <w:marRight w:val="0"/>
          <w:marTop w:val="60"/>
          <w:marBottom w:val="60"/>
          <w:divBdr>
            <w:top w:val="none" w:sz="0" w:space="0" w:color="auto"/>
            <w:left w:val="none" w:sz="0" w:space="0" w:color="auto"/>
            <w:bottom w:val="none" w:sz="0" w:space="0" w:color="auto"/>
            <w:right w:val="none" w:sz="0" w:space="0" w:color="auto"/>
          </w:divBdr>
        </w:div>
        <w:div w:id="974334427">
          <w:marLeft w:val="0"/>
          <w:marRight w:val="0"/>
          <w:marTop w:val="60"/>
          <w:marBottom w:val="60"/>
          <w:divBdr>
            <w:top w:val="none" w:sz="0" w:space="0" w:color="auto"/>
            <w:left w:val="none" w:sz="0" w:space="0" w:color="auto"/>
            <w:bottom w:val="none" w:sz="0" w:space="0" w:color="auto"/>
            <w:right w:val="none" w:sz="0" w:space="0" w:color="auto"/>
          </w:divBdr>
        </w:div>
        <w:div w:id="1123108540">
          <w:marLeft w:val="0"/>
          <w:marRight w:val="0"/>
          <w:marTop w:val="60"/>
          <w:marBottom w:val="60"/>
          <w:divBdr>
            <w:top w:val="none" w:sz="0" w:space="0" w:color="auto"/>
            <w:left w:val="none" w:sz="0" w:space="0" w:color="auto"/>
            <w:bottom w:val="none" w:sz="0" w:space="0" w:color="auto"/>
            <w:right w:val="none" w:sz="0" w:space="0" w:color="auto"/>
          </w:divBdr>
        </w:div>
      </w:divsChild>
    </w:div>
    <w:div w:id="779489252">
      <w:marLeft w:val="0"/>
      <w:marRight w:val="0"/>
      <w:marTop w:val="0"/>
      <w:marBottom w:val="240"/>
      <w:divBdr>
        <w:top w:val="none" w:sz="0" w:space="0" w:color="auto"/>
        <w:left w:val="none" w:sz="0" w:space="0" w:color="auto"/>
        <w:bottom w:val="none" w:sz="0" w:space="0" w:color="auto"/>
        <w:right w:val="none" w:sz="0" w:space="0" w:color="auto"/>
      </w:divBdr>
    </w:div>
    <w:div w:id="779951722">
      <w:marLeft w:val="0"/>
      <w:marRight w:val="0"/>
      <w:marTop w:val="0"/>
      <w:marBottom w:val="240"/>
      <w:divBdr>
        <w:top w:val="none" w:sz="0" w:space="0" w:color="auto"/>
        <w:left w:val="none" w:sz="0" w:space="0" w:color="auto"/>
        <w:bottom w:val="none" w:sz="0" w:space="0" w:color="auto"/>
        <w:right w:val="none" w:sz="0" w:space="0" w:color="auto"/>
      </w:divBdr>
    </w:div>
    <w:div w:id="784272190">
      <w:marLeft w:val="0"/>
      <w:marRight w:val="0"/>
      <w:marTop w:val="180"/>
      <w:marBottom w:val="160"/>
      <w:divBdr>
        <w:top w:val="none" w:sz="0" w:space="0" w:color="auto"/>
        <w:left w:val="none" w:sz="0" w:space="0" w:color="auto"/>
        <w:bottom w:val="none" w:sz="0" w:space="0" w:color="auto"/>
        <w:right w:val="none" w:sz="0" w:space="0" w:color="auto"/>
      </w:divBdr>
    </w:div>
    <w:div w:id="788165036">
      <w:marLeft w:val="0"/>
      <w:marRight w:val="0"/>
      <w:marTop w:val="0"/>
      <w:marBottom w:val="0"/>
      <w:divBdr>
        <w:top w:val="none" w:sz="0" w:space="0" w:color="auto"/>
        <w:left w:val="none" w:sz="0" w:space="0" w:color="auto"/>
        <w:bottom w:val="none" w:sz="0" w:space="0" w:color="auto"/>
        <w:right w:val="none" w:sz="0" w:space="0" w:color="auto"/>
      </w:divBdr>
      <w:divsChild>
        <w:div w:id="60451789">
          <w:marLeft w:val="0"/>
          <w:marRight w:val="0"/>
          <w:marTop w:val="160"/>
          <w:marBottom w:val="160"/>
          <w:divBdr>
            <w:top w:val="none" w:sz="0" w:space="0" w:color="auto"/>
            <w:left w:val="none" w:sz="0" w:space="0" w:color="auto"/>
            <w:bottom w:val="none" w:sz="0" w:space="0" w:color="auto"/>
            <w:right w:val="none" w:sz="0" w:space="0" w:color="auto"/>
          </w:divBdr>
        </w:div>
      </w:divsChild>
    </w:div>
    <w:div w:id="788745069">
      <w:marLeft w:val="0"/>
      <w:marRight w:val="0"/>
      <w:marTop w:val="0"/>
      <w:marBottom w:val="0"/>
      <w:divBdr>
        <w:top w:val="none" w:sz="0" w:space="0" w:color="auto"/>
        <w:left w:val="none" w:sz="0" w:space="0" w:color="auto"/>
        <w:bottom w:val="none" w:sz="0" w:space="0" w:color="auto"/>
        <w:right w:val="none" w:sz="0" w:space="0" w:color="auto"/>
      </w:divBdr>
      <w:divsChild>
        <w:div w:id="266543498">
          <w:marLeft w:val="0"/>
          <w:marRight w:val="0"/>
          <w:marTop w:val="0"/>
          <w:marBottom w:val="0"/>
          <w:divBdr>
            <w:top w:val="none" w:sz="0" w:space="0" w:color="auto"/>
            <w:left w:val="none" w:sz="0" w:space="0" w:color="auto"/>
            <w:bottom w:val="none" w:sz="0" w:space="0" w:color="auto"/>
            <w:right w:val="none" w:sz="0" w:space="0" w:color="auto"/>
          </w:divBdr>
        </w:div>
      </w:divsChild>
    </w:div>
    <w:div w:id="790319376">
      <w:marLeft w:val="0"/>
      <w:marRight w:val="0"/>
      <w:marTop w:val="0"/>
      <w:marBottom w:val="0"/>
      <w:divBdr>
        <w:top w:val="none" w:sz="0" w:space="0" w:color="auto"/>
        <w:left w:val="none" w:sz="0" w:space="0" w:color="auto"/>
        <w:bottom w:val="none" w:sz="0" w:space="0" w:color="auto"/>
        <w:right w:val="none" w:sz="0" w:space="0" w:color="auto"/>
      </w:divBdr>
    </w:div>
    <w:div w:id="791165833">
      <w:marLeft w:val="0"/>
      <w:marRight w:val="0"/>
      <w:marTop w:val="100"/>
      <w:marBottom w:val="100"/>
      <w:divBdr>
        <w:top w:val="none" w:sz="0" w:space="0" w:color="auto"/>
        <w:left w:val="none" w:sz="0" w:space="0" w:color="auto"/>
        <w:bottom w:val="none" w:sz="0" w:space="0" w:color="auto"/>
        <w:right w:val="none" w:sz="0" w:space="0" w:color="auto"/>
      </w:divBdr>
    </w:div>
    <w:div w:id="792600568">
      <w:marLeft w:val="0"/>
      <w:marRight w:val="0"/>
      <w:marTop w:val="0"/>
      <w:marBottom w:val="0"/>
      <w:divBdr>
        <w:top w:val="none" w:sz="0" w:space="0" w:color="auto"/>
        <w:left w:val="none" w:sz="0" w:space="0" w:color="auto"/>
        <w:bottom w:val="none" w:sz="0" w:space="0" w:color="auto"/>
        <w:right w:val="none" w:sz="0" w:space="0" w:color="auto"/>
      </w:divBdr>
      <w:divsChild>
        <w:div w:id="1115947476">
          <w:marLeft w:val="0"/>
          <w:marRight w:val="0"/>
          <w:marTop w:val="0"/>
          <w:marBottom w:val="0"/>
          <w:divBdr>
            <w:top w:val="none" w:sz="0" w:space="0" w:color="auto"/>
            <w:left w:val="none" w:sz="0" w:space="0" w:color="auto"/>
            <w:bottom w:val="none" w:sz="0" w:space="0" w:color="auto"/>
            <w:right w:val="none" w:sz="0" w:space="0" w:color="auto"/>
          </w:divBdr>
        </w:div>
      </w:divsChild>
    </w:div>
    <w:div w:id="794254257">
      <w:marLeft w:val="0"/>
      <w:marRight w:val="0"/>
      <w:marTop w:val="160"/>
      <w:marBottom w:val="160"/>
      <w:divBdr>
        <w:top w:val="none" w:sz="0" w:space="0" w:color="auto"/>
        <w:left w:val="none" w:sz="0" w:space="0" w:color="auto"/>
        <w:bottom w:val="none" w:sz="0" w:space="0" w:color="auto"/>
        <w:right w:val="none" w:sz="0" w:space="0" w:color="auto"/>
      </w:divBdr>
    </w:div>
    <w:div w:id="794328449">
      <w:marLeft w:val="0"/>
      <w:marRight w:val="0"/>
      <w:marTop w:val="160"/>
      <w:marBottom w:val="0"/>
      <w:divBdr>
        <w:top w:val="none" w:sz="0" w:space="0" w:color="auto"/>
        <w:left w:val="none" w:sz="0" w:space="0" w:color="auto"/>
        <w:bottom w:val="none" w:sz="0" w:space="0" w:color="auto"/>
        <w:right w:val="none" w:sz="0" w:space="0" w:color="auto"/>
      </w:divBdr>
    </w:div>
    <w:div w:id="797381803">
      <w:marLeft w:val="0"/>
      <w:marRight w:val="0"/>
      <w:marTop w:val="0"/>
      <w:marBottom w:val="240"/>
      <w:divBdr>
        <w:top w:val="none" w:sz="0" w:space="0" w:color="auto"/>
        <w:left w:val="none" w:sz="0" w:space="0" w:color="auto"/>
        <w:bottom w:val="none" w:sz="0" w:space="0" w:color="auto"/>
        <w:right w:val="none" w:sz="0" w:space="0" w:color="auto"/>
      </w:divBdr>
    </w:div>
    <w:div w:id="797604879">
      <w:marLeft w:val="0"/>
      <w:marRight w:val="0"/>
      <w:marTop w:val="0"/>
      <w:marBottom w:val="240"/>
      <w:divBdr>
        <w:top w:val="none" w:sz="0" w:space="0" w:color="auto"/>
        <w:left w:val="none" w:sz="0" w:space="0" w:color="auto"/>
        <w:bottom w:val="none" w:sz="0" w:space="0" w:color="auto"/>
        <w:right w:val="none" w:sz="0" w:space="0" w:color="auto"/>
      </w:divBdr>
    </w:div>
    <w:div w:id="800919446">
      <w:marLeft w:val="0"/>
      <w:marRight w:val="0"/>
      <w:marTop w:val="0"/>
      <w:marBottom w:val="0"/>
      <w:divBdr>
        <w:top w:val="none" w:sz="0" w:space="0" w:color="auto"/>
        <w:left w:val="none" w:sz="0" w:space="0" w:color="auto"/>
        <w:bottom w:val="none" w:sz="0" w:space="0" w:color="auto"/>
        <w:right w:val="none" w:sz="0" w:space="0" w:color="auto"/>
      </w:divBdr>
      <w:divsChild>
        <w:div w:id="1818718897">
          <w:marLeft w:val="0"/>
          <w:marRight w:val="0"/>
          <w:marTop w:val="160"/>
          <w:marBottom w:val="0"/>
          <w:divBdr>
            <w:top w:val="none" w:sz="0" w:space="0" w:color="auto"/>
            <w:left w:val="none" w:sz="0" w:space="0" w:color="auto"/>
            <w:bottom w:val="none" w:sz="0" w:space="0" w:color="auto"/>
            <w:right w:val="none" w:sz="0" w:space="0" w:color="auto"/>
          </w:divBdr>
        </w:div>
        <w:div w:id="621108664">
          <w:marLeft w:val="0"/>
          <w:marRight w:val="0"/>
          <w:marTop w:val="60"/>
          <w:marBottom w:val="60"/>
          <w:divBdr>
            <w:top w:val="none" w:sz="0" w:space="0" w:color="auto"/>
            <w:left w:val="none" w:sz="0" w:space="0" w:color="auto"/>
            <w:bottom w:val="none" w:sz="0" w:space="0" w:color="auto"/>
            <w:right w:val="none" w:sz="0" w:space="0" w:color="auto"/>
          </w:divBdr>
        </w:div>
        <w:div w:id="1862621873">
          <w:marLeft w:val="0"/>
          <w:marRight w:val="0"/>
          <w:marTop w:val="60"/>
          <w:marBottom w:val="60"/>
          <w:divBdr>
            <w:top w:val="none" w:sz="0" w:space="0" w:color="auto"/>
            <w:left w:val="none" w:sz="0" w:space="0" w:color="auto"/>
            <w:bottom w:val="none" w:sz="0" w:space="0" w:color="auto"/>
            <w:right w:val="none" w:sz="0" w:space="0" w:color="auto"/>
          </w:divBdr>
        </w:div>
        <w:div w:id="1287541050">
          <w:marLeft w:val="0"/>
          <w:marRight w:val="0"/>
          <w:marTop w:val="0"/>
          <w:marBottom w:val="0"/>
          <w:divBdr>
            <w:top w:val="none" w:sz="0" w:space="0" w:color="auto"/>
            <w:left w:val="none" w:sz="0" w:space="0" w:color="auto"/>
            <w:bottom w:val="none" w:sz="0" w:space="0" w:color="auto"/>
            <w:right w:val="none" w:sz="0" w:space="0" w:color="auto"/>
          </w:divBdr>
        </w:div>
      </w:divsChild>
    </w:div>
    <w:div w:id="801311691">
      <w:marLeft w:val="0"/>
      <w:marRight w:val="0"/>
      <w:marTop w:val="0"/>
      <w:marBottom w:val="0"/>
      <w:divBdr>
        <w:top w:val="none" w:sz="0" w:space="0" w:color="auto"/>
        <w:left w:val="none" w:sz="0" w:space="0" w:color="auto"/>
        <w:bottom w:val="none" w:sz="0" w:space="0" w:color="auto"/>
        <w:right w:val="none" w:sz="0" w:space="0" w:color="auto"/>
      </w:divBdr>
      <w:divsChild>
        <w:div w:id="1488282599">
          <w:marLeft w:val="0"/>
          <w:marRight w:val="0"/>
          <w:marTop w:val="160"/>
          <w:marBottom w:val="160"/>
          <w:divBdr>
            <w:top w:val="none" w:sz="0" w:space="0" w:color="auto"/>
            <w:left w:val="none" w:sz="0" w:space="0" w:color="auto"/>
            <w:bottom w:val="none" w:sz="0" w:space="0" w:color="auto"/>
            <w:right w:val="none" w:sz="0" w:space="0" w:color="auto"/>
          </w:divBdr>
        </w:div>
      </w:divsChild>
    </w:div>
    <w:div w:id="803236203">
      <w:marLeft w:val="0"/>
      <w:marRight w:val="0"/>
      <w:marTop w:val="0"/>
      <w:marBottom w:val="120"/>
      <w:divBdr>
        <w:top w:val="none" w:sz="0" w:space="0" w:color="auto"/>
        <w:left w:val="none" w:sz="0" w:space="0" w:color="auto"/>
        <w:bottom w:val="none" w:sz="0" w:space="0" w:color="auto"/>
        <w:right w:val="none" w:sz="0" w:space="0" w:color="auto"/>
      </w:divBdr>
    </w:div>
    <w:div w:id="804276583">
      <w:marLeft w:val="0"/>
      <w:marRight w:val="0"/>
      <w:marTop w:val="160"/>
      <w:marBottom w:val="240"/>
      <w:divBdr>
        <w:top w:val="none" w:sz="0" w:space="0" w:color="auto"/>
        <w:left w:val="none" w:sz="0" w:space="0" w:color="auto"/>
        <w:bottom w:val="none" w:sz="0" w:space="0" w:color="auto"/>
        <w:right w:val="none" w:sz="0" w:space="0" w:color="auto"/>
      </w:divBdr>
    </w:div>
    <w:div w:id="804860531">
      <w:marLeft w:val="0"/>
      <w:marRight w:val="0"/>
      <w:marTop w:val="0"/>
      <w:marBottom w:val="240"/>
      <w:divBdr>
        <w:top w:val="none" w:sz="0" w:space="0" w:color="auto"/>
        <w:left w:val="none" w:sz="0" w:space="0" w:color="auto"/>
        <w:bottom w:val="none" w:sz="0" w:space="0" w:color="auto"/>
        <w:right w:val="none" w:sz="0" w:space="0" w:color="auto"/>
      </w:divBdr>
    </w:div>
    <w:div w:id="805439535">
      <w:marLeft w:val="0"/>
      <w:marRight w:val="0"/>
      <w:marTop w:val="0"/>
      <w:marBottom w:val="0"/>
      <w:divBdr>
        <w:top w:val="none" w:sz="0" w:space="0" w:color="auto"/>
        <w:left w:val="none" w:sz="0" w:space="0" w:color="auto"/>
        <w:bottom w:val="none" w:sz="0" w:space="0" w:color="auto"/>
        <w:right w:val="none" w:sz="0" w:space="0" w:color="auto"/>
      </w:divBdr>
    </w:div>
    <w:div w:id="807553509">
      <w:marLeft w:val="0"/>
      <w:marRight w:val="0"/>
      <w:marTop w:val="160"/>
      <w:marBottom w:val="160"/>
      <w:divBdr>
        <w:top w:val="none" w:sz="0" w:space="0" w:color="auto"/>
        <w:left w:val="none" w:sz="0" w:space="0" w:color="auto"/>
        <w:bottom w:val="none" w:sz="0" w:space="0" w:color="auto"/>
        <w:right w:val="none" w:sz="0" w:space="0" w:color="auto"/>
      </w:divBdr>
    </w:div>
    <w:div w:id="810681274">
      <w:marLeft w:val="0"/>
      <w:marRight w:val="0"/>
      <w:marTop w:val="0"/>
      <w:marBottom w:val="240"/>
      <w:divBdr>
        <w:top w:val="none" w:sz="0" w:space="0" w:color="auto"/>
        <w:left w:val="none" w:sz="0" w:space="0" w:color="auto"/>
        <w:bottom w:val="none" w:sz="0" w:space="0" w:color="auto"/>
        <w:right w:val="none" w:sz="0" w:space="0" w:color="auto"/>
      </w:divBdr>
    </w:div>
    <w:div w:id="810950705">
      <w:marLeft w:val="0"/>
      <w:marRight w:val="0"/>
      <w:marTop w:val="160"/>
      <w:marBottom w:val="160"/>
      <w:divBdr>
        <w:top w:val="none" w:sz="0" w:space="0" w:color="auto"/>
        <w:left w:val="none" w:sz="0" w:space="0" w:color="auto"/>
        <w:bottom w:val="none" w:sz="0" w:space="0" w:color="auto"/>
        <w:right w:val="none" w:sz="0" w:space="0" w:color="auto"/>
      </w:divBdr>
    </w:div>
    <w:div w:id="811597898">
      <w:marLeft w:val="0"/>
      <w:marRight w:val="0"/>
      <w:marTop w:val="340"/>
      <w:marBottom w:val="100"/>
      <w:divBdr>
        <w:top w:val="none" w:sz="0" w:space="0" w:color="auto"/>
        <w:left w:val="none" w:sz="0" w:space="0" w:color="auto"/>
        <w:bottom w:val="none" w:sz="0" w:space="0" w:color="auto"/>
        <w:right w:val="none" w:sz="0" w:space="0" w:color="auto"/>
      </w:divBdr>
      <w:divsChild>
        <w:div w:id="303122797">
          <w:marLeft w:val="0"/>
          <w:marRight w:val="0"/>
          <w:marTop w:val="0"/>
          <w:marBottom w:val="0"/>
          <w:divBdr>
            <w:top w:val="none" w:sz="0" w:space="0" w:color="auto"/>
            <w:left w:val="none" w:sz="0" w:space="0" w:color="auto"/>
            <w:bottom w:val="none" w:sz="0" w:space="0" w:color="auto"/>
            <w:right w:val="none" w:sz="0" w:space="0" w:color="auto"/>
          </w:divBdr>
        </w:div>
        <w:div w:id="1806193422">
          <w:marLeft w:val="0"/>
          <w:marRight w:val="0"/>
          <w:marTop w:val="0"/>
          <w:marBottom w:val="0"/>
          <w:divBdr>
            <w:top w:val="none" w:sz="0" w:space="0" w:color="auto"/>
            <w:left w:val="none" w:sz="0" w:space="0" w:color="auto"/>
            <w:bottom w:val="none" w:sz="0" w:space="0" w:color="auto"/>
            <w:right w:val="none" w:sz="0" w:space="0" w:color="auto"/>
          </w:divBdr>
        </w:div>
        <w:div w:id="1838155487">
          <w:marLeft w:val="0"/>
          <w:marRight w:val="0"/>
          <w:marTop w:val="0"/>
          <w:marBottom w:val="0"/>
          <w:divBdr>
            <w:top w:val="none" w:sz="0" w:space="0" w:color="auto"/>
            <w:left w:val="none" w:sz="0" w:space="0" w:color="auto"/>
            <w:bottom w:val="none" w:sz="0" w:space="0" w:color="auto"/>
            <w:right w:val="none" w:sz="0" w:space="0" w:color="auto"/>
          </w:divBdr>
        </w:div>
      </w:divsChild>
    </w:div>
    <w:div w:id="811948186">
      <w:marLeft w:val="0"/>
      <w:marRight w:val="0"/>
      <w:marTop w:val="160"/>
      <w:marBottom w:val="160"/>
      <w:divBdr>
        <w:top w:val="none" w:sz="0" w:space="0" w:color="auto"/>
        <w:left w:val="none" w:sz="0" w:space="0" w:color="auto"/>
        <w:bottom w:val="none" w:sz="0" w:space="0" w:color="auto"/>
        <w:right w:val="none" w:sz="0" w:space="0" w:color="auto"/>
      </w:divBdr>
    </w:div>
    <w:div w:id="814492559">
      <w:marLeft w:val="0"/>
      <w:marRight w:val="0"/>
      <w:marTop w:val="180"/>
      <w:marBottom w:val="0"/>
      <w:divBdr>
        <w:top w:val="none" w:sz="0" w:space="0" w:color="auto"/>
        <w:left w:val="none" w:sz="0" w:space="0" w:color="auto"/>
        <w:bottom w:val="none" w:sz="0" w:space="0" w:color="auto"/>
        <w:right w:val="none" w:sz="0" w:space="0" w:color="auto"/>
      </w:divBdr>
    </w:div>
    <w:div w:id="815146930">
      <w:marLeft w:val="0"/>
      <w:marRight w:val="0"/>
      <w:marTop w:val="100"/>
      <w:marBottom w:val="240"/>
      <w:divBdr>
        <w:top w:val="none" w:sz="0" w:space="0" w:color="auto"/>
        <w:left w:val="none" w:sz="0" w:space="0" w:color="auto"/>
        <w:bottom w:val="none" w:sz="0" w:space="0" w:color="auto"/>
        <w:right w:val="none" w:sz="0" w:space="0" w:color="auto"/>
      </w:divBdr>
    </w:div>
    <w:div w:id="815759174">
      <w:marLeft w:val="0"/>
      <w:marRight w:val="0"/>
      <w:marTop w:val="100"/>
      <w:marBottom w:val="240"/>
      <w:divBdr>
        <w:top w:val="none" w:sz="0" w:space="0" w:color="auto"/>
        <w:left w:val="none" w:sz="0" w:space="0" w:color="auto"/>
        <w:bottom w:val="none" w:sz="0" w:space="0" w:color="auto"/>
        <w:right w:val="none" w:sz="0" w:space="0" w:color="auto"/>
      </w:divBdr>
    </w:div>
    <w:div w:id="820072910">
      <w:marLeft w:val="0"/>
      <w:marRight w:val="0"/>
      <w:marTop w:val="0"/>
      <w:marBottom w:val="240"/>
      <w:divBdr>
        <w:top w:val="none" w:sz="0" w:space="0" w:color="auto"/>
        <w:left w:val="none" w:sz="0" w:space="0" w:color="auto"/>
        <w:bottom w:val="none" w:sz="0" w:space="0" w:color="auto"/>
        <w:right w:val="none" w:sz="0" w:space="0" w:color="auto"/>
      </w:divBdr>
    </w:div>
    <w:div w:id="820345623">
      <w:marLeft w:val="0"/>
      <w:marRight w:val="0"/>
      <w:marTop w:val="100"/>
      <w:marBottom w:val="240"/>
      <w:divBdr>
        <w:top w:val="none" w:sz="0" w:space="0" w:color="auto"/>
        <w:left w:val="none" w:sz="0" w:space="0" w:color="auto"/>
        <w:bottom w:val="none" w:sz="0" w:space="0" w:color="auto"/>
        <w:right w:val="none" w:sz="0" w:space="0" w:color="auto"/>
      </w:divBdr>
    </w:div>
    <w:div w:id="822161457">
      <w:marLeft w:val="0"/>
      <w:marRight w:val="0"/>
      <w:marTop w:val="280"/>
      <w:marBottom w:val="160"/>
      <w:divBdr>
        <w:top w:val="none" w:sz="0" w:space="0" w:color="auto"/>
        <w:left w:val="none" w:sz="0" w:space="0" w:color="auto"/>
        <w:bottom w:val="none" w:sz="0" w:space="0" w:color="auto"/>
        <w:right w:val="none" w:sz="0" w:space="0" w:color="auto"/>
      </w:divBdr>
    </w:div>
    <w:div w:id="823666527">
      <w:marLeft w:val="0"/>
      <w:marRight w:val="0"/>
      <w:marTop w:val="240"/>
      <w:marBottom w:val="160"/>
      <w:divBdr>
        <w:top w:val="none" w:sz="0" w:space="0" w:color="auto"/>
        <w:left w:val="none" w:sz="0" w:space="0" w:color="auto"/>
        <w:bottom w:val="none" w:sz="0" w:space="0" w:color="auto"/>
        <w:right w:val="none" w:sz="0" w:space="0" w:color="auto"/>
      </w:divBdr>
    </w:div>
    <w:div w:id="824973337">
      <w:marLeft w:val="0"/>
      <w:marRight w:val="0"/>
      <w:marTop w:val="0"/>
      <w:marBottom w:val="0"/>
      <w:divBdr>
        <w:top w:val="none" w:sz="0" w:space="0" w:color="auto"/>
        <w:left w:val="none" w:sz="0" w:space="0" w:color="auto"/>
        <w:bottom w:val="none" w:sz="0" w:space="0" w:color="auto"/>
        <w:right w:val="none" w:sz="0" w:space="0" w:color="auto"/>
      </w:divBdr>
      <w:divsChild>
        <w:div w:id="1460220903">
          <w:marLeft w:val="0"/>
          <w:marRight w:val="0"/>
          <w:marTop w:val="0"/>
          <w:marBottom w:val="0"/>
          <w:divBdr>
            <w:top w:val="none" w:sz="0" w:space="0" w:color="auto"/>
            <w:left w:val="none" w:sz="0" w:space="0" w:color="auto"/>
            <w:bottom w:val="none" w:sz="0" w:space="0" w:color="auto"/>
            <w:right w:val="none" w:sz="0" w:space="0" w:color="auto"/>
          </w:divBdr>
        </w:div>
      </w:divsChild>
    </w:div>
    <w:div w:id="825320498">
      <w:marLeft w:val="0"/>
      <w:marRight w:val="0"/>
      <w:marTop w:val="160"/>
      <w:marBottom w:val="240"/>
      <w:divBdr>
        <w:top w:val="none" w:sz="0" w:space="0" w:color="auto"/>
        <w:left w:val="none" w:sz="0" w:space="0" w:color="auto"/>
        <w:bottom w:val="none" w:sz="0" w:space="0" w:color="auto"/>
        <w:right w:val="none" w:sz="0" w:space="0" w:color="auto"/>
      </w:divBdr>
    </w:div>
    <w:div w:id="832917363">
      <w:marLeft w:val="0"/>
      <w:marRight w:val="0"/>
      <w:marTop w:val="0"/>
      <w:marBottom w:val="0"/>
      <w:divBdr>
        <w:top w:val="none" w:sz="0" w:space="0" w:color="auto"/>
        <w:left w:val="none" w:sz="0" w:space="0" w:color="auto"/>
        <w:bottom w:val="none" w:sz="0" w:space="0" w:color="auto"/>
        <w:right w:val="none" w:sz="0" w:space="0" w:color="auto"/>
      </w:divBdr>
      <w:divsChild>
        <w:div w:id="1291937804">
          <w:marLeft w:val="0"/>
          <w:marRight w:val="0"/>
          <w:marTop w:val="160"/>
          <w:marBottom w:val="160"/>
          <w:divBdr>
            <w:top w:val="none" w:sz="0" w:space="0" w:color="auto"/>
            <w:left w:val="none" w:sz="0" w:space="0" w:color="auto"/>
            <w:bottom w:val="none" w:sz="0" w:space="0" w:color="auto"/>
            <w:right w:val="none" w:sz="0" w:space="0" w:color="auto"/>
          </w:divBdr>
        </w:div>
      </w:divsChild>
    </w:div>
    <w:div w:id="833761964">
      <w:marLeft w:val="0"/>
      <w:marRight w:val="0"/>
      <w:marTop w:val="0"/>
      <w:marBottom w:val="0"/>
      <w:divBdr>
        <w:top w:val="none" w:sz="0" w:space="0" w:color="auto"/>
        <w:left w:val="none" w:sz="0" w:space="0" w:color="auto"/>
        <w:bottom w:val="none" w:sz="0" w:space="0" w:color="auto"/>
        <w:right w:val="none" w:sz="0" w:space="0" w:color="auto"/>
      </w:divBdr>
      <w:divsChild>
        <w:div w:id="1702629302">
          <w:marLeft w:val="0"/>
          <w:marRight w:val="0"/>
          <w:marTop w:val="160"/>
          <w:marBottom w:val="0"/>
          <w:divBdr>
            <w:top w:val="none" w:sz="0" w:space="0" w:color="auto"/>
            <w:left w:val="none" w:sz="0" w:space="0" w:color="auto"/>
            <w:bottom w:val="none" w:sz="0" w:space="0" w:color="auto"/>
            <w:right w:val="none" w:sz="0" w:space="0" w:color="auto"/>
          </w:divBdr>
        </w:div>
        <w:div w:id="1258638732">
          <w:marLeft w:val="0"/>
          <w:marRight w:val="0"/>
          <w:marTop w:val="60"/>
          <w:marBottom w:val="60"/>
          <w:divBdr>
            <w:top w:val="none" w:sz="0" w:space="0" w:color="auto"/>
            <w:left w:val="none" w:sz="0" w:space="0" w:color="auto"/>
            <w:bottom w:val="none" w:sz="0" w:space="0" w:color="auto"/>
            <w:right w:val="none" w:sz="0" w:space="0" w:color="auto"/>
          </w:divBdr>
        </w:div>
        <w:div w:id="455294132">
          <w:marLeft w:val="0"/>
          <w:marRight w:val="0"/>
          <w:marTop w:val="60"/>
          <w:marBottom w:val="60"/>
          <w:divBdr>
            <w:top w:val="none" w:sz="0" w:space="0" w:color="auto"/>
            <w:left w:val="none" w:sz="0" w:space="0" w:color="auto"/>
            <w:bottom w:val="none" w:sz="0" w:space="0" w:color="auto"/>
            <w:right w:val="none" w:sz="0" w:space="0" w:color="auto"/>
          </w:divBdr>
        </w:div>
        <w:div w:id="1521746071">
          <w:marLeft w:val="0"/>
          <w:marRight w:val="0"/>
          <w:marTop w:val="60"/>
          <w:marBottom w:val="60"/>
          <w:divBdr>
            <w:top w:val="none" w:sz="0" w:space="0" w:color="auto"/>
            <w:left w:val="none" w:sz="0" w:space="0" w:color="auto"/>
            <w:bottom w:val="none" w:sz="0" w:space="0" w:color="auto"/>
            <w:right w:val="none" w:sz="0" w:space="0" w:color="auto"/>
          </w:divBdr>
        </w:div>
      </w:divsChild>
    </w:div>
    <w:div w:id="834102266">
      <w:marLeft w:val="0"/>
      <w:marRight w:val="0"/>
      <w:marTop w:val="160"/>
      <w:marBottom w:val="160"/>
      <w:divBdr>
        <w:top w:val="none" w:sz="0" w:space="0" w:color="auto"/>
        <w:left w:val="none" w:sz="0" w:space="0" w:color="auto"/>
        <w:bottom w:val="none" w:sz="0" w:space="0" w:color="auto"/>
        <w:right w:val="none" w:sz="0" w:space="0" w:color="auto"/>
      </w:divBdr>
    </w:div>
    <w:div w:id="839662883">
      <w:marLeft w:val="0"/>
      <w:marRight w:val="0"/>
      <w:marTop w:val="0"/>
      <w:marBottom w:val="240"/>
      <w:divBdr>
        <w:top w:val="none" w:sz="0" w:space="0" w:color="auto"/>
        <w:left w:val="none" w:sz="0" w:space="0" w:color="auto"/>
        <w:bottom w:val="none" w:sz="0" w:space="0" w:color="auto"/>
        <w:right w:val="none" w:sz="0" w:space="0" w:color="auto"/>
      </w:divBdr>
    </w:div>
    <w:div w:id="841628122">
      <w:marLeft w:val="0"/>
      <w:marRight w:val="0"/>
      <w:marTop w:val="0"/>
      <w:marBottom w:val="80"/>
      <w:divBdr>
        <w:top w:val="none" w:sz="0" w:space="0" w:color="auto"/>
        <w:left w:val="none" w:sz="0" w:space="0" w:color="auto"/>
        <w:bottom w:val="none" w:sz="0" w:space="0" w:color="auto"/>
        <w:right w:val="none" w:sz="0" w:space="0" w:color="auto"/>
      </w:divBdr>
    </w:div>
    <w:div w:id="848912602">
      <w:marLeft w:val="0"/>
      <w:marRight w:val="0"/>
      <w:marTop w:val="160"/>
      <w:marBottom w:val="100"/>
      <w:divBdr>
        <w:top w:val="none" w:sz="0" w:space="0" w:color="auto"/>
        <w:left w:val="none" w:sz="0" w:space="0" w:color="auto"/>
        <w:bottom w:val="none" w:sz="0" w:space="0" w:color="auto"/>
        <w:right w:val="none" w:sz="0" w:space="0" w:color="auto"/>
      </w:divBdr>
    </w:div>
    <w:div w:id="853113874">
      <w:marLeft w:val="0"/>
      <w:marRight w:val="0"/>
      <w:marTop w:val="0"/>
      <w:marBottom w:val="0"/>
      <w:divBdr>
        <w:top w:val="none" w:sz="0" w:space="0" w:color="auto"/>
        <w:left w:val="none" w:sz="0" w:space="0" w:color="auto"/>
        <w:bottom w:val="none" w:sz="0" w:space="0" w:color="auto"/>
        <w:right w:val="none" w:sz="0" w:space="0" w:color="auto"/>
      </w:divBdr>
    </w:div>
    <w:div w:id="855002381">
      <w:marLeft w:val="0"/>
      <w:marRight w:val="0"/>
      <w:marTop w:val="0"/>
      <w:marBottom w:val="0"/>
      <w:divBdr>
        <w:top w:val="none" w:sz="0" w:space="0" w:color="auto"/>
        <w:left w:val="none" w:sz="0" w:space="0" w:color="auto"/>
        <w:bottom w:val="none" w:sz="0" w:space="0" w:color="auto"/>
        <w:right w:val="none" w:sz="0" w:space="0" w:color="auto"/>
      </w:divBdr>
    </w:div>
    <w:div w:id="855119820">
      <w:marLeft w:val="0"/>
      <w:marRight w:val="0"/>
      <w:marTop w:val="0"/>
      <w:marBottom w:val="240"/>
      <w:divBdr>
        <w:top w:val="none" w:sz="0" w:space="0" w:color="auto"/>
        <w:left w:val="none" w:sz="0" w:space="0" w:color="auto"/>
        <w:bottom w:val="none" w:sz="0" w:space="0" w:color="auto"/>
        <w:right w:val="none" w:sz="0" w:space="0" w:color="auto"/>
      </w:divBdr>
    </w:div>
    <w:div w:id="856695898">
      <w:marLeft w:val="0"/>
      <w:marRight w:val="0"/>
      <w:marTop w:val="0"/>
      <w:marBottom w:val="160"/>
      <w:divBdr>
        <w:top w:val="none" w:sz="0" w:space="0" w:color="auto"/>
        <w:left w:val="none" w:sz="0" w:space="0" w:color="auto"/>
        <w:bottom w:val="none" w:sz="0" w:space="0" w:color="auto"/>
        <w:right w:val="none" w:sz="0" w:space="0" w:color="auto"/>
      </w:divBdr>
    </w:div>
    <w:div w:id="859585386">
      <w:marLeft w:val="0"/>
      <w:marRight w:val="0"/>
      <w:marTop w:val="0"/>
      <w:marBottom w:val="240"/>
      <w:divBdr>
        <w:top w:val="none" w:sz="0" w:space="0" w:color="auto"/>
        <w:left w:val="none" w:sz="0" w:space="0" w:color="auto"/>
        <w:bottom w:val="none" w:sz="0" w:space="0" w:color="auto"/>
        <w:right w:val="none" w:sz="0" w:space="0" w:color="auto"/>
      </w:divBdr>
    </w:div>
    <w:div w:id="860049028">
      <w:marLeft w:val="0"/>
      <w:marRight w:val="0"/>
      <w:marTop w:val="0"/>
      <w:marBottom w:val="240"/>
      <w:divBdr>
        <w:top w:val="none" w:sz="0" w:space="0" w:color="auto"/>
        <w:left w:val="none" w:sz="0" w:space="0" w:color="auto"/>
        <w:bottom w:val="none" w:sz="0" w:space="0" w:color="auto"/>
        <w:right w:val="none" w:sz="0" w:space="0" w:color="auto"/>
      </w:divBdr>
    </w:div>
    <w:div w:id="860170590">
      <w:marLeft w:val="0"/>
      <w:marRight w:val="0"/>
      <w:marTop w:val="0"/>
      <w:marBottom w:val="0"/>
      <w:divBdr>
        <w:top w:val="none" w:sz="0" w:space="0" w:color="auto"/>
        <w:left w:val="none" w:sz="0" w:space="0" w:color="auto"/>
        <w:bottom w:val="none" w:sz="0" w:space="0" w:color="auto"/>
        <w:right w:val="none" w:sz="0" w:space="0" w:color="auto"/>
      </w:divBdr>
      <w:divsChild>
        <w:div w:id="47655607">
          <w:marLeft w:val="0"/>
          <w:marRight w:val="0"/>
          <w:marTop w:val="160"/>
          <w:marBottom w:val="160"/>
          <w:divBdr>
            <w:top w:val="none" w:sz="0" w:space="0" w:color="auto"/>
            <w:left w:val="none" w:sz="0" w:space="0" w:color="auto"/>
            <w:bottom w:val="none" w:sz="0" w:space="0" w:color="auto"/>
            <w:right w:val="none" w:sz="0" w:space="0" w:color="auto"/>
          </w:divBdr>
        </w:div>
      </w:divsChild>
    </w:div>
    <w:div w:id="867064390">
      <w:marLeft w:val="0"/>
      <w:marRight w:val="0"/>
      <w:marTop w:val="100"/>
      <w:marBottom w:val="100"/>
      <w:divBdr>
        <w:top w:val="none" w:sz="0" w:space="0" w:color="auto"/>
        <w:left w:val="none" w:sz="0" w:space="0" w:color="auto"/>
        <w:bottom w:val="none" w:sz="0" w:space="0" w:color="auto"/>
        <w:right w:val="none" w:sz="0" w:space="0" w:color="auto"/>
      </w:divBdr>
    </w:div>
    <w:div w:id="870261321">
      <w:marLeft w:val="0"/>
      <w:marRight w:val="0"/>
      <w:marTop w:val="160"/>
      <w:marBottom w:val="160"/>
      <w:divBdr>
        <w:top w:val="none" w:sz="0" w:space="0" w:color="auto"/>
        <w:left w:val="none" w:sz="0" w:space="0" w:color="auto"/>
        <w:bottom w:val="none" w:sz="0" w:space="0" w:color="auto"/>
        <w:right w:val="none" w:sz="0" w:space="0" w:color="auto"/>
      </w:divBdr>
    </w:div>
    <w:div w:id="871377649">
      <w:marLeft w:val="0"/>
      <w:marRight w:val="0"/>
      <w:marTop w:val="0"/>
      <w:marBottom w:val="180"/>
      <w:divBdr>
        <w:top w:val="none" w:sz="0" w:space="0" w:color="auto"/>
        <w:left w:val="none" w:sz="0" w:space="0" w:color="auto"/>
        <w:bottom w:val="none" w:sz="0" w:space="0" w:color="auto"/>
        <w:right w:val="none" w:sz="0" w:space="0" w:color="auto"/>
      </w:divBdr>
    </w:div>
    <w:div w:id="876161507">
      <w:marLeft w:val="0"/>
      <w:marRight w:val="0"/>
      <w:marTop w:val="100"/>
      <w:marBottom w:val="240"/>
      <w:divBdr>
        <w:top w:val="none" w:sz="0" w:space="0" w:color="auto"/>
        <w:left w:val="none" w:sz="0" w:space="0" w:color="auto"/>
        <w:bottom w:val="none" w:sz="0" w:space="0" w:color="auto"/>
        <w:right w:val="none" w:sz="0" w:space="0" w:color="auto"/>
      </w:divBdr>
    </w:div>
    <w:div w:id="885457907">
      <w:marLeft w:val="0"/>
      <w:marRight w:val="0"/>
      <w:marTop w:val="160"/>
      <w:marBottom w:val="160"/>
      <w:divBdr>
        <w:top w:val="none" w:sz="0" w:space="0" w:color="auto"/>
        <w:left w:val="none" w:sz="0" w:space="0" w:color="auto"/>
        <w:bottom w:val="none" w:sz="0" w:space="0" w:color="auto"/>
        <w:right w:val="none" w:sz="0" w:space="0" w:color="auto"/>
      </w:divBdr>
    </w:div>
    <w:div w:id="885606323">
      <w:marLeft w:val="0"/>
      <w:marRight w:val="0"/>
      <w:marTop w:val="0"/>
      <w:marBottom w:val="0"/>
      <w:divBdr>
        <w:top w:val="none" w:sz="0" w:space="0" w:color="auto"/>
        <w:left w:val="none" w:sz="0" w:space="0" w:color="auto"/>
        <w:bottom w:val="none" w:sz="0" w:space="0" w:color="auto"/>
        <w:right w:val="none" w:sz="0" w:space="0" w:color="auto"/>
      </w:divBdr>
      <w:divsChild>
        <w:div w:id="1522620040">
          <w:marLeft w:val="0"/>
          <w:marRight w:val="0"/>
          <w:marTop w:val="160"/>
          <w:marBottom w:val="160"/>
          <w:divBdr>
            <w:top w:val="none" w:sz="0" w:space="0" w:color="auto"/>
            <w:left w:val="none" w:sz="0" w:space="0" w:color="auto"/>
            <w:bottom w:val="none" w:sz="0" w:space="0" w:color="auto"/>
            <w:right w:val="none" w:sz="0" w:space="0" w:color="auto"/>
          </w:divBdr>
        </w:div>
      </w:divsChild>
    </w:div>
    <w:div w:id="889683294">
      <w:marLeft w:val="0"/>
      <w:marRight w:val="0"/>
      <w:marTop w:val="180"/>
      <w:marBottom w:val="0"/>
      <w:divBdr>
        <w:top w:val="none" w:sz="0" w:space="0" w:color="auto"/>
        <w:left w:val="none" w:sz="0" w:space="0" w:color="auto"/>
        <w:bottom w:val="none" w:sz="0" w:space="0" w:color="auto"/>
        <w:right w:val="none" w:sz="0" w:space="0" w:color="auto"/>
      </w:divBdr>
    </w:div>
    <w:div w:id="891962697">
      <w:marLeft w:val="0"/>
      <w:marRight w:val="0"/>
      <w:marTop w:val="100"/>
      <w:marBottom w:val="240"/>
      <w:divBdr>
        <w:top w:val="none" w:sz="0" w:space="0" w:color="auto"/>
        <w:left w:val="none" w:sz="0" w:space="0" w:color="auto"/>
        <w:bottom w:val="none" w:sz="0" w:space="0" w:color="auto"/>
        <w:right w:val="none" w:sz="0" w:space="0" w:color="auto"/>
      </w:divBdr>
    </w:div>
    <w:div w:id="894045671">
      <w:marLeft w:val="0"/>
      <w:marRight w:val="0"/>
      <w:marTop w:val="0"/>
      <w:marBottom w:val="240"/>
      <w:divBdr>
        <w:top w:val="none" w:sz="0" w:space="0" w:color="auto"/>
        <w:left w:val="none" w:sz="0" w:space="0" w:color="auto"/>
        <w:bottom w:val="none" w:sz="0" w:space="0" w:color="auto"/>
        <w:right w:val="none" w:sz="0" w:space="0" w:color="auto"/>
      </w:divBdr>
    </w:div>
    <w:div w:id="900290447">
      <w:marLeft w:val="0"/>
      <w:marRight w:val="0"/>
      <w:marTop w:val="0"/>
      <w:marBottom w:val="240"/>
      <w:divBdr>
        <w:top w:val="none" w:sz="0" w:space="0" w:color="auto"/>
        <w:left w:val="none" w:sz="0" w:space="0" w:color="auto"/>
        <w:bottom w:val="none" w:sz="0" w:space="0" w:color="auto"/>
        <w:right w:val="none" w:sz="0" w:space="0" w:color="auto"/>
      </w:divBdr>
    </w:div>
    <w:div w:id="903878712">
      <w:marLeft w:val="0"/>
      <w:marRight w:val="0"/>
      <w:marTop w:val="0"/>
      <w:marBottom w:val="60"/>
      <w:divBdr>
        <w:top w:val="none" w:sz="0" w:space="0" w:color="auto"/>
        <w:left w:val="none" w:sz="0" w:space="0" w:color="auto"/>
        <w:bottom w:val="none" w:sz="0" w:space="0" w:color="auto"/>
        <w:right w:val="none" w:sz="0" w:space="0" w:color="auto"/>
      </w:divBdr>
    </w:div>
    <w:div w:id="906722775">
      <w:marLeft w:val="0"/>
      <w:marRight w:val="0"/>
      <w:marTop w:val="100"/>
      <w:marBottom w:val="160"/>
      <w:divBdr>
        <w:top w:val="none" w:sz="0" w:space="0" w:color="auto"/>
        <w:left w:val="none" w:sz="0" w:space="0" w:color="auto"/>
        <w:bottom w:val="none" w:sz="0" w:space="0" w:color="auto"/>
        <w:right w:val="none" w:sz="0" w:space="0" w:color="auto"/>
      </w:divBdr>
    </w:div>
    <w:div w:id="906843340">
      <w:marLeft w:val="0"/>
      <w:marRight w:val="0"/>
      <w:marTop w:val="0"/>
      <w:marBottom w:val="0"/>
      <w:divBdr>
        <w:top w:val="none" w:sz="0" w:space="0" w:color="auto"/>
        <w:left w:val="none" w:sz="0" w:space="0" w:color="auto"/>
        <w:bottom w:val="none" w:sz="0" w:space="0" w:color="auto"/>
        <w:right w:val="none" w:sz="0" w:space="0" w:color="auto"/>
      </w:divBdr>
    </w:div>
    <w:div w:id="909581143">
      <w:marLeft w:val="0"/>
      <w:marRight w:val="0"/>
      <w:marTop w:val="0"/>
      <w:marBottom w:val="0"/>
      <w:divBdr>
        <w:top w:val="none" w:sz="0" w:space="0" w:color="auto"/>
        <w:left w:val="none" w:sz="0" w:space="0" w:color="auto"/>
        <w:bottom w:val="none" w:sz="0" w:space="0" w:color="auto"/>
        <w:right w:val="none" w:sz="0" w:space="0" w:color="auto"/>
      </w:divBdr>
    </w:div>
    <w:div w:id="912545315">
      <w:marLeft w:val="0"/>
      <w:marRight w:val="0"/>
      <w:marTop w:val="100"/>
      <w:marBottom w:val="240"/>
      <w:divBdr>
        <w:top w:val="none" w:sz="0" w:space="0" w:color="auto"/>
        <w:left w:val="none" w:sz="0" w:space="0" w:color="auto"/>
        <w:bottom w:val="none" w:sz="0" w:space="0" w:color="auto"/>
        <w:right w:val="none" w:sz="0" w:space="0" w:color="auto"/>
      </w:divBdr>
    </w:div>
    <w:div w:id="912811448">
      <w:marLeft w:val="0"/>
      <w:marRight w:val="0"/>
      <w:marTop w:val="0"/>
      <w:marBottom w:val="0"/>
      <w:divBdr>
        <w:top w:val="none" w:sz="0" w:space="0" w:color="auto"/>
        <w:left w:val="none" w:sz="0" w:space="0" w:color="auto"/>
        <w:bottom w:val="none" w:sz="0" w:space="0" w:color="auto"/>
        <w:right w:val="none" w:sz="0" w:space="0" w:color="auto"/>
      </w:divBdr>
      <w:divsChild>
        <w:div w:id="1640184404">
          <w:marLeft w:val="0"/>
          <w:marRight w:val="0"/>
          <w:marTop w:val="160"/>
          <w:marBottom w:val="160"/>
          <w:divBdr>
            <w:top w:val="none" w:sz="0" w:space="0" w:color="auto"/>
            <w:left w:val="none" w:sz="0" w:space="0" w:color="auto"/>
            <w:bottom w:val="none" w:sz="0" w:space="0" w:color="auto"/>
            <w:right w:val="none" w:sz="0" w:space="0" w:color="auto"/>
          </w:divBdr>
        </w:div>
      </w:divsChild>
    </w:div>
    <w:div w:id="912931160">
      <w:marLeft w:val="0"/>
      <w:marRight w:val="0"/>
      <w:marTop w:val="0"/>
      <w:marBottom w:val="240"/>
      <w:divBdr>
        <w:top w:val="none" w:sz="0" w:space="0" w:color="auto"/>
        <w:left w:val="none" w:sz="0" w:space="0" w:color="auto"/>
        <w:bottom w:val="none" w:sz="0" w:space="0" w:color="auto"/>
        <w:right w:val="none" w:sz="0" w:space="0" w:color="auto"/>
      </w:divBdr>
    </w:div>
    <w:div w:id="915820267">
      <w:marLeft w:val="0"/>
      <w:marRight w:val="0"/>
      <w:marTop w:val="0"/>
      <w:marBottom w:val="0"/>
      <w:divBdr>
        <w:top w:val="none" w:sz="0" w:space="0" w:color="auto"/>
        <w:left w:val="none" w:sz="0" w:space="0" w:color="auto"/>
        <w:bottom w:val="none" w:sz="0" w:space="0" w:color="auto"/>
        <w:right w:val="none" w:sz="0" w:space="0" w:color="auto"/>
      </w:divBdr>
      <w:divsChild>
        <w:div w:id="866025005">
          <w:marLeft w:val="0"/>
          <w:marRight w:val="0"/>
          <w:marTop w:val="0"/>
          <w:marBottom w:val="0"/>
          <w:divBdr>
            <w:top w:val="none" w:sz="0" w:space="0" w:color="auto"/>
            <w:left w:val="none" w:sz="0" w:space="0" w:color="auto"/>
            <w:bottom w:val="none" w:sz="0" w:space="0" w:color="auto"/>
            <w:right w:val="none" w:sz="0" w:space="0" w:color="auto"/>
          </w:divBdr>
        </w:div>
      </w:divsChild>
    </w:div>
    <w:div w:id="922029843">
      <w:marLeft w:val="0"/>
      <w:marRight w:val="0"/>
      <w:marTop w:val="80"/>
      <w:marBottom w:val="240"/>
      <w:divBdr>
        <w:top w:val="none" w:sz="0" w:space="0" w:color="auto"/>
        <w:left w:val="none" w:sz="0" w:space="0" w:color="auto"/>
        <w:bottom w:val="none" w:sz="0" w:space="0" w:color="auto"/>
        <w:right w:val="none" w:sz="0" w:space="0" w:color="auto"/>
      </w:divBdr>
    </w:div>
    <w:div w:id="922223455">
      <w:marLeft w:val="0"/>
      <w:marRight w:val="0"/>
      <w:marTop w:val="100"/>
      <w:marBottom w:val="0"/>
      <w:divBdr>
        <w:top w:val="none" w:sz="0" w:space="0" w:color="auto"/>
        <w:left w:val="none" w:sz="0" w:space="0" w:color="auto"/>
        <w:bottom w:val="none" w:sz="0" w:space="0" w:color="auto"/>
        <w:right w:val="none" w:sz="0" w:space="0" w:color="auto"/>
      </w:divBdr>
      <w:divsChild>
        <w:div w:id="2073457981">
          <w:marLeft w:val="0"/>
          <w:marRight w:val="0"/>
          <w:marTop w:val="0"/>
          <w:marBottom w:val="0"/>
          <w:divBdr>
            <w:top w:val="none" w:sz="0" w:space="0" w:color="auto"/>
            <w:left w:val="none" w:sz="0" w:space="0" w:color="auto"/>
            <w:bottom w:val="none" w:sz="0" w:space="0" w:color="auto"/>
            <w:right w:val="none" w:sz="0" w:space="0" w:color="auto"/>
          </w:divBdr>
        </w:div>
      </w:divsChild>
    </w:div>
    <w:div w:id="926159966">
      <w:marLeft w:val="0"/>
      <w:marRight w:val="0"/>
      <w:marTop w:val="100"/>
      <w:marBottom w:val="100"/>
      <w:divBdr>
        <w:top w:val="none" w:sz="0" w:space="0" w:color="auto"/>
        <w:left w:val="none" w:sz="0" w:space="0" w:color="auto"/>
        <w:bottom w:val="none" w:sz="0" w:space="0" w:color="auto"/>
        <w:right w:val="none" w:sz="0" w:space="0" w:color="auto"/>
      </w:divBdr>
    </w:div>
    <w:div w:id="929780243">
      <w:marLeft w:val="0"/>
      <w:marRight w:val="0"/>
      <w:marTop w:val="0"/>
      <w:marBottom w:val="240"/>
      <w:divBdr>
        <w:top w:val="none" w:sz="0" w:space="0" w:color="auto"/>
        <w:left w:val="none" w:sz="0" w:space="0" w:color="auto"/>
        <w:bottom w:val="none" w:sz="0" w:space="0" w:color="auto"/>
        <w:right w:val="none" w:sz="0" w:space="0" w:color="auto"/>
      </w:divBdr>
    </w:div>
    <w:div w:id="932858067">
      <w:marLeft w:val="0"/>
      <w:marRight w:val="0"/>
      <w:marTop w:val="160"/>
      <w:marBottom w:val="160"/>
      <w:divBdr>
        <w:top w:val="none" w:sz="0" w:space="0" w:color="auto"/>
        <w:left w:val="none" w:sz="0" w:space="0" w:color="auto"/>
        <w:bottom w:val="none" w:sz="0" w:space="0" w:color="auto"/>
        <w:right w:val="none" w:sz="0" w:space="0" w:color="auto"/>
      </w:divBdr>
    </w:div>
    <w:div w:id="936015287">
      <w:marLeft w:val="0"/>
      <w:marRight w:val="0"/>
      <w:marTop w:val="0"/>
      <w:marBottom w:val="240"/>
      <w:divBdr>
        <w:top w:val="none" w:sz="0" w:space="0" w:color="auto"/>
        <w:left w:val="none" w:sz="0" w:space="0" w:color="auto"/>
        <w:bottom w:val="none" w:sz="0" w:space="0" w:color="auto"/>
        <w:right w:val="none" w:sz="0" w:space="0" w:color="auto"/>
      </w:divBdr>
    </w:div>
    <w:div w:id="941183022">
      <w:marLeft w:val="0"/>
      <w:marRight w:val="0"/>
      <w:marTop w:val="0"/>
      <w:marBottom w:val="80"/>
      <w:divBdr>
        <w:top w:val="none" w:sz="0" w:space="0" w:color="auto"/>
        <w:left w:val="none" w:sz="0" w:space="0" w:color="auto"/>
        <w:bottom w:val="none" w:sz="0" w:space="0" w:color="auto"/>
        <w:right w:val="none" w:sz="0" w:space="0" w:color="auto"/>
      </w:divBdr>
    </w:div>
    <w:div w:id="942684604">
      <w:marLeft w:val="0"/>
      <w:marRight w:val="0"/>
      <w:marTop w:val="0"/>
      <w:marBottom w:val="240"/>
      <w:divBdr>
        <w:top w:val="none" w:sz="0" w:space="0" w:color="auto"/>
        <w:left w:val="none" w:sz="0" w:space="0" w:color="auto"/>
        <w:bottom w:val="none" w:sz="0" w:space="0" w:color="auto"/>
        <w:right w:val="none" w:sz="0" w:space="0" w:color="auto"/>
      </w:divBdr>
    </w:div>
    <w:div w:id="959190405">
      <w:marLeft w:val="0"/>
      <w:marRight w:val="0"/>
      <w:marTop w:val="0"/>
      <w:marBottom w:val="240"/>
      <w:divBdr>
        <w:top w:val="none" w:sz="0" w:space="0" w:color="auto"/>
        <w:left w:val="none" w:sz="0" w:space="0" w:color="auto"/>
        <w:bottom w:val="none" w:sz="0" w:space="0" w:color="auto"/>
        <w:right w:val="none" w:sz="0" w:space="0" w:color="auto"/>
      </w:divBdr>
    </w:div>
    <w:div w:id="969440801">
      <w:marLeft w:val="0"/>
      <w:marRight w:val="0"/>
      <w:marTop w:val="100"/>
      <w:marBottom w:val="100"/>
      <w:divBdr>
        <w:top w:val="none" w:sz="0" w:space="0" w:color="auto"/>
        <w:left w:val="none" w:sz="0" w:space="0" w:color="auto"/>
        <w:bottom w:val="none" w:sz="0" w:space="0" w:color="auto"/>
        <w:right w:val="none" w:sz="0" w:space="0" w:color="auto"/>
      </w:divBdr>
    </w:div>
    <w:div w:id="969827373">
      <w:marLeft w:val="0"/>
      <w:marRight w:val="0"/>
      <w:marTop w:val="0"/>
      <w:marBottom w:val="0"/>
      <w:divBdr>
        <w:top w:val="none" w:sz="0" w:space="0" w:color="auto"/>
        <w:left w:val="none" w:sz="0" w:space="0" w:color="auto"/>
        <w:bottom w:val="none" w:sz="0" w:space="0" w:color="auto"/>
        <w:right w:val="none" w:sz="0" w:space="0" w:color="auto"/>
      </w:divBdr>
      <w:divsChild>
        <w:div w:id="498348427">
          <w:marLeft w:val="0"/>
          <w:marRight w:val="0"/>
          <w:marTop w:val="0"/>
          <w:marBottom w:val="0"/>
          <w:divBdr>
            <w:top w:val="none" w:sz="0" w:space="0" w:color="auto"/>
            <w:left w:val="none" w:sz="0" w:space="0" w:color="auto"/>
            <w:bottom w:val="none" w:sz="0" w:space="0" w:color="auto"/>
            <w:right w:val="none" w:sz="0" w:space="0" w:color="auto"/>
          </w:divBdr>
        </w:div>
      </w:divsChild>
    </w:div>
    <w:div w:id="971057819">
      <w:marLeft w:val="0"/>
      <w:marRight w:val="0"/>
      <w:marTop w:val="0"/>
      <w:marBottom w:val="0"/>
      <w:divBdr>
        <w:top w:val="none" w:sz="0" w:space="0" w:color="auto"/>
        <w:left w:val="none" w:sz="0" w:space="0" w:color="auto"/>
        <w:bottom w:val="none" w:sz="0" w:space="0" w:color="auto"/>
        <w:right w:val="none" w:sz="0" w:space="0" w:color="auto"/>
      </w:divBdr>
      <w:divsChild>
        <w:div w:id="1435051467">
          <w:marLeft w:val="0"/>
          <w:marRight w:val="0"/>
          <w:marTop w:val="160"/>
          <w:marBottom w:val="0"/>
          <w:divBdr>
            <w:top w:val="none" w:sz="0" w:space="0" w:color="auto"/>
            <w:left w:val="none" w:sz="0" w:space="0" w:color="auto"/>
            <w:bottom w:val="none" w:sz="0" w:space="0" w:color="auto"/>
            <w:right w:val="none" w:sz="0" w:space="0" w:color="auto"/>
          </w:divBdr>
        </w:div>
        <w:div w:id="2113471396">
          <w:marLeft w:val="0"/>
          <w:marRight w:val="0"/>
          <w:marTop w:val="0"/>
          <w:marBottom w:val="120"/>
          <w:divBdr>
            <w:top w:val="none" w:sz="0" w:space="0" w:color="auto"/>
            <w:left w:val="none" w:sz="0" w:space="0" w:color="auto"/>
            <w:bottom w:val="none" w:sz="0" w:space="0" w:color="auto"/>
            <w:right w:val="none" w:sz="0" w:space="0" w:color="auto"/>
          </w:divBdr>
        </w:div>
      </w:divsChild>
    </w:div>
    <w:div w:id="975180040">
      <w:marLeft w:val="0"/>
      <w:marRight w:val="0"/>
      <w:marTop w:val="40"/>
      <w:marBottom w:val="240"/>
      <w:divBdr>
        <w:top w:val="none" w:sz="0" w:space="0" w:color="auto"/>
        <w:left w:val="none" w:sz="0" w:space="0" w:color="auto"/>
        <w:bottom w:val="none" w:sz="0" w:space="0" w:color="auto"/>
        <w:right w:val="none" w:sz="0" w:space="0" w:color="auto"/>
      </w:divBdr>
    </w:div>
    <w:div w:id="975572522">
      <w:marLeft w:val="0"/>
      <w:marRight w:val="0"/>
      <w:marTop w:val="60"/>
      <w:marBottom w:val="160"/>
      <w:divBdr>
        <w:top w:val="none" w:sz="0" w:space="0" w:color="auto"/>
        <w:left w:val="none" w:sz="0" w:space="0" w:color="auto"/>
        <w:bottom w:val="none" w:sz="0" w:space="0" w:color="auto"/>
        <w:right w:val="none" w:sz="0" w:space="0" w:color="auto"/>
      </w:divBdr>
    </w:div>
    <w:div w:id="978654543">
      <w:marLeft w:val="0"/>
      <w:marRight w:val="0"/>
      <w:marTop w:val="0"/>
      <w:marBottom w:val="0"/>
      <w:divBdr>
        <w:top w:val="none" w:sz="0" w:space="0" w:color="auto"/>
        <w:left w:val="none" w:sz="0" w:space="0" w:color="auto"/>
        <w:bottom w:val="none" w:sz="0" w:space="0" w:color="auto"/>
        <w:right w:val="none" w:sz="0" w:space="0" w:color="auto"/>
      </w:divBdr>
      <w:divsChild>
        <w:div w:id="290207502">
          <w:marLeft w:val="0"/>
          <w:marRight w:val="0"/>
          <w:marTop w:val="0"/>
          <w:marBottom w:val="0"/>
          <w:divBdr>
            <w:top w:val="none" w:sz="0" w:space="0" w:color="auto"/>
            <w:left w:val="none" w:sz="0" w:space="0" w:color="auto"/>
            <w:bottom w:val="none" w:sz="0" w:space="0" w:color="auto"/>
            <w:right w:val="none" w:sz="0" w:space="0" w:color="auto"/>
          </w:divBdr>
        </w:div>
      </w:divsChild>
    </w:div>
    <w:div w:id="979503468">
      <w:marLeft w:val="0"/>
      <w:marRight w:val="0"/>
      <w:marTop w:val="0"/>
      <w:marBottom w:val="240"/>
      <w:divBdr>
        <w:top w:val="none" w:sz="0" w:space="0" w:color="auto"/>
        <w:left w:val="none" w:sz="0" w:space="0" w:color="auto"/>
        <w:bottom w:val="none" w:sz="0" w:space="0" w:color="auto"/>
        <w:right w:val="none" w:sz="0" w:space="0" w:color="auto"/>
      </w:divBdr>
    </w:div>
    <w:div w:id="980501744">
      <w:marLeft w:val="0"/>
      <w:marRight w:val="0"/>
      <w:marTop w:val="0"/>
      <w:marBottom w:val="240"/>
      <w:divBdr>
        <w:top w:val="none" w:sz="0" w:space="0" w:color="auto"/>
        <w:left w:val="none" w:sz="0" w:space="0" w:color="auto"/>
        <w:bottom w:val="none" w:sz="0" w:space="0" w:color="auto"/>
        <w:right w:val="none" w:sz="0" w:space="0" w:color="auto"/>
      </w:divBdr>
    </w:div>
    <w:div w:id="980812012">
      <w:marLeft w:val="0"/>
      <w:marRight w:val="0"/>
      <w:marTop w:val="0"/>
      <w:marBottom w:val="240"/>
      <w:divBdr>
        <w:top w:val="none" w:sz="0" w:space="0" w:color="auto"/>
        <w:left w:val="none" w:sz="0" w:space="0" w:color="auto"/>
        <w:bottom w:val="none" w:sz="0" w:space="0" w:color="auto"/>
        <w:right w:val="none" w:sz="0" w:space="0" w:color="auto"/>
      </w:divBdr>
    </w:div>
    <w:div w:id="982080688">
      <w:marLeft w:val="0"/>
      <w:marRight w:val="0"/>
      <w:marTop w:val="0"/>
      <w:marBottom w:val="160"/>
      <w:divBdr>
        <w:top w:val="none" w:sz="0" w:space="0" w:color="auto"/>
        <w:left w:val="none" w:sz="0" w:space="0" w:color="auto"/>
        <w:bottom w:val="none" w:sz="0" w:space="0" w:color="auto"/>
        <w:right w:val="none" w:sz="0" w:space="0" w:color="auto"/>
      </w:divBdr>
    </w:div>
    <w:div w:id="983193015">
      <w:marLeft w:val="0"/>
      <w:marRight w:val="0"/>
      <w:marTop w:val="0"/>
      <w:marBottom w:val="0"/>
      <w:divBdr>
        <w:top w:val="none" w:sz="0" w:space="0" w:color="auto"/>
        <w:left w:val="none" w:sz="0" w:space="0" w:color="auto"/>
        <w:bottom w:val="none" w:sz="0" w:space="0" w:color="auto"/>
        <w:right w:val="none" w:sz="0" w:space="0" w:color="auto"/>
      </w:divBdr>
      <w:divsChild>
        <w:div w:id="1454985043">
          <w:marLeft w:val="0"/>
          <w:marRight w:val="0"/>
          <w:marTop w:val="160"/>
          <w:marBottom w:val="160"/>
          <w:divBdr>
            <w:top w:val="none" w:sz="0" w:space="0" w:color="auto"/>
            <w:left w:val="none" w:sz="0" w:space="0" w:color="auto"/>
            <w:bottom w:val="none" w:sz="0" w:space="0" w:color="auto"/>
            <w:right w:val="none" w:sz="0" w:space="0" w:color="auto"/>
          </w:divBdr>
        </w:div>
      </w:divsChild>
    </w:div>
    <w:div w:id="984355214">
      <w:marLeft w:val="0"/>
      <w:marRight w:val="0"/>
      <w:marTop w:val="100"/>
      <w:marBottom w:val="100"/>
      <w:divBdr>
        <w:top w:val="none" w:sz="0" w:space="0" w:color="auto"/>
        <w:left w:val="none" w:sz="0" w:space="0" w:color="auto"/>
        <w:bottom w:val="none" w:sz="0" w:space="0" w:color="auto"/>
        <w:right w:val="none" w:sz="0" w:space="0" w:color="auto"/>
      </w:divBdr>
    </w:div>
    <w:div w:id="985743332">
      <w:marLeft w:val="0"/>
      <w:marRight w:val="0"/>
      <w:marTop w:val="180"/>
      <w:marBottom w:val="160"/>
      <w:divBdr>
        <w:top w:val="none" w:sz="0" w:space="0" w:color="auto"/>
        <w:left w:val="none" w:sz="0" w:space="0" w:color="auto"/>
        <w:bottom w:val="none" w:sz="0" w:space="0" w:color="auto"/>
        <w:right w:val="none" w:sz="0" w:space="0" w:color="auto"/>
      </w:divBdr>
    </w:div>
    <w:div w:id="986514491">
      <w:marLeft w:val="0"/>
      <w:marRight w:val="0"/>
      <w:marTop w:val="160"/>
      <w:marBottom w:val="160"/>
      <w:divBdr>
        <w:top w:val="none" w:sz="0" w:space="0" w:color="auto"/>
        <w:left w:val="none" w:sz="0" w:space="0" w:color="auto"/>
        <w:bottom w:val="none" w:sz="0" w:space="0" w:color="auto"/>
        <w:right w:val="none" w:sz="0" w:space="0" w:color="auto"/>
      </w:divBdr>
    </w:div>
    <w:div w:id="989603415">
      <w:marLeft w:val="0"/>
      <w:marRight w:val="0"/>
      <w:marTop w:val="160"/>
      <w:marBottom w:val="160"/>
      <w:divBdr>
        <w:top w:val="none" w:sz="0" w:space="0" w:color="auto"/>
        <w:left w:val="none" w:sz="0" w:space="0" w:color="auto"/>
        <w:bottom w:val="none" w:sz="0" w:space="0" w:color="auto"/>
        <w:right w:val="none" w:sz="0" w:space="0" w:color="auto"/>
      </w:divBdr>
    </w:div>
    <w:div w:id="990593698">
      <w:marLeft w:val="0"/>
      <w:marRight w:val="0"/>
      <w:marTop w:val="0"/>
      <w:marBottom w:val="0"/>
      <w:divBdr>
        <w:top w:val="none" w:sz="0" w:space="0" w:color="auto"/>
        <w:left w:val="none" w:sz="0" w:space="0" w:color="auto"/>
        <w:bottom w:val="none" w:sz="0" w:space="0" w:color="auto"/>
        <w:right w:val="none" w:sz="0" w:space="0" w:color="auto"/>
      </w:divBdr>
      <w:divsChild>
        <w:div w:id="1184588298">
          <w:marLeft w:val="0"/>
          <w:marRight w:val="0"/>
          <w:marTop w:val="160"/>
          <w:marBottom w:val="160"/>
          <w:divBdr>
            <w:top w:val="none" w:sz="0" w:space="0" w:color="auto"/>
            <w:left w:val="none" w:sz="0" w:space="0" w:color="auto"/>
            <w:bottom w:val="none" w:sz="0" w:space="0" w:color="auto"/>
            <w:right w:val="none" w:sz="0" w:space="0" w:color="auto"/>
          </w:divBdr>
        </w:div>
      </w:divsChild>
    </w:div>
    <w:div w:id="993491533">
      <w:marLeft w:val="0"/>
      <w:marRight w:val="0"/>
      <w:marTop w:val="180"/>
      <w:marBottom w:val="300"/>
      <w:divBdr>
        <w:top w:val="none" w:sz="0" w:space="0" w:color="auto"/>
        <w:left w:val="none" w:sz="0" w:space="0" w:color="auto"/>
        <w:bottom w:val="none" w:sz="0" w:space="0" w:color="auto"/>
        <w:right w:val="none" w:sz="0" w:space="0" w:color="auto"/>
      </w:divBdr>
    </w:div>
    <w:div w:id="997224921">
      <w:marLeft w:val="0"/>
      <w:marRight w:val="0"/>
      <w:marTop w:val="0"/>
      <w:marBottom w:val="0"/>
      <w:divBdr>
        <w:top w:val="none" w:sz="0" w:space="0" w:color="auto"/>
        <w:left w:val="none" w:sz="0" w:space="0" w:color="auto"/>
        <w:bottom w:val="none" w:sz="0" w:space="0" w:color="auto"/>
        <w:right w:val="none" w:sz="0" w:space="0" w:color="auto"/>
      </w:divBdr>
      <w:divsChild>
        <w:div w:id="721177343">
          <w:marLeft w:val="0"/>
          <w:marRight w:val="0"/>
          <w:marTop w:val="160"/>
          <w:marBottom w:val="160"/>
          <w:divBdr>
            <w:top w:val="none" w:sz="0" w:space="0" w:color="auto"/>
            <w:left w:val="none" w:sz="0" w:space="0" w:color="auto"/>
            <w:bottom w:val="none" w:sz="0" w:space="0" w:color="auto"/>
            <w:right w:val="none" w:sz="0" w:space="0" w:color="auto"/>
          </w:divBdr>
        </w:div>
      </w:divsChild>
    </w:div>
    <w:div w:id="999652053">
      <w:marLeft w:val="0"/>
      <w:marRight w:val="0"/>
      <w:marTop w:val="0"/>
      <w:marBottom w:val="0"/>
      <w:divBdr>
        <w:top w:val="none" w:sz="0" w:space="0" w:color="auto"/>
        <w:left w:val="none" w:sz="0" w:space="0" w:color="auto"/>
        <w:bottom w:val="none" w:sz="0" w:space="0" w:color="auto"/>
        <w:right w:val="none" w:sz="0" w:space="0" w:color="auto"/>
      </w:divBdr>
      <w:divsChild>
        <w:div w:id="1318924870">
          <w:marLeft w:val="0"/>
          <w:marRight w:val="0"/>
          <w:marTop w:val="0"/>
          <w:marBottom w:val="0"/>
          <w:divBdr>
            <w:top w:val="none" w:sz="0" w:space="0" w:color="auto"/>
            <w:left w:val="none" w:sz="0" w:space="0" w:color="auto"/>
            <w:bottom w:val="none" w:sz="0" w:space="0" w:color="auto"/>
            <w:right w:val="none" w:sz="0" w:space="0" w:color="auto"/>
          </w:divBdr>
        </w:div>
      </w:divsChild>
    </w:div>
    <w:div w:id="1001784215">
      <w:marLeft w:val="0"/>
      <w:marRight w:val="0"/>
      <w:marTop w:val="0"/>
      <w:marBottom w:val="240"/>
      <w:divBdr>
        <w:top w:val="none" w:sz="0" w:space="0" w:color="auto"/>
        <w:left w:val="none" w:sz="0" w:space="0" w:color="auto"/>
        <w:bottom w:val="none" w:sz="0" w:space="0" w:color="auto"/>
        <w:right w:val="none" w:sz="0" w:space="0" w:color="auto"/>
      </w:divBdr>
    </w:div>
    <w:div w:id="1002274032">
      <w:marLeft w:val="0"/>
      <w:marRight w:val="0"/>
      <w:marTop w:val="60"/>
      <w:marBottom w:val="240"/>
      <w:divBdr>
        <w:top w:val="none" w:sz="0" w:space="0" w:color="auto"/>
        <w:left w:val="none" w:sz="0" w:space="0" w:color="auto"/>
        <w:bottom w:val="none" w:sz="0" w:space="0" w:color="auto"/>
        <w:right w:val="none" w:sz="0" w:space="0" w:color="auto"/>
      </w:divBdr>
    </w:div>
    <w:div w:id="1005792128">
      <w:marLeft w:val="0"/>
      <w:marRight w:val="0"/>
      <w:marTop w:val="0"/>
      <w:marBottom w:val="240"/>
      <w:divBdr>
        <w:top w:val="none" w:sz="0" w:space="0" w:color="auto"/>
        <w:left w:val="none" w:sz="0" w:space="0" w:color="auto"/>
        <w:bottom w:val="none" w:sz="0" w:space="0" w:color="auto"/>
        <w:right w:val="none" w:sz="0" w:space="0" w:color="auto"/>
      </w:divBdr>
    </w:div>
    <w:div w:id="1006370962">
      <w:marLeft w:val="0"/>
      <w:marRight w:val="0"/>
      <w:marTop w:val="100"/>
      <w:marBottom w:val="0"/>
      <w:divBdr>
        <w:top w:val="none" w:sz="0" w:space="0" w:color="auto"/>
        <w:left w:val="none" w:sz="0" w:space="0" w:color="auto"/>
        <w:bottom w:val="none" w:sz="0" w:space="0" w:color="auto"/>
        <w:right w:val="none" w:sz="0" w:space="0" w:color="auto"/>
      </w:divBdr>
      <w:divsChild>
        <w:div w:id="1691836693">
          <w:marLeft w:val="0"/>
          <w:marRight w:val="0"/>
          <w:marTop w:val="0"/>
          <w:marBottom w:val="0"/>
          <w:divBdr>
            <w:top w:val="none" w:sz="0" w:space="0" w:color="auto"/>
            <w:left w:val="none" w:sz="0" w:space="0" w:color="auto"/>
            <w:bottom w:val="none" w:sz="0" w:space="0" w:color="auto"/>
            <w:right w:val="none" w:sz="0" w:space="0" w:color="auto"/>
          </w:divBdr>
        </w:div>
        <w:div w:id="106316268">
          <w:marLeft w:val="0"/>
          <w:marRight w:val="0"/>
          <w:marTop w:val="0"/>
          <w:marBottom w:val="0"/>
          <w:divBdr>
            <w:top w:val="none" w:sz="0" w:space="0" w:color="auto"/>
            <w:left w:val="none" w:sz="0" w:space="0" w:color="auto"/>
            <w:bottom w:val="none" w:sz="0" w:space="0" w:color="auto"/>
            <w:right w:val="none" w:sz="0" w:space="0" w:color="auto"/>
          </w:divBdr>
        </w:div>
        <w:div w:id="419640979">
          <w:marLeft w:val="0"/>
          <w:marRight w:val="0"/>
          <w:marTop w:val="0"/>
          <w:marBottom w:val="0"/>
          <w:divBdr>
            <w:top w:val="none" w:sz="0" w:space="0" w:color="auto"/>
            <w:left w:val="none" w:sz="0" w:space="0" w:color="auto"/>
            <w:bottom w:val="none" w:sz="0" w:space="0" w:color="auto"/>
            <w:right w:val="none" w:sz="0" w:space="0" w:color="auto"/>
          </w:divBdr>
        </w:div>
        <w:div w:id="1124040045">
          <w:marLeft w:val="0"/>
          <w:marRight w:val="0"/>
          <w:marTop w:val="0"/>
          <w:marBottom w:val="0"/>
          <w:divBdr>
            <w:top w:val="none" w:sz="0" w:space="0" w:color="auto"/>
            <w:left w:val="none" w:sz="0" w:space="0" w:color="auto"/>
            <w:bottom w:val="none" w:sz="0" w:space="0" w:color="auto"/>
            <w:right w:val="none" w:sz="0" w:space="0" w:color="auto"/>
          </w:divBdr>
        </w:div>
        <w:div w:id="1827160723">
          <w:marLeft w:val="0"/>
          <w:marRight w:val="0"/>
          <w:marTop w:val="0"/>
          <w:marBottom w:val="0"/>
          <w:divBdr>
            <w:top w:val="none" w:sz="0" w:space="0" w:color="auto"/>
            <w:left w:val="none" w:sz="0" w:space="0" w:color="auto"/>
            <w:bottom w:val="none" w:sz="0" w:space="0" w:color="auto"/>
            <w:right w:val="none" w:sz="0" w:space="0" w:color="auto"/>
          </w:divBdr>
        </w:div>
        <w:div w:id="600069408">
          <w:marLeft w:val="0"/>
          <w:marRight w:val="0"/>
          <w:marTop w:val="0"/>
          <w:marBottom w:val="0"/>
          <w:divBdr>
            <w:top w:val="none" w:sz="0" w:space="0" w:color="auto"/>
            <w:left w:val="none" w:sz="0" w:space="0" w:color="auto"/>
            <w:bottom w:val="none" w:sz="0" w:space="0" w:color="auto"/>
            <w:right w:val="none" w:sz="0" w:space="0" w:color="auto"/>
          </w:divBdr>
        </w:div>
        <w:div w:id="1482888687">
          <w:marLeft w:val="0"/>
          <w:marRight w:val="0"/>
          <w:marTop w:val="0"/>
          <w:marBottom w:val="0"/>
          <w:divBdr>
            <w:top w:val="none" w:sz="0" w:space="0" w:color="auto"/>
            <w:left w:val="none" w:sz="0" w:space="0" w:color="auto"/>
            <w:bottom w:val="none" w:sz="0" w:space="0" w:color="auto"/>
            <w:right w:val="none" w:sz="0" w:space="0" w:color="auto"/>
          </w:divBdr>
        </w:div>
        <w:div w:id="237903304">
          <w:marLeft w:val="0"/>
          <w:marRight w:val="0"/>
          <w:marTop w:val="0"/>
          <w:marBottom w:val="0"/>
          <w:divBdr>
            <w:top w:val="none" w:sz="0" w:space="0" w:color="auto"/>
            <w:left w:val="none" w:sz="0" w:space="0" w:color="auto"/>
            <w:bottom w:val="none" w:sz="0" w:space="0" w:color="auto"/>
            <w:right w:val="none" w:sz="0" w:space="0" w:color="auto"/>
          </w:divBdr>
        </w:div>
        <w:div w:id="333411192">
          <w:marLeft w:val="0"/>
          <w:marRight w:val="0"/>
          <w:marTop w:val="0"/>
          <w:marBottom w:val="0"/>
          <w:divBdr>
            <w:top w:val="none" w:sz="0" w:space="0" w:color="auto"/>
            <w:left w:val="none" w:sz="0" w:space="0" w:color="auto"/>
            <w:bottom w:val="none" w:sz="0" w:space="0" w:color="auto"/>
            <w:right w:val="none" w:sz="0" w:space="0" w:color="auto"/>
          </w:divBdr>
        </w:div>
        <w:div w:id="1748720694">
          <w:marLeft w:val="0"/>
          <w:marRight w:val="0"/>
          <w:marTop w:val="0"/>
          <w:marBottom w:val="0"/>
          <w:divBdr>
            <w:top w:val="none" w:sz="0" w:space="0" w:color="auto"/>
            <w:left w:val="none" w:sz="0" w:space="0" w:color="auto"/>
            <w:bottom w:val="none" w:sz="0" w:space="0" w:color="auto"/>
            <w:right w:val="none" w:sz="0" w:space="0" w:color="auto"/>
          </w:divBdr>
        </w:div>
        <w:div w:id="610018093">
          <w:marLeft w:val="0"/>
          <w:marRight w:val="0"/>
          <w:marTop w:val="0"/>
          <w:marBottom w:val="0"/>
          <w:divBdr>
            <w:top w:val="none" w:sz="0" w:space="0" w:color="auto"/>
            <w:left w:val="none" w:sz="0" w:space="0" w:color="auto"/>
            <w:bottom w:val="none" w:sz="0" w:space="0" w:color="auto"/>
            <w:right w:val="none" w:sz="0" w:space="0" w:color="auto"/>
          </w:divBdr>
        </w:div>
        <w:div w:id="2127461439">
          <w:marLeft w:val="0"/>
          <w:marRight w:val="0"/>
          <w:marTop w:val="0"/>
          <w:marBottom w:val="0"/>
          <w:divBdr>
            <w:top w:val="none" w:sz="0" w:space="0" w:color="auto"/>
            <w:left w:val="none" w:sz="0" w:space="0" w:color="auto"/>
            <w:bottom w:val="none" w:sz="0" w:space="0" w:color="auto"/>
            <w:right w:val="none" w:sz="0" w:space="0" w:color="auto"/>
          </w:divBdr>
        </w:div>
        <w:div w:id="501433829">
          <w:marLeft w:val="0"/>
          <w:marRight w:val="0"/>
          <w:marTop w:val="0"/>
          <w:marBottom w:val="0"/>
          <w:divBdr>
            <w:top w:val="none" w:sz="0" w:space="0" w:color="auto"/>
            <w:left w:val="none" w:sz="0" w:space="0" w:color="auto"/>
            <w:bottom w:val="none" w:sz="0" w:space="0" w:color="auto"/>
            <w:right w:val="none" w:sz="0" w:space="0" w:color="auto"/>
          </w:divBdr>
        </w:div>
        <w:div w:id="1844052509">
          <w:marLeft w:val="0"/>
          <w:marRight w:val="0"/>
          <w:marTop w:val="0"/>
          <w:marBottom w:val="0"/>
          <w:divBdr>
            <w:top w:val="none" w:sz="0" w:space="0" w:color="auto"/>
            <w:left w:val="none" w:sz="0" w:space="0" w:color="auto"/>
            <w:bottom w:val="none" w:sz="0" w:space="0" w:color="auto"/>
            <w:right w:val="none" w:sz="0" w:space="0" w:color="auto"/>
          </w:divBdr>
        </w:div>
      </w:divsChild>
    </w:div>
    <w:div w:id="1008675630">
      <w:marLeft w:val="0"/>
      <w:marRight w:val="0"/>
      <w:marTop w:val="60"/>
      <w:marBottom w:val="0"/>
      <w:divBdr>
        <w:top w:val="none" w:sz="0" w:space="0" w:color="auto"/>
        <w:left w:val="none" w:sz="0" w:space="0" w:color="auto"/>
        <w:bottom w:val="none" w:sz="0" w:space="0" w:color="auto"/>
        <w:right w:val="none" w:sz="0" w:space="0" w:color="auto"/>
      </w:divBdr>
    </w:div>
    <w:div w:id="1008871361">
      <w:marLeft w:val="0"/>
      <w:marRight w:val="0"/>
      <w:marTop w:val="0"/>
      <w:marBottom w:val="240"/>
      <w:divBdr>
        <w:top w:val="none" w:sz="0" w:space="0" w:color="auto"/>
        <w:left w:val="none" w:sz="0" w:space="0" w:color="auto"/>
        <w:bottom w:val="none" w:sz="0" w:space="0" w:color="auto"/>
        <w:right w:val="none" w:sz="0" w:space="0" w:color="auto"/>
      </w:divBdr>
    </w:div>
    <w:div w:id="1011026960">
      <w:marLeft w:val="0"/>
      <w:marRight w:val="0"/>
      <w:marTop w:val="100"/>
      <w:marBottom w:val="100"/>
      <w:divBdr>
        <w:top w:val="none" w:sz="0" w:space="0" w:color="auto"/>
        <w:left w:val="none" w:sz="0" w:space="0" w:color="auto"/>
        <w:bottom w:val="none" w:sz="0" w:space="0" w:color="auto"/>
        <w:right w:val="none" w:sz="0" w:space="0" w:color="auto"/>
      </w:divBdr>
      <w:divsChild>
        <w:div w:id="1697265488">
          <w:marLeft w:val="0"/>
          <w:marRight w:val="0"/>
          <w:marTop w:val="0"/>
          <w:marBottom w:val="0"/>
          <w:divBdr>
            <w:top w:val="none" w:sz="0" w:space="0" w:color="auto"/>
            <w:left w:val="none" w:sz="0" w:space="0" w:color="auto"/>
            <w:bottom w:val="none" w:sz="0" w:space="0" w:color="auto"/>
            <w:right w:val="none" w:sz="0" w:space="0" w:color="auto"/>
          </w:divBdr>
        </w:div>
        <w:div w:id="412169610">
          <w:marLeft w:val="0"/>
          <w:marRight w:val="0"/>
          <w:marTop w:val="0"/>
          <w:marBottom w:val="0"/>
          <w:divBdr>
            <w:top w:val="none" w:sz="0" w:space="0" w:color="auto"/>
            <w:left w:val="none" w:sz="0" w:space="0" w:color="auto"/>
            <w:bottom w:val="none" w:sz="0" w:space="0" w:color="auto"/>
            <w:right w:val="none" w:sz="0" w:space="0" w:color="auto"/>
          </w:divBdr>
        </w:div>
        <w:div w:id="2129886258">
          <w:marLeft w:val="0"/>
          <w:marRight w:val="0"/>
          <w:marTop w:val="0"/>
          <w:marBottom w:val="0"/>
          <w:divBdr>
            <w:top w:val="none" w:sz="0" w:space="0" w:color="auto"/>
            <w:left w:val="none" w:sz="0" w:space="0" w:color="auto"/>
            <w:bottom w:val="none" w:sz="0" w:space="0" w:color="auto"/>
            <w:right w:val="none" w:sz="0" w:space="0" w:color="auto"/>
          </w:divBdr>
        </w:div>
        <w:div w:id="947273842">
          <w:marLeft w:val="0"/>
          <w:marRight w:val="0"/>
          <w:marTop w:val="0"/>
          <w:marBottom w:val="0"/>
          <w:divBdr>
            <w:top w:val="none" w:sz="0" w:space="0" w:color="auto"/>
            <w:left w:val="none" w:sz="0" w:space="0" w:color="auto"/>
            <w:bottom w:val="none" w:sz="0" w:space="0" w:color="auto"/>
            <w:right w:val="none" w:sz="0" w:space="0" w:color="auto"/>
          </w:divBdr>
        </w:div>
        <w:div w:id="1893730845">
          <w:marLeft w:val="0"/>
          <w:marRight w:val="0"/>
          <w:marTop w:val="0"/>
          <w:marBottom w:val="0"/>
          <w:divBdr>
            <w:top w:val="none" w:sz="0" w:space="0" w:color="auto"/>
            <w:left w:val="none" w:sz="0" w:space="0" w:color="auto"/>
            <w:bottom w:val="none" w:sz="0" w:space="0" w:color="auto"/>
            <w:right w:val="none" w:sz="0" w:space="0" w:color="auto"/>
          </w:divBdr>
        </w:div>
      </w:divsChild>
    </w:div>
    <w:div w:id="1012536410">
      <w:marLeft w:val="0"/>
      <w:marRight w:val="0"/>
      <w:marTop w:val="60"/>
      <w:marBottom w:val="60"/>
      <w:divBdr>
        <w:top w:val="none" w:sz="0" w:space="0" w:color="auto"/>
        <w:left w:val="none" w:sz="0" w:space="0" w:color="auto"/>
        <w:bottom w:val="none" w:sz="0" w:space="0" w:color="auto"/>
        <w:right w:val="none" w:sz="0" w:space="0" w:color="auto"/>
      </w:divBdr>
    </w:div>
    <w:div w:id="1013414543">
      <w:marLeft w:val="0"/>
      <w:marRight w:val="0"/>
      <w:marTop w:val="0"/>
      <w:marBottom w:val="240"/>
      <w:divBdr>
        <w:top w:val="none" w:sz="0" w:space="0" w:color="auto"/>
        <w:left w:val="none" w:sz="0" w:space="0" w:color="auto"/>
        <w:bottom w:val="none" w:sz="0" w:space="0" w:color="auto"/>
        <w:right w:val="none" w:sz="0" w:space="0" w:color="auto"/>
      </w:divBdr>
    </w:div>
    <w:div w:id="1017390729">
      <w:marLeft w:val="0"/>
      <w:marRight w:val="0"/>
      <w:marTop w:val="0"/>
      <w:marBottom w:val="0"/>
      <w:divBdr>
        <w:top w:val="none" w:sz="0" w:space="0" w:color="auto"/>
        <w:left w:val="none" w:sz="0" w:space="0" w:color="auto"/>
        <w:bottom w:val="none" w:sz="0" w:space="0" w:color="auto"/>
        <w:right w:val="none" w:sz="0" w:space="0" w:color="auto"/>
      </w:divBdr>
    </w:div>
    <w:div w:id="1018308908">
      <w:marLeft w:val="0"/>
      <w:marRight w:val="0"/>
      <w:marTop w:val="0"/>
      <w:marBottom w:val="0"/>
      <w:divBdr>
        <w:top w:val="none" w:sz="0" w:space="0" w:color="auto"/>
        <w:left w:val="none" w:sz="0" w:space="0" w:color="auto"/>
        <w:bottom w:val="none" w:sz="0" w:space="0" w:color="auto"/>
        <w:right w:val="none" w:sz="0" w:space="0" w:color="auto"/>
      </w:divBdr>
      <w:divsChild>
        <w:div w:id="2028867356">
          <w:marLeft w:val="0"/>
          <w:marRight w:val="0"/>
          <w:marTop w:val="0"/>
          <w:marBottom w:val="0"/>
          <w:divBdr>
            <w:top w:val="none" w:sz="0" w:space="0" w:color="auto"/>
            <w:left w:val="none" w:sz="0" w:space="0" w:color="auto"/>
            <w:bottom w:val="none" w:sz="0" w:space="0" w:color="auto"/>
            <w:right w:val="none" w:sz="0" w:space="0" w:color="auto"/>
          </w:divBdr>
        </w:div>
      </w:divsChild>
    </w:div>
    <w:div w:id="1018626758">
      <w:marLeft w:val="0"/>
      <w:marRight w:val="0"/>
      <w:marTop w:val="0"/>
      <w:marBottom w:val="240"/>
      <w:divBdr>
        <w:top w:val="none" w:sz="0" w:space="0" w:color="auto"/>
        <w:left w:val="none" w:sz="0" w:space="0" w:color="auto"/>
        <w:bottom w:val="none" w:sz="0" w:space="0" w:color="auto"/>
        <w:right w:val="none" w:sz="0" w:space="0" w:color="auto"/>
      </w:divBdr>
    </w:div>
    <w:div w:id="1019503258">
      <w:marLeft w:val="0"/>
      <w:marRight w:val="0"/>
      <w:marTop w:val="0"/>
      <w:marBottom w:val="0"/>
      <w:divBdr>
        <w:top w:val="none" w:sz="0" w:space="0" w:color="auto"/>
        <w:left w:val="none" w:sz="0" w:space="0" w:color="auto"/>
        <w:bottom w:val="none" w:sz="0" w:space="0" w:color="auto"/>
        <w:right w:val="none" w:sz="0" w:space="0" w:color="auto"/>
      </w:divBdr>
      <w:divsChild>
        <w:div w:id="857936805">
          <w:marLeft w:val="0"/>
          <w:marRight w:val="0"/>
          <w:marTop w:val="0"/>
          <w:marBottom w:val="0"/>
          <w:divBdr>
            <w:top w:val="none" w:sz="0" w:space="0" w:color="auto"/>
            <w:left w:val="none" w:sz="0" w:space="0" w:color="auto"/>
            <w:bottom w:val="none" w:sz="0" w:space="0" w:color="auto"/>
            <w:right w:val="none" w:sz="0" w:space="0" w:color="auto"/>
          </w:divBdr>
        </w:div>
      </w:divsChild>
    </w:div>
    <w:div w:id="1024478206">
      <w:marLeft w:val="0"/>
      <w:marRight w:val="0"/>
      <w:marTop w:val="100"/>
      <w:marBottom w:val="100"/>
      <w:divBdr>
        <w:top w:val="none" w:sz="0" w:space="0" w:color="auto"/>
        <w:left w:val="none" w:sz="0" w:space="0" w:color="auto"/>
        <w:bottom w:val="none" w:sz="0" w:space="0" w:color="auto"/>
        <w:right w:val="none" w:sz="0" w:space="0" w:color="auto"/>
      </w:divBdr>
    </w:div>
    <w:div w:id="1025406892">
      <w:marLeft w:val="0"/>
      <w:marRight w:val="0"/>
      <w:marTop w:val="160"/>
      <w:marBottom w:val="160"/>
      <w:divBdr>
        <w:top w:val="none" w:sz="0" w:space="0" w:color="auto"/>
        <w:left w:val="none" w:sz="0" w:space="0" w:color="auto"/>
        <w:bottom w:val="none" w:sz="0" w:space="0" w:color="auto"/>
        <w:right w:val="none" w:sz="0" w:space="0" w:color="auto"/>
      </w:divBdr>
    </w:div>
    <w:div w:id="1025642950">
      <w:marLeft w:val="0"/>
      <w:marRight w:val="0"/>
      <w:marTop w:val="100"/>
      <w:marBottom w:val="120"/>
      <w:divBdr>
        <w:top w:val="none" w:sz="0" w:space="0" w:color="auto"/>
        <w:left w:val="none" w:sz="0" w:space="0" w:color="auto"/>
        <w:bottom w:val="none" w:sz="0" w:space="0" w:color="auto"/>
        <w:right w:val="none" w:sz="0" w:space="0" w:color="auto"/>
      </w:divBdr>
    </w:div>
    <w:div w:id="1027366281">
      <w:marLeft w:val="0"/>
      <w:marRight w:val="0"/>
      <w:marTop w:val="100"/>
      <w:marBottom w:val="100"/>
      <w:divBdr>
        <w:top w:val="none" w:sz="0" w:space="0" w:color="auto"/>
        <w:left w:val="none" w:sz="0" w:space="0" w:color="auto"/>
        <w:bottom w:val="none" w:sz="0" w:space="0" w:color="auto"/>
        <w:right w:val="none" w:sz="0" w:space="0" w:color="auto"/>
      </w:divBdr>
    </w:div>
    <w:div w:id="1030229999">
      <w:marLeft w:val="0"/>
      <w:marRight w:val="0"/>
      <w:marTop w:val="100"/>
      <w:marBottom w:val="100"/>
      <w:divBdr>
        <w:top w:val="none" w:sz="0" w:space="0" w:color="auto"/>
        <w:left w:val="none" w:sz="0" w:space="0" w:color="auto"/>
        <w:bottom w:val="none" w:sz="0" w:space="0" w:color="auto"/>
        <w:right w:val="none" w:sz="0" w:space="0" w:color="auto"/>
      </w:divBdr>
    </w:div>
    <w:div w:id="1030760332">
      <w:marLeft w:val="0"/>
      <w:marRight w:val="0"/>
      <w:marTop w:val="0"/>
      <w:marBottom w:val="0"/>
      <w:divBdr>
        <w:top w:val="none" w:sz="0" w:space="0" w:color="auto"/>
        <w:left w:val="none" w:sz="0" w:space="0" w:color="auto"/>
        <w:bottom w:val="none" w:sz="0" w:space="0" w:color="auto"/>
        <w:right w:val="none" w:sz="0" w:space="0" w:color="auto"/>
      </w:divBdr>
      <w:divsChild>
        <w:div w:id="1970624900">
          <w:marLeft w:val="0"/>
          <w:marRight w:val="0"/>
          <w:marTop w:val="160"/>
          <w:marBottom w:val="160"/>
          <w:divBdr>
            <w:top w:val="none" w:sz="0" w:space="0" w:color="auto"/>
            <w:left w:val="none" w:sz="0" w:space="0" w:color="auto"/>
            <w:bottom w:val="none" w:sz="0" w:space="0" w:color="auto"/>
            <w:right w:val="none" w:sz="0" w:space="0" w:color="auto"/>
          </w:divBdr>
        </w:div>
      </w:divsChild>
    </w:div>
    <w:div w:id="1033455907">
      <w:marLeft w:val="0"/>
      <w:marRight w:val="0"/>
      <w:marTop w:val="0"/>
      <w:marBottom w:val="0"/>
      <w:divBdr>
        <w:top w:val="none" w:sz="0" w:space="0" w:color="auto"/>
        <w:left w:val="none" w:sz="0" w:space="0" w:color="auto"/>
        <w:bottom w:val="none" w:sz="0" w:space="0" w:color="auto"/>
        <w:right w:val="none" w:sz="0" w:space="0" w:color="auto"/>
      </w:divBdr>
      <w:divsChild>
        <w:div w:id="1685865605">
          <w:marLeft w:val="0"/>
          <w:marRight w:val="0"/>
          <w:marTop w:val="0"/>
          <w:marBottom w:val="0"/>
          <w:divBdr>
            <w:top w:val="none" w:sz="0" w:space="0" w:color="auto"/>
            <w:left w:val="none" w:sz="0" w:space="0" w:color="auto"/>
            <w:bottom w:val="none" w:sz="0" w:space="0" w:color="auto"/>
            <w:right w:val="none" w:sz="0" w:space="0" w:color="auto"/>
          </w:divBdr>
        </w:div>
      </w:divsChild>
    </w:div>
    <w:div w:id="1033457322">
      <w:marLeft w:val="0"/>
      <w:marRight w:val="0"/>
      <w:marTop w:val="180"/>
      <w:marBottom w:val="180"/>
      <w:divBdr>
        <w:top w:val="none" w:sz="0" w:space="0" w:color="auto"/>
        <w:left w:val="none" w:sz="0" w:space="0" w:color="auto"/>
        <w:bottom w:val="none" w:sz="0" w:space="0" w:color="auto"/>
        <w:right w:val="none" w:sz="0" w:space="0" w:color="auto"/>
      </w:divBdr>
    </w:div>
    <w:div w:id="1033845619">
      <w:marLeft w:val="0"/>
      <w:marRight w:val="0"/>
      <w:marTop w:val="240"/>
      <w:marBottom w:val="240"/>
      <w:divBdr>
        <w:top w:val="none" w:sz="0" w:space="0" w:color="auto"/>
        <w:left w:val="none" w:sz="0" w:space="0" w:color="auto"/>
        <w:bottom w:val="none" w:sz="0" w:space="0" w:color="auto"/>
        <w:right w:val="none" w:sz="0" w:space="0" w:color="auto"/>
      </w:divBdr>
    </w:div>
    <w:div w:id="1034766393">
      <w:marLeft w:val="0"/>
      <w:marRight w:val="0"/>
      <w:marTop w:val="60"/>
      <w:marBottom w:val="160"/>
      <w:divBdr>
        <w:top w:val="none" w:sz="0" w:space="0" w:color="auto"/>
        <w:left w:val="none" w:sz="0" w:space="0" w:color="auto"/>
        <w:bottom w:val="none" w:sz="0" w:space="0" w:color="auto"/>
        <w:right w:val="none" w:sz="0" w:space="0" w:color="auto"/>
      </w:divBdr>
    </w:div>
    <w:div w:id="1038042602">
      <w:marLeft w:val="0"/>
      <w:marRight w:val="0"/>
      <w:marTop w:val="0"/>
      <w:marBottom w:val="0"/>
      <w:divBdr>
        <w:top w:val="none" w:sz="0" w:space="0" w:color="auto"/>
        <w:left w:val="none" w:sz="0" w:space="0" w:color="auto"/>
        <w:bottom w:val="none" w:sz="0" w:space="0" w:color="auto"/>
        <w:right w:val="none" w:sz="0" w:space="0" w:color="auto"/>
      </w:divBdr>
      <w:divsChild>
        <w:div w:id="1952979835">
          <w:marLeft w:val="0"/>
          <w:marRight w:val="0"/>
          <w:marTop w:val="0"/>
          <w:marBottom w:val="0"/>
          <w:divBdr>
            <w:top w:val="none" w:sz="0" w:space="0" w:color="auto"/>
            <w:left w:val="none" w:sz="0" w:space="0" w:color="auto"/>
            <w:bottom w:val="none" w:sz="0" w:space="0" w:color="auto"/>
            <w:right w:val="none" w:sz="0" w:space="0" w:color="auto"/>
          </w:divBdr>
        </w:div>
      </w:divsChild>
    </w:div>
    <w:div w:id="1039860230">
      <w:marLeft w:val="0"/>
      <w:marRight w:val="0"/>
      <w:marTop w:val="160"/>
      <w:marBottom w:val="160"/>
      <w:divBdr>
        <w:top w:val="none" w:sz="0" w:space="0" w:color="auto"/>
        <w:left w:val="none" w:sz="0" w:space="0" w:color="auto"/>
        <w:bottom w:val="none" w:sz="0" w:space="0" w:color="auto"/>
        <w:right w:val="none" w:sz="0" w:space="0" w:color="auto"/>
      </w:divBdr>
    </w:div>
    <w:div w:id="1041056978">
      <w:marLeft w:val="0"/>
      <w:marRight w:val="0"/>
      <w:marTop w:val="160"/>
      <w:marBottom w:val="160"/>
      <w:divBdr>
        <w:top w:val="none" w:sz="0" w:space="0" w:color="auto"/>
        <w:left w:val="none" w:sz="0" w:space="0" w:color="auto"/>
        <w:bottom w:val="none" w:sz="0" w:space="0" w:color="auto"/>
        <w:right w:val="none" w:sz="0" w:space="0" w:color="auto"/>
      </w:divBdr>
    </w:div>
    <w:div w:id="1042439653">
      <w:marLeft w:val="0"/>
      <w:marRight w:val="0"/>
      <w:marTop w:val="0"/>
      <w:marBottom w:val="240"/>
      <w:divBdr>
        <w:top w:val="none" w:sz="0" w:space="0" w:color="auto"/>
        <w:left w:val="none" w:sz="0" w:space="0" w:color="auto"/>
        <w:bottom w:val="none" w:sz="0" w:space="0" w:color="auto"/>
        <w:right w:val="none" w:sz="0" w:space="0" w:color="auto"/>
      </w:divBdr>
    </w:div>
    <w:div w:id="1047415655">
      <w:marLeft w:val="0"/>
      <w:marRight w:val="0"/>
      <w:marTop w:val="100"/>
      <w:marBottom w:val="100"/>
      <w:divBdr>
        <w:top w:val="none" w:sz="0" w:space="0" w:color="auto"/>
        <w:left w:val="none" w:sz="0" w:space="0" w:color="auto"/>
        <w:bottom w:val="none" w:sz="0" w:space="0" w:color="auto"/>
        <w:right w:val="none" w:sz="0" w:space="0" w:color="auto"/>
      </w:divBdr>
    </w:div>
    <w:div w:id="1051811704">
      <w:marLeft w:val="0"/>
      <w:marRight w:val="0"/>
      <w:marTop w:val="0"/>
      <w:marBottom w:val="240"/>
      <w:divBdr>
        <w:top w:val="none" w:sz="0" w:space="0" w:color="auto"/>
        <w:left w:val="none" w:sz="0" w:space="0" w:color="auto"/>
        <w:bottom w:val="none" w:sz="0" w:space="0" w:color="auto"/>
        <w:right w:val="none" w:sz="0" w:space="0" w:color="auto"/>
      </w:divBdr>
    </w:div>
    <w:div w:id="1055465838">
      <w:marLeft w:val="0"/>
      <w:marRight w:val="0"/>
      <w:marTop w:val="0"/>
      <w:marBottom w:val="240"/>
      <w:divBdr>
        <w:top w:val="none" w:sz="0" w:space="0" w:color="auto"/>
        <w:left w:val="none" w:sz="0" w:space="0" w:color="auto"/>
        <w:bottom w:val="none" w:sz="0" w:space="0" w:color="auto"/>
        <w:right w:val="none" w:sz="0" w:space="0" w:color="auto"/>
      </w:divBdr>
    </w:div>
    <w:div w:id="1055667015">
      <w:marLeft w:val="0"/>
      <w:marRight w:val="0"/>
      <w:marTop w:val="0"/>
      <w:marBottom w:val="240"/>
      <w:divBdr>
        <w:top w:val="none" w:sz="0" w:space="0" w:color="auto"/>
        <w:left w:val="none" w:sz="0" w:space="0" w:color="auto"/>
        <w:bottom w:val="none" w:sz="0" w:space="0" w:color="auto"/>
        <w:right w:val="none" w:sz="0" w:space="0" w:color="auto"/>
      </w:divBdr>
    </w:div>
    <w:div w:id="1057709383">
      <w:marLeft w:val="0"/>
      <w:marRight w:val="0"/>
      <w:marTop w:val="0"/>
      <w:marBottom w:val="0"/>
      <w:divBdr>
        <w:top w:val="none" w:sz="0" w:space="0" w:color="auto"/>
        <w:left w:val="none" w:sz="0" w:space="0" w:color="auto"/>
        <w:bottom w:val="none" w:sz="0" w:space="0" w:color="auto"/>
        <w:right w:val="none" w:sz="0" w:space="0" w:color="auto"/>
      </w:divBdr>
    </w:div>
    <w:div w:id="1061178558">
      <w:marLeft w:val="0"/>
      <w:marRight w:val="0"/>
      <w:marTop w:val="0"/>
      <w:marBottom w:val="0"/>
      <w:divBdr>
        <w:top w:val="none" w:sz="0" w:space="0" w:color="auto"/>
        <w:left w:val="none" w:sz="0" w:space="0" w:color="auto"/>
        <w:bottom w:val="none" w:sz="0" w:space="0" w:color="auto"/>
        <w:right w:val="none" w:sz="0" w:space="0" w:color="auto"/>
      </w:divBdr>
      <w:divsChild>
        <w:div w:id="1639874409">
          <w:marLeft w:val="0"/>
          <w:marRight w:val="0"/>
          <w:marTop w:val="0"/>
          <w:marBottom w:val="0"/>
          <w:divBdr>
            <w:top w:val="none" w:sz="0" w:space="0" w:color="auto"/>
            <w:left w:val="none" w:sz="0" w:space="0" w:color="auto"/>
            <w:bottom w:val="none" w:sz="0" w:space="0" w:color="auto"/>
            <w:right w:val="none" w:sz="0" w:space="0" w:color="auto"/>
          </w:divBdr>
        </w:div>
        <w:div w:id="485321113">
          <w:marLeft w:val="0"/>
          <w:marRight w:val="0"/>
          <w:marTop w:val="0"/>
          <w:marBottom w:val="0"/>
          <w:divBdr>
            <w:top w:val="none" w:sz="0" w:space="0" w:color="auto"/>
            <w:left w:val="none" w:sz="0" w:space="0" w:color="auto"/>
            <w:bottom w:val="none" w:sz="0" w:space="0" w:color="auto"/>
            <w:right w:val="none" w:sz="0" w:space="0" w:color="auto"/>
          </w:divBdr>
        </w:div>
      </w:divsChild>
    </w:div>
    <w:div w:id="1061292989">
      <w:marLeft w:val="0"/>
      <w:marRight w:val="0"/>
      <w:marTop w:val="160"/>
      <w:marBottom w:val="160"/>
      <w:divBdr>
        <w:top w:val="none" w:sz="0" w:space="0" w:color="auto"/>
        <w:left w:val="none" w:sz="0" w:space="0" w:color="auto"/>
        <w:bottom w:val="none" w:sz="0" w:space="0" w:color="auto"/>
        <w:right w:val="none" w:sz="0" w:space="0" w:color="auto"/>
      </w:divBdr>
    </w:div>
    <w:div w:id="1062169152">
      <w:marLeft w:val="0"/>
      <w:marRight w:val="0"/>
      <w:marTop w:val="0"/>
      <w:marBottom w:val="0"/>
      <w:divBdr>
        <w:top w:val="none" w:sz="0" w:space="0" w:color="auto"/>
        <w:left w:val="none" w:sz="0" w:space="0" w:color="auto"/>
        <w:bottom w:val="none" w:sz="0" w:space="0" w:color="auto"/>
        <w:right w:val="none" w:sz="0" w:space="0" w:color="auto"/>
      </w:divBdr>
      <w:divsChild>
        <w:div w:id="1102341976">
          <w:marLeft w:val="0"/>
          <w:marRight w:val="0"/>
          <w:marTop w:val="0"/>
          <w:marBottom w:val="0"/>
          <w:divBdr>
            <w:top w:val="none" w:sz="0" w:space="0" w:color="auto"/>
            <w:left w:val="none" w:sz="0" w:space="0" w:color="auto"/>
            <w:bottom w:val="none" w:sz="0" w:space="0" w:color="auto"/>
            <w:right w:val="none" w:sz="0" w:space="0" w:color="auto"/>
          </w:divBdr>
        </w:div>
      </w:divsChild>
    </w:div>
    <w:div w:id="1063066771">
      <w:marLeft w:val="0"/>
      <w:marRight w:val="0"/>
      <w:marTop w:val="0"/>
      <w:marBottom w:val="0"/>
      <w:divBdr>
        <w:top w:val="none" w:sz="0" w:space="0" w:color="auto"/>
        <w:left w:val="none" w:sz="0" w:space="0" w:color="auto"/>
        <w:bottom w:val="none" w:sz="0" w:space="0" w:color="auto"/>
        <w:right w:val="none" w:sz="0" w:space="0" w:color="auto"/>
      </w:divBdr>
      <w:divsChild>
        <w:div w:id="690298824">
          <w:marLeft w:val="0"/>
          <w:marRight w:val="0"/>
          <w:marTop w:val="0"/>
          <w:marBottom w:val="0"/>
          <w:divBdr>
            <w:top w:val="none" w:sz="0" w:space="0" w:color="auto"/>
            <w:left w:val="none" w:sz="0" w:space="0" w:color="auto"/>
            <w:bottom w:val="none" w:sz="0" w:space="0" w:color="auto"/>
            <w:right w:val="none" w:sz="0" w:space="0" w:color="auto"/>
          </w:divBdr>
        </w:div>
      </w:divsChild>
    </w:div>
    <w:div w:id="1065033977">
      <w:marLeft w:val="0"/>
      <w:marRight w:val="0"/>
      <w:marTop w:val="0"/>
      <w:marBottom w:val="240"/>
      <w:divBdr>
        <w:top w:val="none" w:sz="0" w:space="0" w:color="auto"/>
        <w:left w:val="none" w:sz="0" w:space="0" w:color="auto"/>
        <w:bottom w:val="none" w:sz="0" w:space="0" w:color="auto"/>
        <w:right w:val="none" w:sz="0" w:space="0" w:color="auto"/>
      </w:divBdr>
    </w:div>
    <w:div w:id="1066612020">
      <w:marLeft w:val="0"/>
      <w:marRight w:val="0"/>
      <w:marTop w:val="0"/>
      <w:marBottom w:val="240"/>
      <w:divBdr>
        <w:top w:val="none" w:sz="0" w:space="0" w:color="auto"/>
        <w:left w:val="none" w:sz="0" w:space="0" w:color="auto"/>
        <w:bottom w:val="none" w:sz="0" w:space="0" w:color="auto"/>
        <w:right w:val="none" w:sz="0" w:space="0" w:color="auto"/>
      </w:divBdr>
    </w:div>
    <w:div w:id="1068764782">
      <w:marLeft w:val="0"/>
      <w:marRight w:val="0"/>
      <w:marTop w:val="0"/>
      <w:marBottom w:val="240"/>
      <w:divBdr>
        <w:top w:val="none" w:sz="0" w:space="0" w:color="auto"/>
        <w:left w:val="none" w:sz="0" w:space="0" w:color="auto"/>
        <w:bottom w:val="none" w:sz="0" w:space="0" w:color="auto"/>
        <w:right w:val="none" w:sz="0" w:space="0" w:color="auto"/>
      </w:divBdr>
    </w:div>
    <w:div w:id="1073623607">
      <w:marLeft w:val="0"/>
      <w:marRight w:val="0"/>
      <w:marTop w:val="100"/>
      <w:marBottom w:val="160"/>
      <w:divBdr>
        <w:top w:val="none" w:sz="0" w:space="0" w:color="auto"/>
        <w:left w:val="none" w:sz="0" w:space="0" w:color="auto"/>
        <w:bottom w:val="none" w:sz="0" w:space="0" w:color="auto"/>
        <w:right w:val="none" w:sz="0" w:space="0" w:color="auto"/>
      </w:divBdr>
    </w:div>
    <w:div w:id="1076169417">
      <w:marLeft w:val="0"/>
      <w:marRight w:val="0"/>
      <w:marTop w:val="220"/>
      <w:marBottom w:val="40"/>
      <w:divBdr>
        <w:top w:val="none" w:sz="0" w:space="0" w:color="auto"/>
        <w:left w:val="none" w:sz="0" w:space="0" w:color="auto"/>
        <w:bottom w:val="none" w:sz="0" w:space="0" w:color="auto"/>
        <w:right w:val="none" w:sz="0" w:space="0" w:color="auto"/>
      </w:divBdr>
    </w:div>
    <w:div w:id="1078214362">
      <w:marLeft w:val="0"/>
      <w:marRight w:val="0"/>
      <w:marTop w:val="0"/>
      <w:marBottom w:val="0"/>
      <w:divBdr>
        <w:top w:val="none" w:sz="0" w:space="0" w:color="auto"/>
        <w:left w:val="none" w:sz="0" w:space="0" w:color="auto"/>
        <w:bottom w:val="none" w:sz="0" w:space="0" w:color="auto"/>
        <w:right w:val="none" w:sz="0" w:space="0" w:color="auto"/>
      </w:divBdr>
      <w:divsChild>
        <w:div w:id="1680809208">
          <w:marLeft w:val="0"/>
          <w:marRight w:val="0"/>
          <w:marTop w:val="160"/>
          <w:marBottom w:val="0"/>
          <w:divBdr>
            <w:top w:val="none" w:sz="0" w:space="0" w:color="auto"/>
            <w:left w:val="none" w:sz="0" w:space="0" w:color="auto"/>
            <w:bottom w:val="none" w:sz="0" w:space="0" w:color="auto"/>
            <w:right w:val="none" w:sz="0" w:space="0" w:color="auto"/>
          </w:divBdr>
        </w:div>
        <w:div w:id="1995327715">
          <w:marLeft w:val="0"/>
          <w:marRight w:val="0"/>
          <w:marTop w:val="60"/>
          <w:marBottom w:val="60"/>
          <w:divBdr>
            <w:top w:val="none" w:sz="0" w:space="0" w:color="auto"/>
            <w:left w:val="none" w:sz="0" w:space="0" w:color="auto"/>
            <w:bottom w:val="none" w:sz="0" w:space="0" w:color="auto"/>
            <w:right w:val="none" w:sz="0" w:space="0" w:color="auto"/>
          </w:divBdr>
        </w:div>
        <w:div w:id="1107964633">
          <w:marLeft w:val="0"/>
          <w:marRight w:val="0"/>
          <w:marTop w:val="60"/>
          <w:marBottom w:val="60"/>
          <w:divBdr>
            <w:top w:val="none" w:sz="0" w:space="0" w:color="auto"/>
            <w:left w:val="none" w:sz="0" w:space="0" w:color="auto"/>
            <w:bottom w:val="none" w:sz="0" w:space="0" w:color="auto"/>
            <w:right w:val="none" w:sz="0" w:space="0" w:color="auto"/>
          </w:divBdr>
        </w:div>
        <w:div w:id="1143738771">
          <w:marLeft w:val="0"/>
          <w:marRight w:val="0"/>
          <w:marTop w:val="60"/>
          <w:marBottom w:val="60"/>
          <w:divBdr>
            <w:top w:val="none" w:sz="0" w:space="0" w:color="auto"/>
            <w:left w:val="none" w:sz="0" w:space="0" w:color="auto"/>
            <w:bottom w:val="none" w:sz="0" w:space="0" w:color="auto"/>
            <w:right w:val="none" w:sz="0" w:space="0" w:color="auto"/>
          </w:divBdr>
        </w:div>
      </w:divsChild>
    </w:div>
    <w:div w:id="1078401747">
      <w:marLeft w:val="0"/>
      <w:marRight w:val="0"/>
      <w:marTop w:val="0"/>
      <w:marBottom w:val="0"/>
      <w:divBdr>
        <w:top w:val="none" w:sz="0" w:space="0" w:color="auto"/>
        <w:left w:val="none" w:sz="0" w:space="0" w:color="auto"/>
        <w:bottom w:val="none" w:sz="0" w:space="0" w:color="auto"/>
        <w:right w:val="none" w:sz="0" w:space="0" w:color="auto"/>
      </w:divBdr>
    </w:div>
    <w:div w:id="1086420836">
      <w:marLeft w:val="0"/>
      <w:marRight w:val="0"/>
      <w:marTop w:val="100"/>
      <w:marBottom w:val="240"/>
      <w:divBdr>
        <w:top w:val="none" w:sz="0" w:space="0" w:color="auto"/>
        <w:left w:val="none" w:sz="0" w:space="0" w:color="auto"/>
        <w:bottom w:val="none" w:sz="0" w:space="0" w:color="auto"/>
        <w:right w:val="none" w:sz="0" w:space="0" w:color="auto"/>
      </w:divBdr>
    </w:div>
    <w:div w:id="1099763466">
      <w:marLeft w:val="0"/>
      <w:marRight w:val="0"/>
      <w:marTop w:val="0"/>
      <w:marBottom w:val="0"/>
      <w:divBdr>
        <w:top w:val="none" w:sz="0" w:space="0" w:color="auto"/>
        <w:left w:val="none" w:sz="0" w:space="0" w:color="auto"/>
        <w:bottom w:val="none" w:sz="0" w:space="0" w:color="auto"/>
        <w:right w:val="none" w:sz="0" w:space="0" w:color="auto"/>
      </w:divBdr>
      <w:divsChild>
        <w:div w:id="741636470">
          <w:marLeft w:val="0"/>
          <w:marRight w:val="0"/>
          <w:marTop w:val="0"/>
          <w:marBottom w:val="0"/>
          <w:divBdr>
            <w:top w:val="none" w:sz="0" w:space="0" w:color="auto"/>
            <w:left w:val="none" w:sz="0" w:space="0" w:color="auto"/>
            <w:bottom w:val="none" w:sz="0" w:space="0" w:color="auto"/>
            <w:right w:val="none" w:sz="0" w:space="0" w:color="auto"/>
          </w:divBdr>
        </w:div>
      </w:divsChild>
    </w:div>
    <w:div w:id="1101415625">
      <w:marLeft w:val="0"/>
      <w:marRight w:val="0"/>
      <w:marTop w:val="0"/>
      <w:marBottom w:val="240"/>
      <w:divBdr>
        <w:top w:val="none" w:sz="0" w:space="0" w:color="auto"/>
        <w:left w:val="none" w:sz="0" w:space="0" w:color="auto"/>
        <w:bottom w:val="none" w:sz="0" w:space="0" w:color="auto"/>
        <w:right w:val="none" w:sz="0" w:space="0" w:color="auto"/>
      </w:divBdr>
    </w:div>
    <w:div w:id="1102071489">
      <w:marLeft w:val="0"/>
      <w:marRight w:val="0"/>
      <w:marTop w:val="160"/>
      <w:marBottom w:val="160"/>
      <w:divBdr>
        <w:top w:val="none" w:sz="0" w:space="0" w:color="auto"/>
        <w:left w:val="none" w:sz="0" w:space="0" w:color="auto"/>
        <w:bottom w:val="none" w:sz="0" w:space="0" w:color="auto"/>
        <w:right w:val="none" w:sz="0" w:space="0" w:color="auto"/>
      </w:divBdr>
    </w:div>
    <w:div w:id="1104302024">
      <w:marLeft w:val="0"/>
      <w:marRight w:val="0"/>
      <w:marTop w:val="0"/>
      <w:marBottom w:val="240"/>
      <w:divBdr>
        <w:top w:val="none" w:sz="0" w:space="0" w:color="auto"/>
        <w:left w:val="none" w:sz="0" w:space="0" w:color="auto"/>
        <w:bottom w:val="none" w:sz="0" w:space="0" w:color="auto"/>
        <w:right w:val="none" w:sz="0" w:space="0" w:color="auto"/>
      </w:divBdr>
    </w:div>
    <w:div w:id="1105350338">
      <w:marLeft w:val="0"/>
      <w:marRight w:val="0"/>
      <w:marTop w:val="160"/>
      <w:marBottom w:val="40"/>
      <w:divBdr>
        <w:top w:val="none" w:sz="0" w:space="0" w:color="auto"/>
        <w:left w:val="none" w:sz="0" w:space="0" w:color="auto"/>
        <w:bottom w:val="none" w:sz="0" w:space="0" w:color="auto"/>
        <w:right w:val="none" w:sz="0" w:space="0" w:color="auto"/>
      </w:divBdr>
    </w:div>
    <w:div w:id="1108351126">
      <w:marLeft w:val="0"/>
      <w:marRight w:val="0"/>
      <w:marTop w:val="0"/>
      <w:marBottom w:val="0"/>
      <w:divBdr>
        <w:top w:val="none" w:sz="0" w:space="0" w:color="auto"/>
        <w:left w:val="none" w:sz="0" w:space="0" w:color="auto"/>
        <w:bottom w:val="none" w:sz="0" w:space="0" w:color="auto"/>
        <w:right w:val="none" w:sz="0" w:space="0" w:color="auto"/>
      </w:divBdr>
      <w:divsChild>
        <w:div w:id="1001398342">
          <w:marLeft w:val="0"/>
          <w:marRight w:val="0"/>
          <w:marTop w:val="160"/>
          <w:marBottom w:val="160"/>
          <w:divBdr>
            <w:top w:val="none" w:sz="0" w:space="0" w:color="auto"/>
            <w:left w:val="none" w:sz="0" w:space="0" w:color="auto"/>
            <w:bottom w:val="none" w:sz="0" w:space="0" w:color="auto"/>
            <w:right w:val="none" w:sz="0" w:space="0" w:color="auto"/>
          </w:divBdr>
        </w:div>
      </w:divsChild>
    </w:div>
    <w:div w:id="1110589212">
      <w:marLeft w:val="0"/>
      <w:marRight w:val="0"/>
      <w:marTop w:val="0"/>
      <w:marBottom w:val="0"/>
      <w:divBdr>
        <w:top w:val="none" w:sz="0" w:space="0" w:color="auto"/>
        <w:left w:val="none" w:sz="0" w:space="0" w:color="auto"/>
        <w:bottom w:val="none" w:sz="0" w:space="0" w:color="auto"/>
        <w:right w:val="none" w:sz="0" w:space="0" w:color="auto"/>
      </w:divBdr>
    </w:div>
    <w:div w:id="1114858852">
      <w:marLeft w:val="0"/>
      <w:marRight w:val="0"/>
      <w:marTop w:val="160"/>
      <w:marBottom w:val="160"/>
      <w:divBdr>
        <w:top w:val="none" w:sz="0" w:space="0" w:color="auto"/>
        <w:left w:val="none" w:sz="0" w:space="0" w:color="auto"/>
        <w:bottom w:val="none" w:sz="0" w:space="0" w:color="auto"/>
        <w:right w:val="none" w:sz="0" w:space="0" w:color="auto"/>
      </w:divBdr>
    </w:div>
    <w:div w:id="1115561125">
      <w:marLeft w:val="0"/>
      <w:marRight w:val="0"/>
      <w:marTop w:val="0"/>
      <w:marBottom w:val="60"/>
      <w:divBdr>
        <w:top w:val="none" w:sz="0" w:space="0" w:color="auto"/>
        <w:left w:val="none" w:sz="0" w:space="0" w:color="auto"/>
        <w:bottom w:val="none" w:sz="0" w:space="0" w:color="auto"/>
        <w:right w:val="none" w:sz="0" w:space="0" w:color="auto"/>
      </w:divBdr>
    </w:div>
    <w:div w:id="1116756552">
      <w:marLeft w:val="0"/>
      <w:marRight w:val="0"/>
      <w:marTop w:val="160"/>
      <w:marBottom w:val="160"/>
      <w:divBdr>
        <w:top w:val="none" w:sz="0" w:space="0" w:color="auto"/>
        <w:left w:val="none" w:sz="0" w:space="0" w:color="auto"/>
        <w:bottom w:val="none" w:sz="0" w:space="0" w:color="auto"/>
        <w:right w:val="none" w:sz="0" w:space="0" w:color="auto"/>
      </w:divBdr>
    </w:div>
    <w:div w:id="1119223885">
      <w:marLeft w:val="0"/>
      <w:marRight w:val="0"/>
      <w:marTop w:val="0"/>
      <w:marBottom w:val="0"/>
      <w:divBdr>
        <w:top w:val="none" w:sz="0" w:space="0" w:color="auto"/>
        <w:left w:val="none" w:sz="0" w:space="0" w:color="auto"/>
        <w:bottom w:val="none" w:sz="0" w:space="0" w:color="auto"/>
        <w:right w:val="none" w:sz="0" w:space="0" w:color="auto"/>
      </w:divBdr>
    </w:div>
    <w:div w:id="1119376392">
      <w:marLeft w:val="0"/>
      <w:marRight w:val="0"/>
      <w:marTop w:val="0"/>
      <w:marBottom w:val="180"/>
      <w:divBdr>
        <w:top w:val="none" w:sz="0" w:space="0" w:color="auto"/>
        <w:left w:val="none" w:sz="0" w:space="0" w:color="auto"/>
        <w:bottom w:val="none" w:sz="0" w:space="0" w:color="auto"/>
        <w:right w:val="none" w:sz="0" w:space="0" w:color="auto"/>
      </w:divBdr>
    </w:div>
    <w:div w:id="1129975538">
      <w:marLeft w:val="0"/>
      <w:marRight w:val="0"/>
      <w:marTop w:val="100"/>
      <w:marBottom w:val="100"/>
      <w:divBdr>
        <w:top w:val="none" w:sz="0" w:space="0" w:color="auto"/>
        <w:left w:val="none" w:sz="0" w:space="0" w:color="auto"/>
        <w:bottom w:val="none" w:sz="0" w:space="0" w:color="auto"/>
        <w:right w:val="none" w:sz="0" w:space="0" w:color="auto"/>
      </w:divBdr>
    </w:div>
    <w:div w:id="1130441668">
      <w:marLeft w:val="0"/>
      <w:marRight w:val="0"/>
      <w:marTop w:val="0"/>
      <w:marBottom w:val="240"/>
      <w:divBdr>
        <w:top w:val="none" w:sz="0" w:space="0" w:color="auto"/>
        <w:left w:val="none" w:sz="0" w:space="0" w:color="auto"/>
        <w:bottom w:val="none" w:sz="0" w:space="0" w:color="auto"/>
        <w:right w:val="none" w:sz="0" w:space="0" w:color="auto"/>
      </w:divBdr>
    </w:div>
    <w:div w:id="1130710292">
      <w:marLeft w:val="0"/>
      <w:marRight w:val="0"/>
      <w:marTop w:val="160"/>
      <w:marBottom w:val="160"/>
      <w:divBdr>
        <w:top w:val="none" w:sz="0" w:space="0" w:color="auto"/>
        <w:left w:val="none" w:sz="0" w:space="0" w:color="auto"/>
        <w:bottom w:val="none" w:sz="0" w:space="0" w:color="auto"/>
        <w:right w:val="none" w:sz="0" w:space="0" w:color="auto"/>
      </w:divBdr>
    </w:div>
    <w:div w:id="1134173298">
      <w:marLeft w:val="0"/>
      <w:marRight w:val="0"/>
      <w:marTop w:val="0"/>
      <w:marBottom w:val="240"/>
      <w:divBdr>
        <w:top w:val="none" w:sz="0" w:space="0" w:color="auto"/>
        <w:left w:val="none" w:sz="0" w:space="0" w:color="auto"/>
        <w:bottom w:val="none" w:sz="0" w:space="0" w:color="auto"/>
        <w:right w:val="none" w:sz="0" w:space="0" w:color="auto"/>
      </w:divBdr>
    </w:div>
    <w:div w:id="1134565602">
      <w:marLeft w:val="0"/>
      <w:marRight w:val="0"/>
      <w:marTop w:val="100"/>
      <w:marBottom w:val="100"/>
      <w:divBdr>
        <w:top w:val="none" w:sz="0" w:space="0" w:color="auto"/>
        <w:left w:val="none" w:sz="0" w:space="0" w:color="auto"/>
        <w:bottom w:val="none" w:sz="0" w:space="0" w:color="auto"/>
        <w:right w:val="none" w:sz="0" w:space="0" w:color="auto"/>
      </w:divBdr>
    </w:div>
    <w:div w:id="1137842193">
      <w:marLeft w:val="0"/>
      <w:marRight w:val="0"/>
      <w:marTop w:val="160"/>
      <w:marBottom w:val="160"/>
      <w:divBdr>
        <w:top w:val="none" w:sz="0" w:space="0" w:color="auto"/>
        <w:left w:val="none" w:sz="0" w:space="0" w:color="auto"/>
        <w:bottom w:val="none" w:sz="0" w:space="0" w:color="auto"/>
        <w:right w:val="none" w:sz="0" w:space="0" w:color="auto"/>
      </w:divBdr>
    </w:div>
    <w:div w:id="1139809801">
      <w:marLeft w:val="0"/>
      <w:marRight w:val="0"/>
      <w:marTop w:val="0"/>
      <w:marBottom w:val="240"/>
      <w:divBdr>
        <w:top w:val="none" w:sz="0" w:space="0" w:color="auto"/>
        <w:left w:val="none" w:sz="0" w:space="0" w:color="auto"/>
        <w:bottom w:val="none" w:sz="0" w:space="0" w:color="auto"/>
        <w:right w:val="none" w:sz="0" w:space="0" w:color="auto"/>
      </w:divBdr>
    </w:div>
    <w:div w:id="1143498372">
      <w:marLeft w:val="0"/>
      <w:marRight w:val="0"/>
      <w:marTop w:val="0"/>
      <w:marBottom w:val="0"/>
      <w:divBdr>
        <w:top w:val="none" w:sz="0" w:space="0" w:color="auto"/>
        <w:left w:val="none" w:sz="0" w:space="0" w:color="auto"/>
        <w:bottom w:val="none" w:sz="0" w:space="0" w:color="auto"/>
        <w:right w:val="none" w:sz="0" w:space="0" w:color="auto"/>
      </w:divBdr>
      <w:divsChild>
        <w:div w:id="1009598734">
          <w:marLeft w:val="0"/>
          <w:marRight w:val="0"/>
          <w:marTop w:val="160"/>
          <w:marBottom w:val="160"/>
          <w:divBdr>
            <w:top w:val="none" w:sz="0" w:space="0" w:color="auto"/>
            <w:left w:val="none" w:sz="0" w:space="0" w:color="auto"/>
            <w:bottom w:val="none" w:sz="0" w:space="0" w:color="auto"/>
            <w:right w:val="none" w:sz="0" w:space="0" w:color="auto"/>
          </w:divBdr>
        </w:div>
      </w:divsChild>
    </w:div>
    <w:div w:id="1145242279">
      <w:marLeft w:val="0"/>
      <w:marRight w:val="0"/>
      <w:marTop w:val="0"/>
      <w:marBottom w:val="0"/>
      <w:divBdr>
        <w:top w:val="none" w:sz="0" w:space="0" w:color="auto"/>
        <w:left w:val="none" w:sz="0" w:space="0" w:color="auto"/>
        <w:bottom w:val="none" w:sz="0" w:space="0" w:color="auto"/>
        <w:right w:val="none" w:sz="0" w:space="0" w:color="auto"/>
      </w:divBdr>
      <w:divsChild>
        <w:div w:id="794911535">
          <w:marLeft w:val="0"/>
          <w:marRight w:val="0"/>
          <w:marTop w:val="160"/>
          <w:marBottom w:val="0"/>
          <w:divBdr>
            <w:top w:val="none" w:sz="0" w:space="0" w:color="auto"/>
            <w:left w:val="none" w:sz="0" w:space="0" w:color="auto"/>
            <w:bottom w:val="none" w:sz="0" w:space="0" w:color="auto"/>
            <w:right w:val="none" w:sz="0" w:space="0" w:color="auto"/>
          </w:divBdr>
        </w:div>
        <w:div w:id="477385901">
          <w:marLeft w:val="0"/>
          <w:marRight w:val="0"/>
          <w:marTop w:val="60"/>
          <w:marBottom w:val="60"/>
          <w:divBdr>
            <w:top w:val="none" w:sz="0" w:space="0" w:color="auto"/>
            <w:left w:val="none" w:sz="0" w:space="0" w:color="auto"/>
            <w:bottom w:val="none" w:sz="0" w:space="0" w:color="auto"/>
            <w:right w:val="none" w:sz="0" w:space="0" w:color="auto"/>
          </w:divBdr>
        </w:div>
        <w:div w:id="619609654">
          <w:marLeft w:val="0"/>
          <w:marRight w:val="0"/>
          <w:marTop w:val="60"/>
          <w:marBottom w:val="60"/>
          <w:divBdr>
            <w:top w:val="none" w:sz="0" w:space="0" w:color="auto"/>
            <w:left w:val="none" w:sz="0" w:space="0" w:color="auto"/>
            <w:bottom w:val="none" w:sz="0" w:space="0" w:color="auto"/>
            <w:right w:val="none" w:sz="0" w:space="0" w:color="auto"/>
          </w:divBdr>
        </w:div>
        <w:div w:id="300889510">
          <w:marLeft w:val="0"/>
          <w:marRight w:val="0"/>
          <w:marTop w:val="60"/>
          <w:marBottom w:val="60"/>
          <w:divBdr>
            <w:top w:val="none" w:sz="0" w:space="0" w:color="auto"/>
            <w:left w:val="none" w:sz="0" w:space="0" w:color="auto"/>
            <w:bottom w:val="none" w:sz="0" w:space="0" w:color="auto"/>
            <w:right w:val="none" w:sz="0" w:space="0" w:color="auto"/>
          </w:divBdr>
        </w:div>
      </w:divsChild>
    </w:div>
    <w:div w:id="1147556218">
      <w:marLeft w:val="0"/>
      <w:marRight w:val="0"/>
      <w:marTop w:val="100"/>
      <w:marBottom w:val="240"/>
      <w:divBdr>
        <w:top w:val="none" w:sz="0" w:space="0" w:color="auto"/>
        <w:left w:val="none" w:sz="0" w:space="0" w:color="auto"/>
        <w:bottom w:val="none" w:sz="0" w:space="0" w:color="auto"/>
        <w:right w:val="none" w:sz="0" w:space="0" w:color="auto"/>
      </w:divBdr>
    </w:div>
    <w:div w:id="1149665050">
      <w:marLeft w:val="0"/>
      <w:marRight w:val="0"/>
      <w:marTop w:val="160"/>
      <w:marBottom w:val="260"/>
      <w:divBdr>
        <w:top w:val="none" w:sz="0" w:space="0" w:color="auto"/>
        <w:left w:val="none" w:sz="0" w:space="0" w:color="auto"/>
        <w:bottom w:val="none" w:sz="0" w:space="0" w:color="auto"/>
        <w:right w:val="none" w:sz="0" w:space="0" w:color="auto"/>
      </w:divBdr>
    </w:div>
    <w:div w:id="1155535146">
      <w:marLeft w:val="0"/>
      <w:marRight w:val="0"/>
      <w:marTop w:val="0"/>
      <w:marBottom w:val="180"/>
      <w:divBdr>
        <w:top w:val="none" w:sz="0" w:space="0" w:color="auto"/>
        <w:left w:val="none" w:sz="0" w:space="0" w:color="auto"/>
        <w:bottom w:val="none" w:sz="0" w:space="0" w:color="auto"/>
        <w:right w:val="none" w:sz="0" w:space="0" w:color="auto"/>
      </w:divBdr>
    </w:div>
    <w:div w:id="1156070237">
      <w:marLeft w:val="0"/>
      <w:marRight w:val="0"/>
      <w:marTop w:val="160"/>
      <w:marBottom w:val="160"/>
      <w:divBdr>
        <w:top w:val="none" w:sz="0" w:space="0" w:color="auto"/>
        <w:left w:val="none" w:sz="0" w:space="0" w:color="auto"/>
        <w:bottom w:val="none" w:sz="0" w:space="0" w:color="auto"/>
        <w:right w:val="none" w:sz="0" w:space="0" w:color="auto"/>
      </w:divBdr>
    </w:div>
    <w:div w:id="1156186976">
      <w:marLeft w:val="0"/>
      <w:marRight w:val="0"/>
      <w:marTop w:val="100"/>
      <w:marBottom w:val="100"/>
      <w:divBdr>
        <w:top w:val="none" w:sz="0" w:space="0" w:color="auto"/>
        <w:left w:val="none" w:sz="0" w:space="0" w:color="auto"/>
        <w:bottom w:val="none" w:sz="0" w:space="0" w:color="auto"/>
        <w:right w:val="none" w:sz="0" w:space="0" w:color="auto"/>
      </w:divBdr>
    </w:div>
    <w:div w:id="1161971005">
      <w:marLeft w:val="0"/>
      <w:marRight w:val="0"/>
      <w:marTop w:val="0"/>
      <w:marBottom w:val="0"/>
      <w:divBdr>
        <w:top w:val="none" w:sz="0" w:space="0" w:color="auto"/>
        <w:left w:val="none" w:sz="0" w:space="0" w:color="auto"/>
        <w:bottom w:val="none" w:sz="0" w:space="0" w:color="auto"/>
        <w:right w:val="none" w:sz="0" w:space="0" w:color="auto"/>
      </w:divBdr>
    </w:div>
    <w:div w:id="1164080731">
      <w:marLeft w:val="0"/>
      <w:marRight w:val="0"/>
      <w:marTop w:val="0"/>
      <w:marBottom w:val="180"/>
      <w:divBdr>
        <w:top w:val="none" w:sz="0" w:space="0" w:color="auto"/>
        <w:left w:val="none" w:sz="0" w:space="0" w:color="auto"/>
        <w:bottom w:val="none" w:sz="0" w:space="0" w:color="auto"/>
        <w:right w:val="none" w:sz="0" w:space="0" w:color="auto"/>
      </w:divBdr>
    </w:div>
    <w:div w:id="1165391412">
      <w:marLeft w:val="0"/>
      <w:marRight w:val="0"/>
      <w:marTop w:val="160"/>
      <w:marBottom w:val="160"/>
      <w:divBdr>
        <w:top w:val="none" w:sz="0" w:space="0" w:color="auto"/>
        <w:left w:val="none" w:sz="0" w:space="0" w:color="auto"/>
        <w:bottom w:val="none" w:sz="0" w:space="0" w:color="auto"/>
        <w:right w:val="none" w:sz="0" w:space="0" w:color="auto"/>
      </w:divBdr>
    </w:div>
    <w:div w:id="1165508185">
      <w:marLeft w:val="0"/>
      <w:marRight w:val="0"/>
      <w:marTop w:val="160"/>
      <w:marBottom w:val="160"/>
      <w:divBdr>
        <w:top w:val="none" w:sz="0" w:space="0" w:color="auto"/>
        <w:left w:val="none" w:sz="0" w:space="0" w:color="auto"/>
        <w:bottom w:val="none" w:sz="0" w:space="0" w:color="auto"/>
        <w:right w:val="none" w:sz="0" w:space="0" w:color="auto"/>
      </w:divBdr>
    </w:div>
    <w:div w:id="1166432387">
      <w:marLeft w:val="0"/>
      <w:marRight w:val="0"/>
      <w:marTop w:val="0"/>
      <w:marBottom w:val="240"/>
      <w:divBdr>
        <w:top w:val="none" w:sz="0" w:space="0" w:color="auto"/>
        <w:left w:val="none" w:sz="0" w:space="0" w:color="auto"/>
        <w:bottom w:val="none" w:sz="0" w:space="0" w:color="auto"/>
        <w:right w:val="none" w:sz="0" w:space="0" w:color="auto"/>
      </w:divBdr>
    </w:div>
    <w:div w:id="1168596330">
      <w:marLeft w:val="0"/>
      <w:marRight w:val="0"/>
      <w:marTop w:val="0"/>
      <w:marBottom w:val="0"/>
      <w:divBdr>
        <w:top w:val="none" w:sz="0" w:space="0" w:color="auto"/>
        <w:left w:val="none" w:sz="0" w:space="0" w:color="auto"/>
        <w:bottom w:val="none" w:sz="0" w:space="0" w:color="auto"/>
        <w:right w:val="none" w:sz="0" w:space="0" w:color="auto"/>
      </w:divBdr>
      <w:divsChild>
        <w:div w:id="1346328934">
          <w:marLeft w:val="0"/>
          <w:marRight w:val="0"/>
          <w:marTop w:val="160"/>
          <w:marBottom w:val="160"/>
          <w:divBdr>
            <w:top w:val="none" w:sz="0" w:space="0" w:color="auto"/>
            <w:left w:val="none" w:sz="0" w:space="0" w:color="auto"/>
            <w:bottom w:val="none" w:sz="0" w:space="0" w:color="auto"/>
            <w:right w:val="none" w:sz="0" w:space="0" w:color="auto"/>
          </w:divBdr>
        </w:div>
      </w:divsChild>
    </w:div>
    <w:div w:id="1170485461">
      <w:marLeft w:val="0"/>
      <w:marRight w:val="0"/>
      <w:marTop w:val="100"/>
      <w:marBottom w:val="40"/>
      <w:divBdr>
        <w:top w:val="none" w:sz="0" w:space="0" w:color="auto"/>
        <w:left w:val="none" w:sz="0" w:space="0" w:color="auto"/>
        <w:bottom w:val="none" w:sz="0" w:space="0" w:color="auto"/>
        <w:right w:val="none" w:sz="0" w:space="0" w:color="auto"/>
      </w:divBdr>
      <w:divsChild>
        <w:div w:id="697049802">
          <w:marLeft w:val="0"/>
          <w:marRight w:val="0"/>
          <w:marTop w:val="0"/>
          <w:marBottom w:val="0"/>
          <w:divBdr>
            <w:top w:val="none" w:sz="0" w:space="0" w:color="auto"/>
            <w:left w:val="none" w:sz="0" w:space="0" w:color="auto"/>
            <w:bottom w:val="none" w:sz="0" w:space="0" w:color="auto"/>
            <w:right w:val="none" w:sz="0" w:space="0" w:color="auto"/>
          </w:divBdr>
        </w:div>
        <w:div w:id="549807436">
          <w:marLeft w:val="0"/>
          <w:marRight w:val="0"/>
          <w:marTop w:val="0"/>
          <w:marBottom w:val="0"/>
          <w:divBdr>
            <w:top w:val="none" w:sz="0" w:space="0" w:color="auto"/>
            <w:left w:val="none" w:sz="0" w:space="0" w:color="auto"/>
            <w:bottom w:val="none" w:sz="0" w:space="0" w:color="auto"/>
            <w:right w:val="none" w:sz="0" w:space="0" w:color="auto"/>
          </w:divBdr>
        </w:div>
        <w:div w:id="1283415956">
          <w:marLeft w:val="0"/>
          <w:marRight w:val="0"/>
          <w:marTop w:val="0"/>
          <w:marBottom w:val="0"/>
          <w:divBdr>
            <w:top w:val="none" w:sz="0" w:space="0" w:color="auto"/>
            <w:left w:val="none" w:sz="0" w:space="0" w:color="auto"/>
            <w:bottom w:val="none" w:sz="0" w:space="0" w:color="auto"/>
            <w:right w:val="none" w:sz="0" w:space="0" w:color="auto"/>
          </w:divBdr>
        </w:div>
        <w:div w:id="1663311085">
          <w:marLeft w:val="0"/>
          <w:marRight w:val="0"/>
          <w:marTop w:val="0"/>
          <w:marBottom w:val="0"/>
          <w:divBdr>
            <w:top w:val="none" w:sz="0" w:space="0" w:color="auto"/>
            <w:left w:val="none" w:sz="0" w:space="0" w:color="auto"/>
            <w:bottom w:val="none" w:sz="0" w:space="0" w:color="auto"/>
            <w:right w:val="none" w:sz="0" w:space="0" w:color="auto"/>
          </w:divBdr>
        </w:div>
      </w:divsChild>
    </w:div>
    <w:div w:id="1171523865">
      <w:marLeft w:val="0"/>
      <w:marRight w:val="0"/>
      <w:marTop w:val="0"/>
      <w:marBottom w:val="240"/>
      <w:divBdr>
        <w:top w:val="none" w:sz="0" w:space="0" w:color="auto"/>
        <w:left w:val="none" w:sz="0" w:space="0" w:color="auto"/>
        <w:bottom w:val="none" w:sz="0" w:space="0" w:color="auto"/>
        <w:right w:val="none" w:sz="0" w:space="0" w:color="auto"/>
      </w:divBdr>
    </w:div>
    <w:div w:id="1172378530">
      <w:marLeft w:val="0"/>
      <w:marRight w:val="0"/>
      <w:marTop w:val="0"/>
      <w:marBottom w:val="0"/>
      <w:divBdr>
        <w:top w:val="none" w:sz="0" w:space="0" w:color="auto"/>
        <w:left w:val="none" w:sz="0" w:space="0" w:color="auto"/>
        <w:bottom w:val="none" w:sz="0" w:space="0" w:color="auto"/>
        <w:right w:val="none" w:sz="0" w:space="0" w:color="auto"/>
      </w:divBdr>
      <w:divsChild>
        <w:div w:id="457457173">
          <w:marLeft w:val="0"/>
          <w:marRight w:val="0"/>
          <w:marTop w:val="0"/>
          <w:marBottom w:val="0"/>
          <w:divBdr>
            <w:top w:val="none" w:sz="0" w:space="0" w:color="auto"/>
            <w:left w:val="none" w:sz="0" w:space="0" w:color="auto"/>
            <w:bottom w:val="none" w:sz="0" w:space="0" w:color="auto"/>
            <w:right w:val="none" w:sz="0" w:space="0" w:color="auto"/>
          </w:divBdr>
          <w:divsChild>
            <w:div w:id="126834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1976">
      <w:marLeft w:val="0"/>
      <w:marRight w:val="0"/>
      <w:marTop w:val="0"/>
      <w:marBottom w:val="0"/>
      <w:divBdr>
        <w:top w:val="none" w:sz="0" w:space="0" w:color="auto"/>
        <w:left w:val="none" w:sz="0" w:space="0" w:color="auto"/>
        <w:bottom w:val="none" w:sz="0" w:space="0" w:color="auto"/>
        <w:right w:val="none" w:sz="0" w:space="0" w:color="auto"/>
      </w:divBdr>
      <w:divsChild>
        <w:div w:id="257641132">
          <w:marLeft w:val="0"/>
          <w:marRight w:val="0"/>
          <w:marTop w:val="0"/>
          <w:marBottom w:val="0"/>
          <w:divBdr>
            <w:top w:val="none" w:sz="0" w:space="0" w:color="auto"/>
            <w:left w:val="none" w:sz="0" w:space="0" w:color="auto"/>
            <w:bottom w:val="none" w:sz="0" w:space="0" w:color="auto"/>
            <w:right w:val="none" w:sz="0" w:space="0" w:color="auto"/>
          </w:divBdr>
        </w:div>
      </w:divsChild>
    </w:div>
    <w:div w:id="1178151551">
      <w:marLeft w:val="0"/>
      <w:marRight w:val="0"/>
      <w:marTop w:val="0"/>
      <w:marBottom w:val="240"/>
      <w:divBdr>
        <w:top w:val="none" w:sz="0" w:space="0" w:color="auto"/>
        <w:left w:val="none" w:sz="0" w:space="0" w:color="auto"/>
        <w:bottom w:val="none" w:sz="0" w:space="0" w:color="auto"/>
        <w:right w:val="none" w:sz="0" w:space="0" w:color="auto"/>
      </w:divBdr>
    </w:div>
    <w:div w:id="1179738585">
      <w:marLeft w:val="0"/>
      <w:marRight w:val="0"/>
      <w:marTop w:val="0"/>
      <w:marBottom w:val="240"/>
      <w:divBdr>
        <w:top w:val="none" w:sz="0" w:space="0" w:color="auto"/>
        <w:left w:val="none" w:sz="0" w:space="0" w:color="auto"/>
        <w:bottom w:val="none" w:sz="0" w:space="0" w:color="auto"/>
        <w:right w:val="none" w:sz="0" w:space="0" w:color="auto"/>
      </w:divBdr>
    </w:div>
    <w:div w:id="1183323891">
      <w:marLeft w:val="0"/>
      <w:marRight w:val="0"/>
      <w:marTop w:val="0"/>
      <w:marBottom w:val="0"/>
      <w:divBdr>
        <w:top w:val="none" w:sz="0" w:space="0" w:color="auto"/>
        <w:left w:val="none" w:sz="0" w:space="0" w:color="auto"/>
        <w:bottom w:val="none" w:sz="0" w:space="0" w:color="auto"/>
        <w:right w:val="none" w:sz="0" w:space="0" w:color="auto"/>
      </w:divBdr>
      <w:divsChild>
        <w:div w:id="2044792301">
          <w:marLeft w:val="0"/>
          <w:marRight w:val="0"/>
          <w:marTop w:val="160"/>
          <w:marBottom w:val="160"/>
          <w:divBdr>
            <w:top w:val="none" w:sz="0" w:space="0" w:color="auto"/>
            <w:left w:val="none" w:sz="0" w:space="0" w:color="auto"/>
            <w:bottom w:val="none" w:sz="0" w:space="0" w:color="auto"/>
            <w:right w:val="none" w:sz="0" w:space="0" w:color="auto"/>
          </w:divBdr>
        </w:div>
      </w:divsChild>
    </w:div>
    <w:div w:id="1184633122">
      <w:marLeft w:val="0"/>
      <w:marRight w:val="0"/>
      <w:marTop w:val="0"/>
      <w:marBottom w:val="160"/>
      <w:divBdr>
        <w:top w:val="none" w:sz="0" w:space="0" w:color="auto"/>
        <w:left w:val="none" w:sz="0" w:space="0" w:color="auto"/>
        <w:bottom w:val="none" w:sz="0" w:space="0" w:color="auto"/>
        <w:right w:val="none" w:sz="0" w:space="0" w:color="auto"/>
      </w:divBdr>
    </w:div>
    <w:div w:id="1185946550">
      <w:marLeft w:val="0"/>
      <w:marRight w:val="0"/>
      <w:marTop w:val="160"/>
      <w:marBottom w:val="160"/>
      <w:divBdr>
        <w:top w:val="none" w:sz="0" w:space="0" w:color="auto"/>
        <w:left w:val="none" w:sz="0" w:space="0" w:color="auto"/>
        <w:bottom w:val="none" w:sz="0" w:space="0" w:color="auto"/>
        <w:right w:val="none" w:sz="0" w:space="0" w:color="auto"/>
      </w:divBdr>
    </w:div>
    <w:div w:id="1190685462">
      <w:marLeft w:val="0"/>
      <w:marRight w:val="0"/>
      <w:marTop w:val="160"/>
      <w:marBottom w:val="160"/>
      <w:divBdr>
        <w:top w:val="none" w:sz="0" w:space="0" w:color="auto"/>
        <w:left w:val="none" w:sz="0" w:space="0" w:color="auto"/>
        <w:bottom w:val="none" w:sz="0" w:space="0" w:color="auto"/>
        <w:right w:val="none" w:sz="0" w:space="0" w:color="auto"/>
      </w:divBdr>
    </w:div>
    <w:div w:id="1193763880">
      <w:marLeft w:val="0"/>
      <w:marRight w:val="0"/>
      <w:marTop w:val="0"/>
      <w:marBottom w:val="0"/>
      <w:divBdr>
        <w:top w:val="none" w:sz="0" w:space="0" w:color="auto"/>
        <w:left w:val="none" w:sz="0" w:space="0" w:color="auto"/>
        <w:bottom w:val="none" w:sz="0" w:space="0" w:color="auto"/>
        <w:right w:val="none" w:sz="0" w:space="0" w:color="auto"/>
      </w:divBdr>
      <w:divsChild>
        <w:div w:id="685404717">
          <w:marLeft w:val="0"/>
          <w:marRight w:val="0"/>
          <w:marTop w:val="0"/>
          <w:marBottom w:val="0"/>
          <w:divBdr>
            <w:top w:val="none" w:sz="0" w:space="0" w:color="auto"/>
            <w:left w:val="none" w:sz="0" w:space="0" w:color="auto"/>
            <w:bottom w:val="none" w:sz="0" w:space="0" w:color="auto"/>
            <w:right w:val="none" w:sz="0" w:space="0" w:color="auto"/>
          </w:divBdr>
        </w:div>
      </w:divsChild>
    </w:div>
    <w:div w:id="1195730712">
      <w:marLeft w:val="0"/>
      <w:marRight w:val="0"/>
      <w:marTop w:val="180"/>
      <w:marBottom w:val="160"/>
      <w:divBdr>
        <w:top w:val="none" w:sz="0" w:space="0" w:color="auto"/>
        <w:left w:val="none" w:sz="0" w:space="0" w:color="auto"/>
        <w:bottom w:val="none" w:sz="0" w:space="0" w:color="auto"/>
        <w:right w:val="none" w:sz="0" w:space="0" w:color="auto"/>
      </w:divBdr>
    </w:div>
    <w:div w:id="1197231748">
      <w:marLeft w:val="0"/>
      <w:marRight w:val="0"/>
      <w:marTop w:val="0"/>
      <w:marBottom w:val="180"/>
      <w:divBdr>
        <w:top w:val="none" w:sz="0" w:space="0" w:color="auto"/>
        <w:left w:val="none" w:sz="0" w:space="0" w:color="auto"/>
        <w:bottom w:val="none" w:sz="0" w:space="0" w:color="auto"/>
        <w:right w:val="none" w:sz="0" w:space="0" w:color="auto"/>
      </w:divBdr>
    </w:div>
    <w:div w:id="1198154385">
      <w:marLeft w:val="0"/>
      <w:marRight w:val="0"/>
      <w:marTop w:val="0"/>
      <w:marBottom w:val="0"/>
      <w:divBdr>
        <w:top w:val="none" w:sz="0" w:space="0" w:color="auto"/>
        <w:left w:val="none" w:sz="0" w:space="0" w:color="auto"/>
        <w:bottom w:val="none" w:sz="0" w:space="0" w:color="auto"/>
        <w:right w:val="none" w:sz="0" w:space="0" w:color="auto"/>
      </w:divBdr>
      <w:divsChild>
        <w:div w:id="1791901842">
          <w:marLeft w:val="0"/>
          <w:marRight w:val="0"/>
          <w:marTop w:val="160"/>
          <w:marBottom w:val="160"/>
          <w:divBdr>
            <w:top w:val="none" w:sz="0" w:space="0" w:color="auto"/>
            <w:left w:val="none" w:sz="0" w:space="0" w:color="auto"/>
            <w:bottom w:val="none" w:sz="0" w:space="0" w:color="auto"/>
            <w:right w:val="none" w:sz="0" w:space="0" w:color="auto"/>
          </w:divBdr>
        </w:div>
      </w:divsChild>
    </w:div>
    <w:div w:id="1198808748">
      <w:marLeft w:val="0"/>
      <w:marRight w:val="0"/>
      <w:marTop w:val="0"/>
      <w:marBottom w:val="0"/>
      <w:divBdr>
        <w:top w:val="none" w:sz="0" w:space="0" w:color="auto"/>
        <w:left w:val="none" w:sz="0" w:space="0" w:color="auto"/>
        <w:bottom w:val="none" w:sz="0" w:space="0" w:color="auto"/>
        <w:right w:val="none" w:sz="0" w:space="0" w:color="auto"/>
      </w:divBdr>
      <w:divsChild>
        <w:div w:id="1533886033">
          <w:marLeft w:val="0"/>
          <w:marRight w:val="0"/>
          <w:marTop w:val="160"/>
          <w:marBottom w:val="160"/>
          <w:divBdr>
            <w:top w:val="none" w:sz="0" w:space="0" w:color="auto"/>
            <w:left w:val="none" w:sz="0" w:space="0" w:color="auto"/>
            <w:bottom w:val="none" w:sz="0" w:space="0" w:color="auto"/>
            <w:right w:val="none" w:sz="0" w:space="0" w:color="auto"/>
          </w:divBdr>
        </w:div>
      </w:divsChild>
    </w:div>
    <w:div w:id="1198933142">
      <w:marLeft w:val="0"/>
      <w:marRight w:val="0"/>
      <w:marTop w:val="100"/>
      <w:marBottom w:val="100"/>
      <w:divBdr>
        <w:top w:val="none" w:sz="0" w:space="0" w:color="auto"/>
        <w:left w:val="none" w:sz="0" w:space="0" w:color="auto"/>
        <w:bottom w:val="none" w:sz="0" w:space="0" w:color="auto"/>
        <w:right w:val="none" w:sz="0" w:space="0" w:color="auto"/>
      </w:divBdr>
      <w:divsChild>
        <w:div w:id="2054620510">
          <w:marLeft w:val="0"/>
          <w:marRight w:val="0"/>
          <w:marTop w:val="0"/>
          <w:marBottom w:val="0"/>
          <w:divBdr>
            <w:top w:val="none" w:sz="0" w:space="0" w:color="auto"/>
            <w:left w:val="none" w:sz="0" w:space="0" w:color="auto"/>
            <w:bottom w:val="none" w:sz="0" w:space="0" w:color="auto"/>
            <w:right w:val="none" w:sz="0" w:space="0" w:color="auto"/>
          </w:divBdr>
        </w:div>
        <w:div w:id="1749575708">
          <w:marLeft w:val="0"/>
          <w:marRight w:val="0"/>
          <w:marTop w:val="0"/>
          <w:marBottom w:val="0"/>
          <w:divBdr>
            <w:top w:val="none" w:sz="0" w:space="0" w:color="auto"/>
            <w:left w:val="none" w:sz="0" w:space="0" w:color="auto"/>
            <w:bottom w:val="none" w:sz="0" w:space="0" w:color="auto"/>
            <w:right w:val="none" w:sz="0" w:space="0" w:color="auto"/>
          </w:divBdr>
        </w:div>
        <w:div w:id="640306909">
          <w:marLeft w:val="0"/>
          <w:marRight w:val="0"/>
          <w:marTop w:val="0"/>
          <w:marBottom w:val="0"/>
          <w:divBdr>
            <w:top w:val="none" w:sz="0" w:space="0" w:color="auto"/>
            <w:left w:val="none" w:sz="0" w:space="0" w:color="auto"/>
            <w:bottom w:val="none" w:sz="0" w:space="0" w:color="auto"/>
            <w:right w:val="none" w:sz="0" w:space="0" w:color="auto"/>
          </w:divBdr>
        </w:div>
        <w:div w:id="274295956">
          <w:marLeft w:val="0"/>
          <w:marRight w:val="0"/>
          <w:marTop w:val="0"/>
          <w:marBottom w:val="0"/>
          <w:divBdr>
            <w:top w:val="none" w:sz="0" w:space="0" w:color="auto"/>
            <w:left w:val="none" w:sz="0" w:space="0" w:color="auto"/>
            <w:bottom w:val="none" w:sz="0" w:space="0" w:color="auto"/>
            <w:right w:val="none" w:sz="0" w:space="0" w:color="auto"/>
          </w:divBdr>
        </w:div>
        <w:div w:id="490490724">
          <w:marLeft w:val="0"/>
          <w:marRight w:val="0"/>
          <w:marTop w:val="0"/>
          <w:marBottom w:val="0"/>
          <w:divBdr>
            <w:top w:val="none" w:sz="0" w:space="0" w:color="auto"/>
            <w:left w:val="none" w:sz="0" w:space="0" w:color="auto"/>
            <w:bottom w:val="none" w:sz="0" w:space="0" w:color="auto"/>
            <w:right w:val="none" w:sz="0" w:space="0" w:color="auto"/>
          </w:divBdr>
        </w:div>
        <w:div w:id="1640498691">
          <w:marLeft w:val="0"/>
          <w:marRight w:val="0"/>
          <w:marTop w:val="0"/>
          <w:marBottom w:val="0"/>
          <w:divBdr>
            <w:top w:val="none" w:sz="0" w:space="0" w:color="auto"/>
            <w:left w:val="none" w:sz="0" w:space="0" w:color="auto"/>
            <w:bottom w:val="none" w:sz="0" w:space="0" w:color="auto"/>
            <w:right w:val="none" w:sz="0" w:space="0" w:color="auto"/>
          </w:divBdr>
        </w:div>
      </w:divsChild>
    </w:div>
    <w:div w:id="1202087778">
      <w:marLeft w:val="0"/>
      <w:marRight w:val="0"/>
      <w:marTop w:val="0"/>
      <w:marBottom w:val="240"/>
      <w:divBdr>
        <w:top w:val="none" w:sz="0" w:space="0" w:color="auto"/>
        <w:left w:val="none" w:sz="0" w:space="0" w:color="auto"/>
        <w:bottom w:val="none" w:sz="0" w:space="0" w:color="auto"/>
        <w:right w:val="none" w:sz="0" w:space="0" w:color="auto"/>
      </w:divBdr>
    </w:div>
    <w:div w:id="1202400911">
      <w:marLeft w:val="0"/>
      <w:marRight w:val="0"/>
      <w:marTop w:val="0"/>
      <w:marBottom w:val="240"/>
      <w:divBdr>
        <w:top w:val="none" w:sz="0" w:space="0" w:color="auto"/>
        <w:left w:val="none" w:sz="0" w:space="0" w:color="auto"/>
        <w:bottom w:val="none" w:sz="0" w:space="0" w:color="auto"/>
        <w:right w:val="none" w:sz="0" w:space="0" w:color="auto"/>
      </w:divBdr>
    </w:div>
    <w:div w:id="1206483609">
      <w:marLeft w:val="0"/>
      <w:marRight w:val="0"/>
      <w:marTop w:val="0"/>
      <w:marBottom w:val="240"/>
      <w:divBdr>
        <w:top w:val="none" w:sz="0" w:space="0" w:color="auto"/>
        <w:left w:val="none" w:sz="0" w:space="0" w:color="auto"/>
        <w:bottom w:val="none" w:sz="0" w:space="0" w:color="auto"/>
        <w:right w:val="none" w:sz="0" w:space="0" w:color="auto"/>
      </w:divBdr>
    </w:div>
    <w:div w:id="1207836216">
      <w:marLeft w:val="0"/>
      <w:marRight w:val="0"/>
      <w:marTop w:val="240"/>
      <w:marBottom w:val="240"/>
      <w:divBdr>
        <w:top w:val="none" w:sz="0" w:space="0" w:color="auto"/>
        <w:left w:val="none" w:sz="0" w:space="0" w:color="auto"/>
        <w:bottom w:val="none" w:sz="0" w:space="0" w:color="auto"/>
        <w:right w:val="none" w:sz="0" w:space="0" w:color="auto"/>
      </w:divBdr>
    </w:div>
    <w:div w:id="1207911368">
      <w:marLeft w:val="0"/>
      <w:marRight w:val="0"/>
      <w:marTop w:val="0"/>
      <w:marBottom w:val="160"/>
      <w:divBdr>
        <w:top w:val="none" w:sz="0" w:space="0" w:color="auto"/>
        <w:left w:val="none" w:sz="0" w:space="0" w:color="auto"/>
        <w:bottom w:val="none" w:sz="0" w:space="0" w:color="auto"/>
        <w:right w:val="none" w:sz="0" w:space="0" w:color="auto"/>
      </w:divBdr>
    </w:div>
    <w:div w:id="1208490238">
      <w:marLeft w:val="0"/>
      <w:marRight w:val="0"/>
      <w:marTop w:val="0"/>
      <w:marBottom w:val="180"/>
      <w:divBdr>
        <w:top w:val="none" w:sz="0" w:space="0" w:color="auto"/>
        <w:left w:val="none" w:sz="0" w:space="0" w:color="auto"/>
        <w:bottom w:val="none" w:sz="0" w:space="0" w:color="auto"/>
        <w:right w:val="none" w:sz="0" w:space="0" w:color="auto"/>
      </w:divBdr>
    </w:div>
    <w:div w:id="1208645560">
      <w:marLeft w:val="0"/>
      <w:marRight w:val="0"/>
      <w:marTop w:val="0"/>
      <w:marBottom w:val="240"/>
      <w:divBdr>
        <w:top w:val="none" w:sz="0" w:space="0" w:color="auto"/>
        <w:left w:val="none" w:sz="0" w:space="0" w:color="auto"/>
        <w:bottom w:val="none" w:sz="0" w:space="0" w:color="auto"/>
        <w:right w:val="none" w:sz="0" w:space="0" w:color="auto"/>
      </w:divBdr>
    </w:div>
    <w:div w:id="1209145869">
      <w:marLeft w:val="0"/>
      <w:marRight w:val="0"/>
      <w:marTop w:val="100"/>
      <w:marBottom w:val="240"/>
      <w:divBdr>
        <w:top w:val="none" w:sz="0" w:space="0" w:color="auto"/>
        <w:left w:val="none" w:sz="0" w:space="0" w:color="auto"/>
        <w:bottom w:val="none" w:sz="0" w:space="0" w:color="auto"/>
        <w:right w:val="none" w:sz="0" w:space="0" w:color="auto"/>
      </w:divBdr>
    </w:div>
    <w:div w:id="1211916635">
      <w:marLeft w:val="0"/>
      <w:marRight w:val="0"/>
      <w:marTop w:val="0"/>
      <w:marBottom w:val="0"/>
      <w:divBdr>
        <w:top w:val="none" w:sz="0" w:space="0" w:color="auto"/>
        <w:left w:val="none" w:sz="0" w:space="0" w:color="auto"/>
        <w:bottom w:val="none" w:sz="0" w:space="0" w:color="auto"/>
        <w:right w:val="none" w:sz="0" w:space="0" w:color="auto"/>
      </w:divBdr>
      <w:divsChild>
        <w:div w:id="82919781">
          <w:marLeft w:val="0"/>
          <w:marRight w:val="0"/>
          <w:marTop w:val="160"/>
          <w:marBottom w:val="160"/>
          <w:divBdr>
            <w:top w:val="none" w:sz="0" w:space="0" w:color="auto"/>
            <w:left w:val="none" w:sz="0" w:space="0" w:color="auto"/>
            <w:bottom w:val="none" w:sz="0" w:space="0" w:color="auto"/>
            <w:right w:val="none" w:sz="0" w:space="0" w:color="auto"/>
          </w:divBdr>
        </w:div>
      </w:divsChild>
    </w:div>
    <w:div w:id="1213812191">
      <w:marLeft w:val="0"/>
      <w:marRight w:val="0"/>
      <w:marTop w:val="0"/>
      <w:marBottom w:val="240"/>
      <w:divBdr>
        <w:top w:val="none" w:sz="0" w:space="0" w:color="auto"/>
        <w:left w:val="none" w:sz="0" w:space="0" w:color="auto"/>
        <w:bottom w:val="none" w:sz="0" w:space="0" w:color="auto"/>
        <w:right w:val="none" w:sz="0" w:space="0" w:color="auto"/>
      </w:divBdr>
    </w:div>
    <w:div w:id="1214462382">
      <w:marLeft w:val="0"/>
      <w:marRight w:val="0"/>
      <w:marTop w:val="0"/>
      <w:marBottom w:val="240"/>
      <w:divBdr>
        <w:top w:val="none" w:sz="0" w:space="0" w:color="auto"/>
        <w:left w:val="none" w:sz="0" w:space="0" w:color="auto"/>
        <w:bottom w:val="none" w:sz="0" w:space="0" w:color="auto"/>
        <w:right w:val="none" w:sz="0" w:space="0" w:color="auto"/>
      </w:divBdr>
    </w:div>
    <w:div w:id="1217274260">
      <w:marLeft w:val="0"/>
      <w:marRight w:val="0"/>
      <w:marTop w:val="160"/>
      <w:marBottom w:val="160"/>
      <w:divBdr>
        <w:top w:val="none" w:sz="0" w:space="0" w:color="auto"/>
        <w:left w:val="none" w:sz="0" w:space="0" w:color="auto"/>
        <w:bottom w:val="none" w:sz="0" w:space="0" w:color="auto"/>
        <w:right w:val="none" w:sz="0" w:space="0" w:color="auto"/>
      </w:divBdr>
    </w:div>
    <w:div w:id="1219393215">
      <w:marLeft w:val="0"/>
      <w:marRight w:val="0"/>
      <w:marTop w:val="100"/>
      <w:marBottom w:val="100"/>
      <w:divBdr>
        <w:top w:val="none" w:sz="0" w:space="0" w:color="auto"/>
        <w:left w:val="none" w:sz="0" w:space="0" w:color="auto"/>
        <w:bottom w:val="none" w:sz="0" w:space="0" w:color="auto"/>
        <w:right w:val="none" w:sz="0" w:space="0" w:color="auto"/>
      </w:divBdr>
    </w:div>
    <w:div w:id="1220483680">
      <w:marLeft w:val="0"/>
      <w:marRight w:val="0"/>
      <w:marTop w:val="160"/>
      <w:marBottom w:val="160"/>
      <w:divBdr>
        <w:top w:val="none" w:sz="0" w:space="0" w:color="auto"/>
        <w:left w:val="none" w:sz="0" w:space="0" w:color="auto"/>
        <w:bottom w:val="none" w:sz="0" w:space="0" w:color="auto"/>
        <w:right w:val="none" w:sz="0" w:space="0" w:color="auto"/>
      </w:divBdr>
    </w:div>
    <w:div w:id="1222717949">
      <w:marLeft w:val="0"/>
      <w:marRight w:val="0"/>
      <w:marTop w:val="0"/>
      <w:marBottom w:val="240"/>
      <w:divBdr>
        <w:top w:val="none" w:sz="0" w:space="0" w:color="auto"/>
        <w:left w:val="none" w:sz="0" w:space="0" w:color="auto"/>
        <w:bottom w:val="none" w:sz="0" w:space="0" w:color="auto"/>
        <w:right w:val="none" w:sz="0" w:space="0" w:color="auto"/>
      </w:divBdr>
    </w:div>
    <w:div w:id="1223449079">
      <w:marLeft w:val="0"/>
      <w:marRight w:val="0"/>
      <w:marTop w:val="0"/>
      <w:marBottom w:val="0"/>
      <w:divBdr>
        <w:top w:val="none" w:sz="0" w:space="0" w:color="auto"/>
        <w:left w:val="none" w:sz="0" w:space="0" w:color="auto"/>
        <w:bottom w:val="none" w:sz="0" w:space="0" w:color="auto"/>
        <w:right w:val="none" w:sz="0" w:space="0" w:color="auto"/>
      </w:divBdr>
      <w:divsChild>
        <w:div w:id="319578194">
          <w:marLeft w:val="0"/>
          <w:marRight w:val="0"/>
          <w:marTop w:val="0"/>
          <w:marBottom w:val="0"/>
          <w:divBdr>
            <w:top w:val="none" w:sz="0" w:space="0" w:color="auto"/>
            <w:left w:val="none" w:sz="0" w:space="0" w:color="auto"/>
            <w:bottom w:val="none" w:sz="0" w:space="0" w:color="auto"/>
            <w:right w:val="none" w:sz="0" w:space="0" w:color="auto"/>
          </w:divBdr>
        </w:div>
      </w:divsChild>
    </w:div>
    <w:div w:id="1224490271">
      <w:marLeft w:val="0"/>
      <w:marRight w:val="0"/>
      <w:marTop w:val="0"/>
      <w:marBottom w:val="240"/>
      <w:divBdr>
        <w:top w:val="none" w:sz="0" w:space="0" w:color="auto"/>
        <w:left w:val="none" w:sz="0" w:space="0" w:color="auto"/>
        <w:bottom w:val="none" w:sz="0" w:space="0" w:color="auto"/>
        <w:right w:val="none" w:sz="0" w:space="0" w:color="auto"/>
      </w:divBdr>
    </w:div>
    <w:div w:id="1224684589">
      <w:marLeft w:val="0"/>
      <w:marRight w:val="0"/>
      <w:marTop w:val="0"/>
      <w:marBottom w:val="0"/>
      <w:divBdr>
        <w:top w:val="none" w:sz="0" w:space="0" w:color="auto"/>
        <w:left w:val="none" w:sz="0" w:space="0" w:color="auto"/>
        <w:bottom w:val="none" w:sz="0" w:space="0" w:color="auto"/>
        <w:right w:val="none" w:sz="0" w:space="0" w:color="auto"/>
      </w:divBdr>
      <w:divsChild>
        <w:div w:id="840971816">
          <w:marLeft w:val="0"/>
          <w:marRight w:val="0"/>
          <w:marTop w:val="160"/>
          <w:marBottom w:val="0"/>
          <w:divBdr>
            <w:top w:val="none" w:sz="0" w:space="0" w:color="auto"/>
            <w:left w:val="none" w:sz="0" w:space="0" w:color="auto"/>
            <w:bottom w:val="none" w:sz="0" w:space="0" w:color="auto"/>
            <w:right w:val="none" w:sz="0" w:space="0" w:color="auto"/>
          </w:divBdr>
        </w:div>
        <w:div w:id="1026172123">
          <w:marLeft w:val="0"/>
          <w:marRight w:val="0"/>
          <w:marTop w:val="60"/>
          <w:marBottom w:val="60"/>
          <w:divBdr>
            <w:top w:val="none" w:sz="0" w:space="0" w:color="auto"/>
            <w:left w:val="none" w:sz="0" w:space="0" w:color="auto"/>
            <w:bottom w:val="none" w:sz="0" w:space="0" w:color="auto"/>
            <w:right w:val="none" w:sz="0" w:space="0" w:color="auto"/>
          </w:divBdr>
        </w:div>
        <w:div w:id="1801259668">
          <w:marLeft w:val="0"/>
          <w:marRight w:val="0"/>
          <w:marTop w:val="60"/>
          <w:marBottom w:val="60"/>
          <w:divBdr>
            <w:top w:val="none" w:sz="0" w:space="0" w:color="auto"/>
            <w:left w:val="none" w:sz="0" w:space="0" w:color="auto"/>
            <w:bottom w:val="none" w:sz="0" w:space="0" w:color="auto"/>
            <w:right w:val="none" w:sz="0" w:space="0" w:color="auto"/>
          </w:divBdr>
        </w:div>
        <w:div w:id="1681543109">
          <w:marLeft w:val="0"/>
          <w:marRight w:val="0"/>
          <w:marTop w:val="60"/>
          <w:marBottom w:val="60"/>
          <w:divBdr>
            <w:top w:val="none" w:sz="0" w:space="0" w:color="auto"/>
            <w:left w:val="none" w:sz="0" w:space="0" w:color="auto"/>
            <w:bottom w:val="none" w:sz="0" w:space="0" w:color="auto"/>
            <w:right w:val="none" w:sz="0" w:space="0" w:color="auto"/>
          </w:divBdr>
        </w:div>
      </w:divsChild>
    </w:div>
    <w:div w:id="1227110608">
      <w:marLeft w:val="0"/>
      <w:marRight w:val="0"/>
      <w:marTop w:val="0"/>
      <w:marBottom w:val="60"/>
      <w:divBdr>
        <w:top w:val="none" w:sz="0" w:space="0" w:color="auto"/>
        <w:left w:val="none" w:sz="0" w:space="0" w:color="auto"/>
        <w:bottom w:val="none" w:sz="0" w:space="0" w:color="auto"/>
        <w:right w:val="none" w:sz="0" w:space="0" w:color="auto"/>
      </w:divBdr>
    </w:div>
    <w:div w:id="1228151501">
      <w:marLeft w:val="0"/>
      <w:marRight w:val="0"/>
      <w:marTop w:val="0"/>
      <w:marBottom w:val="0"/>
      <w:divBdr>
        <w:top w:val="none" w:sz="0" w:space="0" w:color="auto"/>
        <w:left w:val="none" w:sz="0" w:space="0" w:color="auto"/>
        <w:bottom w:val="none" w:sz="0" w:space="0" w:color="auto"/>
        <w:right w:val="none" w:sz="0" w:space="0" w:color="auto"/>
      </w:divBdr>
      <w:divsChild>
        <w:div w:id="1465198036">
          <w:marLeft w:val="0"/>
          <w:marRight w:val="0"/>
          <w:marTop w:val="160"/>
          <w:marBottom w:val="160"/>
          <w:divBdr>
            <w:top w:val="none" w:sz="0" w:space="0" w:color="auto"/>
            <w:left w:val="none" w:sz="0" w:space="0" w:color="auto"/>
            <w:bottom w:val="none" w:sz="0" w:space="0" w:color="auto"/>
            <w:right w:val="none" w:sz="0" w:space="0" w:color="auto"/>
          </w:divBdr>
        </w:div>
      </w:divsChild>
    </w:div>
    <w:div w:id="1231424121">
      <w:marLeft w:val="0"/>
      <w:marRight w:val="0"/>
      <w:marTop w:val="180"/>
      <w:marBottom w:val="0"/>
      <w:divBdr>
        <w:top w:val="none" w:sz="0" w:space="0" w:color="auto"/>
        <w:left w:val="none" w:sz="0" w:space="0" w:color="auto"/>
        <w:bottom w:val="none" w:sz="0" w:space="0" w:color="auto"/>
        <w:right w:val="none" w:sz="0" w:space="0" w:color="auto"/>
      </w:divBdr>
    </w:div>
    <w:div w:id="1237783503">
      <w:marLeft w:val="0"/>
      <w:marRight w:val="0"/>
      <w:marTop w:val="0"/>
      <w:marBottom w:val="0"/>
      <w:divBdr>
        <w:top w:val="none" w:sz="0" w:space="0" w:color="auto"/>
        <w:left w:val="none" w:sz="0" w:space="0" w:color="auto"/>
        <w:bottom w:val="none" w:sz="0" w:space="0" w:color="auto"/>
        <w:right w:val="none" w:sz="0" w:space="0" w:color="auto"/>
      </w:divBdr>
      <w:divsChild>
        <w:div w:id="1571651536">
          <w:marLeft w:val="0"/>
          <w:marRight w:val="0"/>
          <w:marTop w:val="160"/>
          <w:marBottom w:val="0"/>
          <w:divBdr>
            <w:top w:val="none" w:sz="0" w:space="0" w:color="auto"/>
            <w:left w:val="none" w:sz="0" w:space="0" w:color="auto"/>
            <w:bottom w:val="none" w:sz="0" w:space="0" w:color="auto"/>
            <w:right w:val="none" w:sz="0" w:space="0" w:color="auto"/>
          </w:divBdr>
        </w:div>
        <w:div w:id="1807157907">
          <w:marLeft w:val="0"/>
          <w:marRight w:val="0"/>
          <w:marTop w:val="60"/>
          <w:marBottom w:val="60"/>
          <w:divBdr>
            <w:top w:val="none" w:sz="0" w:space="0" w:color="auto"/>
            <w:left w:val="none" w:sz="0" w:space="0" w:color="auto"/>
            <w:bottom w:val="none" w:sz="0" w:space="0" w:color="auto"/>
            <w:right w:val="none" w:sz="0" w:space="0" w:color="auto"/>
          </w:divBdr>
        </w:div>
        <w:div w:id="605383216">
          <w:marLeft w:val="0"/>
          <w:marRight w:val="0"/>
          <w:marTop w:val="60"/>
          <w:marBottom w:val="60"/>
          <w:divBdr>
            <w:top w:val="none" w:sz="0" w:space="0" w:color="auto"/>
            <w:left w:val="none" w:sz="0" w:space="0" w:color="auto"/>
            <w:bottom w:val="none" w:sz="0" w:space="0" w:color="auto"/>
            <w:right w:val="none" w:sz="0" w:space="0" w:color="auto"/>
          </w:divBdr>
        </w:div>
        <w:div w:id="1779061524">
          <w:marLeft w:val="0"/>
          <w:marRight w:val="0"/>
          <w:marTop w:val="60"/>
          <w:marBottom w:val="60"/>
          <w:divBdr>
            <w:top w:val="none" w:sz="0" w:space="0" w:color="auto"/>
            <w:left w:val="none" w:sz="0" w:space="0" w:color="auto"/>
            <w:bottom w:val="none" w:sz="0" w:space="0" w:color="auto"/>
            <w:right w:val="none" w:sz="0" w:space="0" w:color="auto"/>
          </w:divBdr>
        </w:div>
      </w:divsChild>
    </w:div>
    <w:div w:id="1239167057">
      <w:marLeft w:val="0"/>
      <w:marRight w:val="0"/>
      <w:marTop w:val="0"/>
      <w:marBottom w:val="0"/>
      <w:divBdr>
        <w:top w:val="none" w:sz="0" w:space="0" w:color="auto"/>
        <w:left w:val="none" w:sz="0" w:space="0" w:color="auto"/>
        <w:bottom w:val="none" w:sz="0" w:space="0" w:color="auto"/>
        <w:right w:val="none" w:sz="0" w:space="0" w:color="auto"/>
      </w:divBdr>
    </w:div>
    <w:div w:id="1239631907">
      <w:marLeft w:val="0"/>
      <w:marRight w:val="0"/>
      <w:marTop w:val="0"/>
      <w:marBottom w:val="180"/>
      <w:divBdr>
        <w:top w:val="none" w:sz="0" w:space="0" w:color="auto"/>
        <w:left w:val="none" w:sz="0" w:space="0" w:color="auto"/>
        <w:bottom w:val="none" w:sz="0" w:space="0" w:color="auto"/>
        <w:right w:val="none" w:sz="0" w:space="0" w:color="auto"/>
      </w:divBdr>
    </w:div>
    <w:div w:id="1239708140">
      <w:marLeft w:val="0"/>
      <w:marRight w:val="0"/>
      <w:marTop w:val="160"/>
      <w:marBottom w:val="160"/>
      <w:divBdr>
        <w:top w:val="none" w:sz="0" w:space="0" w:color="auto"/>
        <w:left w:val="none" w:sz="0" w:space="0" w:color="auto"/>
        <w:bottom w:val="none" w:sz="0" w:space="0" w:color="auto"/>
        <w:right w:val="none" w:sz="0" w:space="0" w:color="auto"/>
      </w:divBdr>
    </w:div>
    <w:div w:id="1244798318">
      <w:marLeft w:val="0"/>
      <w:marRight w:val="0"/>
      <w:marTop w:val="100"/>
      <w:marBottom w:val="240"/>
      <w:divBdr>
        <w:top w:val="none" w:sz="0" w:space="0" w:color="auto"/>
        <w:left w:val="none" w:sz="0" w:space="0" w:color="auto"/>
        <w:bottom w:val="none" w:sz="0" w:space="0" w:color="auto"/>
        <w:right w:val="none" w:sz="0" w:space="0" w:color="auto"/>
      </w:divBdr>
    </w:div>
    <w:div w:id="1246115301">
      <w:marLeft w:val="0"/>
      <w:marRight w:val="0"/>
      <w:marTop w:val="60"/>
      <w:marBottom w:val="0"/>
      <w:divBdr>
        <w:top w:val="none" w:sz="0" w:space="0" w:color="auto"/>
        <w:left w:val="none" w:sz="0" w:space="0" w:color="auto"/>
        <w:bottom w:val="none" w:sz="0" w:space="0" w:color="auto"/>
        <w:right w:val="none" w:sz="0" w:space="0" w:color="auto"/>
      </w:divBdr>
    </w:div>
    <w:div w:id="1248416548">
      <w:marLeft w:val="0"/>
      <w:marRight w:val="0"/>
      <w:marTop w:val="160"/>
      <w:marBottom w:val="160"/>
      <w:divBdr>
        <w:top w:val="none" w:sz="0" w:space="0" w:color="auto"/>
        <w:left w:val="none" w:sz="0" w:space="0" w:color="auto"/>
        <w:bottom w:val="none" w:sz="0" w:space="0" w:color="auto"/>
        <w:right w:val="none" w:sz="0" w:space="0" w:color="auto"/>
      </w:divBdr>
    </w:div>
    <w:div w:id="1250772927">
      <w:marLeft w:val="0"/>
      <w:marRight w:val="0"/>
      <w:marTop w:val="100"/>
      <w:marBottom w:val="100"/>
      <w:divBdr>
        <w:top w:val="none" w:sz="0" w:space="0" w:color="auto"/>
        <w:left w:val="none" w:sz="0" w:space="0" w:color="auto"/>
        <w:bottom w:val="none" w:sz="0" w:space="0" w:color="auto"/>
        <w:right w:val="none" w:sz="0" w:space="0" w:color="auto"/>
      </w:divBdr>
    </w:div>
    <w:div w:id="1257249982">
      <w:marLeft w:val="0"/>
      <w:marRight w:val="0"/>
      <w:marTop w:val="0"/>
      <w:marBottom w:val="0"/>
      <w:divBdr>
        <w:top w:val="none" w:sz="0" w:space="0" w:color="auto"/>
        <w:left w:val="none" w:sz="0" w:space="0" w:color="auto"/>
        <w:bottom w:val="none" w:sz="0" w:space="0" w:color="auto"/>
        <w:right w:val="none" w:sz="0" w:space="0" w:color="auto"/>
      </w:divBdr>
    </w:div>
    <w:div w:id="1258909298">
      <w:marLeft w:val="0"/>
      <w:marRight w:val="0"/>
      <w:marTop w:val="0"/>
      <w:marBottom w:val="0"/>
      <w:divBdr>
        <w:top w:val="none" w:sz="0" w:space="0" w:color="auto"/>
        <w:left w:val="none" w:sz="0" w:space="0" w:color="auto"/>
        <w:bottom w:val="none" w:sz="0" w:space="0" w:color="auto"/>
        <w:right w:val="none" w:sz="0" w:space="0" w:color="auto"/>
      </w:divBdr>
      <w:divsChild>
        <w:div w:id="1611231815">
          <w:marLeft w:val="0"/>
          <w:marRight w:val="0"/>
          <w:marTop w:val="0"/>
          <w:marBottom w:val="0"/>
          <w:divBdr>
            <w:top w:val="none" w:sz="0" w:space="0" w:color="auto"/>
            <w:left w:val="none" w:sz="0" w:space="0" w:color="auto"/>
            <w:bottom w:val="none" w:sz="0" w:space="0" w:color="auto"/>
            <w:right w:val="none" w:sz="0" w:space="0" w:color="auto"/>
          </w:divBdr>
        </w:div>
      </w:divsChild>
    </w:div>
    <w:div w:id="1259168623">
      <w:marLeft w:val="0"/>
      <w:marRight w:val="0"/>
      <w:marTop w:val="160"/>
      <w:marBottom w:val="160"/>
      <w:divBdr>
        <w:top w:val="none" w:sz="0" w:space="0" w:color="auto"/>
        <w:left w:val="none" w:sz="0" w:space="0" w:color="auto"/>
        <w:bottom w:val="none" w:sz="0" w:space="0" w:color="auto"/>
        <w:right w:val="none" w:sz="0" w:space="0" w:color="auto"/>
      </w:divBdr>
    </w:div>
    <w:div w:id="1260525428">
      <w:marLeft w:val="0"/>
      <w:marRight w:val="0"/>
      <w:marTop w:val="0"/>
      <w:marBottom w:val="240"/>
      <w:divBdr>
        <w:top w:val="none" w:sz="0" w:space="0" w:color="auto"/>
        <w:left w:val="none" w:sz="0" w:space="0" w:color="auto"/>
        <w:bottom w:val="none" w:sz="0" w:space="0" w:color="auto"/>
        <w:right w:val="none" w:sz="0" w:space="0" w:color="auto"/>
      </w:divBdr>
    </w:div>
    <w:div w:id="1263800829">
      <w:marLeft w:val="0"/>
      <w:marRight w:val="0"/>
      <w:marTop w:val="0"/>
      <w:marBottom w:val="180"/>
      <w:divBdr>
        <w:top w:val="none" w:sz="0" w:space="0" w:color="auto"/>
        <w:left w:val="none" w:sz="0" w:space="0" w:color="auto"/>
        <w:bottom w:val="none" w:sz="0" w:space="0" w:color="auto"/>
        <w:right w:val="none" w:sz="0" w:space="0" w:color="auto"/>
      </w:divBdr>
    </w:div>
    <w:div w:id="1264416523">
      <w:marLeft w:val="0"/>
      <w:marRight w:val="0"/>
      <w:marTop w:val="160"/>
      <w:marBottom w:val="100"/>
      <w:divBdr>
        <w:top w:val="none" w:sz="0" w:space="0" w:color="auto"/>
        <w:left w:val="none" w:sz="0" w:space="0" w:color="auto"/>
        <w:bottom w:val="none" w:sz="0" w:space="0" w:color="auto"/>
        <w:right w:val="none" w:sz="0" w:space="0" w:color="auto"/>
      </w:divBdr>
    </w:div>
    <w:div w:id="1267619229">
      <w:marLeft w:val="0"/>
      <w:marRight w:val="0"/>
      <w:marTop w:val="0"/>
      <w:marBottom w:val="0"/>
      <w:divBdr>
        <w:top w:val="none" w:sz="0" w:space="0" w:color="auto"/>
        <w:left w:val="none" w:sz="0" w:space="0" w:color="auto"/>
        <w:bottom w:val="none" w:sz="0" w:space="0" w:color="auto"/>
        <w:right w:val="none" w:sz="0" w:space="0" w:color="auto"/>
      </w:divBdr>
    </w:div>
    <w:div w:id="1269966050">
      <w:marLeft w:val="0"/>
      <w:marRight w:val="0"/>
      <w:marTop w:val="0"/>
      <w:marBottom w:val="0"/>
      <w:divBdr>
        <w:top w:val="none" w:sz="0" w:space="0" w:color="auto"/>
        <w:left w:val="none" w:sz="0" w:space="0" w:color="auto"/>
        <w:bottom w:val="none" w:sz="0" w:space="0" w:color="auto"/>
        <w:right w:val="none" w:sz="0" w:space="0" w:color="auto"/>
      </w:divBdr>
    </w:div>
    <w:div w:id="1273047648">
      <w:marLeft w:val="0"/>
      <w:marRight w:val="0"/>
      <w:marTop w:val="0"/>
      <w:marBottom w:val="240"/>
      <w:divBdr>
        <w:top w:val="none" w:sz="0" w:space="0" w:color="auto"/>
        <w:left w:val="none" w:sz="0" w:space="0" w:color="auto"/>
        <w:bottom w:val="none" w:sz="0" w:space="0" w:color="auto"/>
        <w:right w:val="none" w:sz="0" w:space="0" w:color="auto"/>
      </w:divBdr>
    </w:div>
    <w:div w:id="1277516292">
      <w:marLeft w:val="0"/>
      <w:marRight w:val="0"/>
      <w:marTop w:val="160"/>
      <w:marBottom w:val="160"/>
      <w:divBdr>
        <w:top w:val="none" w:sz="0" w:space="0" w:color="auto"/>
        <w:left w:val="none" w:sz="0" w:space="0" w:color="auto"/>
        <w:bottom w:val="none" w:sz="0" w:space="0" w:color="auto"/>
        <w:right w:val="none" w:sz="0" w:space="0" w:color="auto"/>
      </w:divBdr>
    </w:div>
    <w:div w:id="1283877244">
      <w:marLeft w:val="0"/>
      <w:marRight w:val="0"/>
      <w:marTop w:val="0"/>
      <w:marBottom w:val="0"/>
      <w:divBdr>
        <w:top w:val="none" w:sz="0" w:space="0" w:color="auto"/>
        <w:left w:val="none" w:sz="0" w:space="0" w:color="auto"/>
        <w:bottom w:val="none" w:sz="0" w:space="0" w:color="auto"/>
        <w:right w:val="none" w:sz="0" w:space="0" w:color="auto"/>
      </w:divBdr>
      <w:divsChild>
        <w:div w:id="1334256525">
          <w:marLeft w:val="0"/>
          <w:marRight w:val="0"/>
          <w:marTop w:val="160"/>
          <w:marBottom w:val="0"/>
          <w:divBdr>
            <w:top w:val="none" w:sz="0" w:space="0" w:color="auto"/>
            <w:left w:val="none" w:sz="0" w:space="0" w:color="auto"/>
            <w:bottom w:val="none" w:sz="0" w:space="0" w:color="auto"/>
            <w:right w:val="none" w:sz="0" w:space="0" w:color="auto"/>
          </w:divBdr>
        </w:div>
        <w:div w:id="1583444248">
          <w:marLeft w:val="0"/>
          <w:marRight w:val="0"/>
          <w:marTop w:val="60"/>
          <w:marBottom w:val="60"/>
          <w:divBdr>
            <w:top w:val="none" w:sz="0" w:space="0" w:color="auto"/>
            <w:left w:val="none" w:sz="0" w:space="0" w:color="auto"/>
            <w:bottom w:val="none" w:sz="0" w:space="0" w:color="auto"/>
            <w:right w:val="none" w:sz="0" w:space="0" w:color="auto"/>
          </w:divBdr>
        </w:div>
        <w:div w:id="1064719265">
          <w:marLeft w:val="0"/>
          <w:marRight w:val="0"/>
          <w:marTop w:val="60"/>
          <w:marBottom w:val="60"/>
          <w:divBdr>
            <w:top w:val="none" w:sz="0" w:space="0" w:color="auto"/>
            <w:left w:val="none" w:sz="0" w:space="0" w:color="auto"/>
            <w:bottom w:val="none" w:sz="0" w:space="0" w:color="auto"/>
            <w:right w:val="none" w:sz="0" w:space="0" w:color="auto"/>
          </w:divBdr>
        </w:div>
        <w:div w:id="2026394115">
          <w:marLeft w:val="0"/>
          <w:marRight w:val="0"/>
          <w:marTop w:val="60"/>
          <w:marBottom w:val="60"/>
          <w:divBdr>
            <w:top w:val="none" w:sz="0" w:space="0" w:color="auto"/>
            <w:left w:val="none" w:sz="0" w:space="0" w:color="auto"/>
            <w:bottom w:val="none" w:sz="0" w:space="0" w:color="auto"/>
            <w:right w:val="none" w:sz="0" w:space="0" w:color="auto"/>
          </w:divBdr>
        </w:div>
      </w:divsChild>
    </w:div>
    <w:div w:id="1287152176">
      <w:marLeft w:val="0"/>
      <w:marRight w:val="0"/>
      <w:marTop w:val="0"/>
      <w:marBottom w:val="240"/>
      <w:divBdr>
        <w:top w:val="none" w:sz="0" w:space="0" w:color="auto"/>
        <w:left w:val="none" w:sz="0" w:space="0" w:color="auto"/>
        <w:bottom w:val="none" w:sz="0" w:space="0" w:color="auto"/>
        <w:right w:val="none" w:sz="0" w:space="0" w:color="auto"/>
      </w:divBdr>
    </w:div>
    <w:div w:id="1290210267">
      <w:marLeft w:val="0"/>
      <w:marRight w:val="0"/>
      <w:marTop w:val="66"/>
      <w:marBottom w:val="0"/>
      <w:divBdr>
        <w:top w:val="none" w:sz="0" w:space="0" w:color="auto"/>
        <w:left w:val="none" w:sz="0" w:space="0" w:color="auto"/>
        <w:bottom w:val="none" w:sz="0" w:space="0" w:color="auto"/>
        <w:right w:val="none" w:sz="0" w:space="0" w:color="auto"/>
      </w:divBdr>
    </w:div>
    <w:div w:id="1291476236">
      <w:marLeft w:val="0"/>
      <w:marRight w:val="0"/>
      <w:marTop w:val="160"/>
      <w:marBottom w:val="160"/>
      <w:divBdr>
        <w:top w:val="none" w:sz="0" w:space="0" w:color="auto"/>
        <w:left w:val="none" w:sz="0" w:space="0" w:color="auto"/>
        <w:bottom w:val="none" w:sz="0" w:space="0" w:color="auto"/>
        <w:right w:val="none" w:sz="0" w:space="0" w:color="auto"/>
      </w:divBdr>
    </w:div>
    <w:div w:id="1297299160">
      <w:marLeft w:val="0"/>
      <w:marRight w:val="0"/>
      <w:marTop w:val="0"/>
      <w:marBottom w:val="240"/>
      <w:divBdr>
        <w:top w:val="none" w:sz="0" w:space="0" w:color="auto"/>
        <w:left w:val="none" w:sz="0" w:space="0" w:color="auto"/>
        <w:bottom w:val="none" w:sz="0" w:space="0" w:color="auto"/>
        <w:right w:val="none" w:sz="0" w:space="0" w:color="auto"/>
      </w:divBdr>
    </w:div>
    <w:div w:id="1298802514">
      <w:marLeft w:val="0"/>
      <w:marRight w:val="0"/>
      <w:marTop w:val="0"/>
      <w:marBottom w:val="240"/>
      <w:divBdr>
        <w:top w:val="none" w:sz="0" w:space="0" w:color="auto"/>
        <w:left w:val="none" w:sz="0" w:space="0" w:color="auto"/>
        <w:bottom w:val="none" w:sz="0" w:space="0" w:color="auto"/>
        <w:right w:val="none" w:sz="0" w:space="0" w:color="auto"/>
      </w:divBdr>
    </w:div>
    <w:div w:id="1310934922">
      <w:marLeft w:val="0"/>
      <w:marRight w:val="0"/>
      <w:marTop w:val="0"/>
      <w:marBottom w:val="240"/>
      <w:divBdr>
        <w:top w:val="none" w:sz="0" w:space="0" w:color="auto"/>
        <w:left w:val="none" w:sz="0" w:space="0" w:color="auto"/>
        <w:bottom w:val="none" w:sz="0" w:space="0" w:color="auto"/>
        <w:right w:val="none" w:sz="0" w:space="0" w:color="auto"/>
      </w:divBdr>
    </w:div>
    <w:div w:id="1311790375">
      <w:marLeft w:val="0"/>
      <w:marRight w:val="0"/>
      <w:marTop w:val="0"/>
      <w:marBottom w:val="0"/>
      <w:divBdr>
        <w:top w:val="none" w:sz="0" w:space="0" w:color="auto"/>
        <w:left w:val="none" w:sz="0" w:space="0" w:color="auto"/>
        <w:bottom w:val="none" w:sz="0" w:space="0" w:color="auto"/>
        <w:right w:val="none" w:sz="0" w:space="0" w:color="auto"/>
      </w:divBdr>
    </w:div>
    <w:div w:id="1312371331">
      <w:marLeft w:val="0"/>
      <w:marRight w:val="0"/>
      <w:marTop w:val="0"/>
      <w:marBottom w:val="240"/>
      <w:divBdr>
        <w:top w:val="none" w:sz="0" w:space="0" w:color="auto"/>
        <w:left w:val="none" w:sz="0" w:space="0" w:color="auto"/>
        <w:bottom w:val="none" w:sz="0" w:space="0" w:color="auto"/>
        <w:right w:val="none" w:sz="0" w:space="0" w:color="auto"/>
      </w:divBdr>
    </w:div>
    <w:div w:id="1314796071">
      <w:marLeft w:val="0"/>
      <w:marRight w:val="0"/>
      <w:marTop w:val="100"/>
      <w:marBottom w:val="100"/>
      <w:divBdr>
        <w:top w:val="none" w:sz="0" w:space="0" w:color="auto"/>
        <w:left w:val="none" w:sz="0" w:space="0" w:color="auto"/>
        <w:bottom w:val="none" w:sz="0" w:space="0" w:color="auto"/>
        <w:right w:val="none" w:sz="0" w:space="0" w:color="auto"/>
      </w:divBdr>
      <w:divsChild>
        <w:div w:id="1787390601">
          <w:marLeft w:val="0"/>
          <w:marRight w:val="0"/>
          <w:marTop w:val="0"/>
          <w:marBottom w:val="0"/>
          <w:divBdr>
            <w:top w:val="none" w:sz="0" w:space="0" w:color="auto"/>
            <w:left w:val="none" w:sz="0" w:space="0" w:color="auto"/>
            <w:bottom w:val="none" w:sz="0" w:space="0" w:color="auto"/>
            <w:right w:val="none" w:sz="0" w:space="0" w:color="auto"/>
          </w:divBdr>
        </w:div>
        <w:div w:id="591010301">
          <w:marLeft w:val="0"/>
          <w:marRight w:val="0"/>
          <w:marTop w:val="0"/>
          <w:marBottom w:val="0"/>
          <w:divBdr>
            <w:top w:val="none" w:sz="0" w:space="0" w:color="auto"/>
            <w:left w:val="none" w:sz="0" w:space="0" w:color="auto"/>
            <w:bottom w:val="none" w:sz="0" w:space="0" w:color="auto"/>
            <w:right w:val="none" w:sz="0" w:space="0" w:color="auto"/>
          </w:divBdr>
        </w:div>
        <w:div w:id="541792501">
          <w:marLeft w:val="0"/>
          <w:marRight w:val="0"/>
          <w:marTop w:val="0"/>
          <w:marBottom w:val="0"/>
          <w:divBdr>
            <w:top w:val="none" w:sz="0" w:space="0" w:color="auto"/>
            <w:left w:val="none" w:sz="0" w:space="0" w:color="auto"/>
            <w:bottom w:val="none" w:sz="0" w:space="0" w:color="auto"/>
            <w:right w:val="none" w:sz="0" w:space="0" w:color="auto"/>
          </w:divBdr>
        </w:div>
      </w:divsChild>
    </w:div>
    <w:div w:id="1318071474">
      <w:marLeft w:val="0"/>
      <w:marRight w:val="0"/>
      <w:marTop w:val="160"/>
      <w:marBottom w:val="160"/>
      <w:divBdr>
        <w:top w:val="none" w:sz="0" w:space="0" w:color="auto"/>
        <w:left w:val="none" w:sz="0" w:space="0" w:color="auto"/>
        <w:bottom w:val="none" w:sz="0" w:space="0" w:color="auto"/>
        <w:right w:val="none" w:sz="0" w:space="0" w:color="auto"/>
      </w:divBdr>
    </w:div>
    <w:div w:id="1318608489">
      <w:marLeft w:val="0"/>
      <w:marRight w:val="0"/>
      <w:marTop w:val="0"/>
      <w:marBottom w:val="240"/>
      <w:divBdr>
        <w:top w:val="none" w:sz="0" w:space="0" w:color="auto"/>
        <w:left w:val="none" w:sz="0" w:space="0" w:color="auto"/>
        <w:bottom w:val="none" w:sz="0" w:space="0" w:color="auto"/>
        <w:right w:val="none" w:sz="0" w:space="0" w:color="auto"/>
      </w:divBdr>
    </w:div>
    <w:div w:id="1318805201">
      <w:marLeft w:val="0"/>
      <w:marRight w:val="0"/>
      <w:marTop w:val="120"/>
      <w:marBottom w:val="0"/>
      <w:divBdr>
        <w:top w:val="none" w:sz="0" w:space="0" w:color="auto"/>
        <w:left w:val="none" w:sz="0" w:space="0" w:color="auto"/>
        <w:bottom w:val="none" w:sz="0" w:space="0" w:color="auto"/>
        <w:right w:val="none" w:sz="0" w:space="0" w:color="auto"/>
      </w:divBdr>
    </w:div>
    <w:div w:id="1322734883">
      <w:marLeft w:val="0"/>
      <w:marRight w:val="0"/>
      <w:marTop w:val="0"/>
      <w:marBottom w:val="0"/>
      <w:divBdr>
        <w:top w:val="none" w:sz="0" w:space="0" w:color="auto"/>
        <w:left w:val="none" w:sz="0" w:space="0" w:color="auto"/>
        <w:bottom w:val="none" w:sz="0" w:space="0" w:color="auto"/>
        <w:right w:val="none" w:sz="0" w:space="0" w:color="auto"/>
      </w:divBdr>
    </w:div>
    <w:div w:id="1323120315">
      <w:marLeft w:val="0"/>
      <w:marRight w:val="0"/>
      <w:marTop w:val="0"/>
      <w:marBottom w:val="240"/>
      <w:divBdr>
        <w:top w:val="none" w:sz="0" w:space="0" w:color="auto"/>
        <w:left w:val="none" w:sz="0" w:space="0" w:color="auto"/>
        <w:bottom w:val="none" w:sz="0" w:space="0" w:color="auto"/>
        <w:right w:val="none" w:sz="0" w:space="0" w:color="auto"/>
      </w:divBdr>
    </w:div>
    <w:div w:id="1328048212">
      <w:marLeft w:val="0"/>
      <w:marRight w:val="0"/>
      <w:marTop w:val="220"/>
      <w:marBottom w:val="160"/>
      <w:divBdr>
        <w:top w:val="none" w:sz="0" w:space="0" w:color="auto"/>
        <w:left w:val="none" w:sz="0" w:space="0" w:color="auto"/>
        <w:bottom w:val="none" w:sz="0" w:space="0" w:color="auto"/>
        <w:right w:val="none" w:sz="0" w:space="0" w:color="auto"/>
      </w:divBdr>
    </w:div>
    <w:div w:id="1336227558">
      <w:marLeft w:val="0"/>
      <w:marRight w:val="0"/>
      <w:marTop w:val="0"/>
      <w:marBottom w:val="160"/>
      <w:divBdr>
        <w:top w:val="none" w:sz="0" w:space="0" w:color="auto"/>
        <w:left w:val="none" w:sz="0" w:space="0" w:color="auto"/>
        <w:bottom w:val="none" w:sz="0" w:space="0" w:color="auto"/>
        <w:right w:val="none" w:sz="0" w:space="0" w:color="auto"/>
      </w:divBdr>
    </w:div>
    <w:div w:id="1337222923">
      <w:marLeft w:val="0"/>
      <w:marRight w:val="0"/>
      <w:marTop w:val="160"/>
      <w:marBottom w:val="160"/>
      <w:divBdr>
        <w:top w:val="none" w:sz="0" w:space="0" w:color="auto"/>
        <w:left w:val="none" w:sz="0" w:space="0" w:color="auto"/>
        <w:bottom w:val="none" w:sz="0" w:space="0" w:color="auto"/>
        <w:right w:val="none" w:sz="0" w:space="0" w:color="auto"/>
      </w:divBdr>
    </w:div>
    <w:div w:id="1338507665">
      <w:marLeft w:val="0"/>
      <w:marRight w:val="0"/>
      <w:marTop w:val="160"/>
      <w:marBottom w:val="160"/>
      <w:divBdr>
        <w:top w:val="none" w:sz="0" w:space="0" w:color="auto"/>
        <w:left w:val="none" w:sz="0" w:space="0" w:color="auto"/>
        <w:bottom w:val="none" w:sz="0" w:space="0" w:color="auto"/>
        <w:right w:val="none" w:sz="0" w:space="0" w:color="auto"/>
      </w:divBdr>
    </w:div>
    <w:div w:id="1338845309">
      <w:marLeft w:val="0"/>
      <w:marRight w:val="0"/>
      <w:marTop w:val="0"/>
      <w:marBottom w:val="0"/>
      <w:divBdr>
        <w:top w:val="none" w:sz="0" w:space="0" w:color="auto"/>
        <w:left w:val="none" w:sz="0" w:space="0" w:color="auto"/>
        <w:bottom w:val="none" w:sz="0" w:space="0" w:color="auto"/>
        <w:right w:val="none" w:sz="0" w:space="0" w:color="auto"/>
      </w:divBdr>
    </w:div>
    <w:div w:id="1344631601">
      <w:marLeft w:val="0"/>
      <w:marRight w:val="0"/>
      <w:marTop w:val="0"/>
      <w:marBottom w:val="0"/>
      <w:divBdr>
        <w:top w:val="none" w:sz="0" w:space="0" w:color="auto"/>
        <w:left w:val="none" w:sz="0" w:space="0" w:color="auto"/>
        <w:bottom w:val="none" w:sz="0" w:space="0" w:color="auto"/>
        <w:right w:val="none" w:sz="0" w:space="0" w:color="auto"/>
      </w:divBdr>
    </w:div>
    <w:div w:id="1345089360">
      <w:marLeft w:val="0"/>
      <w:marRight w:val="0"/>
      <w:marTop w:val="0"/>
      <w:marBottom w:val="0"/>
      <w:divBdr>
        <w:top w:val="none" w:sz="0" w:space="0" w:color="auto"/>
        <w:left w:val="none" w:sz="0" w:space="0" w:color="auto"/>
        <w:bottom w:val="none" w:sz="0" w:space="0" w:color="auto"/>
        <w:right w:val="none" w:sz="0" w:space="0" w:color="auto"/>
      </w:divBdr>
      <w:divsChild>
        <w:div w:id="373509501">
          <w:marLeft w:val="0"/>
          <w:marRight w:val="0"/>
          <w:marTop w:val="160"/>
          <w:marBottom w:val="160"/>
          <w:divBdr>
            <w:top w:val="none" w:sz="0" w:space="0" w:color="auto"/>
            <w:left w:val="none" w:sz="0" w:space="0" w:color="auto"/>
            <w:bottom w:val="none" w:sz="0" w:space="0" w:color="auto"/>
            <w:right w:val="none" w:sz="0" w:space="0" w:color="auto"/>
          </w:divBdr>
        </w:div>
      </w:divsChild>
    </w:div>
    <w:div w:id="1346322739">
      <w:marLeft w:val="0"/>
      <w:marRight w:val="0"/>
      <w:marTop w:val="160"/>
      <w:marBottom w:val="160"/>
      <w:divBdr>
        <w:top w:val="none" w:sz="0" w:space="0" w:color="auto"/>
        <w:left w:val="none" w:sz="0" w:space="0" w:color="auto"/>
        <w:bottom w:val="none" w:sz="0" w:space="0" w:color="auto"/>
        <w:right w:val="none" w:sz="0" w:space="0" w:color="auto"/>
      </w:divBdr>
    </w:div>
    <w:div w:id="1346515811">
      <w:marLeft w:val="0"/>
      <w:marRight w:val="0"/>
      <w:marTop w:val="0"/>
      <w:marBottom w:val="240"/>
      <w:divBdr>
        <w:top w:val="none" w:sz="0" w:space="0" w:color="auto"/>
        <w:left w:val="none" w:sz="0" w:space="0" w:color="auto"/>
        <w:bottom w:val="none" w:sz="0" w:space="0" w:color="auto"/>
        <w:right w:val="none" w:sz="0" w:space="0" w:color="auto"/>
      </w:divBdr>
    </w:div>
    <w:div w:id="1348287690">
      <w:marLeft w:val="0"/>
      <w:marRight w:val="0"/>
      <w:marTop w:val="0"/>
      <w:marBottom w:val="0"/>
      <w:divBdr>
        <w:top w:val="none" w:sz="0" w:space="0" w:color="auto"/>
        <w:left w:val="none" w:sz="0" w:space="0" w:color="auto"/>
        <w:bottom w:val="none" w:sz="0" w:space="0" w:color="auto"/>
        <w:right w:val="none" w:sz="0" w:space="0" w:color="auto"/>
      </w:divBdr>
    </w:div>
    <w:div w:id="1350109203">
      <w:marLeft w:val="0"/>
      <w:marRight w:val="0"/>
      <w:marTop w:val="180"/>
      <w:marBottom w:val="160"/>
      <w:divBdr>
        <w:top w:val="none" w:sz="0" w:space="0" w:color="auto"/>
        <w:left w:val="none" w:sz="0" w:space="0" w:color="auto"/>
        <w:bottom w:val="none" w:sz="0" w:space="0" w:color="auto"/>
        <w:right w:val="none" w:sz="0" w:space="0" w:color="auto"/>
      </w:divBdr>
    </w:div>
    <w:div w:id="1357542162">
      <w:marLeft w:val="0"/>
      <w:marRight w:val="0"/>
      <w:marTop w:val="0"/>
      <w:marBottom w:val="0"/>
      <w:divBdr>
        <w:top w:val="none" w:sz="0" w:space="0" w:color="auto"/>
        <w:left w:val="none" w:sz="0" w:space="0" w:color="auto"/>
        <w:bottom w:val="none" w:sz="0" w:space="0" w:color="auto"/>
        <w:right w:val="none" w:sz="0" w:space="0" w:color="auto"/>
      </w:divBdr>
    </w:div>
    <w:div w:id="1357972188">
      <w:marLeft w:val="0"/>
      <w:marRight w:val="0"/>
      <w:marTop w:val="240"/>
      <w:marBottom w:val="240"/>
      <w:divBdr>
        <w:top w:val="none" w:sz="0" w:space="0" w:color="auto"/>
        <w:left w:val="none" w:sz="0" w:space="0" w:color="auto"/>
        <w:bottom w:val="none" w:sz="0" w:space="0" w:color="auto"/>
        <w:right w:val="none" w:sz="0" w:space="0" w:color="auto"/>
      </w:divBdr>
    </w:div>
    <w:div w:id="1359356032">
      <w:marLeft w:val="0"/>
      <w:marRight w:val="0"/>
      <w:marTop w:val="0"/>
      <w:marBottom w:val="0"/>
      <w:divBdr>
        <w:top w:val="none" w:sz="0" w:space="0" w:color="auto"/>
        <w:left w:val="none" w:sz="0" w:space="0" w:color="auto"/>
        <w:bottom w:val="none" w:sz="0" w:space="0" w:color="auto"/>
        <w:right w:val="none" w:sz="0" w:space="0" w:color="auto"/>
      </w:divBdr>
      <w:divsChild>
        <w:div w:id="957640517">
          <w:marLeft w:val="0"/>
          <w:marRight w:val="0"/>
          <w:marTop w:val="0"/>
          <w:marBottom w:val="0"/>
          <w:divBdr>
            <w:top w:val="none" w:sz="0" w:space="0" w:color="auto"/>
            <w:left w:val="none" w:sz="0" w:space="0" w:color="auto"/>
            <w:bottom w:val="none" w:sz="0" w:space="0" w:color="auto"/>
            <w:right w:val="none" w:sz="0" w:space="0" w:color="auto"/>
          </w:divBdr>
        </w:div>
      </w:divsChild>
    </w:div>
    <w:div w:id="1361979160">
      <w:marLeft w:val="0"/>
      <w:marRight w:val="0"/>
      <w:marTop w:val="180"/>
      <w:marBottom w:val="0"/>
      <w:divBdr>
        <w:top w:val="none" w:sz="0" w:space="0" w:color="auto"/>
        <w:left w:val="none" w:sz="0" w:space="0" w:color="auto"/>
        <w:bottom w:val="none" w:sz="0" w:space="0" w:color="auto"/>
        <w:right w:val="none" w:sz="0" w:space="0" w:color="auto"/>
      </w:divBdr>
    </w:div>
    <w:div w:id="1364406018">
      <w:marLeft w:val="0"/>
      <w:marRight w:val="0"/>
      <w:marTop w:val="0"/>
      <w:marBottom w:val="0"/>
      <w:divBdr>
        <w:top w:val="none" w:sz="0" w:space="0" w:color="auto"/>
        <w:left w:val="none" w:sz="0" w:space="0" w:color="auto"/>
        <w:bottom w:val="none" w:sz="0" w:space="0" w:color="auto"/>
        <w:right w:val="none" w:sz="0" w:space="0" w:color="auto"/>
      </w:divBdr>
      <w:divsChild>
        <w:div w:id="399593763">
          <w:marLeft w:val="0"/>
          <w:marRight w:val="0"/>
          <w:marTop w:val="0"/>
          <w:marBottom w:val="0"/>
          <w:divBdr>
            <w:top w:val="none" w:sz="0" w:space="0" w:color="auto"/>
            <w:left w:val="none" w:sz="0" w:space="0" w:color="auto"/>
            <w:bottom w:val="none" w:sz="0" w:space="0" w:color="auto"/>
            <w:right w:val="none" w:sz="0" w:space="0" w:color="auto"/>
          </w:divBdr>
        </w:div>
      </w:divsChild>
    </w:div>
    <w:div w:id="1364789648">
      <w:marLeft w:val="0"/>
      <w:marRight w:val="0"/>
      <w:marTop w:val="100"/>
      <w:marBottom w:val="240"/>
      <w:divBdr>
        <w:top w:val="none" w:sz="0" w:space="0" w:color="auto"/>
        <w:left w:val="none" w:sz="0" w:space="0" w:color="auto"/>
        <w:bottom w:val="none" w:sz="0" w:space="0" w:color="auto"/>
        <w:right w:val="none" w:sz="0" w:space="0" w:color="auto"/>
      </w:divBdr>
    </w:div>
    <w:div w:id="1366448287">
      <w:marLeft w:val="0"/>
      <w:marRight w:val="0"/>
      <w:marTop w:val="100"/>
      <w:marBottom w:val="100"/>
      <w:divBdr>
        <w:top w:val="none" w:sz="0" w:space="0" w:color="auto"/>
        <w:left w:val="none" w:sz="0" w:space="0" w:color="auto"/>
        <w:bottom w:val="none" w:sz="0" w:space="0" w:color="auto"/>
        <w:right w:val="none" w:sz="0" w:space="0" w:color="auto"/>
      </w:divBdr>
    </w:div>
    <w:div w:id="1368331434">
      <w:marLeft w:val="0"/>
      <w:marRight w:val="0"/>
      <w:marTop w:val="0"/>
      <w:marBottom w:val="240"/>
      <w:divBdr>
        <w:top w:val="none" w:sz="0" w:space="0" w:color="auto"/>
        <w:left w:val="none" w:sz="0" w:space="0" w:color="auto"/>
        <w:bottom w:val="none" w:sz="0" w:space="0" w:color="auto"/>
        <w:right w:val="none" w:sz="0" w:space="0" w:color="auto"/>
      </w:divBdr>
    </w:div>
    <w:div w:id="1368872789">
      <w:marLeft w:val="0"/>
      <w:marRight w:val="0"/>
      <w:marTop w:val="100"/>
      <w:marBottom w:val="240"/>
      <w:divBdr>
        <w:top w:val="none" w:sz="0" w:space="0" w:color="auto"/>
        <w:left w:val="none" w:sz="0" w:space="0" w:color="auto"/>
        <w:bottom w:val="none" w:sz="0" w:space="0" w:color="auto"/>
        <w:right w:val="none" w:sz="0" w:space="0" w:color="auto"/>
      </w:divBdr>
    </w:div>
    <w:div w:id="1372151088">
      <w:marLeft w:val="0"/>
      <w:marRight w:val="0"/>
      <w:marTop w:val="0"/>
      <w:marBottom w:val="0"/>
      <w:divBdr>
        <w:top w:val="none" w:sz="0" w:space="0" w:color="auto"/>
        <w:left w:val="none" w:sz="0" w:space="0" w:color="auto"/>
        <w:bottom w:val="none" w:sz="0" w:space="0" w:color="auto"/>
        <w:right w:val="none" w:sz="0" w:space="0" w:color="auto"/>
      </w:divBdr>
      <w:divsChild>
        <w:div w:id="356466598">
          <w:marLeft w:val="0"/>
          <w:marRight w:val="0"/>
          <w:marTop w:val="160"/>
          <w:marBottom w:val="160"/>
          <w:divBdr>
            <w:top w:val="none" w:sz="0" w:space="0" w:color="auto"/>
            <w:left w:val="none" w:sz="0" w:space="0" w:color="auto"/>
            <w:bottom w:val="none" w:sz="0" w:space="0" w:color="auto"/>
            <w:right w:val="none" w:sz="0" w:space="0" w:color="auto"/>
          </w:divBdr>
        </w:div>
      </w:divsChild>
    </w:div>
    <w:div w:id="1372455853">
      <w:marLeft w:val="0"/>
      <w:marRight w:val="0"/>
      <w:marTop w:val="0"/>
      <w:marBottom w:val="240"/>
      <w:divBdr>
        <w:top w:val="none" w:sz="0" w:space="0" w:color="auto"/>
        <w:left w:val="none" w:sz="0" w:space="0" w:color="auto"/>
        <w:bottom w:val="none" w:sz="0" w:space="0" w:color="auto"/>
        <w:right w:val="none" w:sz="0" w:space="0" w:color="auto"/>
      </w:divBdr>
    </w:div>
    <w:div w:id="1376389219">
      <w:marLeft w:val="0"/>
      <w:marRight w:val="0"/>
      <w:marTop w:val="0"/>
      <w:marBottom w:val="240"/>
      <w:divBdr>
        <w:top w:val="none" w:sz="0" w:space="0" w:color="auto"/>
        <w:left w:val="none" w:sz="0" w:space="0" w:color="auto"/>
        <w:bottom w:val="none" w:sz="0" w:space="0" w:color="auto"/>
        <w:right w:val="none" w:sz="0" w:space="0" w:color="auto"/>
      </w:divBdr>
    </w:div>
    <w:div w:id="1383214324">
      <w:marLeft w:val="0"/>
      <w:marRight w:val="0"/>
      <w:marTop w:val="0"/>
      <w:marBottom w:val="0"/>
      <w:divBdr>
        <w:top w:val="none" w:sz="0" w:space="0" w:color="auto"/>
        <w:left w:val="none" w:sz="0" w:space="0" w:color="auto"/>
        <w:bottom w:val="none" w:sz="0" w:space="0" w:color="auto"/>
        <w:right w:val="none" w:sz="0" w:space="0" w:color="auto"/>
      </w:divBdr>
    </w:div>
    <w:div w:id="1383364537">
      <w:marLeft w:val="0"/>
      <w:marRight w:val="0"/>
      <w:marTop w:val="160"/>
      <w:marBottom w:val="160"/>
      <w:divBdr>
        <w:top w:val="none" w:sz="0" w:space="0" w:color="auto"/>
        <w:left w:val="none" w:sz="0" w:space="0" w:color="auto"/>
        <w:bottom w:val="none" w:sz="0" w:space="0" w:color="auto"/>
        <w:right w:val="none" w:sz="0" w:space="0" w:color="auto"/>
      </w:divBdr>
    </w:div>
    <w:div w:id="1390570812">
      <w:marLeft w:val="0"/>
      <w:marRight w:val="0"/>
      <w:marTop w:val="0"/>
      <w:marBottom w:val="240"/>
      <w:divBdr>
        <w:top w:val="none" w:sz="0" w:space="0" w:color="auto"/>
        <w:left w:val="none" w:sz="0" w:space="0" w:color="auto"/>
        <w:bottom w:val="none" w:sz="0" w:space="0" w:color="auto"/>
        <w:right w:val="none" w:sz="0" w:space="0" w:color="auto"/>
      </w:divBdr>
    </w:div>
    <w:div w:id="1395160150">
      <w:marLeft w:val="0"/>
      <w:marRight w:val="0"/>
      <w:marTop w:val="160"/>
      <w:marBottom w:val="160"/>
      <w:divBdr>
        <w:top w:val="none" w:sz="0" w:space="0" w:color="auto"/>
        <w:left w:val="none" w:sz="0" w:space="0" w:color="auto"/>
        <w:bottom w:val="none" w:sz="0" w:space="0" w:color="auto"/>
        <w:right w:val="none" w:sz="0" w:space="0" w:color="auto"/>
      </w:divBdr>
    </w:div>
    <w:div w:id="1399547052">
      <w:marLeft w:val="0"/>
      <w:marRight w:val="0"/>
      <w:marTop w:val="0"/>
      <w:marBottom w:val="180"/>
      <w:divBdr>
        <w:top w:val="none" w:sz="0" w:space="0" w:color="auto"/>
        <w:left w:val="none" w:sz="0" w:space="0" w:color="auto"/>
        <w:bottom w:val="none" w:sz="0" w:space="0" w:color="auto"/>
        <w:right w:val="none" w:sz="0" w:space="0" w:color="auto"/>
      </w:divBdr>
    </w:div>
    <w:div w:id="1402748792">
      <w:marLeft w:val="0"/>
      <w:marRight w:val="0"/>
      <w:marTop w:val="160"/>
      <w:marBottom w:val="240"/>
      <w:divBdr>
        <w:top w:val="none" w:sz="0" w:space="0" w:color="auto"/>
        <w:left w:val="none" w:sz="0" w:space="0" w:color="auto"/>
        <w:bottom w:val="none" w:sz="0" w:space="0" w:color="auto"/>
        <w:right w:val="none" w:sz="0" w:space="0" w:color="auto"/>
      </w:divBdr>
    </w:div>
    <w:div w:id="1405489098">
      <w:marLeft w:val="0"/>
      <w:marRight w:val="0"/>
      <w:marTop w:val="0"/>
      <w:marBottom w:val="240"/>
      <w:divBdr>
        <w:top w:val="none" w:sz="0" w:space="0" w:color="auto"/>
        <w:left w:val="none" w:sz="0" w:space="0" w:color="auto"/>
        <w:bottom w:val="none" w:sz="0" w:space="0" w:color="auto"/>
        <w:right w:val="none" w:sz="0" w:space="0" w:color="auto"/>
      </w:divBdr>
    </w:div>
    <w:div w:id="1406878704">
      <w:marLeft w:val="0"/>
      <w:marRight w:val="0"/>
      <w:marTop w:val="0"/>
      <w:marBottom w:val="40"/>
      <w:divBdr>
        <w:top w:val="none" w:sz="0" w:space="0" w:color="auto"/>
        <w:left w:val="none" w:sz="0" w:space="0" w:color="auto"/>
        <w:bottom w:val="none" w:sz="0" w:space="0" w:color="auto"/>
        <w:right w:val="none" w:sz="0" w:space="0" w:color="auto"/>
      </w:divBdr>
    </w:div>
    <w:div w:id="1407220823">
      <w:marLeft w:val="0"/>
      <w:marRight w:val="0"/>
      <w:marTop w:val="0"/>
      <w:marBottom w:val="80"/>
      <w:divBdr>
        <w:top w:val="none" w:sz="0" w:space="0" w:color="auto"/>
        <w:left w:val="none" w:sz="0" w:space="0" w:color="auto"/>
        <w:bottom w:val="none" w:sz="0" w:space="0" w:color="auto"/>
        <w:right w:val="none" w:sz="0" w:space="0" w:color="auto"/>
      </w:divBdr>
    </w:div>
    <w:div w:id="1408724531">
      <w:marLeft w:val="0"/>
      <w:marRight w:val="0"/>
      <w:marTop w:val="0"/>
      <w:marBottom w:val="60"/>
      <w:divBdr>
        <w:top w:val="none" w:sz="0" w:space="0" w:color="auto"/>
        <w:left w:val="none" w:sz="0" w:space="0" w:color="auto"/>
        <w:bottom w:val="none" w:sz="0" w:space="0" w:color="auto"/>
        <w:right w:val="none" w:sz="0" w:space="0" w:color="auto"/>
      </w:divBdr>
    </w:div>
    <w:div w:id="1410662840">
      <w:marLeft w:val="0"/>
      <w:marRight w:val="0"/>
      <w:marTop w:val="160"/>
      <w:marBottom w:val="280"/>
      <w:divBdr>
        <w:top w:val="none" w:sz="0" w:space="0" w:color="auto"/>
        <w:left w:val="none" w:sz="0" w:space="0" w:color="auto"/>
        <w:bottom w:val="none" w:sz="0" w:space="0" w:color="auto"/>
        <w:right w:val="none" w:sz="0" w:space="0" w:color="auto"/>
      </w:divBdr>
    </w:div>
    <w:div w:id="1411462374">
      <w:marLeft w:val="0"/>
      <w:marRight w:val="0"/>
      <w:marTop w:val="160"/>
      <w:marBottom w:val="160"/>
      <w:divBdr>
        <w:top w:val="none" w:sz="0" w:space="0" w:color="auto"/>
        <w:left w:val="none" w:sz="0" w:space="0" w:color="auto"/>
        <w:bottom w:val="none" w:sz="0" w:space="0" w:color="auto"/>
        <w:right w:val="none" w:sz="0" w:space="0" w:color="auto"/>
      </w:divBdr>
    </w:div>
    <w:div w:id="1413430653">
      <w:marLeft w:val="0"/>
      <w:marRight w:val="0"/>
      <w:marTop w:val="0"/>
      <w:marBottom w:val="240"/>
      <w:divBdr>
        <w:top w:val="none" w:sz="0" w:space="0" w:color="auto"/>
        <w:left w:val="none" w:sz="0" w:space="0" w:color="auto"/>
        <w:bottom w:val="none" w:sz="0" w:space="0" w:color="auto"/>
        <w:right w:val="none" w:sz="0" w:space="0" w:color="auto"/>
      </w:divBdr>
    </w:div>
    <w:div w:id="1413887988">
      <w:marLeft w:val="0"/>
      <w:marRight w:val="0"/>
      <w:marTop w:val="0"/>
      <w:marBottom w:val="240"/>
      <w:divBdr>
        <w:top w:val="none" w:sz="0" w:space="0" w:color="auto"/>
        <w:left w:val="none" w:sz="0" w:space="0" w:color="auto"/>
        <w:bottom w:val="none" w:sz="0" w:space="0" w:color="auto"/>
        <w:right w:val="none" w:sz="0" w:space="0" w:color="auto"/>
      </w:divBdr>
    </w:div>
    <w:div w:id="1414475241">
      <w:marLeft w:val="0"/>
      <w:marRight w:val="0"/>
      <w:marTop w:val="120"/>
      <w:marBottom w:val="240"/>
      <w:divBdr>
        <w:top w:val="none" w:sz="0" w:space="0" w:color="auto"/>
        <w:left w:val="none" w:sz="0" w:space="0" w:color="auto"/>
        <w:bottom w:val="none" w:sz="0" w:space="0" w:color="auto"/>
        <w:right w:val="none" w:sz="0" w:space="0" w:color="auto"/>
      </w:divBdr>
    </w:div>
    <w:div w:id="1415589163">
      <w:marLeft w:val="0"/>
      <w:marRight w:val="0"/>
      <w:marTop w:val="0"/>
      <w:marBottom w:val="240"/>
      <w:divBdr>
        <w:top w:val="none" w:sz="0" w:space="0" w:color="auto"/>
        <w:left w:val="none" w:sz="0" w:space="0" w:color="auto"/>
        <w:bottom w:val="none" w:sz="0" w:space="0" w:color="auto"/>
        <w:right w:val="none" w:sz="0" w:space="0" w:color="auto"/>
      </w:divBdr>
    </w:div>
    <w:div w:id="1416047252">
      <w:marLeft w:val="0"/>
      <w:marRight w:val="0"/>
      <w:marTop w:val="0"/>
      <w:marBottom w:val="0"/>
      <w:divBdr>
        <w:top w:val="none" w:sz="0" w:space="0" w:color="auto"/>
        <w:left w:val="none" w:sz="0" w:space="0" w:color="auto"/>
        <w:bottom w:val="none" w:sz="0" w:space="0" w:color="auto"/>
        <w:right w:val="none" w:sz="0" w:space="0" w:color="auto"/>
      </w:divBdr>
      <w:divsChild>
        <w:div w:id="288317812">
          <w:marLeft w:val="0"/>
          <w:marRight w:val="0"/>
          <w:marTop w:val="0"/>
          <w:marBottom w:val="0"/>
          <w:divBdr>
            <w:top w:val="none" w:sz="0" w:space="0" w:color="auto"/>
            <w:left w:val="none" w:sz="0" w:space="0" w:color="auto"/>
            <w:bottom w:val="none" w:sz="0" w:space="0" w:color="auto"/>
            <w:right w:val="none" w:sz="0" w:space="0" w:color="auto"/>
          </w:divBdr>
        </w:div>
      </w:divsChild>
    </w:div>
    <w:div w:id="1416585515">
      <w:marLeft w:val="0"/>
      <w:marRight w:val="0"/>
      <w:marTop w:val="160"/>
      <w:marBottom w:val="160"/>
      <w:divBdr>
        <w:top w:val="none" w:sz="0" w:space="0" w:color="auto"/>
        <w:left w:val="none" w:sz="0" w:space="0" w:color="auto"/>
        <w:bottom w:val="none" w:sz="0" w:space="0" w:color="auto"/>
        <w:right w:val="none" w:sz="0" w:space="0" w:color="auto"/>
      </w:divBdr>
    </w:div>
    <w:div w:id="1418790262">
      <w:marLeft w:val="0"/>
      <w:marRight w:val="0"/>
      <w:marTop w:val="0"/>
      <w:marBottom w:val="40"/>
      <w:divBdr>
        <w:top w:val="none" w:sz="0" w:space="0" w:color="auto"/>
        <w:left w:val="none" w:sz="0" w:space="0" w:color="auto"/>
        <w:bottom w:val="none" w:sz="0" w:space="0" w:color="auto"/>
        <w:right w:val="none" w:sz="0" w:space="0" w:color="auto"/>
      </w:divBdr>
    </w:div>
    <w:div w:id="1419597186">
      <w:marLeft w:val="0"/>
      <w:marRight w:val="0"/>
      <w:marTop w:val="160"/>
      <w:marBottom w:val="160"/>
      <w:divBdr>
        <w:top w:val="none" w:sz="0" w:space="0" w:color="auto"/>
        <w:left w:val="none" w:sz="0" w:space="0" w:color="auto"/>
        <w:bottom w:val="none" w:sz="0" w:space="0" w:color="auto"/>
        <w:right w:val="none" w:sz="0" w:space="0" w:color="auto"/>
      </w:divBdr>
    </w:div>
    <w:div w:id="1419860842">
      <w:marLeft w:val="0"/>
      <w:marRight w:val="0"/>
      <w:marTop w:val="0"/>
      <w:marBottom w:val="240"/>
      <w:divBdr>
        <w:top w:val="none" w:sz="0" w:space="0" w:color="auto"/>
        <w:left w:val="none" w:sz="0" w:space="0" w:color="auto"/>
        <w:bottom w:val="none" w:sz="0" w:space="0" w:color="auto"/>
        <w:right w:val="none" w:sz="0" w:space="0" w:color="auto"/>
      </w:divBdr>
    </w:div>
    <w:div w:id="1420712049">
      <w:marLeft w:val="0"/>
      <w:marRight w:val="0"/>
      <w:marTop w:val="160"/>
      <w:marBottom w:val="160"/>
      <w:divBdr>
        <w:top w:val="none" w:sz="0" w:space="0" w:color="auto"/>
        <w:left w:val="none" w:sz="0" w:space="0" w:color="auto"/>
        <w:bottom w:val="none" w:sz="0" w:space="0" w:color="auto"/>
        <w:right w:val="none" w:sz="0" w:space="0" w:color="auto"/>
      </w:divBdr>
    </w:div>
    <w:div w:id="1421485855">
      <w:marLeft w:val="0"/>
      <w:marRight w:val="0"/>
      <w:marTop w:val="0"/>
      <w:marBottom w:val="0"/>
      <w:divBdr>
        <w:top w:val="none" w:sz="0" w:space="0" w:color="auto"/>
        <w:left w:val="none" w:sz="0" w:space="0" w:color="auto"/>
        <w:bottom w:val="none" w:sz="0" w:space="0" w:color="auto"/>
        <w:right w:val="none" w:sz="0" w:space="0" w:color="auto"/>
      </w:divBdr>
    </w:div>
    <w:div w:id="1421951476">
      <w:marLeft w:val="0"/>
      <w:marRight w:val="0"/>
      <w:marTop w:val="0"/>
      <w:marBottom w:val="240"/>
      <w:divBdr>
        <w:top w:val="none" w:sz="0" w:space="0" w:color="auto"/>
        <w:left w:val="none" w:sz="0" w:space="0" w:color="auto"/>
        <w:bottom w:val="none" w:sz="0" w:space="0" w:color="auto"/>
        <w:right w:val="none" w:sz="0" w:space="0" w:color="auto"/>
      </w:divBdr>
    </w:div>
    <w:div w:id="1423182287">
      <w:marLeft w:val="0"/>
      <w:marRight w:val="0"/>
      <w:marTop w:val="0"/>
      <w:marBottom w:val="0"/>
      <w:divBdr>
        <w:top w:val="none" w:sz="0" w:space="0" w:color="auto"/>
        <w:left w:val="none" w:sz="0" w:space="0" w:color="auto"/>
        <w:bottom w:val="none" w:sz="0" w:space="0" w:color="auto"/>
        <w:right w:val="none" w:sz="0" w:space="0" w:color="auto"/>
      </w:divBdr>
      <w:divsChild>
        <w:div w:id="1782601322">
          <w:marLeft w:val="0"/>
          <w:marRight w:val="0"/>
          <w:marTop w:val="0"/>
          <w:marBottom w:val="0"/>
          <w:divBdr>
            <w:top w:val="none" w:sz="0" w:space="0" w:color="auto"/>
            <w:left w:val="none" w:sz="0" w:space="0" w:color="auto"/>
            <w:bottom w:val="none" w:sz="0" w:space="0" w:color="auto"/>
            <w:right w:val="none" w:sz="0" w:space="0" w:color="auto"/>
          </w:divBdr>
        </w:div>
      </w:divsChild>
    </w:div>
    <w:div w:id="1423911913">
      <w:marLeft w:val="0"/>
      <w:marRight w:val="0"/>
      <w:marTop w:val="160"/>
      <w:marBottom w:val="160"/>
      <w:divBdr>
        <w:top w:val="none" w:sz="0" w:space="0" w:color="auto"/>
        <w:left w:val="none" w:sz="0" w:space="0" w:color="auto"/>
        <w:bottom w:val="none" w:sz="0" w:space="0" w:color="auto"/>
        <w:right w:val="none" w:sz="0" w:space="0" w:color="auto"/>
      </w:divBdr>
    </w:div>
    <w:div w:id="1424180681">
      <w:marLeft w:val="0"/>
      <w:marRight w:val="0"/>
      <w:marTop w:val="0"/>
      <w:marBottom w:val="0"/>
      <w:divBdr>
        <w:top w:val="none" w:sz="0" w:space="0" w:color="auto"/>
        <w:left w:val="none" w:sz="0" w:space="0" w:color="auto"/>
        <w:bottom w:val="none" w:sz="0" w:space="0" w:color="auto"/>
        <w:right w:val="none" w:sz="0" w:space="0" w:color="auto"/>
      </w:divBdr>
      <w:divsChild>
        <w:div w:id="782041807">
          <w:marLeft w:val="0"/>
          <w:marRight w:val="0"/>
          <w:marTop w:val="0"/>
          <w:marBottom w:val="0"/>
          <w:divBdr>
            <w:top w:val="none" w:sz="0" w:space="0" w:color="auto"/>
            <w:left w:val="none" w:sz="0" w:space="0" w:color="auto"/>
            <w:bottom w:val="none" w:sz="0" w:space="0" w:color="auto"/>
            <w:right w:val="none" w:sz="0" w:space="0" w:color="auto"/>
          </w:divBdr>
        </w:div>
      </w:divsChild>
    </w:div>
    <w:div w:id="1427530250">
      <w:marLeft w:val="0"/>
      <w:marRight w:val="0"/>
      <w:marTop w:val="100"/>
      <w:marBottom w:val="160"/>
      <w:divBdr>
        <w:top w:val="none" w:sz="0" w:space="0" w:color="auto"/>
        <w:left w:val="none" w:sz="0" w:space="0" w:color="auto"/>
        <w:bottom w:val="none" w:sz="0" w:space="0" w:color="auto"/>
        <w:right w:val="none" w:sz="0" w:space="0" w:color="auto"/>
      </w:divBdr>
    </w:div>
    <w:div w:id="1428116679">
      <w:marLeft w:val="0"/>
      <w:marRight w:val="0"/>
      <w:marTop w:val="100"/>
      <w:marBottom w:val="340"/>
      <w:divBdr>
        <w:top w:val="none" w:sz="0" w:space="0" w:color="auto"/>
        <w:left w:val="none" w:sz="0" w:space="0" w:color="auto"/>
        <w:bottom w:val="none" w:sz="0" w:space="0" w:color="auto"/>
        <w:right w:val="none" w:sz="0" w:space="0" w:color="auto"/>
      </w:divBdr>
    </w:div>
    <w:div w:id="1429545140">
      <w:marLeft w:val="0"/>
      <w:marRight w:val="0"/>
      <w:marTop w:val="160"/>
      <w:marBottom w:val="0"/>
      <w:divBdr>
        <w:top w:val="none" w:sz="0" w:space="0" w:color="auto"/>
        <w:left w:val="none" w:sz="0" w:space="0" w:color="auto"/>
        <w:bottom w:val="none" w:sz="0" w:space="0" w:color="auto"/>
        <w:right w:val="none" w:sz="0" w:space="0" w:color="auto"/>
      </w:divBdr>
    </w:div>
    <w:div w:id="1432314712">
      <w:marLeft w:val="0"/>
      <w:marRight w:val="0"/>
      <w:marTop w:val="100"/>
      <w:marBottom w:val="100"/>
      <w:divBdr>
        <w:top w:val="none" w:sz="0" w:space="0" w:color="auto"/>
        <w:left w:val="none" w:sz="0" w:space="0" w:color="auto"/>
        <w:bottom w:val="none" w:sz="0" w:space="0" w:color="auto"/>
        <w:right w:val="none" w:sz="0" w:space="0" w:color="auto"/>
      </w:divBdr>
    </w:div>
    <w:div w:id="1433282508">
      <w:marLeft w:val="0"/>
      <w:marRight w:val="0"/>
      <w:marTop w:val="0"/>
      <w:marBottom w:val="0"/>
      <w:divBdr>
        <w:top w:val="none" w:sz="0" w:space="0" w:color="auto"/>
        <w:left w:val="none" w:sz="0" w:space="0" w:color="auto"/>
        <w:bottom w:val="none" w:sz="0" w:space="0" w:color="auto"/>
        <w:right w:val="none" w:sz="0" w:space="0" w:color="auto"/>
      </w:divBdr>
      <w:divsChild>
        <w:div w:id="1454861061">
          <w:marLeft w:val="0"/>
          <w:marRight w:val="0"/>
          <w:marTop w:val="0"/>
          <w:marBottom w:val="0"/>
          <w:divBdr>
            <w:top w:val="none" w:sz="0" w:space="0" w:color="auto"/>
            <w:left w:val="none" w:sz="0" w:space="0" w:color="auto"/>
            <w:bottom w:val="none" w:sz="0" w:space="0" w:color="auto"/>
            <w:right w:val="none" w:sz="0" w:space="0" w:color="auto"/>
          </w:divBdr>
        </w:div>
      </w:divsChild>
    </w:div>
    <w:div w:id="1433429063">
      <w:marLeft w:val="0"/>
      <w:marRight w:val="0"/>
      <w:marTop w:val="100"/>
      <w:marBottom w:val="100"/>
      <w:divBdr>
        <w:top w:val="none" w:sz="0" w:space="0" w:color="auto"/>
        <w:left w:val="none" w:sz="0" w:space="0" w:color="auto"/>
        <w:bottom w:val="none" w:sz="0" w:space="0" w:color="auto"/>
        <w:right w:val="none" w:sz="0" w:space="0" w:color="auto"/>
      </w:divBdr>
    </w:div>
    <w:div w:id="1434207248">
      <w:marLeft w:val="0"/>
      <w:marRight w:val="0"/>
      <w:marTop w:val="0"/>
      <w:marBottom w:val="0"/>
      <w:divBdr>
        <w:top w:val="none" w:sz="0" w:space="0" w:color="auto"/>
        <w:left w:val="none" w:sz="0" w:space="0" w:color="auto"/>
        <w:bottom w:val="none" w:sz="0" w:space="0" w:color="auto"/>
        <w:right w:val="none" w:sz="0" w:space="0" w:color="auto"/>
      </w:divBdr>
      <w:divsChild>
        <w:div w:id="778715589">
          <w:marLeft w:val="0"/>
          <w:marRight w:val="0"/>
          <w:marTop w:val="160"/>
          <w:marBottom w:val="0"/>
          <w:divBdr>
            <w:top w:val="none" w:sz="0" w:space="0" w:color="auto"/>
            <w:left w:val="none" w:sz="0" w:space="0" w:color="auto"/>
            <w:bottom w:val="none" w:sz="0" w:space="0" w:color="auto"/>
            <w:right w:val="none" w:sz="0" w:space="0" w:color="auto"/>
          </w:divBdr>
        </w:div>
        <w:div w:id="1293947954">
          <w:marLeft w:val="0"/>
          <w:marRight w:val="0"/>
          <w:marTop w:val="0"/>
          <w:marBottom w:val="120"/>
          <w:divBdr>
            <w:top w:val="none" w:sz="0" w:space="0" w:color="auto"/>
            <w:left w:val="none" w:sz="0" w:space="0" w:color="auto"/>
            <w:bottom w:val="none" w:sz="0" w:space="0" w:color="auto"/>
            <w:right w:val="none" w:sz="0" w:space="0" w:color="auto"/>
          </w:divBdr>
        </w:div>
      </w:divsChild>
    </w:div>
    <w:div w:id="1437822601">
      <w:marLeft w:val="0"/>
      <w:marRight w:val="0"/>
      <w:marTop w:val="0"/>
      <w:marBottom w:val="0"/>
      <w:divBdr>
        <w:top w:val="none" w:sz="0" w:space="0" w:color="auto"/>
        <w:left w:val="none" w:sz="0" w:space="0" w:color="auto"/>
        <w:bottom w:val="none" w:sz="0" w:space="0" w:color="auto"/>
        <w:right w:val="none" w:sz="0" w:space="0" w:color="auto"/>
      </w:divBdr>
      <w:divsChild>
        <w:div w:id="119230312">
          <w:marLeft w:val="0"/>
          <w:marRight w:val="0"/>
          <w:marTop w:val="0"/>
          <w:marBottom w:val="0"/>
          <w:divBdr>
            <w:top w:val="none" w:sz="0" w:space="0" w:color="auto"/>
            <w:left w:val="none" w:sz="0" w:space="0" w:color="auto"/>
            <w:bottom w:val="none" w:sz="0" w:space="0" w:color="auto"/>
            <w:right w:val="none" w:sz="0" w:space="0" w:color="auto"/>
          </w:divBdr>
        </w:div>
      </w:divsChild>
    </w:div>
    <w:div w:id="1440881111">
      <w:marLeft w:val="0"/>
      <w:marRight w:val="0"/>
      <w:marTop w:val="0"/>
      <w:marBottom w:val="0"/>
      <w:divBdr>
        <w:top w:val="none" w:sz="0" w:space="0" w:color="auto"/>
        <w:left w:val="none" w:sz="0" w:space="0" w:color="auto"/>
        <w:bottom w:val="none" w:sz="0" w:space="0" w:color="auto"/>
        <w:right w:val="none" w:sz="0" w:space="0" w:color="auto"/>
      </w:divBdr>
      <w:divsChild>
        <w:div w:id="1902446374">
          <w:marLeft w:val="0"/>
          <w:marRight w:val="0"/>
          <w:marTop w:val="160"/>
          <w:marBottom w:val="160"/>
          <w:divBdr>
            <w:top w:val="none" w:sz="0" w:space="0" w:color="auto"/>
            <w:left w:val="none" w:sz="0" w:space="0" w:color="auto"/>
            <w:bottom w:val="none" w:sz="0" w:space="0" w:color="auto"/>
            <w:right w:val="none" w:sz="0" w:space="0" w:color="auto"/>
          </w:divBdr>
        </w:div>
      </w:divsChild>
    </w:div>
    <w:div w:id="1441683285">
      <w:marLeft w:val="0"/>
      <w:marRight w:val="0"/>
      <w:marTop w:val="0"/>
      <w:marBottom w:val="240"/>
      <w:divBdr>
        <w:top w:val="none" w:sz="0" w:space="0" w:color="auto"/>
        <w:left w:val="none" w:sz="0" w:space="0" w:color="auto"/>
        <w:bottom w:val="none" w:sz="0" w:space="0" w:color="auto"/>
        <w:right w:val="none" w:sz="0" w:space="0" w:color="auto"/>
      </w:divBdr>
    </w:div>
    <w:div w:id="1444226089">
      <w:marLeft w:val="0"/>
      <w:marRight w:val="0"/>
      <w:marTop w:val="160"/>
      <w:marBottom w:val="160"/>
      <w:divBdr>
        <w:top w:val="none" w:sz="0" w:space="0" w:color="auto"/>
        <w:left w:val="none" w:sz="0" w:space="0" w:color="auto"/>
        <w:bottom w:val="none" w:sz="0" w:space="0" w:color="auto"/>
        <w:right w:val="none" w:sz="0" w:space="0" w:color="auto"/>
      </w:divBdr>
    </w:div>
    <w:div w:id="1446926116">
      <w:marLeft w:val="0"/>
      <w:marRight w:val="0"/>
      <w:marTop w:val="0"/>
      <w:marBottom w:val="240"/>
      <w:divBdr>
        <w:top w:val="none" w:sz="0" w:space="0" w:color="auto"/>
        <w:left w:val="none" w:sz="0" w:space="0" w:color="auto"/>
        <w:bottom w:val="none" w:sz="0" w:space="0" w:color="auto"/>
        <w:right w:val="none" w:sz="0" w:space="0" w:color="auto"/>
      </w:divBdr>
    </w:div>
    <w:div w:id="1450589134">
      <w:marLeft w:val="0"/>
      <w:marRight w:val="0"/>
      <w:marTop w:val="100"/>
      <w:marBottom w:val="100"/>
      <w:divBdr>
        <w:top w:val="none" w:sz="0" w:space="0" w:color="auto"/>
        <w:left w:val="none" w:sz="0" w:space="0" w:color="auto"/>
        <w:bottom w:val="none" w:sz="0" w:space="0" w:color="auto"/>
        <w:right w:val="none" w:sz="0" w:space="0" w:color="auto"/>
      </w:divBdr>
    </w:div>
    <w:div w:id="1450708277">
      <w:marLeft w:val="0"/>
      <w:marRight w:val="0"/>
      <w:marTop w:val="0"/>
      <w:marBottom w:val="160"/>
      <w:divBdr>
        <w:top w:val="none" w:sz="0" w:space="0" w:color="auto"/>
        <w:left w:val="none" w:sz="0" w:space="0" w:color="auto"/>
        <w:bottom w:val="none" w:sz="0" w:space="0" w:color="auto"/>
        <w:right w:val="none" w:sz="0" w:space="0" w:color="auto"/>
      </w:divBdr>
    </w:div>
    <w:div w:id="1450779532">
      <w:marLeft w:val="0"/>
      <w:marRight w:val="0"/>
      <w:marTop w:val="0"/>
      <w:marBottom w:val="0"/>
      <w:divBdr>
        <w:top w:val="none" w:sz="0" w:space="0" w:color="auto"/>
        <w:left w:val="none" w:sz="0" w:space="0" w:color="auto"/>
        <w:bottom w:val="none" w:sz="0" w:space="0" w:color="auto"/>
        <w:right w:val="none" w:sz="0" w:space="0" w:color="auto"/>
      </w:divBdr>
      <w:divsChild>
        <w:div w:id="107940867">
          <w:marLeft w:val="0"/>
          <w:marRight w:val="0"/>
          <w:marTop w:val="160"/>
          <w:marBottom w:val="160"/>
          <w:divBdr>
            <w:top w:val="none" w:sz="0" w:space="0" w:color="auto"/>
            <w:left w:val="none" w:sz="0" w:space="0" w:color="auto"/>
            <w:bottom w:val="none" w:sz="0" w:space="0" w:color="auto"/>
            <w:right w:val="none" w:sz="0" w:space="0" w:color="auto"/>
          </w:divBdr>
        </w:div>
      </w:divsChild>
    </w:div>
    <w:div w:id="1458330608">
      <w:marLeft w:val="0"/>
      <w:marRight w:val="0"/>
      <w:marTop w:val="0"/>
      <w:marBottom w:val="180"/>
      <w:divBdr>
        <w:top w:val="none" w:sz="0" w:space="0" w:color="auto"/>
        <w:left w:val="none" w:sz="0" w:space="0" w:color="auto"/>
        <w:bottom w:val="none" w:sz="0" w:space="0" w:color="auto"/>
        <w:right w:val="none" w:sz="0" w:space="0" w:color="auto"/>
      </w:divBdr>
    </w:div>
    <w:div w:id="1460031700">
      <w:marLeft w:val="0"/>
      <w:marRight w:val="0"/>
      <w:marTop w:val="0"/>
      <w:marBottom w:val="0"/>
      <w:divBdr>
        <w:top w:val="none" w:sz="0" w:space="0" w:color="auto"/>
        <w:left w:val="none" w:sz="0" w:space="0" w:color="auto"/>
        <w:bottom w:val="none" w:sz="0" w:space="0" w:color="auto"/>
        <w:right w:val="none" w:sz="0" w:space="0" w:color="auto"/>
      </w:divBdr>
      <w:divsChild>
        <w:div w:id="94980300">
          <w:marLeft w:val="0"/>
          <w:marRight w:val="0"/>
          <w:marTop w:val="0"/>
          <w:marBottom w:val="0"/>
          <w:divBdr>
            <w:top w:val="none" w:sz="0" w:space="0" w:color="auto"/>
            <w:left w:val="none" w:sz="0" w:space="0" w:color="auto"/>
            <w:bottom w:val="none" w:sz="0" w:space="0" w:color="auto"/>
            <w:right w:val="none" w:sz="0" w:space="0" w:color="auto"/>
          </w:divBdr>
        </w:div>
      </w:divsChild>
    </w:div>
    <w:div w:id="1460108908">
      <w:marLeft w:val="0"/>
      <w:marRight w:val="0"/>
      <w:marTop w:val="0"/>
      <w:marBottom w:val="0"/>
      <w:divBdr>
        <w:top w:val="none" w:sz="0" w:space="0" w:color="auto"/>
        <w:left w:val="none" w:sz="0" w:space="0" w:color="auto"/>
        <w:bottom w:val="none" w:sz="0" w:space="0" w:color="auto"/>
        <w:right w:val="none" w:sz="0" w:space="0" w:color="auto"/>
      </w:divBdr>
    </w:div>
    <w:div w:id="1461456968">
      <w:marLeft w:val="0"/>
      <w:marRight w:val="0"/>
      <w:marTop w:val="0"/>
      <w:marBottom w:val="0"/>
      <w:divBdr>
        <w:top w:val="none" w:sz="0" w:space="0" w:color="auto"/>
        <w:left w:val="none" w:sz="0" w:space="0" w:color="auto"/>
        <w:bottom w:val="none" w:sz="0" w:space="0" w:color="auto"/>
        <w:right w:val="none" w:sz="0" w:space="0" w:color="auto"/>
      </w:divBdr>
    </w:div>
    <w:div w:id="1461918830">
      <w:marLeft w:val="0"/>
      <w:marRight w:val="0"/>
      <w:marTop w:val="0"/>
      <w:marBottom w:val="240"/>
      <w:divBdr>
        <w:top w:val="none" w:sz="0" w:space="0" w:color="auto"/>
        <w:left w:val="none" w:sz="0" w:space="0" w:color="auto"/>
        <w:bottom w:val="none" w:sz="0" w:space="0" w:color="auto"/>
        <w:right w:val="none" w:sz="0" w:space="0" w:color="auto"/>
      </w:divBdr>
    </w:div>
    <w:div w:id="1462769851">
      <w:marLeft w:val="0"/>
      <w:marRight w:val="0"/>
      <w:marTop w:val="0"/>
      <w:marBottom w:val="0"/>
      <w:divBdr>
        <w:top w:val="none" w:sz="0" w:space="0" w:color="auto"/>
        <w:left w:val="none" w:sz="0" w:space="0" w:color="auto"/>
        <w:bottom w:val="none" w:sz="0" w:space="0" w:color="auto"/>
        <w:right w:val="none" w:sz="0" w:space="0" w:color="auto"/>
      </w:divBdr>
    </w:div>
    <w:div w:id="1463304015">
      <w:marLeft w:val="0"/>
      <w:marRight w:val="0"/>
      <w:marTop w:val="44"/>
      <w:marBottom w:val="0"/>
      <w:divBdr>
        <w:top w:val="none" w:sz="0" w:space="0" w:color="auto"/>
        <w:left w:val="none" w:sz="0" w:space="0" w:color="auto"/>
        <w:bottom w:val="none" w:sz="0" w:space="0" w:color="auto"/>
        <w:right w:val="none" w:sz="0" w:space="0" w:color="auto"/>
      </w:divBdr>
    </w:div>
    <w:div w:id="1466894909">
      <w:marLeft w:val="0"/>
      <w:marRight w:val="0"/>
      <w:marTop w:val="0"/>
      <w:marBottom w:val="0"/>
      <w:divBdr>
        <w:top w:val="none" w:sz="0" w:space="0" w:color="auto"/>
        <w:left w:val="none" w:sz="0" w:space="0" w:color="auto"/>
        <w:bottom w:val="none" w:sz="0" w:space="0" w:color="auto"/>
        <w:right w:val="none" w:sz="0" w:space="0" w:color="auto"/>
      </w:divBdr>
      <w:divsChild>
        <w:div w:id="596522117">
          <w:marLeft w:val="0"/>
          <w:marRight w:val="0"/>
          <w:marTop w:val="0"/>
          <w:marBottom w:val="0"/>
          <w:divBdr>
            <w:top w:val="none" w:sz="0" w:space="0" w:color="auto"/>
            <w:left w:val="none" w:sz="0" w:space="0" w:color="auto"/>
            <w:bottom w:val="none" w:sz="0" w:space="0" w:color="auto"/>
            <w:right w:val="none" w:sz="0" w:space="0" w:color="auto"/>
          </w:divBdr>
          <w:divsChild>
            <w:div w:id="78423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24511">
      <w:marLeft w:val="0"/>
      <w:marRight w:val="0"/>
      <w:marTop w:val="0"/>
      <w:marBottom w:val="240"/>
      <w:divBdr>
        <w:top w:val="none" w:sz="0" w:space="0" w:color="auto"/>
        <w:left w:val="none" w:sz="0" w:space="0" w:color="auto"/>
        <w:bottom w:val="none" w:sz="0" w:space="0" w:color="auto"/>
        <w:right w:val="none" w:sz="0" w:space="0" w:color="auto"/>
      </w:divBdr>
    </w:div>
    <w:div w:id="1474715109">
      <w:marLeft w:val="0"/>
      <w:marRight w:val="0"/>
      <w:marTop w:val="0"/>
      <w:marBottom w:val="240"/>
      <w:divBdr>
        <w:top w:val="none" w:sz="0" w:space="0" w:color="auto"/>
        <w:left w:val="none" w:sz="0" w:space="0" w:color="auto"/>
        <w:bottom w:val="none" w:sz="0" w:space="0" w:color="auto"/>
        <w:right w:val="none" w:sz="0" w:space="0" w:color="auto"/>
      </w:divBdr>
    </w:div>
    <w:div w:id="1474979879">
      <w:marLeft w:val="0"/>
      <w:marRight w:val="0"/>
      <w:marTop w:val="0"/>
      <w:marBottom w:val="180"/>
      <w:divBdr>
        <w:top w:val="none" w:sz="0" w:space="0" w:color="auto"/>
        <w:left w:val="none" w:sz="0" w:space="0" w:color="auto"/>
        <w:bottom w:val="none" w:sz="0" w:space="0" w:color="auto"/>
        <w:right w:val="none" w:sz="0" w:space="0" w:color="auto"/>
      </w:divBdr>
    </w:div>
    <w:div w:id="1486043232">
      <w:marLeft w:val="0"/>
      <w:marRight w:val="0"/>
      <w:marTop w:val="0"/>
      <w:marBottom w:val="240"/>
      <w:divBdr>
        <w:top w:val="none" w:sz="0" w:space="0" w:color="auto"/>
        <w:left w:val="none" w:sz="0" w:space="0" w:color="auto"/>
        <w:bottom w:val="none" w:sz="0" w:space="0" w:color="auto"/>
        <w:right w:val="none" w:sz="0" w:space="0" w:color="auto"/>
      </w:divBdr>
    </w:div>
    <w:div w:id="1486773940">
      <w:marLeft w:val="0"/>
      <w:marRight w:val="0"/>
      <w:marTop w:val="100"/>
      <w:marBottom w:val="240"/>
      <w:divBdr>
        <w:top w:val="none" w:sz="0" w:space="0" w:color="auto"/>
        <w:left w:val="none" w:sz="0" w:space="0" w:color="auto"/>
        <w:bottom w:val="none" w:sz="0" w:space="0" w:color="auto"/>
        <w:right w:val="none" w:sz="0" w:space="0" w:color="auto"/>
      </w:divBdr>
    </w:div>
    <w:div w:id="1487476086">
      <w:marLeft w:val="0"/>
      <w:marRight w:val="0"/>
      <w:marTop w:val="160"/>
      <w:marBottom w:val="160"/>
      <w:divBdr>
        <w:top w:val="none" w:sz="0" w:space="0" w:color="auto"/>
        <w:left w:val="none" w:sz="0" w:space="0" w:color="auto"/>
        <w:bottom w:val="none" w:sz="0" w:space="0" w:color="auto"/>
        <w:right w:val="none" w:sz="0" w:space="0" w:color="auto"/>
      </w:divBdr>
    </w:div>
    <w:div w:id="1491362044">
      <w:marLeft w:val="0"/>
      <w:marRight w:val="0"/>
      <w:marTop w:val="0"/>
      <w:marBottom w:val="240"/>
      <w:divBdr>
        <w:top w:val="none" w:sz="0" w:space="0" w:color="auto"/>
        <w:left w:val="none" w:sz="0" w:space="0" w:color="auto"/>
        <w:bottom w:val="none" w:sz="0" w:space="0" w:color="auto"/>
        <w:right w:val="none" w:sz="0" w:space="0" w:color="auto"/>
      </w:divBdr>
    </w:div>
    <w:div w:id="1493906603">
      <w:marLeft w:val="0"/>
      <w:marRight w:val="0"/>
      <w:marTop w:val="66"/>
      <w:marBottom w:val="0"/>
      <w:divBdr>
        <w:top w:val="none" w:sz="0" w:space="0" w:color="auto"/>
        <w:left w:val="none" w:sz="0" w:space="0" w:color="auto"/>
        <w:bottom w:val="none" w:sz="0" w:space="0" w:color="auto"/>
        <w:right w:val="none" w:sz="0" w:space="0" w:color="auto"/>
      </w:divBdr>
    </w:div>
    <w:div w:id="1494485644">
      <w:marLeft w:val="0"/>
      <w:marRight w:val="0"/>
      <w:marTop w:val="0"/>
      <w:marBottom w:val="80"/>
      <w:divBdr>
        <w:top w:val="none" w:sz="0" w:space="0" w:color="auto"/>
        <w:left w:val="none" w:sz="0" w:space="0" w:color="auto"/>
        <w:bottom w:val="none" w:sz="0" w:space="0" w:color="auto"/>
        <w:right w:val="none" w:sz="0" w:space="0" w:color="auto"/>
      </w:divBdr>
    </w:div>
    <w:div w:id="1504784951">
      <w:marLeft w:val="0"/>
      <w:marRight w:val="0"/>
      <w:marTop w:val="0"/>
      <w:marBottom w:val="160"/>
      <w:divBdr>
        <w:top w:val="none" w:sz="0" w:space="0" w:color="auto"/>
        <w:left w:val="none" w:sz="0" w:space="0" w:color="auto"/>
        <w:bottom w:val="none" w:sz="0" w:space="0" w:color="auto"/>
        <w:right w:val="none" w:sz="0" w:space="0" w:color="auto"/>
      </w:divBdr>
    </w:div>
    <w:div w:id="1505170572">
      <w:marLeft w:val="0"/>
      <w:marRight w:val="0"/>
      <w:marTop w:val="0"/>
      <w:marBottom w:val="0"/>
      <w:divBdr>
        <w:top w:val="none" w:sz="0" w:space="0" w:color="auto"/>
        <w:left w:val="none" w:sz="0" w:space="0" w:color="auto"/>
        <w:bottom w:val="none" w:sz="0" w:space="0" w:color="auto"/>
        <w:right w:val="none" w:sz="0" w:space="0" w:color="auto"/>
      </w:divBdr>
      <w:divsChild>
        <w:div w:id="753666554">
          <w:marLeft w:val="0"/>
          <w:marRight w:val="0"/>
          <w:marTop w:val="160"/>
          <w:marBottom w:val="160"/>
          <w:divBdr>
            <w:top w:val="none" w:sz="0" w:space="0" w:color="auto"/>
            <w:left w:val="none" w:sz="0" w:space="0" w:color="auto"/>
            <w:bottom w:val="none" w:sz="0" w:space="0" w:color="auto"/>
            <w:right w:val="none" w:sz="0" w:space="0" w:color="auto"/>
          </w:divBdr>
        </w:div>
      </w:divsChild>
    </w:div>
    <w:div w:id="1505897728">
      <w:marLeft w:val="0"/>
      <w:marRight w:val="0"/>
      <w:marTop w:val="0"/>
      <w:marBottom w:val="240"/>
      <w:divBdr>
        <w:top w:val="none" w:sz="0" w:space="0" w:color="auto"/>
        <w:left w:val="none" w:sz="0" w:space="0" w:color="auto"/>
        <w:bottom w:val="none" w:sz="0" w:space="0" w:color="auto"/>
        <w:right w:val="none" w:sz="0" w:space="0" w:color="auto"/>
      </w:divBdr>
    </w:div>
    <w:div w:id="1506090582">
      <w:marLeft w:val="0"/>
      <w:marRight w:val="0"/>
      <w:marTop w:val="160"/>
      <w:marBottom w:val="160"/>
      <w:divBdr>
        <w:top w:val="none" w:sz="0" w:space="0" w:color="auto"/>
        <w:left w:val="none" w:sz="0" w:space="0" w:color="auto"/>
        <w:bottom w:val="none" w:sz="0" w:space="0" w:color="auto"/>
        <w:right w:val="none" w:sz="0" w:space="0" w:color="auto"/>
      </w:divBdr>
    </w:div>
    <w:div w:id="1506170316">
      <w:marLeft w:val="0"/>
      <w:marRight w:val="0"/>
      <w:marTop w:val="0"/>
      <w:marBottom w:val="240"/>
      <w:divBdr>
        <w:top w:val="none" w:sz="0" w:space="0" w:color="auto"/>
        <w:left w:val="none" w:sz="0" w:space="0" w:color="auto"/>
        <w:bottom w:val="none" w:sz="0" w:space="0" w:color="auto"/>
        <w:right w:val="none" w:sz="0" w:space="0" w:color="auto"/>
      </w:divBdr>
    </w:div>
    <w:div w:id="1508212494">
      <w:marLeft w:val="0"/>
      <w:marRight w:val="0"/>
      <w:marTop w:val="0"/>
      <w:marBottom w:val="40"/>
      <w:divBdr>
        <w:top w:val="none" w:sz="0" w:space="0" w:color="auto"/>
        <w:left w:val="none" w:sz="0" w:space="0" w:color="auto"/>
        <w:bottom w:val="none" w:sz="0" w:space="0" w:color="auto"/>
        <w:right w:val="none" w:sz="0" w:space="0" w:color="auto"/>
      </w:divBdr>
    </w:div>
    <w:div w:id="1510219898">
      <w:marLeft w:val="0"/>
      <w:marRight w:val="0"/>
      <w:marTop w:val="0"/>
      <w:marBottom w:val="0"/>
      <w:divBdr>
        <w:top w:val="none" w:sz="0" w:space="0" w:color="auto"/>
        <w:left w:val="none" w:sz="0" w:space="0" w:color="auto"/>
        <w:bottom w:val="none" w:sz="0" w:space="0" w:color="auto"/>
        <w:right w:val="none" w:sz="0" w:space="0" w:color="auto"/>
      </w:divBdr>
      <w:divsChild>
        <w:div w:id="999121028">
          <w:marLeft w:val="0"/>
          <w:marRight w:val="0"/>
          <w:marTop w:val="0"/>
          <w:marBottom w:val="0"/>
          <w:divBdr>
            <w:top w:val="none" w:sz="0" w:space="0" w:color="auto"/>
            <w:left w:val="none" w:sz="0" w:space="0" w:color="auto"/>
            <w:bottom w:val="none" w:sz="0" w:space="0" w:color="auto"/>
            <w:right w:val="none" w:sz="0" w:space="0" w:color="auto"/>
          </w:divBdr>
        </w:div>
      </w:divsChild>
    </w:div>
    <w:div w:id="1513689475">
      <w:marLeft w:val="0"/>
      <w:marRight w:val="0"/>
      <w:marTop w:val="0"/>
      <w:marBottom w:val="0"/>
      <w:divBdr>
        <w:top w:val="none" w:sz="0" w:space="0" w:color="auto"/>
        <w:left w:val="none" w:sz="0" w:space="0" w:color="auto"/>
        <w:bottom w:val="none" w:sz="0" w:space="0" w:color="auto"/>
        <w:right w:val="none" w:sz="0" w:space="0" w:color="auto"/>
      </w:divBdr>
    </w:div>
    <w:div w:id="1520047349">
      <w:marLeft w:val="0"/>
      <w:marRight w:val="0"/>
      <w:marTop w:val="60"/>
      <w:marBottom w:val="60"/>
      <w:divBdr>
        <w:top w:val="none" w:sz="0" w:space="0" w:color="auto"/>
        <w:left w:val="none" w:sz="0" w:space="0" w:color="auto"/>
        <w:bottom w:val="none" w:sz="0" w:space="0" w:color="auto"/>
        <w:right w:val="none" w:sz="0" w:space="0" w:color="auto"/>
      </w:divBdr>
    </w:div>
    <w:div w:id="1520126115">
      <w:marLeft w:val="0"/>
      <w:marRight w:val="0"/>
      <w:marTop w:val="0"/>
      <w:marBottom w:val="0"/>
      <w:divBdr>
        <w:top w:val="none" w:sz="0" w:space="0" w:color="auto"/>
        <w:left w:val="none" w:sz="0" w:space="0" w:color="auto"/>
        <w:bottom w:val="none" w:sz="0" w:space="0" w:color="auto"/>
        <w:right w:val="none" w:sz="0" w:space="0" w:color="auto"/>
      </w:divBdr>
      <w:divsChild>
        <w:div w:id="1221945040">
          <w:marLeft w:val="0"/>
          <w:marRight w:val="0"/>
          <w:marTop w:val="0"/>
          <w:marBottom w:val="0"/>
          <w:divBdr>
            <w:top w:val="none" w:sz="0" w:space="0" w:color="auto"/>
            <w:left w:val="none" w:sz="0" w:space="0" w:color="auto"/>
            <w:bottom w:val="none" w:sz="0" w:space="0" w:color="auto"/>
            <w:right w:val="none" w:sz="0" w:space="0" w:color="auto"/>
          </w:divBdr>
        </w:div>
      </w:divsChild>
    </w:div>
    <w:div w:id="1520239193">
      <w:marLeft w:val="0"/>
      <w:marRight w:val="0"/>
      <w:marTop w:val="100"/>
      <w:marBottom w:val="240"/>
      <w:divBdr>
        <w:top w:val="none" w:sz="0" w:space="0" w:color="auto"/>
        <w:left w:val="none" w:sz="0" w:space="0" w:color="auto"/>
        <w:bottom w:val="none" w:sz="0" w:space="0" w:color="auto"/>
        <w:right w:val="none" w:sz="0" w:space="0" w:color="auto"/>
      </w:divBdr>
    </w:div>
    <w:div w:id="1521040377">
      <w:marLeft w:val="0"/>
      <w:marRight w:val="0"/>
      <w:marTop w:val="0"/>
      <w:marBottom w:val="0"/>
      <w:divBdr>
        <w:top w:val="none" w:sz="0" w:space="0" w:color="auto"/>
        <w:left w:val="none" w:sz="0" w:space="0" w:color="auto"/>
        <w:bottom w:val="none" w:sz="0" w:space="0" w:color="auto"/>
        <w:right w:val="none" w:sz="0" w:space="0" w:color="auto"/>
      </w:divBdr>
      <w:divsChild>
        <w:div w:id="347371160">
          <w:marLeft w:val="0"/>
          <w:marRight w:val="0"/>
          <w:marTop w:val="0"/>
          <w:marBottom w:val="0"/>
          <w:divBdr>
            <w:top w:val="none" w:sz="0" w:space="0" w:color="auto"/>
            <w:left w:val="none" w:sz="0" w:space="0" w:color="auto"/>
            <w:bottom w:val="none" w:sz="0" w:space="0" w:color="auto"/>
            <w:right w:val="none" w:sz="0" w:space="0" w:color="auto"/>
          </w:divBdr>
        </w:div>
      </w:divsChild>
    </w:div>
    <w:div w:id="1526092003">
      <w:marLeft w:val="0"/>
      <w:marRight w:val="0"/>
      <w:marTop w:val="0"/>
      <w:marBottom w:val="240"/>
      <w:divBdr>
        <w:top w:val="none" w:sz="0" w:space="0" w:color="auto"/>
        <w:left w:val="none" w:sz="0" w:space="0" w:color="auto"/>
        <w:bottom w:val="none" w:sz="0" w:space="0" w:color="auto"/>
        <w:right w:val="none" w:sz="0" w:space="0" w:color="auto"/>
      </w:divBdr>
    </w:div>
    <w:div w:id="1528710564">
      <w:marLeft w:val="0"/>
      <w:marRight w:val="0"/>
      <w:marTop w:val="0"/>
      <w:marBottom w:val="160"/>
      <w:divBdr>
        <w:top w:val="none" w:sz="0" w:space="0" w:color="auto"/>
        <w:left w:val="none" w:sz="0" w:space="0" w:color="auto"/>
        <w:bottom w:val="none" w:sz="0" w:space="0" w:color="auto"/>
        <w:right w:val="none" w:sz="0" w:space="0" w:color="auto"/>
      </w:divBdr>
    </w:div>
    <w:div w:id="1531646797">
      <w:marLeft w:val="0"/>
      <w:marRight w:val="0"/>
      <w:marTop w:val="0"/>
      <w:marBottom w:val="180"/>
      <w:divBdr>
        <w:top w:val="none" w:sz="0" w:space="0" w:color="auto"/>
        <w:left w:val="none" w:sz="0" w:space="0" w:color="auto"/>
        <w:bottom w:val="none" w:sz="0" w:space="0" w:color="auto"/>
        <w:right w:val="none" w:sz="0" w:space="0" w:color="auto"/>
      </w:divBdr>
    </w:div>
    <w:div w:id="1533952516">
      <w:marLeft w:val="0"/>
      <w:marRight w:val="0"/>
      <w:marTop w:val="160"/>
      <w:marBottom w:val="160"/>
      <w:divBdr>
        <w:top w:val="none" w:sz="0" w:space="0" w:color="auto"/>
        <w:left w:val="none" w:sz="0" w:space="0" w:color="auto"/>
        <w:bottom w:val="none" w:sz="0" w:space="0" w:color="auto"/>
        <w:right w:val="none" w:sz="0" w:space="0" w:color="auto"/>
      </w:divBdr>
    </w:div>
    <w:div w:id="1534726561">
      <w:marLeft w:val="0"/>
      <w:marRight w:val="0"/>
      <w:marTop w:val="0"/>
      <w:marBottom w:val="240"/>
      <w:divBdr>
        <w:top w:val="none" w:sz="0" w:space="0" w:color="auto"/>
        <w:left w:val="none" w:sz="0" w:space="0" w:color="auto"/>
        <w:bottom w:val="none" w:sz="0" w:space="0" w:color="auto"/>
        <w:right w:val="none" w:sz="0" w:space="0" w:color="auto"/>
      </w:divBdr>
    </w:div>
    <w:div w:id="1535314858">
      <w:marLeft w:val="0"/>
      <w:marRight w:val="0"/>
      <w:marTop w:val="0"/>
      <w:marBottom w:val="0"/>
      <w:divBdr>
        <w:top w:val="none" w:sz="0" w:space="0" w:color="auto"/>
        <w:left w:val="none" w:sz="0" w:space="0" w:color="auto"/>
        <w:bottom w:val="none" w:sz="0" w:space="0" w:color="auto"/>
        <w:right w:val="none" w:sz="0" w:space="0" w:color="auto"/>
      </w:divBdr>
      <w:divsChild>
        <w:div w:id="1803840632">
          <w:marLeft w:val="0"/>
          <w:marRight w:val="0"/>
          <w:marTop w:val="160"/>
          <w:marBottom w:val="160"/>
          <w:divBdr>
            <w:top w:val="none" w:sz="0" w:space="0" w:color="auto"/>
            <w:left w:val="none" w:sz="0" w:space="0" w:color="auto"/>
            <w:bottom w:val="none" w:sz="0" w:space="0" w:color="auto"/>
            <w:right w:val="none" w:sz="0" w:space="0" w:color="auto"/>
          </w:divBdr>
        </w:div>
      </w:divsChild>
    </w:div>
    <w:div w:id="1535383536">
      <w:marLeft w:val="0"/>
      <w:marRight w:val="0"/>
      <w:marTop w:val="0"/>
      <w:marBottom w:val="60"/>
      <w:divBdr>
        <w:top w:val="none" w:sz="0" w:space="0" w:color="auto"/>
        <w:left w:val="none" w:sz="0" w:space="0" w:color="auto"/>
        <w:bottom w:val="none" w:sz="0" w:space="0" w:color="auto"/>
        <w:right w:val="none" w:sz="0" w:space="0" w:color="auto"/>
      </w:divBdr>
    </w:div>
    <w:div w:id="1536036689">
      <w:marLeft w:val="0"/>
      <w:marRight w:val="0"/>
      <w:marTop w:val="100"/>
      <w:marBottom w:val="240"/>
      <w:divBdr>
        <w:top w:val="none" w:sz="0" w:space="0" w:color="auto"/>
        <w:left w:val="none" w:sz="0" w:space="0" w:color="auto"/>
        <w:bottom w:val="none" w:sz="0" w:space="0" w:color="auto"/>
        <w:right w:val="none" w:sz="0" w:space="0" w:color="auto"/>
      </w:divBdr>
    </w:div>
    <w:div w:id="1546717559">
      <w:marLeft w:val="0"/>
      <w:marRight w:val="0"/>
      <w:marTop w:val="220"/>
      <w:marBottom w:val="160"/>
      <w:divBdr>
        <w:top w:val="none" w:sz="0" w:space="0" w:color="auto"/>
        <w:left w:val="none" w:sz="0" w:space="0" w:color="auto"/>
        <w:bottom w:val="none" w:sz="0" w:space="0" w:color="auto"/>
        <w:right w:val="none" w:sz="0" w:space="0" w:color="auto"/>
      </w:divBdr>
    </w:div>
    <w:div w:id="1547182031">
      <w:marLeft w:val="0"/>
      <w:marRight w:val="0"/>
      <w:marTop w:val="100"/>
      <w:marBottom w:val="100"/>
      <w:divBdr>
        <w:top w:val="none" w:sz="0" w:space="0" w:color="auto"/>
        <w:left w:val="none" w:sz="0" w:space="0" w:color="auto"/>
        <w:bottom w:val="none" w:sz="0" w:space="0" w:color="auto"/>
        <w:right w:val="none" w:sz="0" w:space="0" w:color="auto"/>
      </w:divBdr>
    </w:div>
    <w:div w:id="1548759619">
      <w:marLeft w:val="0"/>
      <w:marRight w:val="0"/>
      <w:marTop w:val="0"/>
      <w:marBottom w:val="240"/>
      <w:divBdr>
        <w:top w:val="none" w:sz="0" w:space="0" w:color="auto"/>
        <w:left w:val="none" w:sz="0" w:space="0" w:color="auto"/>
        <w:bottom w:val="none" w:sz="0" w:space="0" w:color="auto"/>
        <w:right w:val="none" w:sz="0" w:space="0" w:color="auto"/>
      </w:divBdr>
    </w:div>
    <w:div w:id="1550846810">
      <w:marLeft w:val="0"/>
      <w:marRight w:val="0"/>
      <w:marTop w:val="0"/>
      <w:marBottom w:val="60"/>
      <w:divBdr>
        <w:top w:val="none" w:sz="0" w:space="0" w:color="auto"/>
        <w:left w:val="none" w:sz="0" w:space="0" w:color="auto"/>
        <w:bottom w:val="none" w:sz="0" w:space="0" w:color="auto"/>
        <w:right w:val="none" w:sz="0" w:space="0" w:color="auto"/>
      </w:divBdr>
    </w:div>
    <w:div w:id="1554535668">
      <w:marLeft w:val="0"/>
      <w:marRight w:val="0"/>
      <w:marTop w:val="0"/>
      <w:marBottom w:val="240"/>
      <w:divBdr>
        <w:top w:val="none" w:sz="0" w:space="0" w:color="auto"/>
        <w:left w:val="none" w:sz="0" w:space="0" w:color="auto"/>
        <w:bottom w:val="none" w:sz="0" w:space="0" w:color="auto"/>
        <w:right w:val="none" w:sz="0" w:space="0" w:color="auto"/>
      </w:divBdr>
    </w:div>
    <w:div w:id="1558324126">
      <w:marLeft w:val="0"/>
      <w:marRight w:val="0"/>
      <w:marTop w:val="0"/>
      <w:marBottom w:val="240"/>
      <w:divBdr>
        <w:top w:val="none" w:sz="0" w:space="0" w:color="auto"/>
        <w:left w:val="none" w:sz="0" w:space="0" w:color="auto"/>
        <w:bottom w:val="none" w:sz="0" w:space="0" w:color="auto"/>
        <w:right w:val="none" w:sz="0" w:space="0" w:color="auto"/>
      </w:divBdr>
    </w:div>
    <w:div w:id="1559511715">
      <w:marLeft w:val="0"/>
      <w:marRight w:val="0"/>
      <w:marTop w:val="0"/>
      <w:marBottom w:val="0"/>
      <w:divBdr>
        <w:top w:val="none" w:sz="0" w:space="0" w:color="auto"/>
        <w:left w:val="none" w:sz="0" w:space="0" w:color="auto"/>
        <w:bottom w:val="none" w:sz="0" w:space="0" w:color="auto"/>
        <w:right w:val="none" w:sz="0" w:space="0" w:color="auto"/>
      </w:divBdr>
      <w:divsChild>
        <w:div w:id="1460491112">
          <w:marLeft w:val="0"/>
          <w:marRight w:val="0"/>
          <w:marTop w:val="160"/>
          <w:marBottom w:val="160"/>
          <w:divBdr>
            <w:top w:val="none" w:sz="0" w:space="0" w:color="auto"/>
            <w:left w:val="none" w:sz="0" w:space="0" w:color="auto"/>
            <w:bottom w:val="none" w:sz="0" w:space="0" w:color="auto"/>
            <w:right w:val="none" w:sz="0" w:space="0" w:color="auto"/>
          </w:divBdr>
        </w:div>
      </w:divsChild>
    </w:div>
    <w:div w:id="1559589215">
      <w:marLeft w:val="0"/>
      <w:marRight w:val="0"/>
      <w:marTop w:val="0"/>
      <w:marBottom w:val="0"/>
      <w:divBdr>
        <w:top w:val="none" w:sz="0" w:space="0" w:color="auto"/>
        <w:left w:val="none" w:sz="0" w:space="0" w:color="auto"/>
        <w:bottom w:val="none" w:sz="0" w:space="0" w:color="auto"/>
        <w:right w:val="none" w:sz="0" w:space="0" w:color="auto"/>
      </w:divBdr>
    </w:div>
    <w:div w:id="1561481978">
      <w:marLeft w:val="0"/>
      <w:marRight w:val="0"/>
      <w:marTop w:val="100"/>
      <w:marBottom w:val="240"/>
      <w:divBdr>
        <w:top w:val="none" w:sz="0" w:space="0" w:color="auto"/>
        <w:left w:val="none" w:sz="0" w:space="0" w:color="auto"/>
        <w:bottom w:val="none" w:sz="0" w:space="0" w:color="auto"/>
        <w:right w:val="none" w:sz="0" w:space="0" w:color="auto"/>
      </w:divBdr>
    </w:div>
    <w:div w:id="1564291185">
      <w:marLeft w:val="0"/>
      <w:marRight w:val="0"/>
      <w:marTop w:val="0"/>
      <w:marBottom w:val="240"/>
      <w:divBdr>
        <w:top w:val="none" w:sz="0" w:space="0" w:color="auto"/>
        <w:left w:val="none" w:sz="0" w:space="0" w:color="auto"/>
        <w:bottom w:val="none" w:sz="0" w:space="0" w:color="auto"/>
        <w:right w:val="none" w:sz="0" w:space="0" w:color="auto"/>
      </w:divBdr>
    </w:div>
    <w:div w:id="1571648541">
      <w:marLeft w:val="0"/>
      <w:marRight w:val="0"/>
      <w:marTop w:val="100"/>
      <w:marBottom w:val="100"/>
      <w:divBdr>
        <w:top w:val="none" w:sz="0" w:space="0" w:color="auto"/>
        <w:left w:val="none" w:sz="0" w:space="0" w:color="auto"/>
        <w:bottom w:val="none" w:sz="0" w:space="0" w:color="auto"/>
        <w:right w:val="none" w:sz="0" w:space="0" w:color="auto"/>
      </w:divBdr>
    </w:div>
    <w:div w:id="1573466747">
      <w:marLeft w:val="0"/>
      <w:marRight w:val="0"/>
      <w:marTop w:val="0"/>
      <w:marBottom w:val="240"/>
      <w:divBdr>
        <w:top w:val="none" w:sz="0" w:space="0" w:color="auto"/>
        <w:left w:val="none" w:sz="0" w:space="0" w:color="auto"/>
        <w:bottom w:val="none" w:sz="0" w:space="0" w:color="auto"/>
        <w:right w:val="none" w:sz="0" w:space="0" w:color="auto"/>
      </w:divBdr>
    </w:div>
    <w:div w:id="1575818860">
      <w:marLeft w:val="0"/>
      <w:marRight w:val="0"/>
      <w:marTop w:val="0"/>
      <w:marBottom w:val="0"/>
      <w:divBdr>
        <w:top w:val="none" w:sz="0" w:space="0" w:color="auto"/>
        <w:left w:val="none" w:sz="0" w:space="0" w:color="auto"/>
        <w:bottom w:val="none" w:sz="0" w:space="0" w:color="auto"/>
        <w:right w:val="none" w:sz="0" w:space="0" w:color="auto"/>
      </w:divBdr>
      <w:divsChild>
        <w:div w:id="1811745635">
          <w:marLeft w:val="0"/>
          <w:marRight w:val="0"/>
          <w:marTop w:val="160"/>
          <w:marBottom w:val="160"/>
          <w:divBdr>
            <w:top w:val="none" w:sz="0" w:space="0" w:color="auto"/>
            <w:left w:val="none" w:sz="0" w:space="0" w:color="auto"/>
            <w:bottom w:val="none" w:sz="0" w:space="0" w:color="auto"/>
            <w:right w:val="none" w:sz="0" w:space="0" w:color="auto"/>
          </w:divBdr>
        </w:div>
      </w:divsChild>
    </w:div>
    <w:div w:id="1580603822">
      <w:marLeft w:val="0"/>
      <w:marRight w:val="0"/>
      <w:marTop w:val="160"/>
      <w:marBottom w:val="160"/>
      <w:divBdr>
        <w:top w:val="none" w:sz="0" w:space="0" w:color="auto"/>
        <w:left w:val="none" w:sz="0" w:space="0" w:color="auto"/>
        <w:bottom w:val="none" w:sz="0" w:space="0" w:color="auto"/>
        <w:right w:val="none" w:sz="0" w:space="0" w:color="auto"/>
      </w:divBdr>
    </w:div>
    <w:div w:id="1581599765">
      <w:marLeft w:val="0"/>
      <w:marRight w:val="0"/>
      <w:marTop w:val="0"/>
      <w:marBottom w:val="0"/>
      <w:divBdr>
        <w:top w:val="none" w:sz="0" w:space="0" w:color="auto"/>
        <w:left w:val="none" w:sz="0" w:space="0" w:color="auto"/>
        <w:bottom w:val="none" w:sz="0" w:space="0" w:color="auto"/>
        <w:right w:val="none" w:sz="0" w:space="0" w:color="auto"/>
      </w:divBdr>
      <w:divsChild>
        <w:div w:id="1090857389">
          <w:marLeft w:val="0"/>
          <w:marRight w:val="0"/>
          <w:marTop w:val="0"/>
          <w:marBottom w:val="0"/>
          <w:divBdr>
            <w:top w:val="none" w:sz="0" w:space="0" w:color="auto"/>
            <w:left w:val="none" w:sz="0" w:space="0" w:color="auto"/>
            <w:bottom w:val="none" w:sz="0" w:space="0" w:color="auto"/>
            <w:right w:val="none" w:sz="0" w:space="0" w:color="auto"/>
          </w:divBdr>
        </w:div>
      </w:divsChild>
    </w:div>
    <w:div w:id="1581869799">
      <w:marLeft w:val="0"/>
      <w:marRight w:val="0"/>
      <w:marTop w:val="0"/>
      <w:marBottom w:val="0"/>
      <w:divBdr>
        <w:top w:val="none" w:sz="0" w:space="0" w:color="auto"/>
        <w:left w:val="none" w:sz="0" w:space="0" w:color="auto"/>
        <w:bottom w:val="none" w:sz="0" w:space="0" w:color="auto"/>
        <w:right w:val="none" w:sz="0" w:space="0" w:color="auto"/>
      </w:divBdr>
    </w:div>
    <w:div w:id="1585147826">
      <w:marLeft w:val="0"/>
      <w:marRight w:val="0"/>
      <w:marTop w:val="0"/>
      <w:marBottom w:val="0"/>
      <w:divBdr>
        <w:top w:val="none" w:sz="0" w:space="0" w:color="auto"/>
        <w:left w:val="none" w:sz="0" w:space="0" w:color="auto"/>
        <w:bottom w:val="none" w:sz="0" w:space="0" w:color="auto"/>
        <w:right w:val="none" w:sz="0" w:space="0" w:color="auto"/>
      </w:divBdr>
      <w:divsChild>
        <w:div w:id="1378041212">
          <w:marLeft w:val="0"/>
          <w:marRight w:val="0"/>
          <w:marTop w:val="160"/>
          <w:marBottom w:val="160"/>
          <w:divBdr>
            <w:top w:val="none" w:sz="0" w:space="0" w:color="auto"/>
            <w:left w:val="none" w:sz="0" w:space="0" w:color="auto"/>
            <w:bottom w:val="none" w:sz="0" w:space="0" w:color="auto"/>
            <w:right w:val="none" w:sz="0" w:space="0" w:color="auto"/>
          </w:divBdr>
        </w:div>
      </w:divsChild>
    </w:div>
    <w:div w:id="1586455704">
      <w:marLeft w:val="0"/>
      <w:marRight w:val="0"/>
      <w:marTop w:val="0"/>
      <w:marBottom w:val="0"/>
      <w:divBdr>
        <w:top w:val="none" w:sz="0" w:space="0" w:color="auto"/>
        <w:left w:val="none" w:sz="0" w:space="0" w:color="auto"/>
        <w:bottom w:val="none" w:sz="0" w:space="0" w:color="auto"/>
        <w:right w:val="none" w:sz="0" w:space="0" w:color="auto"/>
      </w:divBdr>
      <w:divsChild>
        <w:div w:id="236793772">
          <w:marLeft w:val="0"/>
          <w:marRight w:val="0"/>
          <w:marTop w:val="0"/>
          <w:marBottom w:val="0"/>
          <w:divBdr>
            <w:top w:val="none" w:sz="0" w:space="0" w:color="auto"/>
            <w:left w:val="none" w:sz="0" w:space="0" w:color="auto"/>
            <w:bottom w:val="none" w:sz="0" w:space="0" w:color="auto"/>
            <w:right w:val="none" w:sz="0" w:space="0" w:color="auto"/>
          </w:divBdr>
        </w:div>
      </w:divsChild>
    </w:div>
    <w:div w:id="1591694916">
      <w:marLeft w:val="0"/>
      <w:marRight w:val="0"/>
      <w:marTop w:val="0"/>
      <w:marBottom w:val="0"/>
      <w:divBdr>
        <w:top w:val="none" w:sz="0" w:space="0" w:color="auto"/>
        <w:left w:val="none" w:sz="0" w:space="0" w:color="auto"/>
        <w:bottom w:val="none" w:sz="0" w:space="0" w:color="auto"/>
        <w:right w:val="none" w:sz="0" w:space="0" w:color="auto"/>
      </w:divBdr>
      <w:divsChild>
        <w:div w:id="1386294347">
          <w:marLeft w:val="0"/>
          <w:marRight w:val="0"/>
          <w:marTop w:val="0"/>
          <w:marBottom w:val="0"/>
          <w:divBdr>
            <w:top w:val="none" w:sz="0" w:space="0" w:color="auto"/>
            <w:left w:val="none" w:sz="0" w:space="0" w:color="auto"/>
            <w:bottom w:val="none" w:sz="0" w:space="0" w:color="auto"/>
            <w:right w:val="none" w:sz="0" w:space="0" w:color="auto"/>
          </w:divBdr>
        </w:div>
      </w:divsChild>
    </w:div>
    <w:div w:id="1594048549">
      <w:marLeft w:val="0"/>
      <w:marRight w:val="0"/>
      <w:marTop w:val="0"/>
      <w:marBottom w:val="240"/>
      <w:divBdr>
        <w:top w:val="none" w:sz="0" w:space="0" w:color="auto"/>
        <w:left w:val="none" w:sz="0" w:space="0" w:color="auto"/>
        <w:bottom w:val="none" w:sz="0" w:space="0" w:color="auto"/>
        <w:right w:val="none" w:sz="0" w:space="0" w:color="auto"/>
      </w:divBdr>
    </w:div>
    <w:div w:id="1596745056">
      <w:marLeft w:val="0"/>
      <w:marRight w:val="0"/>
      <w:marTop w:val="300"/>
      <w:marBottom w:val="100"/>
      <w:divBdr>
        <w:top w:val="none" w:sz="0" w:space="0" w:color="auto"/>
        <w:left w:val="none" w:sz="0" w:space="0" w:color="auto"/>
        <w:bottom w:val="none" w:sz="0" w:space="0" w:color="auto"/>
        <w:right w:val="none" w:sz="0" w:space="0" w:color="auto"/>
      </w:divBdr>
    </w:div>
    <w:div w:id="1596937810">
      <w:marLeft w:val="0"/>
      <w:marRight w:val="0"/>
      <w:marTop w:val="0"/>
      <w:marBottom w:val="40"/>
      <w:divBdr>
        <w:top w:val="none" w:sz="0" w:space="0" w:color="auto"/>
        <w:left w:val="none" w:sz="0" w:space="0" w:color="auto"/>
        <w:bottom w:val="none" w:sz="0" w:space="0" w:color="auto"/>
        <w:right w:val="none" w:sz="0" w:space="0" w:color="auto"/>
      </w:divBdr>
    </w:div>
    <w:div w:id="1607888669">
      <w:marLeft w:val="0"/>
      <w:marRight w:val="0"/>
      <w:marTop w:val="0"/>
      <w:marBottom w:val="240"/>
      <w:divBdr>
        <w:top w:val="none" w:sz="0" w:space="0" w:color="auto"/>
        <w:left w:val="none" w:sz="0" w:space="0" w:color="auto"/>
        <w:bottom w:val="none" w:sz="0" w:space="0" w:color="auto"/>
        <w:right w:val="none" w:sz="0" w:space="0" w:color="auto"/>
      </w:divBdr>
    </w:div>
    <w:div w:id="1608929017">
      <w:marLeft w:val="0"/>
      <w:marRight w:val="0"/>
      <w:marTop w:val="240"/>
      <w:marBottom w:val="240"/>
      <w:divBdr>
        <w:top w:val="none" w:sz="0" w:space="0" w:color="auto"/>
        <w:left w:val="none" w:sz="0" w:space="0" w:color="auto"/>
        <w:bottom w:val="none" w:sz="0" w:space="0" w:color="auto"/>
        <w:right w:val="none" w:sz="0" w:space="0" w:color="auto"/>
      </w:divBdr>
    </w:div>
    <w:div w:id="1609921021">
      <w:marLeft w:val="0"/>
      <w:marRight w:val="0"/>
      <w:marTop w:val="160"/>
      <w:marBottom w:val="160"/>
      <w:divBdr>
        <w:top w:val="none" w:sz="0" w:space="0" w:color="auto"/>
        <w:left w:val="none" w:sz="0" w:space="0" w:color="auto"/>
        <w:bottom w:val="none" w:sz="0" w:space="0" w:color="auto"/>
        <w:right w:val="none" w:sz="0" w:space="0" w:color="auto"/>
      </w:divBdr>
    </w:div>
    <w:div w:id="1610234868">
      <w:marLeft w:val="0"/>
      <w:marRight w:val="0"/>
      <w:marTop w:val="0"/>
      <w:marBottom w:val="240"/>
      <w:divBdr>
        <w:top w:val="none" w:sz="0" w:space="0" w:color="auto"/>
        <w:left w:val="none" w:sz="0" w:space="0" w:color="auto"/>
        <w:bottom w:val="none" w:sz="0" w:space="0" w:color="auto"/>
        <w:right w:val="none" w:sz="0" w:space="0" w:color="auto"/>
      </w:divBdr>
    </w:div>
    <w:div w:id="1610627567">
      <w:marLeft w:val="0"/>
      <w:marRight w:val="0"/>
      <w:marTop w:val="160"/>
      <w:marBottom w:val="160"/>
      <w:divBdr>
        <w:top w:val="none" w:sz="0" w:space="0" w:color="auto"/>
        <w:left w:val="none" w:sz="0" w:space="0" w:color="auto"/>
        <w:bottom w:val="none" w:sz="0" w:space="0" w:color="auto"/>
        <w:right w:val="none" w:sz="0" w:space="0" w:color="auto"/>
      </w:divBdr>
    </w:div>
    <w:div w:id="1613053159">
      <w:marLeft w:val="0"/>
      <w:marRight w:val="0"/>
      <w:marTop w:val="160"/>
      <w:marBottom w:val="160"/>
      <w:divBdr>
        <w:top w:val="none" w:sz="0" w:space="0" w:color="auto"/>
        <w:left w:val="none" w:sz="0" w:space="0" w:color="auto"/>
        <w:bottom w:val="none" w:sz="0" w:space="0" w:color="auto"/>
        <w:right w:val="none" w:sz="0" w:space="0" w:color="auto"/>
      </w:divBdr>
    </w:div>
    <w:div w:id="1613125126">
      <w:marLeft w:val="0"/>
      <w:marRight w:val="0"/>
      <w:marTop w:val="100"/>
      <w:marBottom w:val="240"/>
      <w:divBdr>
        <w:top w:val="none" w:sz="0" w:space="0" w:color="auto"/>
        <w:left w:val="none" w:sz="0" w:space="0" w:color="auto"/>
        <w:bottom w:val="none" w:sz="0" w:space="0" w:color="auto"/>
        <w:right w:val="none" w:sz="0" w:space="0" w:color="auto"/>
      </w:divBdr>
    </w:div>
    <w:div w:id="1613240611">
      <w:marLeft w:val="0"/>
      <w:marRight w:val="0"/>
      <w:marTop w:val="100"/>
      <w:marBottom w:val="240"/>
      <w:divBdr>
        <w:top w:val="none" w:sz="0" w:space="0" w:color="auto"/>
        <w:left w:val="none" w:sz="0" w:space="0" w:color="auto"/>
        <w:bottom w:val="none" w:sz="0" w:space="0" w:color="auto"/>
        <w:right w:val="none" w:sz="0" w:space="0" w:color="auto"/>
      </w:divBdr>
    </w:div>
    <w:div w:id="1613513419">
      <w:marLeft w:val="0"/>
      <w:marRight w:val="0"/>
      <w:marTop w:val="0"/>
      <w:marBottom w:val="0"/>
      <w:divBdr>
        <w:top w:val="none" w:sz="0" w:space="0" w:color="auto"/>
        <w:left w:val="none" w:sz="0" w:space="0" w:color="auto"/>
        <w:bottom w:val="none" w:sz="0" w:space="0" w:color="auto"/>
        <w:right w:val="none" w:sz="0" w:space="0" w:color="auto"/>
      </w:divBdr>
    </w:div>
    <w:div w:id="1618685029">
      <w:marLeft w:val="0"/>
      <w:marRight w:val="0"/>
      <w:marTop w:val="0"/>
      <w:marBottom w:val="0"/>
      <w:divBdr>
        <w:top w:val="none" w:sz="0" w:space="0" w:color="auto"/>
        <w:left w:val="none" w:sz="0" w:space="0" w:color="auto"/>
        <w:bottom w:val="none" w:sz="0" w:space="0" w:color="auto"/>
        <w:right w:val="none" w:sz="0" w:space="0" w:color="auto"/>
      </w:divBdr>
      <w:divsChild>
        <w:div w:id="1444228599">
          <w:marLeft w:val="0"/>
          <w:marRight w:val="0"/>
          <w:marTop w:val="0"/>
          <w:marBottom w:val="0"/>
          <w:divBdr>
            <w:top w:val="none" w:sz="0" w:space="0" w:color="auto"/>
            <w:left w:val="none" w:sz="0" w:space="0" w:color="auto"/>
            <w:bottom w:val="none" w:sz="0" w:space="0" w:color="auto"/>
            <w:right w:val="none" w:sz="0" w:space="0" w:color="auto"/>
          </w:divBdr>
        </w:div>
      </w:divsChild>
    </w:div>
    <w:div w:id="1619918964">
      <w:marLeft w:val="0"/>
      <w:marRight w:val="0"/>
      <w:marTop w:val="0"/>
      <w:marBottom w:val="240"/>
      <w:divBdr>
        <w:top w:val="none" w:sz="0" w:space="0" w:color="auto"/>
        <w:left w:val="none" w:sz="0" w:space="0" w:color="auto"/>
        <w:bottom w:val="none" w:sz="0" w:space="0" w:color="auto"/>
        <w:right w:val="none" w:sz="0" w:space="0" w:color="auto"/>
      </w:divBdr>
    </w:div>
    <w:div w:id="1620649077">
      <w:marLeft w:val="0"/>
      <w:marRight w:val="0"/>
      <w:marTop w:val="160"/>
      <w:marBottom w:val="160"/>
      <w:divBdr>
        <w:top w:val="none" w:sz="0" w:space="0" w:color="auto"/>
        <w:left w:val="none" w:sz="0" w:space="0" w:color="auto"/>
        <w:bottom w:val="none" w:sz="0" w:space="0" w:color="auto"/>
        <w:right w:val="none" w:sz="0" w:space="0" w:color="auto"/>
      </w:divBdr>
    </w:div>
    <w:div w:id="1622152374">
      <w:marLeft w:val="0"/>
      <w:marRight w:val="0"/>
      <w:marTop w:val="160"/>
      <w:marBottom w:val="160"/>
      <w:divBdr>
        <w:top w:val="none" w:sz="0" w:space="0" w:color="auto"/>
        <w:left w:val="none" w:sz="0" w:space="0" w:color="auto"/>
        <w:bottom w:val="none" w:sz="0" w:space="0" w:color="auto"/>
        <w:right w:val="none" w:sz="0" w:space="0" w:color="auto"/>
      </w:divBdr>
    </w:div>
    <w:div w:id="1624266392">
      <w:marLeft w:val="0"/>
      <w:marRight w:val="0"/>
      <w:marTop w:val="0"/>
      <w:marBottom w:val="240"/>
      <w:divBdr>
        <w:top w:val="none" w:sz="0" w:space="0" w:color="auto"/>
        <w:left w:val="none" w:sz="0" w:space="0" w:color="auto"/>
        <w:bottom w:val="none" w:sz="0" w:space="0" w:color="auto"/>
        <w:right w:val="none" w:sz="0" w:space="0" w:color="auto"/>
      </w:divBdr>
    </w:div>
    <w:div w:id="1624461572">
      <w:marLeft w:val="0"/>
      <w:marRight w:val="0"/>
      <w:marTop w:val="100"/>
      <w:marBottom w:val="100"/>
      <w:divBdr>
        <w:top w:val="none" w:sz="0" w:space="0" w:color="auto"/>
        <w:left w:val="none" w:sz="0" w:space="0" w:color="auto"/>
        <w:bottom w:val="none" w:sz="0" w:space="0" w:color="auto"/>
        <w:right w:val="none" w:sz="0" w:space="0" w:color="auto"/>
      </w:divBdr>
    </w:div>
    <w:div w:id="1625039220">
      <w:marLeft w:val="0"/>
      <w:marRight w:val="0"/>
      <w:marTop w:val="0"/>
      <w:marBottom w:val="0"/>
      <w:divBdr>
        <w:top w:val="none" w:sz="0" w:space="0" w:color="auto"/>
        <w:left w:val="none" w:sz="0" w:space="0" w:color="auto"/>
        <w:bottom w:val="none" w:sz="0" w:space="0" w:color="auto"/>
        <w:right w:val="none" w:sz="0" w:space="0" w:color="auto"/>
      </w:divBdr>
    </w:div>
    <w:div w:id="1629701227">
      <w:marLeft w:val="0"/>
      <w:marRight w:val="0"/>
      <w:marTop w:val="0"/>
      <w:marBottom w:val="240"/>
      <w:divBdr>
        <w:top w:val="none" w:sz="0" w:space="0" w:color="auto"/>
        <w:left w:val="none" w:sz="0" w:space="0" w:color="auto"/>
        <w:bottom w:val="none" w:sz="0" w:space="0" w:color="auto"/>
        <w:right w:val="none" w:sz="0" w:space="0" w:color="auto"/>
      </w:divBdr>
    </w:div>
    <w:div w:id="1637104335">
      <w:marLeft w:val="0"/>
      <w:marRight w:val="0"/>
      <w:marTop w:val="0"/>
      <w:marBottom w:val="240"/>
      <w:divBdr>
        <w:top w:val="none" w:sz="0" w:space="0" w:color="auto"/>
        <w:left w:val="none" w:sz="0" w:space="0" w:color="auto"/>
        <w:bottom w:val="none" w:sz="0" w:space="0" w:color="auto"/>
        <w:right w:val="none" w:sz="0" w:space="0" w:color="auto"/>
      </w:divBdr>
    </w:div>
    <w:div w:id="1640843533">
      <w:marLeft w:val="0"/>
      <w:marRight w:val="0"/>
      <w:marTop w:val="0"/>
      <w:marBottom w:val="0"/>
      <w:divBdr>
        <w:top w:val="none" w:sz="0" w:space="0" w:color="auto"/>
        <w:left w:val="none" w:sz="0" w:space="0" w:color="auto"/>
        <w:bottom w:val="none" w:sz="0" w:space="0" w:color="auto"/>
        <w:right w:val="none" w:sz="0" w:space="0" w:color="auto"/>
      </w:divBdr>
    </w:div>
    <w:div w:id="1640844050">
      <w:marLeft w:val="0"/>
      <w:marRight w:val="0"/>
      <w:marTop w:val="120"/>
      <w:marBottom w:val="120"/>
      <w:divBdr>
        <w:top w:val="none" w:sz="0" w:space="0" w:color="auto"/>
        <w:left w:val="none" w:sz="0" w:space="0" w:color="auto"/>
        <w:bottom w:val="none" w:sz="0" w:space="0" w:color="auto"/>
        <w:right w:val="none" w:sz="0" w:space="0" w:color="auto"/>
      </w:divBdr>
    </w:div>
    <w:div w:id="1640912039">
      <w:marLeft w:val="0"/>
      <w:marRight w:val="0"/>
      <w:marTop w:val="160"/>
      <w:marBottom w:val="160"/>
      <w:divBdr>
        <w:top w:val="none" w:sz="0" w:space="0" w:color="auto"/>
        <w:left w:val="none" w:sz="0" w:space="0" w:color="auto"/>
        <w:bottom w:val="none" w:sz="0" w:space="0" w:color="auto"/>
        <w:right w:val="none" w:sz="0" w:space="0" w:color="auto"/>
      </w:divBdr>
    </w:div>
    <w:div w:id="1646624528">
      <w:marLeft w:val="0"/>
      <w:marRight w:val="0"/>
      <w:marTop w:val="0"/>
      <w:marBottom w:val="0"/>
      <w:divBdr>
        <w:top w:val="none" w:sz="0" w:space="0" w:color="auto"/>
        <w:left w:val="none" w:sz="0" w:space="0" w:color="auto"/>
        <w:bottom w:val="none" w:sz="0" w:space="0" w:color="auto"/>
        <w:right w:val="none" w:sz="0" w:space="0" w:color="auto"/>
      </w:divBdr>
      <w:divsChild>
        <w:div w:id="1150439462">
          <w:marLeft w:val="0"/>
          <w:marRight w:val="0"/>
          <w:marTop w:val="0"/>
          <w:marBottom w:val="0"/>
          <w:divBdr>
            <w:top w:val="none" w:sz="0" w:space="0" w:color="auto"/>
            <w:left w:val="none" w:sz="0" w:space="0" w:color="auto"/>
            <w:bottom w:val="none" w:sz="0" w:space="0" w:color="auto"/>
            <w:right w:val="none" w:sz="0" w:space="0" w:color="auto"/>
          </w:divBdr>
        </w:div>
      </w:divsChild>
    </w:div>
    <w:div w:id="1648361620">
      <w:marLeft w:val="0"/>
      <w:marRight w:val="0"/>
      <w:marTop w:val="300"/>
      <w:marBottom w:val="0"/>
      <w:divBdr>
        <w:top w:val="none" w:sz="0" w:space="0" w:color="auto"/>
        <w:left w:val="none" w:sz="0" w:space="0" w:color="auto"/>
        <w:bottom w:val="none" w:sz="0" w:space="0" w:color="auto"/>
        <w:right w:val="none" w:sz="0" w:space="0" w:color="auto"/>
      </w:divBdr>
    </w:div>
    <w:div w:id="1651787223">
      <w:marLeft w:val="0"/>
      <w:marRight w:val="0"/>
      <w:marTop w:val="0"/>
      <w:marBottom w:val="240"/>
      <w:divBdr>
        <w:top w:val="none" w:sz="0" w:space="0" w:color="auto"/>
        <w:left w:val="none" w:sz="0" w:space="0" w:color="auto"/>
        <w:bottom w:val="none" w:sz="0" w:space="0" w:color="auto"/>
        <w:right w:val="none" w:sz="0" w:space="0" w:color="auto"/>
      </w:divBdr>
    </w:div>
    <w:div w:id="1655715005">
      <w:marLeft w:val="0"/>
      <w:marRight w:val="0"/>
      <w:marTop w:val="220"/>
      <w:marBottom w:val="160"/>
      <w:divBdr>
        <w:top w:val="none" w:sz="0" w:space="0" w:color="auto"/>
        <w:left w:val="none" w:sz="0" w:space="0" w:color="auto"/>
        <w:bottom w:val="none" w:sz="0" w:space="0" w:color="auto"/>
        <w:right w:val="none" w:sz="0" w:space="0" w:color="auto"/>
      </w:divBdr>
    </w:div>
    <w:div w:id="1657957220">
      <w:marLeft w:val="0"/>
      <w:marRight w:val="0"/>
      <w:marTop w:val="100"/>
      <w:marBottom w:val="240"/>
      <w:divBdr>
        <w:top w:val="none" w:sz="0" w:space="0" w:color="auto"/>
        <w:left w:val="none" w:sz="0" w:space="0" w:color="auto"/>
        <w:bottom w:val="none" w:sz="0" w:space="0" w:color="auto"/>
        <w:right w:val="none" w:sz="0" w:space="0" w:color="auto"/>
      </w:divBdr>
    </w:div>
    <w:div w:id="1658069083">
      <w:marLeft w:val="0"/>
      <w:marRight w:val="0"/>
      <w:marTop w:val="0"/>
      <w:marBottom w:val="0"/>
      <w:divBdr>
        <w:top w:val="none" w:sz="0" w:space="0" w:color="auto"/>
        <w:left w:val="none" w:sz="0" w:space="0" w:color="auto"/>
        <w:bottom w:val="none" w:sz="0" w:space="0" w:color="auto"/>
        <w:right w:val="none" w:sz="0" w:space="0" w:color="auto"/>
      </w:divBdr>
    </w:div>
    <w:div w:id="1658879180">
      <w:marLeft w:val="0"/>
      <w:marRight w:val="0"/>
      <w:marTop w:val="80"/>
      <w:marBottom w:val="0"/>
      <w:divBdr>
        <w:top w:val="none" w:sz="0" w:space="0" w:color="auto"/>
        <w:left w:val="none" w:sz="0" w:space="0" w:color="auto"/>
        <w:bottom w:val="none" w:sz="0" w:space="0" w:color="auto"/>
        <w:right w:val="none" w:sz="0" w:space="0" w:color="auto"/>
      </w:divBdr>
    </w:div>
    <w:div w:id="1659191114">
      <w:marLeft w:val="0"/>
      <w:marRight w:val="0"/>
      <w:marTop w:val="0"/>
      <w:marBottom w:val="0"/>
      <w:divBdr>
        <w:top w:val="none" w:sz="0" w:space="0" w:color="auto"/>
        <w:left w:val="none" w:sz="0" w:space="0" w:color="auto"/>
        <w:bottom w:val="none" w:sz="0" w:space="0" w:color="auto"/>
        <w:right w:val="none" w:sz="0" w:space="0" w:color="auto"/>
      </w:divBdr>
      <w:divsChild>
        <w:div w:id="1826974853">
          <w:marLeft w:val="0"/>
          <w:marRight w:val="0"/>
          <w:marTop w:val="160"/>
          <w:marBottom w:val="160"/>
          <w:divBdr>
            <w:top w:val="none" w:sz="0" w:space="0" w:color="auto"/>
            <w:left w:val="none" w:sz="0" w:space="0" w:color="auto"/>
            <w:bottom w:val="none" w:sz="0" w:space="0" w:color="auto"/>
            <w:right w:val="none" w:sz="0" w:space="0" w:color="auto"/>
          </w:divBdr>
        </w:div>
      </w:divsChild>
    </w:div>
    <w:div w:id="1661932895">
      <w:marLeft w:val="0"/>
      <w:marRight w:val="0"/>
      <w:marTop w:val="0"/>
      <w:marBottom w:val="60"/>
      <w:divBdr>
        <w:top w:val="none" w:sz="0" w:space="0" w:color="auto"/>
        <w:left w:val="none" w:sz="0" w:space="0" w:color="auto"/>
        <w:bottom w:val="none" w:sz="0" w:space="0" w:color="auto"/>
        <w:right w:val="none" w:sz="0" w:space="0" w:color="auto"/>
      </w:divBdr>
    </w:div>
    <w:div w:id="1663003891">
      <w:marLeft w:val="0"/>
      <w:marRight w:val="0"/>
      <w:marTop w:val="180"/>
      <w:marBottom w:val="160"/>
      <w:divBdr>
        <w:top w:val="none" w:sz="0" w:space="0" w:color="auto"/>
        <w:left w:val="none" w:sz="0" w:space="0" w:color="auto"/>
        <w:bottom w:val="none" w:sz="0" w:space="0" w:color="auto"/>
        <w:right w:val="none" w:sz="0" w:space="0" w:color="auto"/>
      </w:divBdr>
    </w:div>
    <w:div w:id="1667434868">
      <w:marLeft w:val="0"/>
      <w:marRight w:val="0"/>
      <w:marTop w:val="0"/>
      <w:marBottom w:val="240"/>
      <w:divBdr>
        <w:top w:val="none" w:sz="0" w:space="0" w:color="auto"/>
        <w:left w:val="none" w:sz="0" w:space="0" w:color="auto"/>
        <w:bottom w:val="none" w:sz="0" w:space="0" w:color="auto"/>
        <w:right w:val="none" w:sz="0" w:space="0" w:color="auto"/>
      </w:divBdr>
    </w:div>
    <w:div w:id="1670905955">
      <w:marLeft w:val="0"/>
      <w:marRight w:val="0"/>
      <w:marTop w:val="0"/>
      <w:marBottom w:val="240"/>
      <w:divBdr>
        <w:top w:val="none" w:sz="0" w:space="0" w:color="auto"/>
        <w:left w:val="none" w:sz="0" w:space="0" w:color="auto"/>
        <w:bottom w:val="none" w:sz="0" w:space="0" w:color="auto"/>
        <w:right w:val="none" w:sz="0" w:space="0" w:color="auto"/>
      </w:divBdr>
    </w:div>
    <w:div w:id="1672441888">
      <w:marLeft w:val="0"/>
      <w:marRight w:val="0"/>
      <w:marTop w:val="0"/>
      <w:marBottom w:val="180"/>
      <w:divBdr>
        <w:top w:val="none" w:sz="0" w:space="0" w:color="auto"/>
        <w:left w:val="none" w:sz="0" w:space="0" w:color="auto"/>
        <w:bottom w:val="none" w:sz="0" w:space="0" w:color="auto"/>
        <w:right w:val="none" w:sz="0" w:space="0" w:color="auto"/>
      </w:divBdr>
    </w:div>
    <w:div w:id="1673340333">
      <w:marLeft w:val="0"/>
      <w:marRight w:val="0"/>
      <w:marTop w:val="160"/>
      <w:marBottom w:val="160"/>
      <w:divBdr>
        <w:top w:val="none" w:sz="0" w:space="0" w:color="auto"/>
        <w:left w:val="none" w:sz="0" w:space="0" w:color="auto"/>
        <w:bottom w:val="none" w:sz="0" w:space="0" w:color="auto"/>
        <w:right w:val="none" w:sz="0" w:space="0" w:color="auto"/>
      </w:divBdr>
    </w:div>
    <w:div w:id="1676032578">
      <w:marLeft w:val="0"/>
      <w:marRight w:val="0"/>
      <w:marTop w:val="180"/>
      <w:marBottom w:val="160"/>
      <w:divBdr>
        <w:top w:val="none" w:sz="0" w:space="0" w:color="auto"/>
        <w:left w:val="none" w:sz="0" w:space="0" w:color="auto"/>
        <w:bottom w:val="none" w:sz="0" w:space="0" w:color="auto"/>
        <w:right w:val="none" w:sz="0" w:space="0" w:color="auto"/>
      </w:divBdr>
    </w:div>
    <w:div w:id="1680962092">
      <w:marLeft w:val="0"/>
      <w:marRight w:val="0"/>
      <w:marTop w:val="0"/>
      <w:marBottom w:val="60"/>
      <w:divBdr>
        <w:top w:val="none" w:sz="0" w:space="0" w:color="auto"/>
        <w:left w:val="none" w:sz="0" w:space="0" w:color="auto"/>
        <w:bottom w:val="none" w:sz="0" w:space="0" w:color="auto"/>
        <w:right w:val="none" w:sz="0" w:space="0" w:color="auto"/>
      </w:divBdr>
    </w:div>
    <w:div w:id="1682706829">
      <w:marLeft w:val="0"/>
      <w:marRight w:val="0"/>
      <w:marTop w:val="0"/>
      <w:marBottom w:val="0"/>
      <w:divBdr>
        <w:top w:val="none" w:sz="0" w:space="0" w:color="auto"/>
        <w:left w:val="none" w:sz="0" w:space="0" w:color="auto"/>
        <w:bottom w:val="none" w:sz="0" w:space="0" w:color="auto"/>
        <w:right w:val="none" w:sz="0" w:space="0" w:color="auto"/>
      </w:divBdr>
    </w:div>
    <w:div w:id="1686665359">
      <w:marLeft w:val="0"/>
      <w:marRight w:val="0"/>
      <w:marTop w:val="0"/>
      <w:marBottom w:val="240"/>
      <w:divBdr>
        <w:top w:val="none" w:sz="0" w:space="0" w:color="auto"/>
        <w:left w:val="none" w:sz="0" w:space="0" w:color="auto"/>
        <w:bottom w:val="none" w:sz="0" w:space="0" w:color="auto"/>
        <w:right w:val="none" w:sz="0" w:space="0" w:color="auto"/>
      </w:divBdr>
    </w:div>
    <w:div w:id="1689137965">
      <w:marLeft w:val="0"/>
      <w:marRight w:val="0"/>
      <w:marTop w:val="0"/>
      <w:marBottom w:val="0"/>
      <w:divBdr>
        <w:top w:val="none" w:sz="0" w:space="0" w:color="auto"/>
        <w:left w:val="none" w:sz="0" w:space="0" w:color="auto"/>
        <w:bottom w:val="none" w:sz="0" w:space="0" w:color="auto"/>
        <w:right w:val="none" w:sz="0" w:space="0" w:color="auto"/>
      </w:divBdr>
    </w:div>
    <w:div w:id="1691955044">
      <w:marLeft w:val="0"/>
      <w:marRight w:val="0"/>
      <w:marTop w:val="0"/>
      <w:marBottom w:val="0"/>
      <w:divBdr>
        <w:top w:val="none" w:sz="0" w:space="0" w:color="auto"/>
        <w:left w:val="none" w:sz="0" w:space="0" w:color="auto"/>
        <w:bottom w:val="none" w:sz="0" w:space="0" w:color="auto"/>
        <w:right w:val="none" w:sz="0" w:space="0" w:color="auto"/>
      </w:divBdr>
      <w:divsChild>
        <w:div w:id="720977924">
          <w:marLeft w:val="0"/>
          <w:marRight w:val="0"/>
          <w:marTop w:val="0"/>
          <w:marBottom w:val="0"/>
          <w:divBdr>
            <w:top w:val="none" w:sz="0" w:space="0" w:color="auto"/>
            <w:left w:val="none" w:sz="0" w:space="0" w:color="auto"/>
            <w:bottom w:val="none" w:sz="0" w:space="0" w:color="auto"/>
            <w:right w:val="none" w:sz="0" w:space="0" w:color="auto"/>
          </w:divBdr>
        </w:div>
      </w:divsChild>
    </w:div>
    <w:div w:id="1698770560">
      <w:marLeft w:val="0"/>
      <w:marRight w:val="0"/>
      <w:marTop w:val="100"/>
      <w:marBottom w:val="240"/>
      <w:divBdr>
        <w:top w:val="none" w:sz="0" w:space="0" w:color="auto"/>
        <w:left w:val="none" w:sz="0" w:space="0" w:color="auto"/>
        <w:bottom w:val="none" w:sz="0" w:space="0" w:color="auto"/>
        <w:right w:val="none" w:sz="0" w:space="0" w:color="auto"/>
      </w:divBdr>
    </w:div>
    <w:div w:id="1701934338">
      <w:marLeft w:val="0"/>
      <w:marRight w:val="0"/>
      <w:marTop w:val="160"/>
      <w:marBottom w:val="160"/>
      <w:divBdr>
        <w:top w:val="none" w:sz="0" w:space="0" w:color="auto"/>
        <w:left w:val="none" w:sz="0" w:space="0" w:color="auto"/>
        <w:bottom w:val="none" w:sz="0" w:space="0" w:color="auto"/>
        <w:right w:val="none" w:sz="0" w:space="0" w:color="auto"/>
      </w:divBdr>
    </w:div>
    <w:div w:id="1704400332">
      <w:marLeft w:val="0"/>
      <w:marRight w:val="0"/>
      <w:marTop w:val="0"/>
      <w:marBottom w:val="0"/>
      <w:divBdr>
        <w:top w:val="none" w:sz="0" w:space="0" w:color="auto"/>
        <w:left w:val="none" w:sz="0" w:space="0" w:color="auto"/>
        <w:bottom w:val="none" w:sz="0" w:space="0" w:color="auto"/>
        <w:right w:val="none" w:sz="0" w:space="0" w:color="auto"/>
      </w:divBdr>
    </w:div>
    <w:div w:id="1704599489">
      <w:marLeft w:val="0"/>
      <w:marRight w:val="0"/>
      <w:marTop w:val="100"/>
      <w:marBottom w:val="240"/>
      <w:divBdr>
        <w:top w:val="none" w:sz="0" w:space="0" w:color="auto"/>
        <w:left w:val="none" w:sz="0" w:space="0" w:color="auto"/>
        <w:bottom w:val="none" w:sz="0" w:space="0" w:color="auto"/>
        <w:right w:val="none" w:sz="0" w:space="0" w:color="auto"/>
      </w:divBdr>
    </w:div>
    <w:div w:id="1710298742">
      <w:marLeft w:val="0"/>
      <w:marRight w:val="0"/>
      <w:marTop w:val="160"/>
      <w:marBottom w:val="160"/>
      <w:divBdr>
        <w:top w:val="none" w:sz="0" w:space="0" w:color="auto"/>
        <w:left w:val="none" w:sz="0" w:space="0" w:color="auto"/>
        <w:bottom w:val="none" w:sz="0" w:space="0" w:color="auto"/>
        <w:right w:val="none" w:sz="0" w:space="0" w:color="auto"/>
      </w:divBdr>
    </w:div>
    <w:div w:id="1711227327">
      <w:marLeft w:val="0"/>
      <w:marRight w:val="0"/>
      <w:marTop w:val="166"/>
      <w:marBottom w:val="100"/>
      <w:divBdr>
        <w:top w:val="none" w:sz="0" w:space="0" w:color="auto"/>
        <w:left w:val="none" w:sz="0" w:space="0" w:color="auto"/>
        <w:bottom w:val="none" w:sz="0" w:space="0" w:color="auto"/>
        <w:right w:val="none" w:sz="0" w:space="0" w:color="auto"/>
      </w:divBdr>
    </w:div>
    <w:div w:id="1714887579">
      <w:marLeft w:val="0"/>
      <w:marRight w:val="0"/>
      <w:marTop w:val="0"/>
      <w:marBottom w:val="40"/>
      <w:divBdr>
        <w:top w:val="none" w:sz="0" w:space="0" w:color="auto"/>
        <w:left w:val="none" w:sz="0" w:space="0" w:color="auto"/>
        <w:bottom w:val="none" w:sz="0" w:space="0" w:color="auto"/>
        <w:right w:val="none" w:sz="0" w:space="0" w:color="auto"/>
      </w:divBdr>
      <w:divsChild>
        <w:div w:id="997224447">
          <w:marLeft w:val="0"/>
          <w:marRight w:val="0"/>
          <w:marTop w:val="0"/>
          <w:marBottom w:val="0"/>
          <w:divBdr>
            <w:top w:val="none" w:sz="0" w:space="0" w:color="auto"/>
            <w:left w:val="none" w:sz="0" w:space="0" w:color="auto"/>
            <w:bottom w:val="none" w:sz="0" w:space="0" w:color="auto"/>
            <w:right w:val="none" w:sz="0" w:space="0" w:color="auto"/>
          </w:divBdr>
        </w:div>
        <w:div w:id="1011420481">
          <w:marLeft w:val="0"/>
          <w:marRight w:val="0"/>
          <w:marTop w:val="0"/>
          <w:marBottom w:val="0"/>
          <w:divBdr>
            <w:top w:val="none" w:sz="0" w:space="0" w:color="auto"/>
            <w:left w:val="none" w:sz="0" w:space="0" w:color="auto"/>
            <w:bottom w:val="none" w:sz="0" w:space="0" w:color="auto"/>
            <w:right w:val="none" w:sz="0" w:space="0" w:color="auto"/>
          </w:divBdr>
        </w:div>
      </w:divsChild>
    </w:div>
    <w:div w:id="1716078811">
      <w:marLeft w:val="0"/>
      <w:marRight w:val="0"/>
      <w:marTop w:val="100"/>
      <w:marBottom w:val="240"/>
      <w:divBdr>
        <w:top w:val="none" w:sz="0" w:space="0" w:color="auto"/>
        <w:left w:val="none" w:sz="0" w:space="0" w:color="auto"/>
        <w:bottom w:val="none" w:sz="0" w:space="0" w:color="auto"/>
        <w:right w:val="none" w:sz="0" w:space="0" w:color="auto"/>
      </w:divBdr>
    </w:div>
    <w:div w:id="1718628511">
      <w:marLeft w:val="0"/>
      <w:marRight w:val="0"/>
      <w:marTop w:val="180"/>
      <w:marBottom w:val="160"/>
      <w:divBdr>
        <w:top w:val="none" w:sz="0" w:space="0" w:color="auto"/>
        <w:left w:val="none" w:sz="0" w:space="0" w:color="auto"/>
        <w:bottom w:val="none" w:sz="0" w:space="0" w:color="auto"/>
        <w:right w:val="none" w:sz="0" w:space="0" w:color="auto"/>
      </w:divBdr>
    </w:div>
    <w:div w:id="1722753072">
      <w:marLeft w:val="0"/>
      <w:marRight w:val="0"/>
      <w:marTop w:val="0"/>
      <w:marBottom w:val="80"/>
      <w:divBdr>
        <w:top w:val="none" w:sz="0" w:space="0" w:color="auto"/>
        <w:left w:val="none" w:sz="0" w:space="0" w:color="auto"/>
        <w:bottom w:val="none" w:sz="0" w:space="0" w:color="auto"/>
        <w:right w:val="none" w:sz="0" w:space="0" w:color="auto"/>
      </w:divBdr>
    </w:div>
    <w:div w:id="1722824022">
      <w:marLeft w:val="0"/>
      <w:marRight w:val="0"/>
      <w:marTop w:val="0"/>
      <w:marBottom w:val="0"/>
      <w:divBdr>
        <w:top w:val="none" w:sz="0" w:space="0" w:color="auto"/>
        <w:left w:val="none" w:sz="0" w:space="0" w:color="auto"/>
        <w:bottom w:val="none" w:sz="0" w:space="0" w:color="auto"/>
        <w:right w:val="none" w:sz="0" w:space="0" w:color="auto"/>
      </w:divBdr>
      <w:divsChild>
        <w:div w:id="1982033083">
          <w:marLeft w:val="0"/>
          <w:marRight w:val="0"/>
          <w:marTop w:val="0"/>
          <w:marBottom w:val="0"/>
          <w:divBdr>
            <w:top w:val="none" w:sz="0" w:space="0" w:color="auto"/>
            <w:left w:val="none" w:sz="0" w:space="0" w:color="auto"/>
            <w:bottom w:val="none" w:sz="0" w:space="0" w:color="auto"/>
            <w:right w:val="none" w:sz="0" w:space="0" w:color="auto"/>
          </w:divBdr>
        </w:div>
      </w:divsChild>
    </w:div>
    <w:div w:id="1723864775">
      <w:marLeft w:val="0"/>
      <w:marRight w:val="0"/>
      <w:marTop w:val="0"/>
      <w:marBottom w:val="60"/>
      <w:divBdr>
        <w:top w:val="none" w:sz="0" w:space="0" w:color="auto"/>
        <w:left w:val="none" w:sz="0" w:space="0" w:color="auto"/>
        <w:bottom w:val="none" w:sz="0" w:space="0" w:color="auto"/>
        <w:right w:val="none" w:sz="0" w:space="0" w:color="auto"/>
      </w:divBdr>
    </w:div>
    <w:div w:id="1728912863">
      <w:marLeft w:val="0"/>
      <w:marRight w:val="0"/>
      <w:marTop w:val="0"/>
      <w:marBottom w:val="240"/>
      <w:divBdr>
        <w:top w:val="none" w:sz="0" w:space="0" w:color="auto"/>
        <w:left w:val="none" w:sz="0" w:space="0" w:color="auto"/>
        <w:bottom w:val="none" w:sz="0" w:space="0" w:color="auto"/>
        <w:right w:val="none" w:sz="0" w:space="0" w:color="auto"/>
      </w:divBdr>
    </w:div>
    <w:div w:id="1732970439">
      <w:marLeft w:val="0"/>
      <w:marRight w:val="0"/>
      <w:marTop w:val="0"/>
      <w:marBottom w:val="240"/>
      <w:divBdr>
        <w:top w:val="none" w:sz="0" w:space="0" w:color="auto"/>
        <w:left w:val="none" w:sz="0" w:space="0" w:color="auto"/>
        <w:bottom w:val="none" w:sz="0" w:space="0" w:color="auto"/>
        <w:right w:val="none" w:sz="0" w:space="0" w:color="auto"/>
      </w:divBdr>
    </w:div>
    <w:div w:id="1733385457">
      <w:marLeft w:val="0"/>
      <w:marRight w:val="0"/>
      <w:marTop w:val="100"/>
      <w:marBottom w:val="240"/>
      <w:divBdr>
        <w:top w:val="none" w:sz="0" w:space="0" w:color="auto"/>
        <w:left w:val="none" w:sz="0" w:space="0" w:color="auto"/>
        <w:bottom w:val="none" w:sz="0" w:space="0" w:color="auto"/>
        <w:right w:val="none" w:sz="0" w:space="0" w:color="auto"/>
      </w:divBdr>
    </w:div>
    <w:div w:id="1733694086">
      <w:marLeft w:val="0"/>
      <w:marRight w:val="0"/>
      <w:marTop w:val="240"/>
      <w:marBottom w:val="160"/>
      <w:divBdr>
        <w:top w:val="none" w:sz="0" w:space="0" w:color="auto"/>
        <w:left w:val="none" w:sz="0" w:space="0" w:color="auto"/>
        <w:bottom w:val="none" w:sz="0" w:space="0" w:color="auto"/>
        <w:right w:val="none" w:sz="0" w:space="0" w:color="auto"/>
      </w:divBdr>
    </w:div>
    <w:div w:id="1733845133">
      <w:marLeft w:val="0"/>
      <w:marRight w:val="0"/>
      <w:marTop w:val="0"/>
      <w:marBottom w:val="40"/>
      <w:divBdr>
        <w:top w:val="none" w:sz="0" w:space="0" w:color="auto"/>
        <w:left w:val="none" w:sz="0" w:space="0" w:color="auto"/>
        <w:bottom w:val="none" w:sz="0" w:space="0" w:color="auto"/>
        <w:right w:val="none" w:sz="0" w:space="0" w:color="auto"/>
      </w:divBdr>
    </w:div>
    <w:div w:id="1734042709">
      <w:marLeft w:val="0"/>
      <w:marRight w:val="0"/>
      <w:marTop w:val="0"/>
      <w:marBottom w:val="240"/>
      <w:divBdr>
        <w:top w:val="none" w:sz="0" w:space="0" w:color="auto"/>
        <w:left w:val="none" w:sz="0" w:space="0" w:color="auto"/>
        <w:bottom w:val="none" w:sz="0" w:space="0" w:color="auto"/>
        <w:right w:val="none" w:sz="0" w:space="0" w:color="auto"/>
      </w:divBdr>
    </w:div>
    <w:div w:id="1737164962">
      <w:marLeft w:val="0"/>
      <w:marRight w:val="0"/>
      <w:marTop w:val="0"/>
      <w:marBottom w:val="160"/>
      <w:divBdr>
        <w:top w:val="none" w:sz="0" w:space="0" w:color="auto"/>
        <w:left w:val="none" w:sz="0" w:space="0" w:color="auto"/>
        <w:bottom w:val="none" w:sz="0" w:space="0" w:color="auto"/>
        <w:right w:val="none" w:sz="0" w:space="0" w:color="auto"/>
      </w:divBdr>
    </w:div>
    <w:div w:id="1738628757">
      <w:marLeft w:val="0"/>
      <w:marRight w:val="0"/>
      <w:marTop w:val="100"/>
      <w:marBottom w:val="100"/>
      <w:divBdr>
        <w:top w:val="none" w:sz="0" w:space="0" w:color="auto"/>
        <w:left w:val="none" w:sz="0" w:space="0" w:color="auto"/>
        <w:bottom w:val="none" w:sz="0" w:space="0" w:color="auto"/>
        <w:right w:val="none" w:sz="0" w:space="0" w:color="auto"/>
      </w:divBdr>
    </w:div>
    <w:div w:id="1739280227">
      <w:marLeft w:val="0"/>
      <w:marRight w:val="0"/>
      <w:marTop w:val="0"/>
      <w:marBottom w:val="240"/>
      <w:divBdr>
        <w:top w:val="none" w:sz="0" w:space="0" w:color="auto"/>
        <w:left w:val="none" w:sz="0" w:space="0" w:color="auto"/>
        <w:bottom w:val="none" w:sz="0" w:space="0" w:color="auto"/>
        <w:right w:val="none" w:sz="0" w:space="0" w:color="auto"/>
      </w:divBdr>
    </w:div>
    <w:div w:id="1739595667">
      <w:marLeft w:val="0"/>
      <w:marRight w:val="0"/>
      <w:marTop w:val="0"/>
      <w:marBottom w:val="0"/>
      <w:divBdr>
        <w:top w:val="none" w:sz="0" w:space="0" w:color="auto"/>
        <w:left w:val="none" w:sz="0" w:space="0" w:color="auto"/>
        <w:bottom w:val="none" w:sz="0" w:space="0" w:color="auto"/>
        <w:right w:val="none" w:sz="0" w:space="0" w:color="auto"/>
      </w:divBdr>
      <w:divsChild>
        <w:div w:id="1708262763">
          <w:marLeft w:val="0"/>
          <w:marRight w:val="0"/>
          <w:marTop w:val="0"/>
          <w:marBottom w:val="0"/>
          <w:divBdr>
            <w:top w:val="none" w:sz="0" w:space="0" w:color="auto"/>
            <w:left w:val="none" w:sz="0" w:space="0" w:color="auto"/>
            <w:bottom w:val="none" w:sz="0" w:space="0" w:color="auto"/>
            <w:right w:val="none" w:sz="0" w:space="0" w:color="auto"/>
          </w:divBdr>
        </w:div>
      </w:divsChild>
    </w:div>
    <w:div w:id="1740051565">
      <w:marLeft w:val="0"/>
      <w:marRight w:val="0"/>
      <w:marTop w:val="0"/>
      <w:marBottom w:val="240"/>
      <w:divBdr>
        <w:top w:val="none" w:sz="0" w:space="0" w:color="auto"/>
        <w:left w:val="none" w:sz="0" w:space="0" w:color="auto"/>
        <w:bottom w:val="none" w:sz="0" w:space="0" w:color="auto"/>
        <w:right w:val="none" w:sz="0" w:space="0" w:color="auto"/>
      </w:divBdr>
    </w:div>
    <w:div w:id="1740056099">
      <w:marLeft w:val="0"/>
      <w:marRight w:val="0"/>
      <w:marTop w:val="0"/>
      <w:marBottom w:val="0"/>
      <w:divBdr>
        <w:top w:val="none" w:sz="0" w:space="0" w:color="auto"/>
        <w:left w:val="none" w:sz="0" w:space="0" w:color="auto"/>
        <w:bottom w:val="none" w:sz="0" w:space="0" w:color="auto"/>
        <w:right w:val="none" w:sz="0" w:space="0" w:color="auto"/>
      </w:divBdr>
      <w:divsChild>
        <w:div w:id="2048066745">
          <w:marLeft w:val="0"/>
          <w:marRight w:val="0"/>
          <w:marTop w:val="160"/>
          <w:marBottom w:val="0"/>
          <w:divBdr>
            <w:top w:val="none" w:sz="0" w:space="0" w:color="auto"/>
            <w:left w:val="none" w:sz="0" w:space="0" w:color="auto"/>
            <w:bottom w:val="none" w:sz="0" w:space="0" w:color="auto"/>
            <w:right w:val="none" w:sz="0" w:space="0" w:color="auto"/>
          </w:divBdr>
        </w:div>
        <w:div w:id="849178689">
          <w:marLeft w:val="0"/>
          <w:marRight w:val="0"/>
          <w:marTop w:val="60"/>
          <w:marBottom w:val="60"/>
          <w:divBdr>
            <w:top w:val="none" w:sz="0" w:space="0" w:color="auto"/>
            <w:left w:val="none" w:sz="0" w:space="0" w:color="auto"/>
            <w:bottom w:val="none" w:sz="0" w:space="0" w:color="auto"/>
            <w:right w:val="none" w:sz="0" w:space="0" w:color="auto"/>
          </w:divBdr>
        </w:div>
        <w:div w:id="290594705">
          <w:marLeft w:val="0"/>
          <w:marRight w:val="0"/>
          <w:marTop w:val="60"/>
          <w:marBottom w:val="60"/>
          <w:divBdr>
            <w:top w:val="none" w:sz="0" w:space="0" w:color="auto"/>
            <w:left w:val="none" w:sz="0" w:space="0" w:color="auto"/>
            <w:bottom w:val="none" w:sz="0" w:space="0" w:color="auto"/>
            <w:right w:val="none" w:sz="0" w:space="0" w:color="auto"/>
          </w:divBdr>
        </w:div>
        <w:div w:id="54471145">
          <w:marLeft w:val="0"/>
          <w:marRight w:val="0"/>
          <w:marTop w:val="60"/>
          <w:marBottom w:val="60"/>
          <w:divBdr>
            <w:top w:val="none" w:sz="0" w:space="0" w:color="auto"/>
            <w:left w:val="none" w:sz="0" w:space="0" w:color="auto"/>
            <w:bottom w:val="none" w:sz="0" w:space="0" w:color="auto"/>
            <w:right w:val="none" w:sz="0" w:space="0" w:color="auto"/>
          </w:divBdr>
        </w:div>
      </w:divsChild>
    </w:div>
    <w:div w:id="1742872064">
      <w:marLeft w:val="0"/>
      <w:marRight w:val="0"/>
      <w:marTop w:val="180"/>
      <w:marBottom w:val="240"/>
      <w:divBdr>
        <w:top w:val="none" w:sz="0" w:space="0" w:color="auto"/>
        <w:left w:val="none" w:sz="0" w:space="0" w:color="auto"/>
        <w:bottom w:val="none" w:sz="0" w:space="0" w:color="auto"/>
        <w:right w:val="none" w:sz="0" w:space="0" w:color="auto"/>
      </w:divBdr>
    </w:div>
    <w:div w:id="1749615025">
      <w:marLeft w:val="0"/>
      <w:marRight w:val="0"/>
      <w:marTop w:val="0"/>
      <w:marBottom w:val="240"/>
      <w:divBdr>
        <w:top w:val="none" w:sz="0" w:space="0" w:color="auto"/>
        <w:left w:val="none" w:sz="0" w:space="0" w:color="auto"/>
        <w:bottom w:val="none" w:sz="0" w:space="0" w:color="auto"/>
        <w:right w:val="none" w:sz="0" w:space="0" w:color="auto"/>
      </w:divBdr>
    </w:div>
    <w:div w:id="1751463085">
      <w:marLeft w:val="0"/>
      <w:marRight w:val="0"/>
      <w:marTop w:val="0"/>
      <w:marBottom w:val="0"/>
      <w:divBdr>
        <w:top w:val="none" w:sz="0" w:space="0" w:color="auto"/>
        <w:left w:val="none" w:sz="0" w:space="0" w:color="auto"/>
        <w:bottom w:val="none" w:sz="0" w:space="0" w:color="auto"/>
        <w:right w:val="none" w:sz="0" w:space="0" w:color="auto"/>
      </w:divBdr>
    </w:div>
    <w:div w:id="1752969135">
      <w:marLeft w:val="0"/>
      <w:marRight w:val="0"/>
      <w:marTop w:val="0"/>
      <w:marBottom w:val="0"/>
      <w:divBdr>
        <w:top w:val="none" w:sz="0" w:space="0" w:color="auto"/>
        <w:left w:val="none" w:sz="0" w:space="0" w:color="auto"/>
        <w:bottom w:val="none" w:sz="0" w:space="0" w:color="auto"/>
        <w:right w:val="none" w:sz="0" w:space="0" w:color="auto"/>
      </w:divBdr>
    </w:div>
    <w:div w:id="1754162013">
      <w:marLeft w:val="0"/>
      <w:marRight w:val="0"/>
      <w:marTop w:val="0"/>
      <w:marBottom w:val="0"/>
      <w:divBdr>
        <w:top w:val="none" w:sz="0" w:space="0" w:color="auto"/>
        <w:left w:val="none" w:sz="0" w:space="0" w:color="auto"/>
        <w:bottom w:val="none" w:sz="0" w:space="0" w:color="auto"/>
        <w:right w:val="none" w:sz="0" w:space="0" w:color="auto"/>
      </w:divBdr>
    </w:div>
    <w:div w:id="1760519725">
      <w:marLeft w:val="0"/>
      <w:marRight w:val="0"/>
      <w:marTop w:val="0"/>
      <w:marBottom w:val="0"/>
      <w:divBdr>
        <w:top w:val="none" w:sz="0" w:space="0" w:color="auto"/>
        <w:left w:val="none" w:sz="0" w:space="0" w:color="auto"/>
        <w:bottom w:val="none" w:sz="0" w:space="0" w:color="auto"/>
        <w:right w:val="none" w:sz="0" w:space="0" w:color="auto"/>
      </w:divBdr>
    </w:div>
    <w:div w:id="1760636114">
      <w:marLeft w:val="0"/>
      <w:marRight w:val="0"/>
      <w:marTop w:val="160"/>
      <w:marBottom w:val="160"/>
      <w:divBdr>
        <w:top w:val="none" w:sz="0" w:space="0" w:color="auto"/>
        <w:left w:val="none" w:sz="0" w:space="0" w:color="auto"/>
        <w:bottom w:val="none" w:sz="0" w:space="0" w:color="auto"/>
        <w:right w:val="none" w:sz="0" w:space="0" w:color="auto"/>
      </w:divBdr>
    </w:div>
    <w:div w:id="1762870736">
      <w:marLeft w:val="0"/>
      <w:marRight w:val="0"/>
      <w:marTop w:val="0"/>
      <w:marBottom w:val="240"/>
      <w:divBdr>
        <w:top w:val="none" w:sz="0" w:space="0" w:color="auto"/>
        <w:left w:val="none" w:sz="0" w:space="0" w:color="auto"/>
        <w:bottom w:val="none" w:sz="0" w:space="0" w:color="auto"/>
        <w:right w:val="none" w:sz="0" w:space="0" w:color="auto"/>
      </w:divBdr>
    </w:div>
    <w:div w:id="1763718068">
      <w:marLeft w:val="0"/>
      <w:marRight w:val="0"/>
      <w:marTop w:val="0"/>
      <w:marBottom w:val="240"/>
      <w:divBdr>
        <w:top w:val="none" w:sz="0" w:space="0" w:color="auto"/>
        <w:left w:val="none" w:sz="0" w:space="0" w:color="auto"/>
        <w:bottom w:val="none" w:sz="0" w:space="0" w:color="auto"/>
        <w:right w:val="none" w:sz="0" w:space="0" w:color="auto"/>
      </w:divBdr>
    </w:div>
    <w:div w:id="1766145476">
      <w:marLeft w:val="0"/>
      <w:marRight w:val="0"/>
      <w:marTop w:val="0"/>
      <w:marBottom w:val="240"/>
      <w:divBdr>
        <w:top w:val="none" w:sz="0" w:space="0" w:color="auto"/>
        <w:left w:val="none" w:sz="0" w:space="0" w:color="auto"/>
        <w:bottom w:val="none" w:sz="0" w:space="0" w:color="auto"/>
        <w:right w:val="none" w:sz="0" w:space="0" w:color="auto"/>
      </w:divBdr>
    </w:div>
    <w:div w:id="1767997037">
      <w:marLeft w:val="0"/>
      <w:marRight w:val="0"/>
      <w:marTop w:val="60"/>
      <w:marBottom w:val="60"/>
      <w:divBdr>
        <w:top w:val="none" w:sz="0" w:space="0" w:color="auto"/>
        <w:left w:val="none" w:sz="0" w:space="0" w:color="auto"/>
        <w:bottom w:val="none" w:sz="0" w:space="0" w:color="auto"/>
        <w:right w:val="none" w:sz="0" w:space="0" w:color="auto"/>
      </w:divBdr>
    </w:div>
    <w:div w:id="1770345944">
      <w:marLeft w:val="0"/>
      <w:marRight w:val="0"/>
      <w:marTop w:val="0"/>
      <w:marBottom w:val="0"/>
      <w:divBdr>
        <w:top w:val="none" w:sz="0" w:space="0" w:color="auto"/>
        <w:left w:val="none" w:sz="0" w:space="0" w:color="auto"/>
        <w:bottom w:val="none" w:sz="0" w:space="0" w:color="auto"/>
        <w:right w:val="none" w:sz="0" w:space="0" w:color="auto"/>
      </w:divBdr>
    </w:div>
    <w:div w:id="1775980554">
      <w:marLeft w:val="0"/>
      <w:marRight w:val="0"/>
      <w:marTop w:val="100"/>
      <w:marBottom w:val="240"/>
      <w:divBdr>
        <w:top w:val="none" w:sz="0" w:space="0" w:color="auto"/>
        <w:left w:val="none" w:sz="0" w:space="0" w:color="auto"/>
        <w:bottom w:val="none" w:sz="0" w:space="0" w:color="auto"/>
        <w:right w:val="none" w:sz="0" w:space="0" w:color="auto"/>
      </w:divBdr>
    </w:div>
    <w:div w:id="1776174680">
      <w:marLeft w:val="0"/>
      <w:marRight w:val="0"/>
      <w:marTop w:val="0"/>
      <w:marBottom w:val="240"/>
      <w:divBdr>
        <w:top w:val="none" w:sz="0" w:space="0" w:color="auto"/>
        <w:left w:val="none" w:sz="0" w:space="0" w:color="auto"/>
        <w:bottom w:val="none" w:sz="0" w:space="0" w:color="auto"/>
        <w:right w:val="none" w:sz="0" w:space="0" w:color="auto"/>
      </w:divBdr>
    </w:div>
    <w:div w:id="1783649958">
      <w:marLeft w:val="0"/>
      <w:marRight w:val="0"/>
      <w:marTop w:val="0"/>
      <w:marBottom w:val="240"/>
      <w:divBdr>
        <w:top w:val="none" w:sz="0" w:space="0" w:color="auto"/>
        <w:left w:val="none" w:sz="0" w:space="0" w:color="auto"/>
        <w:bottom w:val="none" w:sz="0" w:space="0" w:color="auto"/>
        <w:right w:val="none" w:sz="0" w:space="0" w:color="auto"/>
      </w:divBdr>
    </w:div>
    <w:div w:id="1784181589">
      <w:marLeft w:val="0"/>
      <w:marRight w:val="0"/>
      <w:marTop w:val="0"/>
      <w:marBottom w:val="0"/>
      <w:divBdr>
        <w:top w:val="none" w:sz="0" w:space="0" w:color="auto"/>
        <w:left w:val="none" w:sz="0" w:space="0" w:color="auto"/>
        <w:bottom w:val="none" w:sz="0" w:space="0" w:color="auto"/>
        <w:right w:val="none" w:sz="0" w:space="0" w:color="auto"/>
      </w:divBdr>
    </w:div>
    <w:div w:id="1784962404">
      <w:marLeft w:val="0"/>
      <w:marRight w:val="0"/>
      <w:marTop w:val="0"/>
      <w:marBottom w:val="103"/>
      <w:divBdr>
        <w:top w:val="none" w:sz="0" w:space="0" w:color="auto"/>
        <w:left w:val="none" w:sz="0" w:space="0" w:color="auto"/>
        <w:bottom w:val="none" w:sz="0" w:space="0" w:color="auto"/>
        <w:right w:val="none" w:sz="0" w:space="0" w:color="auto"/>
      </w:divBdr>
    </w:div>
    <w:div w:id="1785151317">
      <w:marLeft w:val="0"/>
      <w:marRight w:val="0"/>
      <w:marTop w:val="0"/>
      <w:marBottom w:val="160"/>
      <w:divBdr>
        <w:top w:val="none" w:sz="0" w:space="0" w:color="auto"/>
        <w:left w:val="none" w:sz="0" w:space="0" w:color="auto"/>
        <w:bottom w:val="none" w:sz="0" w:space="0" w:color="auto"/>
        <w:right w:val="none" w:sz="0" w:space="0" w:color="auto"/>
      </w:divBdr>
    </w:div>
    <w:div w:id="1787843663">
      <w:marLeft w:val="0"/>
      <w:marRight w:val="0"/>
      <w:marTop w:val="0"/>
      <w:marBottom w:val="0"/>
      <w:divBdr>
        <w:top w:val="none" w:sz="0" w:space="0" w:color="auto"/>
        <w:left w:val="none" w:sz="0" w:space="0" w:color="auto"/>
        <w:bottom w:val="none" w:sz="0" w:space="0" w:color="auto"/>
        <w:right w:val="none" w:sz="0" w:space="0" w:color="auto"/>
      </w:divBdr>
      <w:divsChild>
        <w:div w:id="875237940">
          <w:marLeft w:val="0"/>
          <w:marRight w:val="0"/>
          <w:marTop w:val="0"/>
          <w:marBottom w:val="0"/>
          <w:divBdr>
            <w:top w:val="none" w:sz="0" w:space="0" w:color="auto"/>
            <w:left w:val="none" w:sz="0" w:space="0" w:color="auto"/>
            <w:bottom w:val="none" w:sz="0" w:space="0" w:color="auto"/>
            <w:right w:val="none" w:sz="0" w:space="0" w:color="auto"/>
          </w:divBdr>
        </w:div>
      </w:divsChild>
    </w:div>
    <w:div w:id="1788234679">
      <w:marLeft w:val="0"/>
      <w:marRight w:val="0"/>
      <w:marTop w:val="0"/>
      <w:marBottom w:val="0"/>
      <w:divBdr>
        <w:top w:val="none" w:sz="0" w:space="0" w:color="auto"/>
        <w:left w:val="none" w:sz="0" w:space="0" w:color="auto"/>
        <w:bottom w:val="none" w:sz="0" w:space="0" w:color="auto"/>
        <w:right w:val="none" w:sz="0" w:space="0" w:color="auto"/>
      </w:divBdr>
      <w:divsChild>
        <w:div w:id="2053847020">
          <w:marLeft w:val="0"/>
          <w:marRight w:val="0"/>
          <w:marTop w:val="0"/>
          <w:marBottom w:val="0"/>
          <w:divBdr>
            <w:top w:val="none" w:sz="0" w:space="0" w:color="auto"/>
            <w:left w:val="none" w:sz="0" w:space="0" w:color="auto"/>
            <w:bottom w:val="none" w:sz="0" w:space="0" w:color="auto"/>
            <w:right w:val="none" w:sz="0" w:space="0" w:color="auto"/>
          </w:divBdr>
        </w:div>
      </w:divsChild>
    </w:div>
    <w:div w:id="1789734451">
      <w:marLeft w:val="0"/>
      <w:marRight w:val="0"/>
      <w:marTop w:val="160"/>
      <w:marBottom w:val="0"/>
      <w:divBdr>
        <w:top w:val="none" w:sz="0" w:space="0" w:color="auto"/>
        <w:left w:val="none" w:sz="0" w:space="0" w:color="auto"/>
        <w:bottom w:val="none" w:sz="0" w:space="0" w:color="auto"/>
        <w:right w:val="none" w:sz="0" w:space="0" w:color="auto"/>
      </w:divBdr>
    </w:div>
    <w:div w:id="1792170139">
      <w:marLeft w:val="0"/>
      <w:marRight w:val="0"/>
      <w:marTop w:val="0"/>
      <w:marBottom w:val="240"/>
      <w:divBdr>
        <w:top w:val="none" w:sz="0" w:space="0" w:color="auto"/>
        <w:left w:val="none" w:sz="0" w:space="0" w:color="auto"/>
        <w:bottom w:val="none" w:sz="0" w:space="0" w:color="auto"/>
        <w:right w:val="none" w:sz="0" w:space="0" w:color="auto"/>
      </w:divBdr>
    </w:div>
    <w:div w:id="1793402107">
      <w:marLeft w:val="0"/>
      <w:marRight w:val="0"/>
      <w:marTop w:val="100"/>
      <w:marBottom w:val="240"/>
      <w:divBdr>
        <w:top w:val="none" w:sz="0" w:space="0" w:color="auto"/>
        <w:left w:val="none" w:sz="0" w:space="0" w:color="auto"/>
        <w:bottom w:val="none" w:sz="0" w:space="0" w:color="auto"/>
        <w:right w:val="none" w:sz="0" w:space="0" w:color="auto"/>
      </w:divBdr>
    </w:div>
    <w:div w:id="1796481928">
      <w:marLeft w:val="0"/>
      <w:marRight w:val="0"/>
      <w:marTop w:val="180"/>
      <w:marBottom w:val="180"/>
      <w:divBdr>
        <w:top w:val="none" w:sz="0" w:space="0" w:color="auto"/>
        <w:left w:val="none" w:sz="0" w:space="0" w:color="auto"/>
        <w:bottom w:val="none" w:sz="0" w:space="0" w:color="auto"/>
        <w:right w:val="none" w:sz="0" w:space="0" w:color="auto"/>
      </w:divBdr>
    </w:div>
    <w:div w:id="1798798750">
      <w:marLeft w:val="0"/>
      <w:marRight w:val="0"/>
      <w:marTop w:val="0"/>
      <w:marBottom w:val="240"/>
      <w:divBdr>
        <w:top w:val="none" w:sz="0" w:space="0" w:color="auto"/>
        <w:left w:val="none" w:sz="0" w:space="0" w:color="auto"/>
        <w:bottom w:val="none" w:sz="0" w:space="0" w:color="auto"/>
        <w:right w:val="none" w:sz="0" w:space="0" w:color="auto"/>
      </w:divBdr>
    </w:div>
    <w:div w:id="1800610836">
      <w:marLeft w:val="0"/>
      <w:marRight w:val="0"/>
      <w:marTop w:val="0"/>
      <w:marBottom w:val="60"/>
      <w:divBdr>
        <w:top w:val="none" w:sz="0" w:space="0" w:color="auto"/>
        <w:left w:val="none" w:sz="0" w:space="0" w:color="auto"/>
        <w:bottom w:val="none" w:sz="0" w:space="0" w:color="auto"/>
        <w:right w:val="none" w:sz="0" w:space="0" w:color="auto"/>
      </w:divBdr>
    </w:div>
    <w:div w:id="1802112901">
      <w:marLeft w:val="0"/>
      <w:marRight w:val="0"/>
      <w:marTop w:val="0"/>
      <w:marBottom w:val="240"/>
      <w:divBdr>
        <w:top w:val="none" w:sz="0" w:space="0" w:color="auto"/>
        <w:left w:val="none" w:sz="0" w:space="0" w:color="auto"/>
        <w:bottom w:val="none" w:sz="0" w:space="0" w:color="auto"/>
        <w:right w:val="none" w:sz="0" w:space="0" w:color="auto"/>
      </w:divBdr>
    </w:div>
    <w:div w:id="1808742163">
      <w:marLeft w:val="0"/>
      <w:marRight w:val="0"/>
      <w:marTop w:val="100"/>
      <w:marBottom w:val="140"/>
      <w:divBdr>
        <w:top w:val="none" w:sz="0" w:space="0" w:color="auto"/>
        <w:left w:val="none" w:sz="0" w:space="0" w:color="auto"/>
        <w:bottom w:val="none" w:sz="0" w:space="0" w:color="auto"/>
        <w:right w:val="none" w:sz="0" w:space="0" w:color="auto"/>
      </w:divBdr>
      <w:divsChild>
        <w:div w:id="1895197633">
          <w:marLeft w:val="0"/>
          <w:marRight w:val="0"/>
          <w:marTop w:val="0"/>
          <w:marBottom w:val="0"/>
          <w:divBdr>
            <w:top w:val="none" w:sz="0" w:space="0" w:color="auto"/>
            <w:left w:val="none" w:sz="0" w:space="0" w:color="auto"/>
            <w:bottom w:val="none" w:sz="0" w:space="0" w:color="auto"/>
            <w:right w:val="none" w:sz="0" w:space="0" w:color="auto"/>
          </w:divBdr>
        </w:div>
        <w:div w:id="1822651348">
          <w:marLeft w:val="0"/>
          <w:marRight w:val="0"/>
          <w:marTop w:val="0"/>
          <w:marBottom w:val="0"/>
          <w:divBdr>
            <w:top w:val="none" w:sz="0" w:space="0" w:color="auto"/>
            <w:left w:val="none" w:sz="0" w:space="0" w:color="auto"/>
            <w:bottom w:val="none" w:sz="0" w:space="0" w:color="auto"/>
            <w:right w:val="none" w:sz="0" w:space="0" w:color="auto"/>
          </w:divBdr>
        </w:div>
      </w:divsChild>
    </w:div>
    <w:div w:id="1811752208">
      <w:marLeft w:val="0"/>
      <w:marRight w:val="0"/>
      <w:marTop w:val="0"/>
      <w:marBottom w:val="240"/>
      <w:divBdr>
        <w:top w:val="none" w:sz="0" w:space="0" w:color="auto"/>
        <w:left w:val="none" w:sz="0" w:space="0" w:color="auto"/>
        <w:bottom w:val="none" w:sz="0" w:space="0" w:color="auto"/>
        <w:right w:val="none" w:sz="0" w:space="0" w:color="auto"/>
      </w:divBdr>
    </w:div>
    <w:div w:id="1815296173">
      <w:marLeft w:val="0"/>
      <w:marRight w:val="0"/>
      <w:marTop w:val="0"/>
      <w:marBottom w:val="240"/>
      <w:divBdr>
        <w:top w:val="none" w:sz="0" w:space="0" w:color="auto"/>
        <w:left w:val="none" w:sz="0" w:space="0" w:color="auto"/>
        <w:bottom w:val="none" w:sz="0" w:space="0" w:color="auto"/>
        <w:right w:val="none" w:sz="0" w:space="0" w:color="auto"/>
      </w:divBdr>
    </w:div>
    <w:div w:id="1817793200">
      <w:marLeft w:val="0"/>
      <w:marRight w:val="0"/>
      <w:marTop w:val="160"/>
      <w:marBottom w:val="160"/>
      <w:divBdr>
        <w:top w:val="none" w:sz="0" w:space="0" w:color="auto"/>
        <w:left w:val="none" w:sz="0" w:space="0" w:color="auto"/>
        <w:bottom w:val="none" w:sz="0" w:space="0" w:color="auto"/>
        <w:right w:val="none" w:sz="0" w:space="0" w:color="auto"/>
      </w:divBdr>
    </w:div>
    <w:div w:id="1822579747">
      <w:marLeft w:val="0"/>
      <w:marRight w:val="0"/>
      <w:marTop w:val="0"/>
      <w:marBottom w:val="0"/>
      <w:divBdr>
        <w:top w:val="none" w:sz="0" w:space="0" w:color="auto"/>
        <w:left w:val="none" w:sz="0" w:space="0" w:color="auto"/>
        <w:bottom w:val="none" w:sz="0" w:space="0" w:color="auto"/>
        <w:right w:val="none" w:sz="0" w:space="0" w:color="auto"/>
      </w:divBdr>
      <w:divsChild>
        <w:div w:id="1845784491">
          <w:marLeft w:val="0"/>
          <w:marRight w:val="0"/>
          <w:marTop w:val="160"/>
          <w:marBottom w:val="0"/>
          <w:divBdr>
            <w:top w:val="none" w:sz="0" w:space="0" w:color="auto"/>
            <w:left w:val="none" w:sz="0" w:space="0" w:color="auto"/>
            <w:bottom w:val="none" w:sz="0" w:space="0" w:color="auto"/>
            <w:right w:val="none" w:sz="0" w:space="0" w:color="auto"/>
          </w:divBdr>
        </w:div>
        <w:div w:id="494301859">
          <w:marLeft w:val="0"/>
          <w:marRight w:val="0"/>
          <w:marTop w:val="60"/>
          <w:marBottom w:val="60"/>
          <w:divBdr>
            <w:top w:val="none" w:sz="0" w:space="0" w:color="auto"/>
            <w:left w:val="none" w:sz="0" w:space="0" w:color="auto"/>
            <w:bottom w:val="none" w:sz="0" w:space="0" w:color="auto"/>
            <w:right w:val="none" w:sz="0" w:space="0" w:color="auto"/>
          </w:divBdr>
        </w:div>
        <w:div w:id="2007394249">
          <w:marLeft w:val="0"/>
          <w:marRight w:val="0"/>
          <w:marTop w:val="60"/>
          <w:marBottom w:val="60"/>
          <w:divBdr>
            <w:top w:val="none" w:sz="0" w:space="0" w:color="auto"/>
            <w:left w:val="none" w:sz="0" w:space="0" w:color="auto"/>
            <w:bottom w:val="none" w:sz="0" w:space="0" w:color="auto"/>
            <w:right w:val="none" w:sz="0" w:space="0" w:color="auto"/>
          </w:divBdr>
        </w:div>
        <w:div w:id="1003514166">
          <w:marLeft w:val="0"/>
          <w:marRight w:val="0"/>
          <w:marTop w:val="60"/>
          <w:marBottom w:val="60"/>
          <w:divBdr>
            <w:top w:val="none" w:sz="0" w:space="0" w:color="auto"/>
            <w:left w:val="none" w:sz="0" w:space="0" w:color="auto"/>
            <w:bottom w:val="none" w:sz="0" w:space="0" w:color="auto"/>
            <w:right w:val="none" w:sz="0" w:space="0" w:color="auto"/>
          </w:divBdr>
        </w:div>
      </w:divsChild>
    </w:div>
    <w:div w:id="1825269890">
      <w:marLeft w:val="0"/>
      <w:marRight w:val="0"/>
      <w:marTop w:val="0"/>
      <w:marBottom w:val="240"/>
      <w:divBdr>
        <w:top w:val="none" w:sz="0" w:space="0" w:color="auto"/>
        <w:left w:val="none" w:sz="0" w:space="0" w:color="auto"/>
        <w:bottom w:val="none" w:sz="0" w:space="0" w:color="auto"/>
        <w:right w:val="none" w:sz="0" w:space="0" w:color="auto"/>
      </w:divBdr>
    </w:div>
    <w:div w:id="1827547918">
      <w:marLeft w:val="0"/>
      <w:marRight w:val="0"/>
      <w:marTop w:val="0"/>
      <w:marBottom w:val="240"/>
      <w:divBdr>
        <w:top w:val="none" w:sz="0" w:space="0" w:color="auto"/>
        <w:left w:val="none" w:sz="0" w:space="0" w:color="auto"/>
        <w:bottom w:val="none" w:sz="0" w:space="0" w:color="auto"/>
        <w:right w:val="none" w:sz="0" w:space="0" w:color="auto"/>
      </w:divBdr>
    </w:div>
    <w:div w:id="1833258346">
      <w:marLeft w:val="0"/>
      <w:marRight w:val="0"/>
      <w:marTop w:val="100"/>
      <w:marBottom w:val="0"/>
      <w:divBdr>
        <w:top w:val="none" w:sz="0" w:space="0" w:color="auto"/>
        <w:left w:val="none" w:sz="0" w:space="0" w:color="auto"/>
        <w:bottom w:val="none" w:sz="0" w:space="0" w:color="auto"/>
        <w:right w:val="none" w:sz="0" w:space="0" w:color="auto"/>
      </w:divBdr>
      <w:divsChild>
        <w:div w:id="298851275">
          <w:marLeft w:val="0"/>
          <w:marRight w:val="0"/>
          <w:marTop w:val="0"/>
          <w:marBottom w:val="0"/>
          <w:divBdr>
            <w:top w:val="none" w:sz="0" w:space="0" w:color="auto"/>
            <w:left w:val="none" w:sz="0" w:space="0" w:color="auto"/>
            <w:bottom w:val="none" w:sz="0" w:space="0" w:color="auto"/>
            <w:right w:val="none" w:sz="0" w:space="0" w:color="auto"/>
          </w:divBdr>
        </w:div>
        <w:div w:id="1012415057">
          <w:marLeft w:val="0"/>
          <w:marRight w:val="0"/>
          <w:marTop w:val="0"/>
          <w:marBottom w:val="0"/>
          <w:divBdr>
            <w:top w:val="none" w:sz="0" w:space="0" w:color="auto"/>
            <w:left w:val="none" w:sz="0" w:space="0" w:color="auto"/>
            <w:bottom w:val="none" w:sz="0" w:space="0" w:color="auto"/>
            <w:right w:val="none" w:sz="0" w:space="0" w:color="auto"/>
          </w:divBdr>
        </w:div>
        <w:div w:id="1340694724">
          <w:marLeft w:val="0"/>
          <w:marRight w:val="0"/>
          <w:marTop w:val="0"/>
          <w:marBottom w:val="0"/>
          <w:divBdr>
            <w:top w:val="none" w:sz="0" w:space="0" w:color="auto"/>
            <w:left w:val="none" w:sz="0" w:space="0" w:color="auto"/>
            <w:bottom w:val="none" w:sz="0" w:space="0" w:color="auto"/>
            <w:right w:val="none" w:sz="0" w:space="0" w:color="auto"/>
          </w:divBdr>
        </w:div>
        <w:div w:id="1645696862">
          <w:marLeft w:val="0"/>
          <w:marRight w:val="0"/>
          <w:marTop w:val="0"/>
          <w:marBottom w:val="0"/>
          <w:divBdr>
            <w:top w:val="none" w:sz="0" w:space="0" w:color="auto"/>
            <w:left w:val="none" w:sz="0" w:space="0" w:color="auto"/>
            <w:bottom w:val="none" w:sz="0" w:space="0" w:color="auto"/>
            <w:right w:val="none" w:sz="0" w:space="0" w:color="auto"/>
          </w:divBdr>
        </w:div>
        <w:div w:id="1267732422">
          <w:marLeft w:val="0"/>
          <w:marRight w:val="0"/>
          <w:marTop w:val="0"/>
          <w:marBottom w:val="0"/>
          <w:divBdr>
            <w:top w:val="none" w:sz="0" w:space="0" w:color="auto"/>
            <w:left w:val="none" w:sz="0" w:space="0" w:color="auto"/>
            <w:bottom w:val="none" w:sz="0" w:space="0" w:color="auto"/>
            <w:right w:val="none" w:sz="0" w:space="0" w:color="auto"/>
          </w:divBdr>
        </w:div>
        <w:div w:id="1019041902">
          <w:marLeft w:val="0"/>
          <w:marRight w:val="0"/>
          <w:marTop w:val="0"/>
          <w:marBottom w:val="0"/>
          <w:divBdr>
            <w:top w:val="none" w:sz="0" w:space="0" w:color="auto"/>
            <w:left w:val="none" w:sz="0" w:space="0" w:color="auto"/>
            <w:bottom w:val="none" w:sz="0" w:space="0" w:color="auto"/>
            <w:right w:val="none" w:sz="0" w:space="0" w:color="auto"/>
          </w:divBdr>
        </w:div>
        <w:div w:id="286012127">
          <w:marLeft w:val="0"/>
          <w:marRight w:val="0"/>
          <w:marTop w:val="0"/>
          <w:marBottom w:val="0"/>
          <w:divBdr>
            <w:top w:val="none" w:sz="0" w:space="0" w:color="auto"/>
            <w:left w:val="none" w:sz="0" w:space="0" w:color="auto"/>
            <w:bottom w:val="none" w:sz="0" w:space="0" w:color="auto"/>
            <w:right w:val="none" w:sz="0" w:space="0" w:color="auto"/>
          </w:divBdr>
        </w:div>
        <w:div w:id="885995409">
          <w:marLeft w:val="0"/>
          <w:marRight w:val="0"/>
          <w:marTop w:val="0"/>
          <w:marBottom w:val="0"/>
          <w:divBdr>
            <w:top w:val="none" w:sz="0" w:space="0" w:color="auto"/>
            <w:left w:val="none" w:sz="0" w:space="0" w:color="auto"/>
            <w:bottom w:val="none" w:sz="0" w:space="0" w:color="auto"/>
            <w:right w:val="none" w:sz="0" w:space="0" w:color="auto"/>
          </w:divBdr>
        </w:div>
        <w:div w:id="1415319734">
          <w:marLeft w:val="0"/>
          <w:marRight w:val="0"/>
          <w:marTop w:val="0"/>
          <w:marBottom w:val="0"/>
          <w:divBdr>
            <w:top w:val="none" w:sz="0" w:space="0" w:color="auto"/>
            <w:left w:val="none" w:sz="0" w:space="0" w:color="auto"/>
            <w:bottom w:val="none" w:sz="0" w:space="0" w:color="auto"/>
            <w:right w:val="none" w:sz="0" w:space="0" w:color="auto"/>
          </w:divBdr>
        </w:div>
        <w:div w:id="343476164">
          <w:marLeft w:val="0"/>
          <w:marRight w:val="0"/>
          <w:marTop w:val="0"/>
          <w:marBottom w:val="0"/>
          <w:divBdr>
            <w:top w:val="none" w:sz="0" w:space="0" w:color="auto"/>
            <w:left w:val="none" w:sz="0" w:space="0" w:color="auto"/>
            <w:bottom w:val="none" w:sz="0" w:space="0" w:color="auto"/>
            <w:right w:val="none" w:sz="0" w:space="0" w:color="auto"/>
          </w:divBdr>
        </w:div>
        <w:div w:id="2136096216">
          <w:marLeft w:val="0"/>
          <w:marRight w:val="0"/>
          <w:marTop w:val="0"/>
          <w:marBottom w:val="0"/>
          <w:divBdr>
            <w:top w:val="none" w:sz="0" w:space="0" w:color="auto"/>
            <w:left w:val="none" w:sz="0" w:space="0" w:color="auto"/>
            <w:bottom w:val="none" w:sz="0" w:space="0" w:color="auto"/>
            <w:right w:val="none" w:sz="0" w:space="0" w:color="auto"/>
          </w:divBdr>
        </w:div>
        <w:div w:id="640308103">
          <w:marLeft w:val="0"/>
          <w:marRight w:val="0"/>
          <w:marTop w:val="0"/>
          <w:marBottom w:val="0"/>
          <w:divBdr>
            <w:top w:val="none" w:sz="0" w:space="0" w:color="auto"/>
            <w:left w:val="none" w:sz="0" w:space="0" w:color="auto"/>
            <w:bottom w:val="none" w:sz="0" w:space="0" w:color="auto"/>
            <w:right w:val="none" w:sz="0" w:space="0" w:color="auto"/>
          </w:divBdr>
        </w:div>
        <w:div w:id="340356574">
          <w:marLeft w:val="0"/>
          <w:marRight w:val="0"/>
          <w:marTop w:val="0"/>
          <w:marBottom w:val="0"/>
          <w:divBdr>
            <w:top w:val="none" w:sz="0" w:space="0" w:color="auto"/>
            <w:left w:val="none" w:sz="0" w:space="0" w:color="auto"/>
            <w:bottom w:val="none" w:sz="0" w:space="0" w:color="auto"/>
            <w:right w:val="none" w:sz="0" w:space="0" w:color="auto"/>
          </w:divBdr>
        </w:div>
        <w:div w:id="209272950">
          <w:marLeft w:val="0"/>
          <w:marRight w:val="0"/>
          <w:marTop w:val="0"/>
          <w:marBottom w:val="0"/>
          <w:divBdr>
            <w:top w:val="none" w:sz="0" w:space="0" w:color="auto"/>
            <w:left w:val="none" w:sz="0" w:space="0" w:color="auto"/>
            <w:bottom w:val="none" w:sz="0" w:space="0" w:color="auto"/>
            <w:right w:val="none" w:sz="0" w:space="0" w:color="auto"/>
          </w:divBdr>
        </w:div>
        <w:div w:id="230624233">
          <w:marLeft w:val="0"/>
          <w:marRight w:val="0"/>
          <w:marTop w:val="0"/>
          <w:marBottom w:val="0"/>
          <w:divBdr>
            <w:top w:val="none" w:sz="0" w:space="0" w:color="auto"/>
            <w:left w:val="none" w:sz="0" w:space="0" w:color="auto"/>
            <w:bottom w:val="none" w:sz="0" w:space="0" w:color="auto"/>
            <w:right w:val="none" w:sz="0" w:space="0" w:color="auto"/>
          </w:divBdr>
        </w:div>
      </w:divsChild>
    </w:div>
    <w:div w:id="1834221904">
      <w:marLeft w:val="0"/>
      <w:marRight w:val="0"/>
      <w:marTop w:val="0"/>
      <w:marBottom w:val="240"/>
      <w:divBdr>
        <w:top w:val="none" w:sz="0" w:space="0" w:color="auto"/>
        <w:left w:val="none" w:sz="0" w:space="0" w:color="auto"/>
        <w:bottom w:val="none" w:sz="0" w:space="0" w:color="auto"/>
        <w:right w:val="none" w:sz="0" w:space="0" w:color="auto"/>
      </w:divBdr>
    </w:div>
    <w:div w:id="1835678184">
      <w:marLeft w:val="0"/>
      <w:marRight w:val="0"/>
      <w:marTop w:val="0"/>
      <w:marBottom w:val="0"/>
      <w:divBdr>
        <w:top w:val="none" w:sz="0" w:space="0" w:color="auto"/>
        <w:left w:val="none" w:sz="0" w:space="0" w:color="auto"/>
        <w:bottom w:val="none" w:sz="0" w:space="0" w:color="auto"/>
        <w:right w:val="none" w:sz="0" w:space="0" w:color="auto"/>
      </w:divBdr>
      <w:divsChild>
        <w:div w:id="1031804833">
          <w:marLeft w:val="0"/>
          <w:marRight w:val="0"/>
          <w:marTop w:val="160"/>
          <w:marBottom w:val="0"/>
          <w:divBdr>
            <w:top w:val="none" w:sz="0" w:space="0" w:color="auto"/>
            <w:left w:val="none" w:sz="0" w:space="0" w:color="auto"/>
            <w:bottom w:val="none" w:sz="0" w:space="0" w:color="auto"/>
            <w:right w:val="none" w:sz="0" w:space="0" w:color="auto"/>
          </w:divBdr>
        </w:div>
        <w:div w:id="387413122">
          <w:marLeft w:val="0"/>
          <w:marRight w:val="0"/>
          <w:marTop w:val="60"/>
          <w:marBottom w:val="60"/>
          <w:divBdr>
            <w:top w:val="none" w:sz="0" w:space="0" w:color="auto"/>
            <w:left w:val="none" w:sz="0" w:space="0" w:color="auto"/>
            <w:bottom w:val="none" w:sz="0" w:space="0" w:color="auto"/>
            <w:right w:val="none" w:sz="0" w:space="0" w:color="auto"/>
          </w:divBdr>
        </w:div>
        <w:div w:id="1430153410">
          <w:marLeft w:val="0"/>
          <w:marRight w:val="0"/>
          <w:marTop w:val="60"/>
          <w:marBottom w:val="60"/>
          <w:divBdr>
            <w:top w:val="none" w:sz="0" w:space="0" w:color="auto"/>
            <w:left w:val="none" w:sz="0" w:space="0" w:color="auto"/>
            <w:bottom w:val="none" w:sz="0" w:space="0" w:color="auto"/>
            <w:right w:val="none" w:sz="0" w:space="0" w:color="auto"/>
          </w:divBdr>
        </w:div>
        <w:div w:id="4209100">
          <w:marLeft w:val="0"/>
          <w:marRight w:val="0"/>
          <w:marTop w:val="60"/>
          <w:marBottom w:val="60"/>
          <w:divBdr>
            <w:top w:val="none" w:sz="0" w:space="0" w:color="auto"/>
            <w:left w:val="none" w:sz="0" w:space="0" w:color="auto"/>
            <w:bottom w:val="none" w:sz="0" w:space="0" w:color="auto"/>
            <w:right w:val="none" w:sz="0" w:space="0" w:color="auto"/>
          </w:divBdr>
        </w:div>
      </w:divsChild>
    </w:div>
    <w:div w:id="1835801685">
      <w:marLeft w:val="0"/>
      <w:marRight w:val="0"/>
      <w:marTop w:val="160"/>
      <w:marBottom w:val="0"/>
      <w:divBdr>
        <w:top w:val="none" w:sz="0" w:space="0" w:color="auto"/>
        <w:left w:val="none" w:sz="0" w:space="0" w:color="auto"/>
        <w:bottom w:val="none" w:sz="0" w:space="0" w:color="auto"/>
        <w:right w:val="none" w:sz="0" w:space="0" w:color="auto"/>
      </w:divBdr>
    </w:div>
    <w:div w:id="1838613880">
      <w:marLeft w:val="0"/>
      <w:marRight w:val="0"/>
      <w:marTop w:val="0"/>
      <w:marBottom w:val="240"/>
      <w:divBdr>
        <w:top w:val="none" w:sz="0" w:space="0" w:color="auto"/>
        <w:left w:val="none" w:sz="0" w:space="0" w:color="auto"/>
        <w:bottom w:val="none" w:sz="0" w:space="0" w:color="auto"/>
        <w:right w:val="none" w:sz="0" w:space="0" w:color="auto"/>
      </w:divBdr>
    </w:div>
    <w:div w:id="1840998990">
      <w:marLeft w:val="0"/>
      <w:marRight w:val="0"/>
      <w:marTop w:val="0"/>
      <w:marBottom w:val="0"/>
      <w:divBdr>
        <w:top w:val="none" w:sz="0" w:space="0" w:color="auto"/>
        <w:left w:val="none" w:sz="0" w:space="0" w:color="auto"/>
        <w:bottom w:val="none" w:sz="0" w:space="0" w:color="auto"/>
        <w:right w:val="none" w:sz="0" w:space="0" w:color="auto"/>
      </w:divBdr>
      <w:divsChild>
        <w:div w:id="1263684112">
          <w:marLeft w:val="0"/>
          <w:marRight w:val="0"/>
          <w:marTop w:val="160"/>
          <w:marBottom w:val="160"/>
          <w:divBdr>
            <w:top w:val="none" w:sz="0" w:space="0" w:color="auto"/>
            <w:left w:val="none" w:sz="0" w:space="0" w:color="auto"/>
            <w:bottom w:val="none" w:sz="0" w:space="0" w:color="auto"/>
            <w:right w:val="none" w:sz="0" w:space="0" w:color="auto"/>
          </w:divBdr>
        </w:div>
      </w:divsChild>
    </w:div>
    <w:div w:id="1843664422">
      <w:marLeft w:val="0"/>
      <w:marRight w:val="0"/>
      <w:marTop w:val="0"/>
      <w:marBottom w:val="240"/>
      <w:divBdr>
        <w:top w:val="none" w:sz="0" w:space="0" w:color="auto"/>
        <w:left w:val="none" w:sz="0" w:space="0" w:color="auto"/>
        <w:bottom w:val="none" w:sz="0" w:space="0" w:color="auto"/>
        <w:right w:val="none" w:sz="0" w:space="0" w:color="auto"/>
      </w:divBdr>
    </w:div>
    <w:div w:id="1843665878">
      <w:marLeft w:val="0"/>
      <w:marRight w:val="0"/>
      <w:marTop w:val="0"/>
      <w:marBottom w:val="240"/>
      <w:divBdr>
        <w:top w:val="none" w:sz="0" w:space="0" w:color="auto"/>
        <w:left w:val="none" w:sz="0" w:space="0" w:color="auto"/>
        <w:bottom w:val="none" w:sz="0" w:space="0" w:color="auto"/>
        <w:right w:val="none" w:sz="0" w:space="0" w:color="auto"/>
      </w:divBdr>
    </w:div>
    <w:div w:id="1846480575">
      <w:marLeft w:val="0"/>
      <w:marRight w:val="0"/>
      <w:marTop w:val="0"/>
      <w:marBottom w:val="240"/>
      <w:divBdr>
        <w:top w:val="none" w:sz="0" w:space="0" w:color="auto"/>
        <w:left w:val="none" w:sz="0" w:space="0" w:color="auto"/>
        <w:bottom w:val="none" w:sz="0" w:space="0" w:color="auto"/>
        <w:right w:val="none" w:sz="0" w:space="0" w:color="auto"/>
      </w:divBdr>
    </w:div>
    <w:div w:id="1848980995">
      <w:marLeft w:val="0"/>
      <w:marRight w:val="0"/>
      <w:marTop w:val="0"/>
      <w:marBottom w:val="0"/>
      <w:divBdr>
        <w:top w:val="none" w:sz="0" w:space="0" w:color="auto"/>
        <w:left w:val="none" w:sz="0" w:space="0" w:color="auto"/>
        <w:bottom w:val="none" w:sz="0" w:space="0" w:color="auto"/>
        <w:right w:val="none" w:sz="0" w:space="0" w:color="auto"/>
      </w:divBdr>
      <w:divsChild>
        <w:div w:id="1720325711">
          <w:marLeft w:val="0"/>
          <w:marRight w:val="0"/>
          <w:marTop w:val="0"/>
          <w:marBottom w:val="0"/>
          <w:divBdr>
            <w:top w:val="none" w:sz="0" w:space="0" w:color="auto"/>
            <w:left w:val="none" w:sz="0" w:space="0" w:color="auto"/>
            <w:bottom w:val="none" w:sz="0" w:space="0" w:color="auto"/>
            <w:right w:val="none" w:sz="0" w:space="0" w:color="auto"/>
          </w:divBdr>
        </w:div>
      </w:divsChild>
    </w:div>
    <w:div w:id="1854999282">
      <w:marLeft w:val="0"/>
      <w:marRight w:val="0"/>
      <w:marTop w:val="180"/>
      <w:marBottom w:val="240"/>
      <w:divBdr>
        <w:top w:val="none" w:sz="0" w:space="0" w:color="auto"/>
        <w:left w:val="none" w:sz="0" w:space="0" w:color="auto"/>
        <w:bottom w:val="none" w:sz="0" w:space="0" w:color="auto"/>
        <w:right w:val="none" w:sz="0" w:space="0" w:color="auto"/>
      </w:divBdr>
    </w:div>
    <w:div w:id="1855873782">
      <w:marLeft w:val="0"/>
      <w:marRight w:val="0"/>
      <w:marTop w:val="0"/>
      <w:marBottom w:val="0"/>
      <w:divBdr>
        <w:top w:val="none" w:sz="0" w:space="0" w:color="auto"/>
        <w:left w:val="none" w:sz="0" w:space="0" w:color="auto"/>
        <w:bottom w:val="none" w:sz="0" w:space="0" w:color="auto"/>
        <w:right w:val="none" w:sz="0" w:space="0" w:color="auto"/>
      </w:divBdr>
      <w:divsChild>
        <w:div w:id="846213019">
          <w:marLeft w:val="0"/>
          <w:marRight w:val="0"/>
          <w:marTop w:val="0"/>
          <w:marBottom w:val="0"/>
          <w:divBdr>
            <w:top w:val="none" w:sz="0" w:space="0" w:color="auto"/>
            <w:left w:val="none" w:sz="0" w:space="0" w:color="auto"/>
            <w:bottom w:val="none" w:sz="0" w:space="0" w:color="auto"/>
            <w:right w:val="none" w:sz="0" w:space="0" w:color="auto"/>
          </w:divBdr>
        </w:div>
      </w:divsChild>
    </w:div>
    <w:div w:id="1856921241">
      <w:marLeft w:val="0"/>
      <w:marRight w:val="0"/>
      <w:marTop w:val="0"/>
      <w:marBottom w:val="0"/>
      <w:divBdr>
        <w:top w:val="none" w:sz="0" w:space="0" w:color="auto"/>
        <w:left w:val="none" w:sz="0" w:space="0" w:color="auto"/>
        <w:bottom w:val="none" w:sz="0" w:space="0" w:color="auto"/>
        <w:right w:val="none" w:sz="0" w:space="0" w:color="auto"/>
      </w:divBdr>
    </w:div>
    <w:div w:id="1857311079">
      <w:marLeft w:val="0"/>
      <w:marRight w:val="0"/>
      <w:marTop w:val="0"/>
      <w:marBottom w:val="0"/>
      <w:divBdr>
        <w:top w:val="none" w:sz="0" w:space="0" w:color="auto"/>
        <w:left w:val="none" w:sz="0" w:space="0" w:color="auto"/>
        <w:bottom w:val="none" w:sz="0" w:space="0" w:color="auto"/>
        <w:right w:val="none" w:sz="0" w:space="0" w:color="auto"/>
      </w:divBdr>
      <w:divsChild>
        <w:div w:id="1295674274">
          <w:marLeft w:val="0"/>
          <w:marRight w:val="0"/>
          <w:marTop w:val="160"/>
          <w:marBottom w:val="0"/>
          <w:divBdr>
            <w:top w:val="none" w:sz="0" w:space="0" w:color="auto"/>
            <w:left w:val="none" w:sz="0" w:space="0" w:color="auto"/>
            <w:bottom w:val="none" w:sz="0" w:space="0" w:color="auto"/>
            <w:right w:val="none" w:sz="0" w:space="0" w:color="auto"/>
          </w:divBdr>
        </w:div>
        <w:div w:id="1453162164">
          <w:marLeft w:val="0"/>
          <w:marRight w:val="0"/>
          <w:marTop w:val="0"/>
          <w:marBottom w:val="120"/>
          <w:divBdr>
            <w:top w:val="none" w:sz="0" w:space="0" w:color="auto"/>
            <w:left w:val="none" w:sz="0" w:space="0" w:color="auto"/>
            <w:bottom w:val="none" w:sz="0" w:space="0" w:color="auto"/>
            <w:right w:val="none" w:sz="0" w:space="0" w:color="auto"/>
          </w:divBdr>
        </w:div>
      </w:divsChild>
    </w:div>
    <w:div w:id="1859274297">
      <w:marLeft w:val="0"/>
      <w:marRight w:val="0"/>
      <w:marTop w:val="0"/>
      <w:marBottom w:val="240"/>
      <w:divBdr>
        <w:top w:val="none" w:sz="0" w:space="0" w:color="auto"/>
        <w:left w:val="none" w:sz="0" w:space="0" w:color="auto"/>
        <w:bottom w:val="none" w:sz="0" w:space="0" w:color="auto"/>
        <w:right w:val="none" w:sz="0" w:space="0" w:color="auto"/>
      </w:divBdr>
    </w:div>
    <w:div w:id="1859469385">
      <w:marLeft w:val="0"/>
      <w:marRight w:val="0"/>
      <w:marTop w:val="0"/>
      <w:marBottom w:val="300"/>
      <w:divBdr>
        <w:top w:val="none" w:sz="0" w:space="0" w:color="auto"/>
        <w:left w:val="none" w:sz="0" w:space="0" w:color="auto"/>
        <w:bottom w:val="none" w:sz="0" w:space="0" w:color="auto"/>
        <w:right w:val="none" w:sz="0" w:space="0" w:color="auto"/>
      </w:divBdr>
    </w:div>
    <w:div w:id="1861048395">
      <w:marLeft w:val="0"/>
      <w:marRight w:val="0"/>
      <w:marTop w:val="0"/>
      <w:marBottom w:val="40"/>
      <w:divBdr>
        <w:top w:val="none" w:sz="0" w:space="0" w:color="auto"/>
        <w:left w:val="none" w:sz="0" w:space="0" w:color="auto"/>
        <w:bottom w:val="none" w:sz="0" w:space="0" w:color="auto"/>
        <w:right w:val="none" w:sz="0" w:space="0" w:color="auto"/>
      </w:divBdr>
    </w:div>
    <w:div w:id="1862208205">
      <w:marLeft w:val="0"/>
      <w:marRight w:val="0"/>
      <w:marTop w:val="240"/>
      <w:marBottom w:val="240"/>
      <w:divBdr>
        <w:top w:val="none" w:sz="0" w:space="0" w:color="auto"/>
        <w:left w:val="none" w:sz="0" w:space="0" w:color="auto"/>
        <w:bottom w:val="none" w:sz="0" w:space="0" w:color="auto"/>
        <w:right w:val="none" w:sz="0" w:space="0" w:color="auto"/>
      </w:divBdr>
    </w:div>
    <w:div w:id="1862209092">
      <w:marLeft w:val="0"/>
      <w:marRight w:val="0"/>
      <w:marTop w:val="0"/>
      <w:marBottom w:val="0"/>
      <w:divBdr>
        <w:top w:val="none" w:sz="0" w:space="0" w:color="auto"/>
        <w:left w:val="none" w:sz="0" w:space="0" w:color="auto"/>
        <w:bottom w:val="none" w:sz="0" w:space="0" w:color="auto"/>
        <w:right w:val="none" w:sz="0" w:space="0" w:color="auto"/>
      </w:divBdr>
      <w:divsChild>
        <w:div w:id="1250847513">
          <w:marLeft w:val="0"/>
          <w:marRight w:val="0"/>
          <w:marTop w:val="160"/>
          <w:marBottom w:val="0"/>
          <w:divBdr>
            <w:top w:val="none" w:sz="0" w:space="0" w:color="auto"/>
            <w:left w:val="none" w:sz="0" w:space="0" w:color="auto"/>
            <w:bottom w:val="none" w:sz="0" w:space="0" w:color="auto"/>
            <w:right w:val="none" w:sz="0" w:space="0" w:color="auto"/>
          </w:divBdr>
        </w:div>
        <w:div w:id="999115786">
          <w:marLeft w:val="0"/>
          <w:marRight w:val="0"/>
          <w:marTop w:val="60"/>
          <w:marBottom w:val="60"/>
          <w:divBdr>
            <w:top w:val="none" w:sz="0" w:space="0" w:color="auto"/>
            <w:left w:val="none" w:sz="0" w:space="0" w:color="auto"/>
            <w:bottom w:val="none" w:sz="0" w:space="0" w:color="auto"/>
            <w:right w:val="none" w:sz="0" w:space="0" w:color="auto"/>
          </w:divBdr>
        </w:div>
        <w:div w:id="835807067">
          <w:marLeft w:val="0"/>
          <w:marRight w:val="0"/>
          <w:marTop w:val="60"/>
          <w:marBottom w:val="60"/>
          <w:divBdr>
            <w:top w:val="none" w:sz="0" w:space="0" w:color="auto"/>
            <w:left w:val="none" w:sz="0" w:space="0" w:color="auto"/>
            <w:bottom w:val="none" w:sz="0" w:space="0" w:color="auto"/>
            <w:right w:val="none" w:sz="0" w:space="0" w:color="auto"/>
          </w:divBdr>
        </w:div>
        <w:div w:id="1195730947">
          <w:marLeft w:val="0"/>
          <w:marRight w:val="0"/>
          <w:marTop w:val="60"/>
          <w:marBottom w:val="60"/>
          <w:divBdr>
            <w:top w:val="none" w:sz="0" w:space="0" w:color="auto"/>
            <w:left w:val="none" w:sz="0" w:space="0" w:color="auto"/>
            <w:bottom w:val="none" w:sz="0" w:space="0" w:color="auto"/>
            <w:right w:val="none" w:sz="0" w:space="0" w:color="auto"/>
          </w:divBdr>
        </w:div>
      </w:divsChild>
    </w:div>
    <w:div w:id="1862938342">
      <w:marLeft w:val="0"/>
      <w:marRight w:val="0"/>
      <w:marTop w:val="0"/>
      <w:marBottom w:val="40"/>
      <w:divBdr>
        <w:top w:val="none" w:sz="0" w:space="0" w:color="auto"/>
        <w:left w:val="none" w:sz="0" w:space="0" w:color="auto"/>
        <w:bottom w:val="none" w:sz="0" w:space="0" w:color="auto"/>
        <w:right w:val="none" w:sz="0" w:space="0" w:color="auto"/>
      </w:divBdr>
    </w:div>
    <w:div w:id="1864123268">
      <w:marLeft w:val="0"/>
      <w:marRight w:val="0"/>
      <w:marTop w:val="0"/>
      <w:marBottom w:val="240"/>
      <w:divBdr>
        <w:top w:val="none" w:sz="0" w:space="0" w:color="auto"/>
        <w:left w:val="none" w:sz="0" w:space="0" w:color="auto"/>
        <w:bottom w:val="none" w:sz="0" w:space="0" w:color="auto"/>
        <w:right w:val="none" w:sz="0" w:space="0" w:color="auto"/>
      </w:divBdr>
    </w:div>
    <w:div w:id="1868252995">
      <w:marLeft w:val="0"/>
      <w:marRight w:val="0"/>
      <w:marTop w:val="60"/>
      <w:marBottom w:val="160"/>
      <w:divBdr>
        <w:top w:val="none" w:sz="0" w:space="0" w:color="auto"/>
        <w:left w:val="none" w:sz="0" w:space="0" w:color="auto"/>
        <w:bottom w:val="none" w:sz="0" w:space="0" w:color="auto"/>
        <w:right w:val="none" w:sz="0" w:space="0" w:color="auto"/>
      </w:divBdr>
    </w:div>
    <w:div w:id="1872764039">
      <w:marLeft w:val="0"/>
      <w:marRight w:val="0"/>
      <w:marTop w:val="66"/>
      <w:marBottom w:val="0"/>
      <w:divBdr>
        <w:top w:val="none" w:sz="0" w:space="0" w:color="auto"/>
        <w:left w:val="none" w:sz="0" w:space="0" w:color="auto"/>
        <w:bottom w:val="none" w:sz="0" w:space="0" w:color="auto"/>
        <w:right w:val="none" w:sz="0" w:space="0" w:color="auto"/>
      </w:divBdr>
    </w:div>
    <w:div w:id="1874345179">
      <w:marLeft w:val="0"/>
      <w:marRight w:val="0"/>
      <w:marTop w:val="0"/>
      <w:marBottom w:val="0"/>
      <w:divBdr>
        <w:top w:val="none" w:sz="0" w:space="0" w:color="auto"/>
        <w:left w:val="none" w:sz="0" w:space="0" w:color="auto"/>
        <w:bottom w:val="none" w:sz="0" w:space="0" w:color="auto"/>
        <w:right w:val="none" w:sz="0" w:space="0" w:color="auto"/>
      </w:divBdr>
    </w:div>
    <w:div w:id="1876504473">
      <w:marLeft w:val="0"/>
      <w:marRight w:val="0"/>
      <w:marTop w:val="0"/>
      <w:marBottom w:val="240"/>
      <w:divBdr>
        <w:top w:val="none" w:sz="0" w:space="0" w:color="auto"/>
        <w:left w:val="none" w:sz="0" w:space="0" w:color="auto"/>
        <w:bottom w:val="none" w:sz="0" w:space="0" w:color="auto"/>
        <w:right w:val="none" w:sz="0" w:space="0" w:color="auto"/>
      </w:divBdr>
    </w:div>
    <w:div w:id="1876849178">
      <w:marLeft w:val="0"/>
      <w:marRight w:val="0"/>
      <w:marTop w:val="0"/>
      <w:marBottom w:val="240"/>
      <w:divBdr>
        <w:top w:val="none" w:sz="0" w:space="0" w:color="auto"/>
        <w:left w:val="none" w:sz="0" w:space="0" w:color="auto"/>
        <w:bottom w:val="none" w:sz="0" w:space="0" w:color="auto"/>
        <w:right w:val="none" w:sz="0" w:space="0" w:color="auto"/>
      </w:divBdr>
    </w:div>
    <w:div w:id="1880894604">
      <w:marLeft w:val="0"/>
      <w:marRight w:val="0"/>
      <w:marTop w:val="0"/>
      <w:marBottom w:val="240"/>
      <w:divBdr>
        <w:top w:val="none" w:sz="0" w:space="0" w:color="auto"/>
        <w:left w:val="none" w:sz="0" w:space="0" w:color="auto"/>
        <w:bottom w:val="none" w:sz="0" w:space="0" w:color="auto"/>
        <w:right w:val="none" w:sz="0" w:space="0" w:color="auto"/>
      </w:divBdr>
    </w:div>
    <w:div w:id="1882091573">
      <w:marLeft w:val="0"/>
      <w:marRight w:val="0"/>
      <w:marTop w:val="240"/>
      <w:marBottom w:val="100"/>
      <w:divBdr>
        <w:top w:val="none" w:sz="0" w:space="0" w:color="auto"/>
        <w:left w:val="none" w:sz="0" w:space="0" w:color="auto"/>
        <w:bottom w:val="none" w:sz="0" w:space="0" w:color="auto"/>
        <w:right w:val="none" w:sz="0" w:space="0" w:color="auto"/>
      </w:divBdr>
    </w:div>
    <w:div w:id="1885562912">
      <w:marLeft w:val="0"/>
      <w:marRight w:val="0"/>
      <w:marTop w:val="0"/>
      <w:marBottom w:val="0"/>
      <w:divBdr>
        <w:top w:val="none" w:sz="0" w:space="0" w:color="auto"/>
        <w:left w:val="none" w:sz="0" w:space="0" w:color="auto"/>
        <w:bottom w:val="none" w:sz="0" w:space="0" w:color="auto"/>
        <w:right w:val="none" w:sz="0" w:space="0" w:color="auto"/>
      </w:divBdr>
      <w:divsChild>
        <w:div w:id="1963146811">
          <w:marLeft w:val="0"/>
          <w:marRight w:val="0"/>
          <w:marTop w:val="0"/>
          <w:marBottom w:val="0"/>
          <w:divBdr>
            <w:top w:val="none" w:sz="0" w:space="0" w:color="auto"/>
            <w:left w:val="none" w:sz="0" w:space="0" w:color="auto"/>
            <w:bottom w:val="none" w:sz="0" w:space="0" w:color="auto"/>
            <w:right w:val="none" w:sz="0" w:space="0" w:color="auto"/>
          </w:divBdr>
        </w:div>
      </w:divsChild>
    </w:div>
    <w:div w:id="1888223741">
      <w:marLeft w:val="0"/>
      <w:marRight w:val="0"/>
      <w:marTop w:val="0"/>
      <w:marBottom w:val="160"/>
      <w:divBdr>
        <w:top w:val="none" w:sz="0" w:space="0" w:color="auto"/>
        <w:left w:val="none" w:sz="0" w:space="0" w:color="auto"/>
        <w:bottom w:val="none" w:sz="0" w:space="0" w:color="auto"/>
        <w:right w:val="none" w:sz="0" w:space="0" w:color="auto"/>
      </w:divBdr>
    </w:div>
    <w:div w:id="1891304508">
      <w:marLeft w:val="0"/>
      <w:marRight w:val="0"/>
      <w:marTop w:val="0"/>
      <w:marBottom w:val="240"/>
      <w:divBdr>
        <w:top w:val="none" w:sz="0" w:space="0" w:color="auto"/>
        <w:left w:val="none" w:sz="0" w:space="0" w:color="auto"/>
        <w:bottom w:val="none" w:sz="0" w:space="0" w:color="auto"/>
        <w:right w:val="none" w:sz="0" w:space="0" w:color="auto"/>
      </w:divBdr>
    </w:div>
    <w:div w:id="1891958959">
      <w:marLeft w:val="0"/>
      <w:marRight w:val="0"/>
      <w:marTop w:val="100"/>
      <w:marBottom w:val="240"/>
      <w:divBdr>
        <w:top w:val="none" w:sz="0" w:space="0" w:color="auto"/>
        <w:left w:val="none" w:sz="0" w:space="0" w:color="auto"/>
        <w:bottom w:val="none" w:sz="0" w:space="0" w:color="auto"/>
        <w:right w:val="none" w:sz="0" w:space="0" w:color="auto"/>
      </w:divBdr>
    </w:div>
    <w:div w:id="1895462176">
      <w:marLeft w:val="0"/>
      <w:marRight w:val="0"/>
      <w:marTop w:val="0"/>
      <w:marBottom w:val="240"/>
      <w:divBdr>
        <w:top w:val="none" w:sz="0" w:space="0" w:color="auto"/>
        <w:left w:val="none" w:sz="0" w:space="0" w:color="auto"/>
        <w:bottom w:val="none" w:sz="0" w:space="0" w:color="auto"/>
        <w:right w:val="none" w:sz="0" w:space="0" w:color="auto"/>
      </w:divBdr>
    </w:div>
    <w:div w:id="1899826565">
      <w:marLeft w:val="0"/>
      <w:marRight w:val="0"/>
      <w:marTop w:val="160"/>
      <w:marBottom w:val="160"/>
      <w:divBdr>
        <w:top w:val="none" w:sz="0" w:space="0" w:color="auto"/>
        <w:left w:val="none" w:sz="0" w:space="0" w:color="auto"/>
        <w:bottom w:val="none" w:sz="0" w:space="0" w:color="auto"/>
        <w:right w:val="none" w:sz="0" w:space="0" w:color="auto"/>
      </w:divBdr>
    </w:div>
    <w:div w:id="1902056093">
      <w:marLeft w:val="0"/>
      <w:marRight w:val="0"/>
      <w:marTop w:val="120"/>
      <w:marBottom w:val="0"/>
      <w:divBdr>
        <w:top w:val="none" w:sz="0" w:space="0" w:color="auto"/>
        <w:left w:val="none" w:sz="0" w:space="0" w:color="auto"/>
        <w:bottom w:val="none" w:sz="0" w:space="0" w:color="auto"/>
        <w:right w:val="none" w:sz="0" w:space="0" w:color="auto"/>
      </w:divBdr>
    </w:div>
    <w:div w:id="1902403803">
      <w:marLeft w:val="0"/>
      <w:marRight w:val="0"/>
      <w:marTop w:val="0"/>
      <w:marBottom w:val="240"/>
      <w:divBdr>
        <w:top w:val="none" w:sz="0" w:space="0" w:color="auto"/>
        <w:left w:val="none" w:sz="0" w:space="0" w:color="auto"/>
        <w:bottom w:val="none" w:sz="0" w:space="0" w:color="auto"/>
        <w:right w:val="none" w:sz="0" w:space="0" w:color="auto"/>
      </w:divBdr>
    </w:div>
    <w:div w:id="1907108890">
      <w:marLeft w:val="0"/>
      <w:marRight w:val="0"/>
      <w:marTop w:val="0"/>
      <w:marBottom w:val="240"/>
      <w:divBdr>
        <w:top w:val="none" w:sz="0" w:space="0" w:color="auto"/>
        <w:left w:val="none" w:sz="0" w:space="0" w:color="auto"/>
        <w:bottom w:val="none" w:sz="0" w:space="0" w:color="auto"/>
        <w:right w:val="none" w:sz="0" w:space="0" w:color="auto"/>
      </w:divBdr>
    </w:div>
    <w:div w:id="1907453671">
      <w:marLeft w:val="0"/>
      <w:marRight w:val="0"/>
      <w:marTop w:val="0"/>
      <w:marBottom w:val="240"/>
      <w:divBdr>
        <w:top w:val="none" w:sz="0" w:space="0" w:color="auto"/>
        <w:left w:val="none" w:sz="0" w:space="0" w:color="auto"/>
        <w:bottom w:val="none" w:sz="0" w:space="0" w:color="auto"/>
        <w:right w:val="none" w:sz="0" w:space="0" w:color="auto"/>
      </w:divBdr>
    </w:div>
    <w:div w:id="1912419734">
      <w:marLeft w:val="0"/>
      <w:marRight w:val="0"/>
      <w:marTop w:val="100"/>
      <w:marBottom w:val="240"/>
      <w:divBdr>
        <w:top w:val="none" w:sz="0" w:space="0" w:color="auto"/>
        <w:left w:val="none" w:sz="0" w:space="0" w:color="auto"/>
        <w:bottom w:val="none" w:sz="0" w:space="0" w:color="auto"/>
        <w:right w:val="none" w:sz="0" w:space="0" w:color="auto"/>
      </w:divBdr>
    </w:div>
    <w:div w:id="1912423117">
      <w:marLeft w:val="0"/>
      <w:marRight w:val="0"/>
      <w:marTop w:val="0"/>
      <w:marBottom w:val="0"/>
      <w:divBdr>
        <w:top w:val="none" w:sz="0" w:space="0" w:color="auto"/>
        <w:left w:val="none" w:sz="0" w:space="0" w:color="auto"/>
        <w:bottom w:val="none" w:sz="0" w:space="0" w:color="auto"/>
        <w:right w:val="none" w:sz="0" w:space="0" w:color="auto"/>
      </w:divBdr>
    </w:div>
    <w:div w:id="1912618901">
      <w:marLeft w:val="0"/>
      <w:marRight w:val="0"/>
      <w:marTop w:val="0"/>
      <w:marBottom w:val="0"/>
      <w:divBdr>
        <w:top w:val="none" w:sz="0" w:space="0" w:color="auto"/>
        <w:left w:val="none" w:sz="0" w:space="0" w:color="auto"/>
        <w:bottom w:val="none" w:sz="0" w:space="0" w:color="auto"/>
        <w:right w:val="none" w:sz="0" w:space="0" w:color="auto"/>
      </w:divBdr>
      <w:divsChild>
        <w:div w:id="2090617721">
          <w:marLeft w:val="0"/>
          <w:marRight w:val="0"/>
          <w:marTop w:val="0"/>
          <w:marBottom w:val="0"/>
          <w:divBdr>
            <w:top w:val="none" w:sz="0" w:space="0" w:color="auto"/>
            <w:left w:val="none" w:sz="0" w:space="0" w:color="auto"/>
            <w:bottom w:val="none" w:sz="0" w:space="0" w:color="auto"/>
            <w:right w:val="none" w:sz="0" w:space="0" w:color="auto"/>
          </w:divBdr>
        </w:div>
      </w:divsChild>
    </w:div>
    <w:div w:id="1919485906">
      <w:marLeft w:val="0"/>
      <w:marRight w:val="0"/>
      <w:marTop w:val="340"/>
      <w:marBottom w:val="160"/>
      <w:divBdr>
        <w:top w:val="none" w:sz="0" w:space="0" w:color="auto"/>
        <w:left w:val="none" w:sz="0" w:space="0" w:color="auto"/>
        <w:bottom w:val="none" w:sz="0" w:space="0" w:color="auto"/>
        <w:right w:val="none" w:sz="0" w:space="0" w:color="auto"/>
      </w:divBdr>
    </w:div>
    <w:div w:id="1920671078">
      <w:marLeft w:val="0"/>
      <w:marRight w:val="0"/>
      <w:marTop w:val="0"/>
      <w:marBottom w:val="0"/>
      <w:divBdr>
        <w:top w:val="none" w:sz="0" w:space="0" w:color="auto"/>
        <w:left w:val="none" w:sz="0" w:space="0" w:color="auto"/>
        <w:bottom w:val="none" w:sz="0" w:space="0" w:color="auto"/>
        <w:right w:val="none" w:sz="0" w:space="0" w:color="auto"/>
      </w:divBdr>
    </w:div>
    <w:div w:id="1922566710">
      <w:marLeft w:val="0"/>
      <w:marRight w:val="0"/>
      <w:marTop w:val="160"/>
      <w:marBottom w:val="160"/>
      <w:divBdr>
        <w:top w:val="none" w:sz="0" w:space="0" w:color="auto"/>
        <w:left w:val="none" w:sz="0" w:space="0" w:color="auto"/>
        <w:bottom w:val="none" w:sz="0" w:space="0" w:color="auto"/>
        <w:right w:val="none" w:sz="0" w:space="0" w:color="auto"/>
      </w:divBdr>
    </w:div>
    <w:div w:id="1922760899">
      <w:marLeft w:val="0"/>
      <w:marRight w:val="0"/>
      <w:marTop w:val="180"/>
      <w:marBottom w:val="160"/>
      <w:divBdr>
        <w:top w:val="none" w:sz="0" w:space="0" w:color="auto"/>
        <w:left w:val="none" w:sz="0" w:space="0" w:color="auto"/>
        <w:bottom w:val="none" w:sz="0" w:space="0" w:color="auto"/>
        <w:right w:val="none" w:sz="0" w:space="0" w:color="auto"/>
      </w:divBdr>
    </w:div>
    <w:div w:id="1923679610">
      <w:marLeft w:val="0"/>
      <w:marRight w:val="0"/>
      <w:marTop w:val="160"/>
      <w:marBottom w:val="160"/>
      <w:divBdr>
        <w:top w:val="none" w:sz="0" w:space="0" w:color="auto"/>
        <w:left w:val="none" w:sz="0" w:space="0" w:color="auto"/>
        <w:bottom w:val="none" w:sz="0" w:space="0" w:color="auto"/>
        <w:right w:val="none" w:sz="0" w:space="0" w:color="auto"/>
      </w:divBdr>
    </w:div>
    <w:div w:id="1924291249">
      <w:marLeft w:val="0"/>
      <w:marRight w:val="0"/>
      <w:marTop w:val="0"/>
      <w:marBottom w:val="0"/>
      <w:divBdr>
        <w:top w:val="none" w:sz="0" w:space="0" w:color="auto"/>
        <w:left w:val="none" w:sz="0" w:space="0" w:color="auto"/>
        <w:bottom w:val="none" w:sz="0" w:space="0" w:color="auto"/>
        <w:right w:val="none" w:sz="0" w:space="0" w:color="auto"/>
      </w:divBdr>
      <w:divsChild>
        <w:div w:id="62992807">
          <w:marLeft w:val="0"/>
          <w:marRight w:val="0"/>
          <w:marTop w:val="160"/>
          <w:marBottom w:val="160"/>
          <w:divBdr>
            <w:top w:val="none" w:sz="0" w:space="0" w:color="auto"/>
            <w:left w:val="none" w:sz="0" w:space="0" w:color="auto"/>
            <w:bottom w:val="none" w:sz="0" w:space="0" w:color="auto"/>
            <w:right w:val="none" w:sz="0" w:space="0" w:color="auto"/>
          </w:divBdr>
        </w:div>
      </w:divsChild>
    </w:div>
    <w:div w:id="1926264949">
      <w:marLeft w:val="0"/>
      <w:marRight w:val="0"/>
      <w:marTop w:val="0"/>
      <w:marBottom w:val="240"/>
      <w:divBdr>
        <w:top w:val="none" w:sz="0" w:space="0" w:color="auto"/>
        <w:left w:val="none" w:sz="0" w:space="0" w:color="auto"/>
        <w:bottom w:val="none" w:sz="0" w:space="0" w:color="auto"/>
        <w:right w:val="none" w:sz="0" w:space="0" w:color="auto"/>
      </w:divBdr>
    </w:div>
    <w:div w:id="1926723610">
      <w:marLeft w:val="0"/>
      <w:marRight w:val="0"/>
      <w:marTop w:val="160"/>
      <w:marBottom w:val="160"/>
      <w:divBdr>
        <w:top w:val="none" w:sz="0" w:space="0" w:color="auto"/>
        <w:left w:val="none" w:sz="0" w:space="0" w:color="auto"/>
        <w:bottom w:val="none" w:sz="0" w:space="0" w:color="auto"/>
        <w:right w:val="none" w:sz="0" w:space="0" w:color="auto"/>
      </w:divBdr>
    </w:div>
    <w:div w:id="1931310034">
      <w:marLeft w:val="0"/>
      <w:marRight w:val="0"/>
      <w:marTop w:val="100"/>
      <w:marBottom w:val="240"/>
      <w:divBdr>
        <w:top w:val="none" w:sz="0" w:space="0" w:color="auto"/>
        <w:left w:val="none" w:sz="0" w:space="0" w:color="auto"/>
        <w:bottom w:val="none" w:sz="0" w:space="0" w:color="auto"/>
        <w:right w:val="none" w:sz="0" w:space="0" w:color="auto"/>
      </w:divBdr>
    </w:div>
    <w:div w:id="1932155756">
      <w:marLeft w:val="0"/>
      <w:marRight w:val="0"/>
      <w:marTop w:val="0"/>
      <w:marBottom w:val="300"/>
      <w:divBdr>
        <w:top w:val="none" w:sz="0" w:space="0" w:color="auto"/>
        <w:left w:val="none" w:sz="0" w:space="0" w:color="auto"/>
        <w:bottom w:val="none" w:sz="0" w:space="0" w:color="auto"/>
        <w:right w:val="none" w:sz="0" w:space="0" w:color="auto"/>
      </w:divBdr>
    </w:div>
    <w:div w:id="1934391940">
      <w:marLeft w:val="0"/>
      <w:marRight w:val="0"/>
      <w:marTop w:val="160"/>
      <w:marBottom w:val="160"/>
      <w:divBdr>
        <w:top w:val="none" w:sz="0" w:space="0" w:color="auto"/>
        <w:left w:val="none" w:sz="0" w:space="0" w:color="auto"/>
        <w:bottom w:val="none" w:sz="0" w:space="0" w:color="auto"/>
        <w:right w:val="none" w:sz="0" w:space="0" w:color="auto"/>
      </w:divBdr>
    </w:div>
    <w:div w:id="1941139667">
      <w:marLeft w:val="0"/>
      <w:marRight w:val="0"/>
      <w:marTop w:val="100"/>
      <w:marBottom w:val="100"/>
      <w:divBdr>
        <w:top w:val="none" w:sz="0" w:space="0" w:color="auto"/>
        <w:left w:val="none" w:sz="0" w:space="0" w:color="auto"/>
        <w:bottom w:val="none" w:sz="0" w:space="0" w:color="auto"/>
        <w:right w:val="none" w:sz="0" w:space="0" w:color="auto"/>
      </w:divBdr>
    </w:div>
    <w:div w:id="1941986857">
      <w:marLeft w:val="0"/>
      <w:marRight w:val="0"/>
      <w:marTop w:val="160"/>
      <w:marBottom w:val="160"/>
      <w:divBdr>
        <w:top w:val="none" w:sz="0" w:space="0" w:color="auto"/>
        <w:left w:val="none" w:sz="0" w:space="0" w:color="auto"/>
        <w:bottom w:val="none" w:sz="0" w:space="0" w:color="auto"/>
        <w:right w:val="none" w:sz="0" w:space="0" w:color="auto"/>
      </w:divBdr>
    </w:div>
    <w:div w:id="1951235942">
      <w:marLeft w:val="0"/>
      <w:marRight w:val="0"/>
      <w:marTop w:val="0"/>
      <w:marBottom w:val="240"/>
      <w:divBdr>
        <w:top w:val="none" w:sz="0" w:space="0" w:color="auto"/>
        <w:left w:val="none" w:sz="0" w:space="0" w:color="auto"/>
        <w:bottom w:val="none" w:sz="0" w:space="0" w:color="auto"/>
        <w:right w:val="none" w:sz="0" w:space="0" w:color="auto"/>
      </w:divBdr>
    </w:div>
    <w:div w:id="1952517038">
      <w:marLeft w:val="0"/>
      <w:marRight w:val="0"/>
      <w:marTop w:val="100"/>
      <w:marBottom w:val="100"/>
      <w:divBdr>
        <w:top w:val="none" w:sz="0" w:space="0" w:color="auto"/>
        <w:left w:val="none" w:sz="0" w:space="0" w:color="auto"/>
        <w:bottom w:val="none" w:sz="0" w:space="0" w:color="auto"/>
        <w:right w:val="none" w:sz="0" w:space="0" w:color="auto"/>
      </w:divBdr>
    </w:div>
    <w:div w:id="1953393643">
      <w:marLeft w:val="0"/>
      <w:marRight w:val="0"/>
      <w:marTop w:val="0"/>
      <w:marBottom w:val="180"/>
      <w:divBdr>
        <w:top w:val="none" w:sz="0" w:space="0" w:color="auto"/>
        <w:left w:val="none" w:sz="0" w:space="0" w:color="auto"/>
        <w:bottom w:val="none" w:sz="0" w:space="0" w:color="auto"/>
        <w:right w:val="none" w:sz="0" w:space="0" w:color="auto"/>
      </w:divBdr>
    </w:div>
    <w:div w:id="1955213085">
      <w:marLeft w:val="0"/>
      <w:marRight w:val="0"/>
      <w:marTop w:val="0"/>
      <w:marBottom w:val="240"/>
      <w:divBdr>
        <w:top w:val="none" w:sz="0" w:space="0" w:color="auto"/>
        <w:left w:val="none" w:sz="0" w:space="0" w:color="auto"/>
        <w:bottom w:val="none" w:sz="0" w:space="0" w:color="auto"/>
        <w:right w:val="none" w:sz="0" w:space="0" w:color="auto"/>
      </w:divBdr>
    </w:div>
    <w:div w:id="1957251261">
      <w:marLeft w:val="0"/>
      <w:marRight w:val="0"/>
      <w:marTop w:val="160"/>
      <w:marBottom w:val="40"/>
      <w:divBdr>
        <w:top w:val="none" w:sz="0" w:space="0" w:color="auto"/>
        <w:left w:val="none" w:sz="0" w:space="0" w:color="auto"/>
        <w:bottom w:val="none" w:sz="0" w:space="0" w:color="auto"/>
        <w:right w:val="none" w:sz="0" w:space="0" w:color="auto"/>
      </w:divBdr>
    </w:div>
    <w:div w:id="1959219509">
      <w:marLeft w:val="0"/>
      <w:marRight w:val="0"/>
      <w:marTop w:val="0"/>
      <w:marBottom w:val="240"/>
      <w:divBdr>
        <w:top w:val="none" w:sz="0" w:space="0" w:color="auto"/>
        <w:left w:val="none" w:sz="0" w:space="0" w:color="auto"/>
        <w:bottom w:val="none" w:sz="0" w:space="0" w:color="auto"/>
        <w:right w:val="none" w:sz="0" w:space="0" w:color="auto"/>
      </w:divBdr>
    </w:div>
    <w:div w:id="1959412216">
      <w:marLeft w:val="0"/>
      <w:marRight w:val="0"/>
      <w:marTop w:val="0"/>
      <w:marBottom w:val="240"/>
      <w:divBdr>
        <w:top w:val="none" w:sz="0" w:space="0" w:color="auto"/>
        <w:left w:val="none" w:sz="0" w:space="0" w:color="auto"/>
        <w:bottom w:val="none" w:sz="0" w:space="0" w:color="auto"/>
        <w:right w:val="none" w:sz="0" w:space="0" w:color="auto"/>
      </w:divBdr>
    </w:div>
    <w:div w:id="1961180412">
      <w:marLeft w:val="0"/>
      <w:marRight w:val="0"/>
      <w:marTop w:val="80"/>
      <w:marBottom w:val="0"/>
      <w:divBdr>
        <w:top w:val="none" w:sz="0" w:space="0" w:color="auto"/>
        <w:left w:val="none" w:sz="0" w:space="0" w:color="auto"/>
        <w:bottom w:val="none" w:sz="0" w:space="0" w:color="auto"/>
        <w:right w:val="none" w:sz="0" w:space="0" w:color="auto"/>
      </w:divBdr>
    </w:div>
    <w:div w:id="1962148179">
      <w:marLeft w:val="0"/>
      <w:marRight w:val="0"/>
      <w:marTop w:val="0"/>
      <w:marBottom w:val="0"/>
      <w:divBdr>
        <w:top w:val="none" w:sz="0" w:space="0" w:color="auto"/>
        <w:left w:val="none" w:sz="0" w:space="0" w:color="auto"/>
        <w:bottom w:val="none" w:sz="0" w:space="0" w:color="auto"/>
        <w:right w:val="none" w:sz="0" w:space="0" w:color="auto"/>
      </w:divBdr>
    </w:div>
    <w:div w:id="1962764060">
      <w:marLeft w:val="0"/>
      <w:marRight w:val="0"/>
      <w:marTop w:val="0"/>
      <w:marBottom w:val="80"/>
      <w:divBdr>
        <w:top w:val="none" w:sz="0" w:space="0" w:color="auto"/>
        <w:left w:val="none" w:sz="0" w:space="0" w:color="auto"/>
        <w:bottom w:val="none" w:sz="0" w:space="0" w:color="auto"/>
        <w:right w:val="none" w:sz="0" w:space="0" w:color="auto"/>
      </w:divBdr>
    </w:div>
    <w:div w:id="1966081805">
      <w:marLeft w:val="0"/>
      <w:marRight w:val="0"/>
      <w:marTop w:val="0"/>
      <w:marBottom w:val="240"/>
      <w:divBdr>
        <w:top w:val="none" w:sz="0" w:space="0" w:color="auto"/>
        <w:left w:val="none" w:sz="0" w:space="0" w:color="auto"/>
        <w:bottom w:val="none" w:sz="0" w:space="0" w:color="auto"/>
        <w:right w:val="none" w:sz="0" w:space="0" w:color="auto"/>
      </w:divBdr>
    </w:div>
    <w:div w:id="1968850964">
      <w:marLeft w:val="0"/>
      <w:marRight w:val="0"/>
      <w:marTop w:val="240"/>
      <w:marBottom w:val="0"/>
      <w:divBdr>
        <w:top w:val="none" w:sz="0" w:space="0" w:color="auto"/>
        <w:left w:val="none" w:sz="0" w:space="0" w:color="auto"/>
        <w:bottom w:val="none" w:sz="0" w:space="0" w:color="auto"/>
        <w:right w:val="none" w:sz="0" w:space="0" w:color="auto"/>
      </w:divBdr>
    </w:div>
    <w:div w:id="1968851465">
      <w:marLeft w:val="0"/>
      <w:marRight w:val="0"/>
      <w:marTop w:val="0"/>
      <w:marBottom w:val="240"/>
      <w:divBdr>
        <w:top w:val="none" w:sz="0" w:space="0" w:color="auto"/>
        <w:left w:val="none" w:sz="0" w:space="0" w:color="auto"/>
        <w:bottom w:val="none" w:sz="0" w:space="0" w:color="auto"/>
        <w:right w:val="none" w:sz="0" w:space="0" w:color="auto"/>
      </w:divBdr>
    </w:div>
    <w:div w:id="1969705775">
      <w:marLeft w:val="0"/>
      <w:marRight w:val="0"/>
      <w:marTop w:val="0"/>
      <w:marBottom w:val="0"/>
      <w:divBdr>
        <w:top w:val="none" w:sz="0" w:space="0" w:color="auto"/>
        <w:left w:val="none" w:sz="0" w:space="0" w:color="auto"/>
        <w:bottom w:val="none" w:sz="0" w:space="0" w:color="auto"/>
        <w:right w:val="none" w:sz="0" w:space="0" w:color="auto"/>
      </w:divBdr>
      <w:divsChild>
        <w:div w:id="1365518645">
          <w:marLeft w:val="0"/>
          <w:marRight w:val="0"/>
          <w:marTop w:val="160"/>
          <w:marBottom w:val="160"/>
          <w:divBdr>
            <w:top w:val="none" w:sz="0" w:space="0" w:color="auto"/>
            <w:left w:val="none" w:sz="0" w:space="0" w:color="auto"/>
            <w:bottom w:val="none" w:sz="0" w:space="0" w:color="auto"/>
            <w:right w:val="none" w:sz="0" w:space="0" w:color="auto"/>
          </w:divBdr>
        </w:div>
      </w:divsChild>
    </w:div>
    <w:div w:id="1971863509">
      <w:marLeft w:val="0"/>
      <w:marRight w:val="0"/>
      <w:marTop w:val="160"/>
      <w:marBottom w:val="160"/>
      <w:divBdr>
        <w:top w:val="none" w:sz="0" w:space="0" w:color="auto"/>
        <w:left w:val="none" w:sz="0" w:space="0" w:color="auto"/>
        <w:bottom w:val="none" w:sz="0" w:space="0" w:color="auto"/>
        <w:right w:val="none" w:sz="0" w:space="0" w:color="auto"/>
      </w:divBdr>
    </w:div>
    <w:div w:id="1975403509">
      <w:marLeft w:val="0"/>
      <w:marRight w:val="0"/>
      <w:marTop w:val="0"/>
      <w:marBottom w:val="103"/>
      <w:divBdr>
        <w:top w:val="none" w:sz="0" w:space="0" w:color="auto"/>
        <w:left w:val="none" w:sz="0" w:space="0" w:color="auto"/>
        <w:bottom w:val="none" w:sz="0" w:space="0" w:color="auto"/>
        <w:right w:val="none" w:sz="0" w:space="0" w:color="auto"/>
      </w:divBdr>
    </w:div>
    <w:div w:id="1978991622">
      <w:marLeft w:val="0"/>
      <w:marRight w:val="0"/>
      <w:marTop w:val="0"/>
      <w:marBottom w:val="40"/>
      <w:divBdr>
        <w:top w:val="none" w:sz="0" w:space="0" w:color="auto"/>
        <w:left w:val="none" w:sz="0" w:space="0" w:color="auto"/>
        <w:bottom w:val="none" w:sz="0" w:space="0" w:color="auto"/>
        <w:right w:val="none" w:sz="0" w:space="0" w:color="auto"/>
      </w:divBdr>
    </w:div>
    <w:div w:id="1979653055">
      <w:marLeft w:val="0"/>
      <w:marRight w:val="0"/>
      <w:marTop w:val="0"/>
      <w:marBottom w:val="0"/>
      <w:divBdr>
        <w:top w:val="none" w:sz="0" w:space="0" w:color="auto"/>
        <w:left w:val="none" w:sz="0" w:space="0" w:color="auto"/>
        <w:bottom w:val="none" w:sz="0" w:space="0" w:color="auto"/>
        <w:right w:val="none" w:sz="0" w:space="0" w:color="auto"/>
      </w:divBdr>
      <w:divsChild>
        <w:div w:id="1188175153">
          <w:marLeft w:val="0"/>
          <w:marRight w:val="0"/>
          <w:marTop w:val="160"/>
          <w:marBottom w:val="160"/>
          <w:divBdr>
            <w:top w:val="none" w:sz="0" w:space="0" w:color="auto"/>
            <w:left w:val="none" w:sz="0" w:space="0" w:color="auto"/>
            <w:bottom w:val="none" w:sz="0" w:space="0" w:color="auto"/>
            <w:right w:val="none" w:sz="0" w:space="0" w:color="auto"/>
          </w:divBdr>
        </w:div>
      </w:divsChild>
    </w:div>
    <w:div w:id="1980189437">
      <w:marLeft w:val="0"/>
      <w:marRight w:val="0"/>
      <w:marTop w:val="0"/>
      <w:marBottom w:val="0"/>
      <w:divBdr>
        <w:top w:val="none" w:sz="0" w:space="0" w:color="auto"/>
        <w:left w:val="none" w:sz="0" w:space="0" w:color="auto"/>
        <w:bottom w:val="none" w:sz="0" w:space="0" w:color="auto"/>
        <w:right w:val="none" w:sz="0" w:space="0" w:color="auto"/>
      </w:divBdr>
      <w:divsChild>
        <w:div w:id="1817716688">
          <w:marLeft w:val="0"/>
          <w:marRight w:val="0"/>
          <w:marTop w:val="0"/>
          <w:marBottom w:val="0"/>
          <w:divBdr>
            <w:top w:val="none" w:sz="0" w:space="0" w:color="auto"/>
            <w:left w:val="none" w:sz="0" w:space="0" w:color="auto"/>
            <w:bottom w:val="none" w:sz="0" w:space="0" w:color="auto"/>
            <w:right w:val="none" w:sz="0" w:space="0" w:color="auto"/>
          </w:divBdr>
        </w:div>
      </w:divsChild>
    </w:div>
    <w:div w:id="1988167348">
      <w:marLeft w:val="0"/>
      <w:marRight w:val="0"/>
      <w:marTop w:val="240"/>
      <w:marBottom w:val="160"/>
      <w:divBdr>
        <w:top w:val="none" w:sz="0" w:space="0" w:color="auto"/>
        <w:left w:val="none" w:sz="0" w:space="0" w:color="auto"/>
        <w:bottom w:val="none" w:sz="0" w:space="0" w:color="auto"/>
        <w:right w:val="none" w:sz="0" w:space="0" w:color="auto"/>
      </w:divBdr>
    </w:div>
    <w:div w:id="1988364938">
      <w:marLeft w:val="0"/>
      <w:marRight w:val="0"/>
      <w:marTop w:val="160"/>
      <w:marBottom w:val="160"/>
      <w:divBdr>
        <w:top w:val="none" w:sz="0" w:space="0" w:color="auto"/>
        <w:left w:val="none" w:sz="0" w:space="0" w:color="auto"/>
        <w:bottom w:val="none" w:sz="0" w:space="0" w:color="auto"/>
        <w:right w:val="none" w:sz="0" w:space="0" w:color="auto"/>
      </w:divBdr>
    </w:div>
    <w:div w:id="1989281691">
      <w:marLeft w:val="0"/>
      <w:marRight w:val="0"/>
      <w:marTop w:val="160"/>
      <w:marBottom w:val="160"/>
      <w:divBdr>
        <w:top w:val="none" w:sz="0" w:space="0" w:color="auto"/>
        <w:left w:val="none" w:sz="0" w:space="0" w:color="auto"/>
        <w:bottom w:val="none" w:sz="0" w:space="0" w:color="auto"/>
        <w:right w:val="none" w:sz="0" w:space="0" w:color="auto"/>
      </w:divBdr>
    </w:div>
    <w:div w:id="1990330251">
      <w:marLeft w:val="0"/>
      <w:marRight w:val="0"/>
      <w:marTop w:val="0"/>
      <w:marBottom w:val="0"/>
      <w:divBdr>
        <w:top w:val="none" w:sz="0" w:space="0" w:color="auto"/>
        <w:left w:val="none" w:sz="0" w:space="0" w:color="auto"/>
        <w:bottom w:val="none" w:sz="0" w:space="0" w:color="auto"/>
        <w:right w:val="none" w:sz="0" w:space="0" w:color="auto"/>
      </w:divBdr>
    </w:div>
    <w:div w:id="1991858588">
      <w:marLeft w:val="0"/>
      <w:marRight w:val="0"/>
      <w:marTop w:val="0"/>
      <w:marBottom w:val="180"/>
      <w:divBdr>
        <w:top w:val="none" w:sz="0" w:space="0" w:color="auto"/>
        <w:left w:val="none" w:sz="0" w:space="0" w:color="auto"/>
        <w:bottom w:val="none" w:sz="0" w:space="0" w:color="auto"/>
        <w:right w:val="none" w:sz="0" w:space="0" w:color="auto"/>
      </w:divBdr>
    </w:div>
    <w:div w:id="1999649367">
      <w:marLeft w:val="0"/>
      <w:marRight w:val="0"/>
      <w:marTop w:val="160"/>
      <w:marBottom w:val="160"/>
      <w:divBdr>
        <w:top w:val="none" w:sz="0" w:space="0" w:color="auto"/>
        <w:left w:val="none" w:sz="0" w:space="0" w:color="auto"/>
        <w:bottom w:val="none" w:sz="0" w:space="0" w:color="auto"/>
        <w:right w:val="none" w:sz="0" w:space="0" w:color="auto"/>
      </w:divBdr>
    </w:div>
    <w:div w:id="2000496827">
      <w:marLeft w:val="0"/>
      <w:marRight w:val="0"/>
      <w:marTop w:val="300"/>
      <w:marBottom w:val="0"/>
      <w:divBdr>
        <w:top w:val="none" w:sz="0" w:space="0" w:color="auto"/>
        <w:left w:val="none" w:sz="0" w:space="0" w:color="auto"/>
        <w:bottom w:val="none" w:sz="0" w:space="0" w:color="auto"/>
        <w:right w:val="none" w:sz="0" w:space="0" w:color="auto"/>
      </w:divBdr>
    </w:div>
    <w:div w:id="2001805530">
      <w:marLeft w:val="0"/>
      <w:marRight w:val="0"/>
      <w:marTop w:val="0"/>
      <w:marBottom w:val="240"/>
      <w:divBdr>
        <w:top w:val="none" w:sz="0" w:space="0" w:color="auto"/>
        <w:left w:val="none" w:sz="0" w:space="0" w:color="auto"/>
        <w:bottom w:val="none" w:sz="0" w:space="0" w:color="auto"/>
        <w:right w:val="none" w:sz="0" w:space="0" w:color="auto"/>
      </w:divBdr>
    </w:div>
    <w:div w:id="2001998548">
      <w:marLeft w:val="0"/>
      <w:marRight w:val="0"/>
      <w:marTop w:val="160"/>
      <w:marBottom w:val="240"/>
      <w:divBdr>
        <w:top w:val="none" w:sz="0" w:space="0" w:color="auto"/>
        <w:left w:val="none" w:sz="0" w:space="0" w:color="auto"/>
        <w:bottom w:val="none" w:sz="0" w:space="0" w:color="auto"/>
        <w:right w:val="none" w:sz="0" w:space="0" w:color="auto"/>
      </w:divBdr>
    </w:div>
    <w:div w:id="2003239417">
      <w:marLeft w:val="0"/>
      <w:marRight w:val="0"/>
      <w:marTop w:val="80"/>
      <w:marBottom w:val="0"/>
      <w:divBdr>
        <w:top w:val="none" w:sz="0" w:space="0" w:color="auto"/>
        <w:left w:val="none" w:sz="0" w:space="0" w:color="auto"/>
        <w:bottom w:val="none" w:sz="0" w:space="0" w:color="auto"/>
        <w:right w:val="none" w:sz="0" w:space="0" w:color="auto"/>
      </w:divBdr>
    </w:div>
    <w:div w:id="2011371981">
      <w:marLeft w:val="0"/>
      <w:marRight w:val="0"/>
      <w:marTop w:val="0"/>
      <w:marBottom w:val="80"/>
      <w:divBdr>
        <w:top w:val="none" w:sz="0" w:space="0" w:color="auto"/>
        <w:left w:val="none" w:sz="0" w:space="0" w:color="auto"/>
        <w:bottom w:val="none" w:sz="0" w:space="0" w:color="auto"/>
        <w:right w:val="none" w:sz="0" w:space="0" w:color="auto"/>
      </w:divBdr>
    </w:div>
    <w:div w:id="2013725953">
      <w:marLeft w:val="0"/>
      <w:marRight w:val="0"/>
      <w:marTop w:val="0"/>
      <w:marBottom w:val="240"/>
      <w:divBdr>
        <w:top w:val="none" w:sz="0" w:space="0" w:color="auto"/>
        <w:left w:val="none" w:sz="0" w:space="0" w:color="auto"/>
        <w:bottom w:val="none" w:sz="0" w:space="0" w:color="auto"/>
        <w:right w:val="none" w:sz="0" w:space="0" w:color="auto"/>
      </w:divBdr>
    </w:div>
    <w:div w:id="2014063722">
      <w:marLeft w:val="0"/>
      <w:marRight w:val="0"/>
      <w:marTop w:val="100"/>
      <w:marBottom w:val="240"/>
      <w:divBdr>
        <w:top w:val="none" w:sz="0" w:space="0" w:color="auto"/>
        <w:left w:val="none" w:sz="0" w:space="0" w:color="auto"/>
        <w:bottom w:val="none" w:sz="0" w:space="0" w:color="auto"/>
        <w:right w:val="none" w:sz="0" w:space="0" w:color="auto"/>
      </w:divBdr>
    </w:div>
    <w:div w:id="2015109527">
      <w:marLeft w:val="0"/>
      <w:marRight w:val="0"/>
      <w:marTop w:val="100"/>
      <w:marBottom w:val="240"/>
      <w:divBdr>
        <w:top w:val="none" w:sz="0" w:space="0" w:color="auto"/>
        <w:left w:val="none" w:sz="0" w:space="0" w:color="auto"/>
        <w:bottom w:val="none" w:sz="0" w:space="0" w:color="auto"/>
        <w:right w:val="none" w:sz="0" w:space="0" w:color="auto"/>
      </w:divBdr>
    </w:div>
    <w:div w:id="2016029456">
      <w:marLeft w:val="0"/>
      <w:marRight w:val="0"/>
      <w:marTop w:val="160"/>
      <w:marBottom w:val="160"/>
      <w:divBdr>
        <w:top w:val="none" w:sz="0" w:space="0" w:color="auto"/>
        <w:left w:val="none" w:sz="0" w:space="0" w:color="auto"/>
        <w:bottom w:val="none" w:sz="0" w:space="0" w:color="auto"/>
        <w:right w:val="none" w:sz="0" w:space="0" w:color="auto"/>
      </w:divBdr>
    </w:div>
    <w:div w:id="2016149905">
      <w:marLeft w:val="0"/>
      <w:marRight w:val="0"/>
      <w:marTop w:val="100"/>
      <w:marBottom w:val="100"/>
      <w:divBdr>
        <w:top w:val="none" w:sz="0" w:space="0" w:color="auto"/>
        <w:left w:val="none" w:sz="0" w:space="0" w:color="auto"/>
        <w:bottom w:val="none" w:sz="0" w:space="0" w:color="auto"/>
        <w:right w:val="none" w:sz="0" w:space="0" w:color="auto"/>
      </w:divBdr>
    </w:div>
    <w:div w:id="2016958835">
      <w:marLeft w:val="0"/>
      <w:marRight w:val="0"/>
      <w:marTop w:val="0"/>
      <w:marBottom w:val="240"/>
      <w:divBdr>
        <w:top w:val="none" w:sz="0" w:space="0" w:color="auto"/>
        <w:left w:val="none" w:sz="0" w:space="0" w:color="auto"/>
        <w:bottom w:val="none" w:sz="0" w:space="0" w:color="auto"/>
        <w:right w:val="none" w:sz="0" w:space="0" w:color="auto"/>
      </w:divBdr>
    </w:div>
    <w:div w:id="2027050418">
      <w:marLeft w:val="0"/>
      <w:marRight w:val="0"/>
      <w:marTop w:val="100"/>
      <w:marBottom w:val="100"/>
      <w:divBdr>
        <w:top w:val="none" w:sz="0" w:space="0" w:color="auto"/>
        <w:left w:val="none" w:sz="0" w:space="0" w:color="auto"/>
        <w:bottom w:val="none" w:sz="0" w:space="0" w:color="auto"/>
        <w:right w:val="none" w:sz="0" w:space="0" w:color="auto"/>
      </w:divBdr>
    </w:div>
    <w:div w:id="2029065678">
      <w:marLeft w:val="0"/>
      <w:marRight w:val="0"/>
      <w:marTop w:val="100"/>
      <w:marBottom w:val="240"/>
      <w:divBdr>
        <w:top w:val="none" w:sz="0" w:space="0" w:color="auto"/>
        <w:left w:val="none" w:sz="0" w:space="0" w:color="auto"/>
        <w:bottom w:val="none" w:sz="0" w:space="0" w:color="auto"/>
        <w:right w:val="none" w:sz="0" w:space="0" w:color="auto"/>
      </w:divBdr>
    </w:div>
    <w:div w:id="2029327628">
      <w:marLeft w:val="0"/>
      <w:marRight w:val="0"/>
      <w:marTop w:val="0"/>
      <w:marBottom w:val="240"/>
      <w:divBdr>
        <w:top w:val="none" w:sz="0" w:space="0" w:color="auto"/>
        <w:left w:val="none" w:sz="0" w:space="0" w:color="auto"/>
        <w:bottom w:val="none" w:sz="0" w:space="0" w:color="auto"/>
        <w:right w:val="none" w:sz="0" w:space="0" w:color="auto"/>
      </w:divBdr>
    </w:div>
    <w:div w:id="2029941880">
      <w:marLeft w:val="0"/>
      <w:marRight w:val="0"/>
      <w:marTop w:val="0"/>
      <w:marBottom w:val="180"/>
      <w:divBdr>
        <w:top w:val="none" w:sz="0" w:space="0" w:color="auto"/>
        <w:left w:val="none" w:sz="0" w:space="0" w:color="auto"/>
        <w:bottom w:val="none" w:sz="0" w:space="0" w:color="auto"/>
        <w:right w:val="none" w:sz="0" w:space="0" w:color="auto"/>
      </w:divBdr>
    </w:div>
    <w:div w:id="2031564891">
      <w:marLeft w:val="0"/>
      <w:marRight w:val="0"/>
      <w:marTop w:val="0"/>
      <w:marBottom w:val="240"/>
      <w:divBdr>
        <w:top w:val="none" w:sz="0" w:space="0" w:color="auto"/>
        <w:left w:val="none" w:sz="0" w:space="0" w:color="auto"/>
        <w:bottom w:val="none" w:sz="0" w:space="0" w:color="auto"/>
        <w:right w:val="none" w:sz="0" w:space="0" w:color="auto"/>
      </w:divBdr>
    </w:div>
    <w:div w:id="2037150704">
      <w:marLeft w:val="0"/>
      <w:marRight w:val="0"/>
      <w:marTop w:val="0"/>
      <w:marBottom w:val="0"/>
      <w:divBdr>
        <w:top w:val="none" w:sz="0" w:space="0" w:color="auto"/>
        <w:left w:val="none" w:sz="0" w:space="0" w:color="auto"/>
        <w:bottom w:val="none" w:sz="0" w:space="0" w:color="auto"/>
        <w:right w:val="none" w:sz="0" w:space="0" w:color="auto"/>
      </w:divBdr>
      <w:divsChild>
        <w:div w:id="440882969">
          <w:marLeft w:val="0"/>
          <w:marRight w:val="0"/>
          <w:marTop w:val="0"/>
          <w:marBottom w:val="0"/>
          <w:divBdr>
            <w:top w:val="none" w:sz="0" w:space="0" w:color="auto"/>
            <w:left w:val="none" w:sz="0" w:space="0" w:color="auto"/>
            <w:bottom w:val="none" w:sz="0" w:space="0" w:color="auto"/>
            <w:right w:val="none" w:sz="0" w:space="0" w:color="auto"/>
          </w:divBdr>
        </w:div>
      </w:divsChild>
    </w:div>
    <w:div w:id="2041200586">
      <w:marLeft w:val="0"/>
      <w:marRight w:val="0"/>
      <w:marTop w:val="0"/>
      <w:marBottom w:val="0"/>
      <w:divBdr>
        <w:top w:val="none" w:sz="0" w:space="0" w:color="auto"/>
        <w:left w:val="none" w:sz="0" w:space="0" w:color="auto"/>
        <w:bottom w:val="none" w:sz="0" w:space="0" w:color="auto"/>
        <w:right w:val="none" w:sz="0" w:space="0" w:color="auto"/>
      </w:divBdr>
    </w:div>
    <w:div w:id="2042510742">
      <w:marLeft w:val="0"/>
      <w:marRight w:val="0"/>
      <w:marTop w:val="100"/>
      <w:marBottom w:val="240"/>
      <w:divBdr>
        <w:top w:val="none" w:sz="0" w:space="0" w:color="auto"/>
        <w:left w:val="none" w:sz="0" w:space="0" w:color="auto"/>
        <w:bottom w:val="none" w:sz="0" w:space="0" w:color="auto"/>
        <w:right w:val="none" w:sz="0" w:space="0" w:color="auto"/>
      </w:divBdr>
    </w:div>
    <w:div w:id="2044134496">
      <w:marLeft w:val="0"/>
      <w:marRight w:val="0"/>
      <w:marTop w:val="0"/>
      <w:marBottom w:val="160"/>
      <w:divBdr>
        <w:top w:val="none" w:sz="0" w:space="0" w:color="auto"/>
        <w:left w:val="none" w:sz="0" w:space="0" w:color="auto"/>
        <w:bottom w:val="none" w:sz="0" w:space="0" w:color="auto"/>
        <w:right w:val="none" w:sz="0" w:space="0" w:color="auto"/>
      </w:divBdr>
    </w:div>
    <w:div w:id="2044548165">
      <w:marLeft w:val="0"/>
      <w:marRight w:val="0"/>
      <w:marTop w:val="100"/>
      <w:marBottom w:val="100"/>
      <w:divBdr>
        <w:top w:val="none" w:sz="0" w:space="0" w:color="auto"/>
        <w:left w:val="none" w:sz="0" w:space="0" w:color="auto"/>
        <w:bottom w:val="none" w:sz="0" w:space="0" w:color="auto"/>
        <w:right w:val="none" w:sz="0" w:space="0" w:color="auto"/>
      </w:divBdr>
      <w:divsChild>
        <w:div w:id="606735037">
          <w:marLeft w:val="0"/>
          <w:marRight w:val="0"/>
          <w:marTop w:val="0"/>
          <w:marBottom w:val="0"/>
          <w:divBdr>
            <w:top w:val="none" w:sz="0" w:space="0" w:color="auto"/>
            <w:left w:val="none" w:sz="0" w:space="0" w:color="auto"/>
            <w:bottom w:val="none" w:sz="0" w:space="0" w:color="auto"/>
            <w:right w:val="none" w:sz="0" w:space="0" w:color="auto"/>
          </w:divBdr>
        </w:div>
        <w:div w:id="105079255">
          <w:marLeft w:val="0"/>
          <w:marRight w:val="0"/>
          <w:marTop w:val="0"/>
          <w:marBottom w:val="0"/>
          <w:divBdr>
            <w:top w:val="none" w:sz="0" w:space="0" w:color="auto"/>
            <w:left w:val="none" w:sz="0" w:space="0" w:color="auto"/>
            <w:bottom w:val="none" w:sz="0" w:space="0" w:color="auto"/>
            <w:right w:val="none" w:sz="0" w:space="0" w:color="auto"/>
          </w:divBdr>
        </w:div>
        <w:div w:id="364674223">
          <w:marLeft w:val="0"/>
          <w:marRight w:val="0"/>
          <w:marTop w:val="0"/>
          <w:marBottom w:val="0"/>
          <w:divBdr>
            <w:top w:val="none" w:sz="0" w:space="0" w:color="auto"/>
            <w:left w:val="none" w:sz="0" w:space="0" w:color="auto"/>
            <w:bottom w:val="none" w:sz="0" w:space="0" w:color="auto"/>
            <w:right w:val="none" w:sz="0" w:space="0" w:color="auto"/>
          </w:divBdr>
        </w:div>
      </w:divsChild>
    </w:div>
    <w:div w:id="2047440035">
      <w:marLeft w:val="0"/>
      <w:marRight w:val="0"/>
      <w:marTop w:val="0"/>
      <w:marBottom w:val="240"/>
      <w:divBdr>
        <w:top w:val="none" w:sz="0" w:space="0" w:color="auto"/>
        <w:left w:val="none" w:sz="0" w:space="0" w:color="auto"/>
        <w:bottom w:val="none" w:sz="0" w:space="0" w:color="auto"/>
        <w:right w:val="none" w:sz="0" w:space="0" w:color="auto"/>
      </w:divBdr>
    </w:div>
    <w:div w:id="2048485349">
      <w:marLeft w:val="0"/>
      <w:marRight w:val="0"/>
      <w:marTop w:val="0"/>
      <w:marBottom w:val="240"/>
      <w:divBdr>
        <w:top w:val="none" w:sz="0" w:space="0" w:color="auto"/>
        <w:left w:val="none" w:sz="0" w:space="0" w:color="auto"/>
        <w:bottom w:val="none" w:sz="0" w:space="0" w:color="auto"/>
        <w:right w:val="none" w:sz="0" w:space="0" w:color="auto"/>
      </w:divBdr>
    </w:div>
    <w:div w:id="2050765384">
      <w:marLeft w:val="0"/>
      <w:marRight w:val="0"/>
      <w:marTop w:val="160"/>
      <w:marBottom w:val="160"/>
      <w:divBdr>
        <w:top w:val="none" w:sz="0" w:space="0" w:color="auto"/>
        <w:left w:val="none" w:sz="0" w:space="0" w:color="auto"/>
        <w:bottom w:val="none" w:sz="0" w:space="0" w:color="auto"/>
        <w:right w:val="none" w:sz="0" w:space="0" w:color="auto"/>
      </w:divBdr>
    </w:div>
    <w:div w:id="2053073324">
      <w:marLeft w:val="0"/>
      <w:marRight w:val="0"/>
      <w:marTop w:val="66"/>
      <w:marBottom w:val="0"/>
      <w:divBdr>
        <w:top w:val="none" w:sz="0" w:space="0" w:color="auto"/>
        <w:left w:val="none" w:sz="0" w:space="0" w:color="auto"/>
        <w:bottom w:val="none" w:sz="0" w:space="0" w:color="auto"/>
        <w:right w:val="none" w:sz="0" w:space="0" w:color="auto"/>
      </w:divBdr>
    </w:div>
    <w:div w:id="2053531780">
      <w:marLeft w:val="0"/>
      <w:marRight w:val="0"/>
      <w:marTop w:val="160"/>
      <w:marBottom w:val="0"/>
      <w:divBdr>
        <w:top w:val="none" w:sz="0" w:space="0" w:color="auto"/>
        <w:left w:val="none" w:sz="0" w:space="0" w:color="auto"/>
        <w:bottom w:val="none" w:sz="0" w:space="0" w:color="auto"/>
        <w:right w:val="none" w:sz="0" w:space="0" w:color="auto"/>
      </w:divBdr>
    </w:div>
    <w:div w:id="2054579501">
      <w:marLeft w:val="0"/>
      <w:marRight w:val="0"/>
      <w:marTop w:val="100"/>
      <w:marBottom w:val="100"/>
      <w:divBdr>
        <w:top w:val="none" w:sz="0" w:space="0" w:color="auto"/>
        <w:left w:val="none" w:sz="0" w:space="0" w:color="auto"/>
        <w:bottom w:val="none" w:sz="0" w:space="0" w:color="auto"/>
        <w:right w:val="none" w:sz="0" w:space="0" w:color="auto"/>
      </w:divBdr>
    </w:div>
    <w:div w:id="2054886604">
      <w:marLeft w:val="0"/>
      <w:marRight w:val="0"/>
      <w:marTop w:val="0"/>
      <w:marBottom w:val="0"/>
      <w:divBdr>
        <w:top w:val="none" w:sz="0" w:space="0" w:color="auto"/>
        <w:left w:val="none" w:sz="0" w:space="0" w:color="auto"/>
        <w:bottom w:val="none" w:sz="0" w:space="0" w:color="auto"/>
        <w:right w:val="none" w:sz="0" w:space="0" w:color="auto"/>
      </w:divBdr>
      <w:divsChild>
        <w:div w:id="2033719781">
          <w:marLeft w:val="0"/>
          <w:marRight w:val="0"/>
          <w:marTop w:val="160"/>
          <w:marBottom w:val="160"/>
          <w:divBdr>
            <w:top w:val="none" w:sz="0" w:space="0" w:color="auto"/>
            <w:left w:val="none" w:sz="0" w:space="0" w:color="auto"/>
            <w:bottom w:val="none" w:sz="0" w:space="0" w:color="auto"/>
            <w:right w:val="none" w:sz="0" w:space="0" w:color="auto"/>
          </w:divBdr>
        </w:div>
      </w:divsChild>
    </w:div>
    <w:div w:id="2055613799">
      <w:marLeft w:val="0"/>
      <w:marRight w:val="0"/>
      <w:marTop w:val="100"/>
      <w:marBottom w:val="100"/>
      <w:divBdr>
        <w:top w:val="none" w:sz="0" w:space="0" w:color="auto"/>
        <w:left w:val="none" w:sz="0" w:space="0" w:color="auto"/>
        <w:bottom w:val="none" w:sz="0" w:space="0" w:color="auto"/>
        <w:right w:val="none" w:sz="0" w:space="0" w:color="auto"/>
      </w:divBdr>
      <w:divsChild>
        <w:div w:id="1902716187">
          <w:marLeft w:val="0"/>
          <w:marRight w:val="0"/>
          <w:marTop w:val="0"/>
          <w:marBottom w:val="0"/>
          <w:divBdr>
            <w:top w:val="none" w:sz="0" w:space="0" w:color="auto"/>
            <w:left w:val="none" w:sz="0" w:space="0" w:color="auto"/>
            <w:bottom w:val="none" w:sz="0" w:space="0" w:color="auto"/>
            <w:right w:val="none" w:sz="0" w:space="0" w:color="auto"/>
          </w:divBdr>
        </w:div>
      </w:divsChild>
    </w:div>
    <w:div w:id="2057044794">
      <w:marLeft w:val="0"/>
      <w:marRight w:val="0"/>
      <w:marTop w:val="0"/>
      <w:marBottom w:val="0"/>
      <w:divBdr>
        <w:top w:val="none" w:sz="0" w:space="0" w:color="auto"/>
        <w:left w:val="none" w:sz="0" w:space="0" w:color="auto"/>
        <w:bottom w:val="none" w:sz="0" w:space="0" w:color="auto"/>
        <w:right w:val="none" w:sz="0" w:space="0" w:color="auto"/>
      </w:divBdr>
      <w:divsChild>
        <w:div w:id="1282224581">
          <w:marLeft w:val="0"/>
          <w:marRight w:val="0"/>
          <w:marTop w:val="160"/>
          <w:marBottom w:val="160"/>
          <w:divBdr>
            <w:top w:val="none" w:sz="0" w:space="0" w:color="auto"/>
            <w:left w:val="none" w:sz="0" w:space="0" w:color="auto"/>
            <w:bottom w:val="none" w:sz="0" w:space="0" w:color="auto"/>
            <w:right w:val="none" w:sz="0" w:space="0" w:color="auto"/>
          </w:divBdr>
        </w:div>
      </w:divsChild>
    </w:div>
    <w:div w:id="2059430907">
      <w:marLeft w:val="0"/>
      <w:marRight w:val="0"/>
      <w:marTop w:val="100"/>
      <w:marBottom w:val="240"/>
      <w:divBdr>
        <w:top w:val="none" w:sz="0" w:space="0" w:color="auto"/>
        <w:left w:val="none" w:sz="0" w:space="0" w:color="auto"/>
        <w:bottom w:val="none" w:sz="0" w:space="0" w:color="auto"/>
        <w:right w:val="none" w:sz="0" w:space="0" w:color="auto"/>
      </w:divBdr>
    </w:div>
    <w:div w:id="2062551727">
      <w:marLeft w:val="0"/>
      <w:marRight w:val="0"/>
      <w:marTop w:val="0"/>
      <w:marBottom w:val="240"/>
      <w:divBdr>
        <w:top w:val="none" w:sz="0" w:space="0" w:color="auto"/>
        <w:left w:val="none" w:sz="0" w:space="0" w:color="auto"/>
        <w:bottom w:val="none" w:sz="0" w:space="0" w:color="auto"/>
        <w:right w:val="none" w:sz="0" w:space="0" w:color="auto"/>
      </w:divBdr>
    </w:div>
    <w:div w:id="2062707648">
      <w:marLeft w:val="0"/>
      <w:marRight w:val="0"/>
      <w:marTop w:val="100"/>
      <w:marBottom w:val="240"/>
      <w:divBdr>
        <w:top w:val="none" w:sz="0" w:space="0" w:color="auto"/>
        <w:left w:val="none" w:sz="0" w:space="0" w:color="auto"/>
        <w:bottom w:val="none" w:sz="0" w:space="0" w:color="auto"/>
        <w:right w:val="none" w:sz="0" w:space="0" w:color="auto"/>
      </w:divBdr>
    </w:div>
    <w:div w:id="2062898789">
      <w:marLeft w:val="0"/>
      <w:marRight w:val="0"/>
      <w:marTop w:val="160"/>
      <w:marBottom w:val="160"/>
      <w:divBdr>
        <w:top w:val="none" w:sz="0" w:space="0" w:color="auto"/>
        <w:left w:val="none" w:sz="0" w:space="0" w:color="auto"/>
        <w:bottom w:val="none" w:sz="0" w:space="0" w:color="auto"/>
        <w:right w:val="none" w:sz="0" w:space="0" w:color="auto"/>
      </w:divBdr>
    </w:div>
    <w:div w:id="2063670609">
      <w:marLeft w:val="0"/>
      <w:marRight w:val="0"/>
      <w:marTop w:val="0"/>
      <w:marBottom w:val="60"/>
      <w:divBdr>
        <w:top w:val="none" w:sz="0" w:space="0" w:color="auto"/>
        <w:left w:val="none" w:sz="0" w:space="0" w:color="auto"/>
        <w:bottom w:val="none" w:sz="0" w:space="0" w:color="auto"/>
        <w:right w:val="none" w:sz="0" w:space="0" w:color="auto"/>
      </w:divBdr>
    </w:div>
    <w:div w:id="2064599636">
      <w:marLeft w:val="0"/>
      <w:marRight w:val="0"/>
      <w:marTop w:val="0"/>
      <w:marBottom w:val="0"/>
      <w:divBdr>
        <w:top w:val="none" w:sz="0" w:space="0" w:color="auto"/>
        <w:left w:val="none" w:sz="0" w:space="0" w:color="auto"/>
        <w:bottom w:val="none" w:sz="0" w:space="0" w:color="auto"/>
        <w:right w:val="none" w:sz="0" w:space="0" w:color="auto"/>
      </w:divBdr>
    </w:div>
    <w:div w:id="2066754227">
      <w:marLeft w:val="0"/>
      <w:marRight w:val="0"/>
      <w:marTop w:val="160"/>
      <w:marBottom w:val="160"/>
      <w:divBdr>
        <w:top w:val="none" w:sz="0" w:space="0" w:color="auto"/>
        <w:left w:val="none" w:sz="0" w:space="0" w:color="auto"/>
        <w:bottom w:val="none" w:sz="0" w:space="0" w:color="auto"/>
        <w:right w:val="none" w:sz="0" w:space="0" w:color="auto"/>
      </w:divBdr>
    </w:div>
    <w:div w:id="2067953572">
      <w:marLeft w:val="0"/>
      <w:marRight w:val="0"/>
      <w:marTop w:val="100"/>
      <w:marBottom w:val="0"/>
      <w:divBdr>
        <w:top w:val="none" w:sz="0" w:space="0" w:color="auto"/>
        <w:left w:val="none" w:sz="0" w:space="0" w:color="auto"/>
        <w:bottom w:val="none" w:sz="0" w:space="0" w:color="auto"/>
        <w:right w:val="none" w:sz="0" w:space="0" w:color="auto"/>
      </w:divBdr>
      <w:divsChild>
        <w:div w:id="327907799">
          <w:marLeft w:val="0"/>
          <w:marRight w:val="0"/>
          <w:marTop w:val="0"/>
          <w:marBottom w:val="0"/>
          <w:divBdr>
            <w:top w:val="none" w:sz="0" w:space="0" w:color="auto"/>
            <w:left w:val="none" w:sz="0" w:space="0" w:color="auto"/>
            <w:bottom w:val="none" w:sz="0" w:space="0" w:color="auto"/>
            <w:right w:val="none" w:sz="0" w:space="0" w:color="auto"/>
          </w:divBdr>
        </w:div>
        <w:div w:id="1656494076">
          <w:marLeft w:val="0"/>
          <w:marRight w:val="0"/>
          <w:marTop w:val="0"/>
          <w:marBottom w:val="0"/>
          <w:divBdr>
            <w:top w:val="none" w:sz="0" w:space="0" w:color="auto"/>
            <w:left w:val="none" w:sz="0" w:space="0" w:color="auto"/>
            <w:bottom w:val="none" w:sz="0" w:space="0" w:color="auto"/>
            <w:right w:val="none" w:sz="0" w:space="0" w:color="auto"/>
          </w:divBdr>
        </w:div>
        <w:div w:id="955258419">
          <w:marLeft w:val="0"/>
          <w:marRight w:val="0"/>
          <w:marTop w:val="0"/>
          <w:marBottom w:val="0"/>
          <w:divBdr>
            <w:top w:val="none" w:sz="0" w:space="0" w:color="auto"/>
            <w:left w:val="none" w:sz="0" w:space="0" w:color="auto"/>
            <w:bottom w:val="none" w:sz="0" w:space="0" w:color="auto"/>
            <w:right w:val="none" w:sz="0" w:space="0" w:color="auto"/>
          </w:divBdr>
        </w:div>
        <w:div w:id="1002974364">
          <w:marLeft w:val="0"/>
          <w:marRight w:val="0"/>
          <w:marTop w:val="0"/>
          <w:marBottom w:val="0"/>
          <w:divBdr>
            <w:top w:val="none" w:sz="0" w:space="0" w:color="auto"/>
            <w:left w:val="none" w:sz="0" w:space="0" w:color="auto"/>
            <w:bottom w:val="none" w:sz="0" w:space="0" w:color="auto"/>
            <w:right w:val="none" w:sz="0" w:space="0" w:color="auto"/>
          </w:divBdr>
        </w:div>
        <w:div w:id="2047483109">
          <w:marLeft w:val="0"/>
          <w:marRight w:val="0"/>
          <w:marTop w:val="0"/>
          <w:marBottom w:val="0"/>
          <w:divBdr>
            <w:top w:val="none" w:sz="0" w:space="0" w:color="auto"/>
            <w:left w:val="none" w:sz="0" w:space="0" w:color="auto"/>
            <w:bottom w:val="none" w:sz="0" w:space="0" w:color="auto"/>
            <w:right w:val="none" w:sz="0" w:space="0" w:color="auto"/>
          </w:divBdr>
        </w:div>
        <w:div w:id="441189694">
          <w:marLeft w:val="0"/>
          <w:marRight w:val="0"/>
          <w:marTop w:val="0"/>
          <w:marBottom w:val="0"/>
          <w:divBdr>
            <w:top w:val="none" w:sz="0" w:space="0" w:color="auto"/>
            <w:left w:val="none" w:sz="0" w:space="0" w:color="auto"/>
            <w:bottom w:val="none" w:sz="0" w:space="0" w:color="auto"/>
            <w:right w:val="none" w:sz="0" w:space="0" w:color="auto"/>
          </w:divBdr>
        </w:div>
        <w:div w:id="634600656">
          <w:marLeft w:val="0"/>
          <w:marRight w:val="0"/>
          <w:marTop w:val="0"/>
          <w:marBottom w:val="0"/>
          <w:divBdr>
            <w:top w:val="none" w:sz="0" w:space="0" w:color="auto"/>
            <w:left w:val="none" w:sz="0" w:space="0" w:color="auto"/>
            <w:bottom w:val="none" w:sz="0" w:space="0" w:color="auto"/>
            <w:right w:val="none" w:sz="0" w:space="0" w:color="auto"/>
          </w:divBdr>
        </w:div>
        <w:div w:id="547836097">
          <w:marLeft w:val="0"/>
          <w:marRight w:val="0"/>
          <w:marTop w:val="0"/>
          <w:marBottom w:val="0"/>
          <w:divBdr>
            <w:top w:val="none" w:sz="0" w:space="0" w:color="auto"/>
            <w:left w:val="none" w:sz="0" w:space="0" w:color="auto"/>
            <w:bottom w:val="none" w:sz="0" w:space="0" w:color="auto"/>
            <w:right w:val="none" w:sz="0" w:space="0" w:color="auto"/>
          </w:divBdr>
        </w:div>
        <w:div w:id="362436544">
          <w:marLeft w:val="0"/>
          <w:marRight w:val="0"/>
          <w:marTop w:val="0"/>
          <w:marBottom w:val="0"/>
          <w:divBdr>
            <w:top w:val="none" w:sz="0" w:space="0" w:color="auto"/>
            <w:left w:val="none" w:sz="0" w:space="0" w:color="auto"/>
            <w:bottom w:val="none" w:sz="0" w:space="0" w:color="auto"/>
            <w:right w:val="none" w:sz="0" w:space="0" w:color="auto"/>
          </w:divBdr>
        </w:div>
        <w:div w:id="355623006">
          <w:marLeft w:val="0"/>
          <w:marRight w:val="0"/>
          <w:marTop w:val="0"/>
          <w:marBottom w:val="0"/>
          <w:divBdr>
            <w:top w:val="none" w:sz="0" w:space="0" w:color="auto"/>
            <w:left w:val="none" w:sz="0" w:space="0" w:color="auto"/>
            <w:bottom w:val="none" w:sz="0" w:space="0" w:color="auto"/>
            <w:right w:val="none" w:sz="0" w:space="0" w:color="auto"/>
          </w:divBdr>
        </w:div>
        <w:div w:id="256906681">
          <w:marLeft w:val="0"/>
          <w:marRight w:val="0"/>
          <w:marTop w:val="0"/>
          <w:marBottom w:val="0"/>
          <w:divBdr>
            <w:top w:val="none" w:sz="0" w:space="0" w:color="auto"/>
            <w:left w:val="none" w:sz="0" w:space="0" w:color="auto"/>
            <w:bottom w:val="none" w:sz="0" w:space="0" w:color="auto"/>
            <w:right w:val="none" w:sz="0" w:space="0" w:color="auto"/>
          </w:divBdr>
        </w:div>
        <w:div w:id="1511140352">
          <w:marLeft w:val="0"/>
          <w:marRight w:val="0"/>
          <w:marTop w:val="0"/>
          <w:marBottom w:val="0"/>
          <w:divBdr>
            <w:top w:val="none" w:sz="0" w:space="0" w:color="auto"/>
            <w:left w:val="none" w:sz="0" w:space="0" w:color="auto"/>
            <w:bottom w:val="none" w:sz="0" w:space="0" w:color="auto"/>
            <w:right w:val="none" w:sz="0" w:space="0" w:color="auto"/>
          </w:divBdr>
        </w:div>
        <w:div w:id="252982246">
          <w:marLeft w:val="0"/>
          <w:marRight w:val="0"/>
          <w:marTop w:val="0"/>
          <w:marBottom w:val="0"/>
          <w:divBdr>
            <w:top w:val="none" w:sz="0" w:space="0" w:color="auto"/>
            <w:left w:val="none" w:sz="0" w:space="0" w:color="auto"/>
            <w:bottom w:val="none" w:sz="0" w:space="0" w:color="auto"/>
            <w:right w:val="none" w:sz="0" w:space="0" w:color="auto"/>
          </w:divBdr>
        </w:div>
        <w:div w:id="193731877">
          <w:marLeft w:val="0"/>
          <w:marRight w:val="0"/>
          <w:marTop w:val="0"/>
          <w:marBottom w:val="0"/>
          <w:divBdr>
            <w:top w:val="none" w:sz="0" w:space="0" w:color="auto"/>
            <w:left w:val="none" w:sz="0" w:space="0" w:color="auto"/>
            <w:bottom w:val="none" w:sz="0" w:space="0" w:color="auto"/>
            <w:right w:val="none" w:sz="0" w:space="0" w:color="auto"/>
          </w:divBdr>
        </w:div>
        <w:div w:id="699937659">
          <w:marLeft w:val="0"/>
          <w:marRight w:val="0"/>
          <w:marTop w:val="0"/>
          <w:marBottom w:val="0"/>
          <w:divBdr>
            <w:top w:val="none" w:sz="0" w:space="0" w:color="auto"/>
            <w:left w:val="none" w:sz="0" w:space="0" w:color="auto"/>
            <w:bottom w:val="none" w:sz="0" w:space="0" w:color="auto"/>
            <w:right w:val="none" w:sz="0" w:space="0" w:color="auto"/>
          </w:divBdr>
        </w:div>
        <w:div w:id="67070698">
          <w:marLeft w:val="0"/>
          <w:marRight w:val="0"/>
          <w:marTop w:val="0"/>
          <w:marBottom w:val="0"/>
          <w:divBdr>
            <w:top w:val="none" w:sz="0" w:space="0" w:color="auto"/>
            <w:left w:val="none" w:sz="0" w:space="0" w:color="auto"/>
            <w:bottom w:val="none" w:sz="0" w:space="0" w:color="auto"/>
            <w:right w:val="none" w:sz="0" w:space="0" w:color="auto"/>
          </w:divBdr>
        </w:div>
        <w:div w:id="922882922">
          <w:marLeft w:val="0"/>
          <w:marRight w:val="0"/>
          <w:marTop w:val="0"/>
          <w:marBottom w:val="0"/>
          <w:divBdr>
            <w:top w:val="none" w:sz="0" w:space="0" w:color="auto"/>
            <w:left w:val="none" w:sz="0" w:space="0" w:color="auto"/>
            <w:bottom w:val="none" w:sz="0" w:space="0" w:color="auto"/>
            <w:right w:val="none" w:sz="0" w:space="0" w:color="auto"/>
          </w:divBdr>
        </w:div>
        <w:div w:id="1152719872">
          <w:marLeft w:val="0"/>
          <w:marRight w:val="0"/>
          <w:marTop w:val="0"/>
          <w:marBottom w:val="0"/>
          <w:divBdr>
            <w:top w:val="none" w:sz="0" w:space="0" w:color="auto"/>
            <w:left w:val="none" w:sz="0" w:space="0" w:color="auto"/>
            <w:bottom w:val="none" w:sz="0" w:space="0" w:color="auto"/>
            <w:right w:val="none" w:sz="0" w:space="0" w:color="auto"/>
          </w:divBdr>
        </w:div>
        <w:div w:id="851145158">
          <w:marLeft w:val="0"/>
          <w:marRight w:val="0"/>
          <w:marTop w:val="0"/>
          <w:marBottom w:val="0"/>
          <w:divBdr>
            <w:top w:val="none" w:sz="0" w:space="0" w:color="auto"/>
            <w:left w:val="none" w:sz="0" w:space="0" w:color="auto"/>
            <w:bottom w:val="none" w:sz="0" w:space="0" w:color="auto"/>
            <w:right w:val="none" w:sz="0" w:space="0" w:color="auto"/>
          </w:divBdr>
        </w:div>
        <w:div w:id="1647272028">
          <w:marLeft w:val="0"/>
          <w:marRight w:val="0"/>
          <w:marTop w:val="0"/>
          <w:marBottom w:val="0"/>
          <w:divBdr>
            <w:top w:val="none" w:sz="0" w:space="0" w:color="auto"/>
            <w:left w:val="none" w:sz="0" w:space="0" w:color="auto"/>
            <w:bottom w:val="none" w:sz="0" w:space="0" w:color="auto"/>
            <w:right w:val="none" w:sz="0" w:space="0" w:color="auto"/>
          </w:divBdr>
        </w:div>
      </w:divsChild>
    </w:div>
    <w:div w:id="2071418863">
      <w:marLeft w:val="0"/>
      <w:marRight w:val="0"/>
      <w:marTop w:val="160"/>
      <w:marBottom w:val="240"/>
      <w:divBdr>
        <w:top w:val="none" w:sz="0" w:space="0" w:color="auto"/>
        <w:left w:val="none" w:sz="0" w:space="0" w:color="auto"/>
        <w:bottom w:val="none" w:sz="0" w:space="0" w:color="auto"/>
        <w:right w:val="none" w:sz="0" w:space="0" w:color="auto"/>
      </w:divBdr>
    </w:div>
    <w:div w:id="2084990316">
      <w:marLeft w:val="0"/>
      <w:marRight w:val="0"/>
      <w:marTop w:val="0"/>
      <w:marBottom w:val="0"/>
      <w:divBdr>
        <w:top w:val="none" w:sz="0" w:space="0" w:color="auto"/>
        <w:left w:val="none" w:sz="0" w:space="0" w:color="auto"/>
        <w:bottom w:val="none" w:sz="0" w:space="0" w:color="auto"/>
        <w:right w:val="none" w:sz="0" w:space="0" w:color="auto"/>
      </w:divBdr>
    </w:div>
    <w:div w:id="2086535587">
      <w:marLeft w:val="0"/>
      <w:marRight w:val="0"/>
      <w:marTop w:val="240"/>
      <w:marBottom w:val="160"/>
      <w:divBdr>
        <w:top w:val="none" w:sz="0" w:space="0" w:color="auto"/>
        <w:left w:val="none" w:sz="0" w:space="0" w:color="auto"/>
        <w:bottom w:val="none" w:sz="0" w:space="0" w:color="auto"/>
        <w:right w:val="none" w:sz="0" w:space="0" w:color="auto"/>
      </w:divBdr>
    </w:div>
    <w:div w:id="2088073835">
      <w:marLeft w:val="0"/>
      <w:marRight w:val="0"/>
      <w:marTop w:val="100"/>
      <w:marBottom w:val="140"/>
      <w:divBdr>
        <w:top w:val="none" w:sz="0" w:space="0" w:color="auto"/>
        <w:left w:val="none" w:sz="0" w:space="0" w:color="auto"/>
        <w:bottom w:val="none" w:sz="0" w:space="0" w:color="auto"/>
        <w:right w:val="none" w:sz="0" w:space="0" w:color="auto"/>
      </w:divBdr>
      <w:divsChild>
        <w:div w:id="1384716416">
          <w:marLeft w:val="0"/>
          <w:marRight w:val="0"/>
          <w:marTop w:val="0"/>
          <w:marBottom w:val="0"/>
          <w:divBdr>
            <w:top w:val="none" w:sz="0" w:space="0" w:color="auto"/>
            <w:left w:val="none" w:sz="0" w:space="0" w:color="auto"/>
            <w:bottom w:val="none" w:sz="0" w:space="0" w:color="auto"/>
            <w:right w:val="none" w:sz="0" w:space="0" w:color="auto"/>
          </w:divBdr>
        </w:div>
        <w:div w:id="1749112623">
          <w:marLeft w:val="0"/>
          <w:marRight w:val="0"/>
          <w:marTop w:val="0"/>
          <w:marBottom w:val="0"/>
          <w:divBdr>
            <w:top w:val="none" w:sz="0" w:space="0" w:color="auto"/>
            <w:left w:val="none" w:sz="0" w:space="0" w:color="auto"/>
            <w:bottom w:val="none" w:sz="0" w:space="0" w:color="auto"/>
            <w:right w:val="none" w:sz="0" w:space="0" w:color="auto"/>
          </w:divBdr>
        </w:div>
        <w:div w:id="1144470849">
          <w:marLeft w:val="0"/>
          <w:marRight w:val="0"/>
          <w:marTop w:val="0"/>
          <w:marBottom w:val="0"/>
          <w:divBdr>
            <w:top w:val="none" w:sz="0" w:space="0" w:color="auto"/>
            <w:left w:val="none" w:sz="0" w:space="0" w:color="auto"/>
            <w:bottom w:val="none" w:sz="0" w:space="0" w:color="auto"/>
            <w:right w:val="none" w:sz="0" w:space="0" w:color="auto"/>
          </w:divBdr>
        </w:div>
        <w:div w:id="224804992">
          <w:marLeft w:val="0"/>
          <w:marRight w:val="0"/>
          <w:marTop w:val="0"/>
          <w:marBottom w:val="0"/>
          <w:divBdr>
            <w:top w:val="none" w:sz="0" w:space="0" w:color="auto"/>
            <w:left w:val="none" w:sz="0" w:space="0" w:color="auto"/>
            <w:bottom w:val="none" w:sz="0" w:space="0" w:color="auto"/>
            <w:right w:val="none" w:sz="0" w:space="0" w:color="auto"/>
          </w:divBdr>
        </w:div>
      </w:divsChild>
    </w:div>
    <w:div w:id="2090885730">
      <w:marLeft w:val="0"/>
      <w:marRight w:val="0"/>
      <w:marTop w:val="0"/>
      <w:marBottom w:val="240"/>
      <w:divBdr>
        <w:top w:val="none" w:sz="0" w:space="0" w:color="auto"/>
        <w:left w:val="none" w:sz="0" w:space="0" w:color="auto"/>
        <w:bottom w:val="none" w:sz="0" w:space="0" w:color="auto"/>
        <w:right w:val="none" w:sz="0" w:space="0" w:color="auto"/>
      </w:divBdr>
    </w:div>
    <w:div w:id="2091535668">
      <w:marLeft w:val="0"/>
      <w:marRight w:val="0"/>
      <w:marTop w:val="0"/>
      <w:marBottom w:val="240"/>
      <w:divBdr>
        <w:top w:val="none" w:sz="0" w:space="0" w:color="auto"/>
        <w:left w:val="none" w:sz="0" w:space="0" w:color="auto"/>
        <w:bottom w:val="none" w:sz="0" w:space="0" w:color="auto"/>
        <w:right w:val="none" w:sz="0" w:space="0" w:color="auto"/>
      </w:divBdr>
    </w:div>
    <w:div w:id="2096170905">
      <w:marLeft w:val="0"/>
      <w:marRight w:val="0"/>
      <w:marTop w:val="0"/>
      <w:marBottom w:val="240"/>
      <w:divBdr>
        <w:top w:val="none" w:sz="0" w:space="0" w:color="auto"/>
        <w:left w:val="none" w:sz="0" w:space="0" w:color="auto"/>
        <w:bottom w:val="none" w:sz="0" w:space="0" w:color="auto"/>
        <w:right w:val="none" w:sz="0" w:space="0" w:color="auto"/>
      </w:divBdr>
    </w:div>
    <w:div w:id="2099131342">
      <w:marLeft w:val="0"/>
      <w:marRight w:val="0"/>
      <w:marTop w:val="160"/>
      <w:marBottom w:val="160"/>
      <w:divBdr>
        <w:top w:val="none" w:sz="0" w:space="0" w:color="auto"/>
        <w:left w:val="none" w:sz="0" w:space="0" w:color="auto"/>
        <w:bottom w:val="none" w:sz="0" w:space="0" w:color="auto"/>
        <w:right w:val="none" w:sz="0" w:space="0" w:color="auto"/>
      </w:divBdr>
    </w:div>
    <w:div w:id="2102138968">
      <w:marLeft w:val="0"/>
      <w:marRight w:val="0"/>
      <w:marTop w:val="100"/>
      <w:marBottom w:val="240"/>
      <w:divBdr>
        <w:top w:val="none" w:sz="0" w:space="0" w:color="auto"/>
        <w:left w:val="none" w:sz="0" w:space="0" w:color="auto"/>
        <w:bottom w:val="none" w:sz="0" w:space="0" w:color="auto"/>
        <w:right w:val="none" w:sz="0" w:space="0" w:color="auto"/>
      </w:divBdr>
    </w:div>
    <w:div w:id="2102295752">
      <w:marLeft w:val="0"/>
      <w:marRight w:val="0"/>
      <w:marTop w:val="60"/>
      <w:marBottom w:val="240"/>
      <w:divBdr>
        <w:top w:val="none" w:sz="0" w:space="0" w:color="auto"/>
        <w:left w:val="none" w:sz="0" w:space="0" w:color="auto"/>
        <w:bottom w:val="none" w:sz="0" w:space="0" w:color="auto"/>
        <w:right w:val="none" w:sz="0" w:space="0" w:color="auto"/>
      </w:divBdr>
    </w:div>
    <w:div w:id="2103409088">
      <w:marLeft w:val="0"/>
      <w:marRight w:val="0"/>
      <w:marTop w:val="0"/>
      <w:marBottom w:val="0"/>
      <w:divBdr>
        <w:top w:val="none" w:sz="0" w:space="0" w:color="auto"/>
        <w:left w:val="none" w:sz="0" w:space="0" w:color="auto"/>
        <w:bottom w:val="none" w:sz="0" w:space="0" w:color="auto"/>
        <w:right w:val="none" w:sz="0" w:space="0" w:color="auto"/>
      </w:divBdr>
      <w:divsChild>
        <w:div w:id="2033216282">
          <w:marLeft w:val="0"/>
          <w:marRight w:val="0"/>
          <w:marTop w:val="160"/>
          <w:marBottom w:val="160"/>
          <w:divBdr>
            <w:top w:val="none" w:sz="0" w:space="0" w:color="auto"/>
            <w:left w:val="none" w:sz="0" w:space="0" w:color="auto"/>
            <w:bottom w:val="none" w:sz="0" w:space="0" w:color="auto"/>
            <w:right w:val="none" w:sz="0" w:space="0" w:color="auto"/>
          </w:divBdr>
        </w:div>
      </w:divsChild>
    </w:div>
    <w:div w:id="2106338512">
      <w:marLeft w:val="0"/>
      <w:marRight w:val="0"/>
      <w:marTop w:val="0"/>
      <w:marBottom w:val="0"/>
      <w:divBdr>
        <w:top w:val="none" w:sz="0" w:space="0" w:color="auto"/>
        <w:left w:val="none" w:sz="0" w:space="0" w:color="auto"/>
        <w:bottom w:val="none" w:sz="0" w:space="0" w:color="auto"/>
        <w:right w:val="none" w:sz="0" w:space="0" w:color="auto"/>
      </w:divBdr>
    </w:div>
    <w:div w:id="2107070258">
      <w:marLeft w:val="0"/>
      <w:marRight w:val="0"/>
      <w:marTop w:val="0"/>
      <w:marBottom w:val="112"/>
      <w:divBdr>
        <w:top w:val="none" w:sz="0" w:space="0" w:color="auto"/>
        <w:left w:val="none" w:sz="0" w:space="0" w:color="auto"/>
        <w:bottom w:val="none" w:sz="0" w:space="0" w:color="auto"/>
        <w:right w:val="none" w:sz="0" w:space="0" w:color="auto"/>
      </w:divBdr>
    </w:div>
    <w:div w:id="2107800380">
      <w:marLeft w:val="0"/>
      <w:marRight w:val="0"/>
      <w:marTop w:val="0"/>
      <w:marBottom w:val="0"/>
      <w:divBdr>
        <w:top w:val="none" w:sz="0" w:space="0" w:color="auto"/>
        <w:left w:val="none" w:sz="0" w:space="0" w:color="auto"/>
        <w:bottom w:val="none" w:sz="0" w:space="0" w:color="auto"/>
        <w:right w:val="none" w:sz="0" w:space="0" w:color="auto"/>
      </w:divBdr>
      <w:divsChild>
        <w:div w:id="1304120122">
          <w:marLeft w:val="0"/>
          <w:marRight w:val="0"/>
          <w:marTop w:val="0"/>
          <w:marBottom w:val="0"/>
          <w:divBdr>
            <w:top w:val="none" w:sz="0" w:space="0" w:color="auto"/>
            <w:left w:val="none" w:sz="0" w:space="0" w:color="auto"/>
            <w:bottom w:val="none" w:sz="0" w:space="0" w:color="auto"/>
            <w:right w:val="none" w:sz="0" w:space="0" w:color="auto"/>
          </w:divBdr>
        </w:div>
      </w:divsChild>
    </w:div>
    <w:div w:id="2108845705">
      <w:marLeft w:val="0"/>
      <w:marRight w:val="0"/>
      <w:marTop w:val="0"/>
      <w:marBottom w:val="0"/>
      <w:divBdr>
        <w:top w:val="none" w:sz="0" w:space="0" w:color="auto"/>
        <w:left w:val="none" w:sz="0" w:space="0" w:color="auto"/>
        <w:bottom w:val="none" w:sz="0" w:space="0" w:color="auto"/>
        <w:right w:val="none" w:sz="0" w:space="0" w:color="auto"/>
      </w:divBdr>
      <w:divsChild>
        <w:div w:id="456145173">
          <w:marLeft w:val="0"/>
          <w:marRight w:val="0"/>
          <w:marTop w:val="0"/>
          <w:marBottom w:val="0"/>
          <w:divBdr>
            <w:top w:val="none" w:sz="0" w:space="0" w:color="auto"/>
            <w:left w:val="none" w:sz="0" w:space="0" w:color="auto"/>
            <w:bottom w:val="none" w:sz="0" w:space="0" w:color="auto"/>
            <w:right w:val="none" w:sz="0" w:space="0" w:color="auto"/>
          </w:divBdr>
        </w:div>
      </w:divsChild>
    </w:div>
    <w:div w:id="2108889733">
      <w:marLeft w:val="0"/>
      <w:marRight w:val="0"/>
      <w:marTop w:val="0"/>
      <w:marBottom w:val="240"/>
      <w:divBdr>
        <w:top w:val="none" w:sz="0" w:space="0" w:color="auto"/>
        <w:left w:val="none" w:sz="0" w:space="0" w:color="auto"/>
        <w:bottom w:val="none" w:sz="0" w:space="0" w:color="auto"/>
        <w:right w:val="none" w:sz="0" w:space="0" w:color="auto"/>
      </w:divBdr>
    </w:div>
    <w:div w:id="2119985094">
      <w:marLeft w:val="0"/>
      <w:marRight w:val="0"/>
      <w:marTop w:val="0"/>
      <w:marBottom w:val="0"/>
      <w:divBdr>
        <w:top w:val="none" w:sz="0" w:space="0" w:color="auto"/>
        <w:left w:val="none" w:sz="0" w:space="0" w:color="auto"/>
        <w:bottom w:val="none" w:sz="0" w:space="0" w:color="auto"/>
        <w:right w:val="none" w:sz="0" w:space="0" w:color="auto"/>
      </w:divBdr>
      <w:divsChild>
        <w:div w:id="618224473">
          <w:marLeft w:val="0"/>
          <w:marRight w:val="0"/>
          <w:marTop w:val="160"/>
          <w:marBottom w:val="160"/>
          <w:divBdr>
            <w:top w:val="none" w:sz="0" w:space="0" w:color="auto"/>
            <w:left w:val="none" w:sz="0" w:space="0" w:color="auto"/>
            <w:bottom w:val="none" w:sz="0" w:space="0" w:color="auto"/>
            <w:right w:val="none" w:sz="0" w:space="0" w:color="auto"/>
          </w:divBdr>
        </w:div>
      </w:divsChild>
    </w:div>
    <w:div w:id="2120025127">
      <w:marLeft w:val="0"/>
      <w:marRight w:val="0"/>
      <w:marTop w:val="0"/>
      <w:marBottom w:val="240"/>
      <w:divBdr>
        <w:top w:val="none" w:sz="0" w:space="0" w:color="auto"/>
        <w:left w:val="none" w:sz="0" w:space="0" w:color="auto"/>
        <w:bottom w:val="none" w:sz="0" w:space="0" w:color="auto"/>
        <w:right w:val="none" w:sz="0" w:space="0" w:color="auto"/>
      </w:divBdr>
    </w:div>
    <w:div w:id="2123647205">
      <w:marLeft w:val="0"/>
      <w:marRight w:val="0"/>
      <w:marTop w:val="160"/>
      <w:marBottom w:val="160"/>
      <w:divBdr>
        <w:top w:val="none" w:sz="0" w:space="0" w:color="auto"/>
        <w:left w:val="none" w:sz="0" w:space="0" w:color="auto"/>
        <w:bottom w:val="none" w:sz="0" w:space="0" w:color="auto"/>
        <w:right w:val="none" w:sz="0" w:space="0" w:color="auto"/>
      </w:divBdr>
    </w:div>
    <w:div w:id="2129858644">
      <w:marLeft w:val="0"/>
      <w:marRight w:val="0"/>
      <w:marTop w:val="0"/>
      <w:marBottom w:val="0"/>
      <w:divBdr>
        <w:top w:val="none" w:sz="0" w:space="0" w:color="auto"/>
        <w:left w:val="none" w:sz="0" w:space="0" w:color="auto"/>
        <w:bottom w:val="none" w:sz="0" w:space="0" w:color="auto"/>
        <w:right w:val="none" w:sz="0" w:space="0" w:color="auto"/>
      </w:divBdr>
      <w:divsChild>
        <w:div w:id="864514016">
          <w:marLeft w:val="0"/>
          <w:marRight w:val="0"/>
          <w:marTop w:val="0"/>
          <w:marBottom w:val="0"/>
          <w:divBdr>
            <w:top w:val="none" w:sz="0" w:space="0" w:color="auto"/>
            <w:left w:val="none" w:sz="0" w:space="0" w:color="auto"/>
            <w:bottom w:val="none" w:sz="0" w:space="0" w:color="auto"/>
            <w:right w:val="none" w:sz="0" w:space="0" w:color="auto"/>
          </w:divBdr>
        </w:div>
      </w:divsChild>
    </w:div>
    <w:div w:id="2130974399">
      <w:marLeft w:val="0"/>
      <w:marRight w:val="0"/>
      <w:marTop w:val="0"/>
      <w:marBottom w:val="0"/>
      <w:divBdr>
        <w:top w:val="none" w:sz="0" w:space="0" w:color="auto"/>
        <w:left w:val="none" w:sz="0" w:space="0" w:color="auto"/>
        <w:bottom w:val="none" w:sz="0" w:space="0" w:color="auto"/>
        <w:right w:val="none" w:sz="0" w:space="0" w:color="auto"/>
      </w:divBdr>
      <w:divsChild>
        <w:div w:id="1037704938">
          <w:marLeft w:val="0"/>
          <w:marRight w:val="0"/>
          <w:marTop w:val="0"/>
          <w:marBottom w:val="0"/>
          <w:divBdr>
            <w:top w:val="none" w:sz="0" w:space="0" w:color="auto"/>
            <w:left w:val="none" w:sz="0" w:space="0" w:color="auto"/>
            <w:bottom w:val="none" w:sz="0" w:space="0" w:color="auto"/>
            <w:right w:val="none" w:sz="0" w:space="0" w:color="auto"/>
          </w:divBdr>
        </w:div>
      </w:divsChild>
    </w:div>
    <w:div w:id="2136825335">
      <w:marLeft w:val="0"/>
      <w:marRight w:val="0"/>
      <w:marTop w:val="80"/>
      <w:marBottom w:val="0"/>
      <w:divBdr>
        <w:top w:val="none" w:sz="0" w:space="0" w:color="auto"/>
        <w:left w:val="none" w:sz="0" w:space="0" w:color="auto"/>
        <w:bottom w:val="none" w:sz="0" w:space="0" w:color="auto"/>
        <w:right w:val="none" w:sz="0" w:space="0" w:color="auto"/>
      </w:divBdr>
    </w:div>
    <w:div w:id="2137523006">
      <w:marLeft w:val="0"/>
      <w:marRight w:val="0"/>
      <w:marTop w:val="0"/>
      <w:marBottom w:val="0"/>
      <w:divBdr>
        <w:top w:val="none" w:sz="0" w:space="0" w:color="auto"/>
        <w:left w:val="none" w:sz="0" w:space="0" w:color="auto"/>
        <w:bottom w:val="none" w:sz="0" w:space="0" w:color="auto"/>
        <w:right w:val="none" w:sz="0" w:space="0" w:color="auto"/>
      </w:divBdr>
    </w:div>
    <w:div w:id="2137983616">
      <w:marLeft w:val="0"/>
      <w:marRight w:val="0"/>
      <w:marTop w:val="160"/>
      <w:marBottom w:val="160"/>
      <w:divBdr>
        <w:top w:val="none" w:sz="0" w:space="0" w:color="auto"/>
        <w:left w:val="none" w:sz="0" w:space="0" w:color="auto"/>
        <w:bottom w:val="none" w:sz="0" w:space="0" w:color="auto"/>
        <w:right w:val="none" w:sz="0" w:space="0" w:color="auto"/>
      </w:divBdr>
    </w:div>
    <w:div w:id="2143189451">
      <w:marLeft w:val="0"/>
      <w:marRight w:val="0"/>
      <w:marTop w:val="0"/>
      <w:marBottom w:val="24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1275158/000127515819000110/exhibit101ndls-firstam.htm" TargetMode="External"/><Relationship Id="rId18" Type="http://schemas.openxmlformats.org/officeDocument/2006/relationships/hyperlink" Target="http://www.sec.gov/Archives/edgar/data/1275158/000127515815000005/exhibit109formofareadevelo.htm" TargetMode="External"/><Relationship Id="rId26" Type="http://schemas.openxmlformats.org/officeDocument/2006/relationships/hyperlink" Target="http://www.sec.gov/Archives/edgar/data/1275158/000127515818000124/a101kenkuickofferletter.htm" TargetMode="External"/><Relationship Id="rId39" Type="http://schemas.openxmlformats.org/officeDocument/2006/relationships/hyperlink" Target="http://www.sec.gov/Archives/edgar/data/1275158/000127515820000084/ex103temporarysalarypr.htm" TargetMode="External"/><Relationship Id="rId21" Type="http://schemas.openxmlformats.org/officeDocument/2006/relationships/hyperlink" Target="http://www.sec.gov/Archives/edgar/data/1275158/000127515817000109/ex108formofrestricteds.htm" TargetMode="External"/><Relationship Id="rId34" Type="http://schemas.openxmlformats.org/officeDocument/2006/relationships/hyperlink" Target="http://www.sec.gov/Archives/edgar/data/1275158/000127515819000010/ex1034amendeddirectorcomp.htm" TargetMode="External"/><Relationship Id="rId42" Type="http://schemas.openxmlformats.org/officeDocument/2006/relationships/hyperlink" Target="http://www.sec.gov/Archives/edgar/data/1275158/000127515820000122/a2020q3ex103staceypool.htm" TargetMode="External"/><Relationship Id="rId47" Type="http://schemas.openxmlformats.org/officeDocument/2006/relationships/hyperlink" Target="a2020q4ex231_eyconsent.htm" TargetMode="External"/><Relationship Id="rId50" Type="http://schemas.openxmlformats.org/officeDocument/2006/relationships/hyperlink" Target="a2020q4exhibit321.htm" TargetMode="External"/><Relationship Id="rId7" Type="http://schemas.openxmlformats.org/officeDocument/2006/relationships/hyperlink" Target="http://www.sec.gov/Archives/edgar/data/1275158/000127515817000006/ex41certificateofdesignati.htm" TargetMode="External"/><Relationship Id="rId2" Type="http://schemas.openxmlformats.org/officeDocument/2006/relationships/settings" Target="settings.xml"/><Relationship Id="rId16" Type="http://schemas.openxmlformats.org/officeDocument/2006/relationships/hyperlink" Target="http://www.sec.gov/Archives/edgar/data/1275158/000127515818000035/exhibit103ndlspledgeag.htm" TargetMode="External"/><Relationship Id="rId29" Type="http://schemas.openxmlformats.org/officeDocument/2006/relationships/hyperlink" Target="http://www.sec.gov/Archives/edgar/data/1275158/000127515817000109/ex104stockoptionagreem.htm" TargetMode="External"/><Relationship Id="rId11" Type="http://schemas.openxmlformats.org/officeDocument/2006/relationships/hyperlink" Target="http://www.sec.gov/Archives/edgar/data/1275158/000104746913006990/a2215619zex-10_2.htm" TargetMode="External"/><Relationship Id="rId24" Type="http://schemas.openxmlformats.org/officeDocument/2006/relationships/hyperlink" Target="http://www.sec.gov/Archives/edgar/data/1275158/000104746913006990/a2215619zex-10_22.htm" TargetMode="External"/><Relationship Id="rId32" Type="http://schemas.openxmlformats.org/officeDocument/2006/relationships/hyperlink" Target="http://www.sec.gov/Archives/edgar/data/1275158/000127515819000010/ex1032melheidmanseverance.htm" TargetMode="External"/><Relationship Id="rId37" Type="http://schemas.openxmlformats.org/officeDocument/2006/relationships/hyperlink" Target="http://www.sec.gov/Archives/edgar/data/1275158/000127515820000014/a2019q4ex1034staceypoo.htm" TargetMode="External"/><Relationship Id="rId40" Type="http://schemas.openxmlformats.org/officeDocument/2006/relationships/hyperlink" Target="http://www.sec.gov/Archives/edgar/data/1275158/000127515820000122/a2020q3ex101daveboenni.htm" TargetMode="External"/><Relationship Id="rId45" Type="http://schemas.openxmlformats.org/officeDocument/2006/relationships/hyperlink" Target="http://www.sec.gov/Archives/edgar/data/1275158/000127515820000126/carllukachofferletter.htm" TargetMode="External"/><Relationship Id="rId5" Type="http://schemas.openxmlformats.org/officeDocument/2006/relationships/hyperlink" Target="http://www.sec.gov/Archives/edgar/data/1275158/000127515815000065/exhibit31secondamendandres.htm" TargetMode="External"/><Relationship Id="rId15" Type="http://schemas.openxmlformats.org/officeDocument/2006/relationships/hyperlink" Target="http://www.sec.gov/Archives/edgar/data/1275158/000127515818000035/exhibit102ndlssecurity.htm" TargetMode="External"/><Relationship Id="rId23" Type="http://schemas.openxmlformats.org/officeDocument/2006/relationships/hyperlink" Target="http://www.sec.gov/Archives/edgar/data/1275158/000127515818000085/ex101formofperformance.htm" TargetMode="External"/><Relationship Id="rId28" Type="http://schemas.openxmlformats.org/officeDocument/2006/relationships/hyperlink" Target="http://www.sec.gov/Archives/edgar/data/1275158/000127515817000020/ex101securitiespurchaseagr.htm" TargetMode="External"/><Relationship Id="rId36" Type="http://schemas.openxmlformats.org/officeDocument/2006/relationships/hyperlink" Target="http://www.sec.gov/Archives/edgar/data/1275158/000127515819000104/a2019q3chashermannexhi.htm" TargetMode="External"/><Relationship Id="rId49" Type="http://schemas.openxmlformats.org/officeDocument/2006/relationships/hyperlink" Target="a2020q4exhibit312.htm" TargetMode="External"/><Relationship Id="rId10" Type="http://schemas.openxmlformats.org/officeDocument/2006/relationships/hyperlink" Target="http://www.sec.gov/Archives/edgar/data/1275158/000104746913006990/a2215619zex-10_1.htm" TargetMode="External"/><Relationship Id="rId19" Type="http://schemas.openxmlformats.org/officeDocument/2006/relationships/hyperlink" Target="http://www.sec.gov/Archives/edgar/data/1275158/000127515815000005/exhibit1010formoffranchise.htm" TargetMode="External"/><Relationship Id="rId31" Type="http://schemas.openxmlformats.org/officeDocument/2006/relationships/hyperlink" Target="http://www.sec.gov/Archives/edgar/data/1275158/000127515817000109/ex106restrictedstockag.htm" TargetMode="External"/><Relationship Id="rId44" Type="http://schemas.openxmlformats.org/officeDocument/2006/relationships/hyperlink" Target="http://www.sec.gov/Archives/edgar/data/1275158/000127515820000126/carllukachemploymentag.htm" TargetMode="External"/><Relationship Id="rId52" Type="http://schemas.openxmlformats.org/officeDocument/2006/relationships/theme" Target="theme/theme1.xml"/><Relationship Id="rId4" Type="http://schemas.openxmlformats.org/officeDocument/2006/relationships/hyperlink" Target="http://www.sec.gov/Archives/edgar/data/1275158/000127515813000005/exhibit31.htm" TargetMode="External"/><Relationship Id="rId9" Type="http://schemas.openxmlformats.org/officeDocument/2006/relationships/hyperlink" Target="ex44descriptionofsec12secu.htm" TargetMode="External"/><Relationship Id="rId14" Type="http://schemas.openxmlformats.org/officeDocument/2006/relationships/hyperlink" Target="http://www.sec.gov/Archives/edgar/data/1275158/000127515820000084/ex104ndls-secondamendm.htm" TargetMode="External"/><Relationship Id="rId22" Type="http://schemas.openxmlformats.org/officeDocument/2006/relationships/hyperlink" Target="http://www.sec.gov/Archives/edgar/data/1275158/000127515817000109/ex109formofnon-employe.htm" TargetMode="External"/><Relationship Id="rId27" Type="http://schemas.openxmlformats.org/officeDocument/2006/relationships/hyperlink" Target="http://www.sec.gov/Archives/edgar/data/1275158/000127515817000020/ex102_letteragreementdated.htm" TargetMode="External"/><Relationship Id="rId30" Type="http://schemas.openxmlformats.org/officeDocument/2006/relationships/hyperlink" Target="http://www.sec.gov/Archives/edgar/data/1275158/000127515817000109/ex105restrictedstockag.htm" TargetMode="External"/><Relationship Id="rId35" Type="http://schemas.openxmlformats.org/officeDocument/2006/relationships/hyperlink" Target="http://www.sec.gov/Archives/edgar/data/1275158/000127515820000084/ex102compensationplanf.htm" TargetMode="External"/><Relationship Id="rId43" Type="http://schemas.openxmlformats.org/officeDocument/2006/relationships/hyperlink" Target="http://www.sec.gov/Archives/edgar/data/1275158/000127515820000122/a2020q3ex104melissahei.htm" TargetMode="External"/><Relationship Id="rId48" Type="http://schemas.openxmlformats.org/officeDocument/2006/relationships/hyperlink" Target="a2020q4exhibit311.htm" TargetMode="External"/><Relationship Id="rId8" Type="http://schemas.openxmlformats.org/officeDocument/2006/relationships/hyperlink" Target="http://www.sec.gov/Archives/edgar/data/1275158/000127515817000006/ex42formofwarranttopurchas.htm" TargetMode="External"/><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sec.gov/Archives/edgar/data/1275158/000127515818000035/exhibit101ndlscreditag.htm" TargetMode="External"/><Relationship Id="rId17" Type="http://schemas.openxmlformats.org/officeDocument/2006/relationships/hyperlink" Target="http://www.sec.gov/Archives/edgar/data/1275158/000104746913006990/a2215619zex-10_15.htm" TargetMode="External"/><Relationship Id="rId25" Type="http://schemas.openxmlformats.org/officeDocument/2006/relationships/hyperlink" Target="http://www.sec.gov/Archives/edgar/data/1275158/000127515817000099/ex101ceoemploymentagreement.htm" TargetMode="External"/><Relationship Id="rId33" Type="http://schemas.openxmlformats.org/officeDocument/2006/relationships/hyperlink" Target="http://www.sec.gov/Archives/edgar/data/1275158/000127515819000010/ex1033kenkuickseverance.htm" TargetMode="External"/><Relationship Id="rId38" Type="http://schemas.openxmlformats.org/officeDocument/2006/relationships/hyperlink" Target="http://www.sec.gov/Archives/edgar/data/1275158/000127515820000014/a2019q4ex1035.htm" TargetMode="External"/><Relationship Id="rId46" Type="http://schemas.openxmlformats.org/officeDocument/2006/relationships/hyperlink" Target="a2020q4ex211_listingofsubs.htm" TargetMode="External"/><Relationship Id="rId20" Type="http://schemas.openxmlformats.org/officeDocument/2006/relationships/hyperlink" Target="http://www.sec.gov/Archives/edgar/data/1275158/000127515817000109/ex107formofstockoption.htm" TargetMode="External"/><Relationship Id="rId41" Type="http://schemas.openxmlformats.org/officeDocument/2006/relationships/hyperlink" Target="http://www.sec.gov/Archives/edgar/data/1275158/000127515820000122/a2020q3ex101daveboenni.htm" TargetMode="External"/><Relationship Id="rId1" Type="http://schemas.openxmlformats.org/officeDocument/2006/relationships/styles" Target="styles.xml"/><Relationship Id="rId6" Type="http://schemas.openxmlformats.org/officeDocument/2006/relationships/hyperlink" Target="http://www.sec.gov/Archives/edgar/data/1275158/000104746913006990/a2215619zex-4_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48914</Words>
  <Characters>278815</Characters>
  <Application>Microsoft Office Word</Application>
  <DocSecurity>0</DocSecurity>
  <Lines>2323</Lines>
  <Paragraphs>654</Paragraphs>
  <ScaleCrop>false</ScaleCrop>
  <Company/>
  <LinksUpToDate>false</LinksUpToDate>
  <CharactersWithSpaces>327075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ndls-20201229</dc:title>
  <dc:subject/>
  <dc:creator>Chongjian.Yue</dc:creator>
  <cp:keywords/>
  <dc:description/>
  <cp:lastModifiedBy>Yue Chongjian</cp:lastModifiedBy>
  <cp:revision>1</cp:revision>
  <dcterms:created xsi:type="dcterms:W3CDTF">2024-01-04T15:56:00Z</dcterms:created>
  <dcterms:modified xsi:type="dcterms:W3CDTF">2024-01-04T15:56:00Z</dcterms:modified>
</cp:coreProperties>
</file>