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E235E">
      <w:pPr>
        <w:divId w:val="140117439"/>
        <w:rPr>
          <w:rFonts w:eastAsia="Times New Roman"/>
          <w:vanish/>
        </w:rPr>
      </w:pPr>
      <w:r>
        <w:rPr>
          <w:rFonts w:eastAsia="Times New Roman"/>
          <w:vanish/>
        </w:rPr>
        <w:t>0001275158false12/282021Q2</w:t>
      </w:r>
      <w:r>
        <w:rPr>
          <w:rFonts w:eastAsia="Times New Roman"/>
          <w:vanish/>
        </w:rPr>
        <w:t>http://fasb.org/us-gaap/2021-01-31#PropertyPlantAndEquipmentAndFinanceLeaseRightOfUseAssetAfterAccumulatedDepreciationAndAmortizationhttp://fasb.org/us-gaap/2021-01-31#PropertyPlantAndEquipmentAndFinanceLeaseRightOfUseAssetAfterAccumulatedDepreciationAndAm</w:t>
      </w:r>
      <w:r>
        <w:rPr>
          <w:rFonts w:eastAsia="Times New Roman"/>
          <w:vanish/>
        </w:rPr>
        <w:t>ortizationhttp://fasb.org/us-gaap/2021-01-31#AccruedLiabilitiesCurrenthttp://fasb.org/us-gaap/2021-01-31#AccruedLiabilitiesCurrenthttp://fasb.org/us-gaap/2021-01-31#OtherLiabilitiesNoncurrenthttp://fasb.org/us-gaap/2021-01-31#OtherLiabilitiesNoncurrent0001</w:t>
      </w:r>
      <w:r>
        <w:rPr>
          <w:rFonts w:eastAsia="Times New Roman"/>
          <w:vanish/>
        </w:rPr>
        <w:t>2751582020-12-302021-06-29xbrli:shares00012751582021-07-30iso4217:USD00012751582021-06-2900012751582020-12-29iso4217:USDxbrli:shares0001275158us-gaap:FoodAndBeverageMember2021-03-312021-06-290001275158us-gaap:FoodAndBeverageMember2020-04-012020-06-30000127</w:t>
      </w:r>
      <w:r>
        <w:rPr>
          <w:rFonts w:eastAsia="Times New Roman"/>
          <w:vanish/>
        </w:rPr>
        <w:t>5158us-gaap:FoodAndBeverageMember2020-12-302021-06-290001275158us-gaap:FoodAndBeverageMember2020-01-012020-06-300001275158us-gaap:FranchiseMember2021-03-312021-06-290001275158us-gaap:FranchiseMember2020-04-012020-06-300001275158us-gaap:FranchiseMember2020-</w:t>
      </w:r>
      <w:r>
        <w:rPr>
          <w:rFonts w:eastAsia="Times New Roman"/>
          <w:vanish/>
        </w:rPr>
        <w:t>12-302021-06-290001275158us-gaap:FranchiseMember2020-01-012020-06-3000012751582021-03-312021-06-2900012751582020-04-012020-06-3000012751582020-01-012020-06-300001275158ndls:LaborMember2021-03-312021-06-290001275158ndls:LaborMember2020-04-012020-06-30000127</w:t>
      </w:r>
      <w:r>
        <w:rPr>
          <w:rFonts w:eastAsia="Times New Roman"/>
          <w:vanish/>
        </w:rPr>
        <w:t>5158ndls:LaborMember2020-12-302021-06-290001275158ndls:LaborMember2020-01-012020-06-300001275158ndls:RestaurantOccupancyMember2021-03-312021-06-290001275158ndls:RestaurantOccupancyMember2020-04-012020-06-300001275158ndls:RestaurantOccupancyMember2020-12-30</w:t>
      </w:r>
      <w:r>
        <w:rPr>
          <w:rFonts w:eastAsia="Times New Roman"/>
          <w:vanish/>
        </w:rPr>
        <w:t>2021-06-290001275158ndls:RestaurantOccupancyMember2020-01-012020-06-300001275158us-gaap:CommonStockMember2021-03-300001275158us-gaap:TreasuryStockMember2021-03-300001275158us-gaap:AdditionalPaidInCapitalMember2021-03-300001275158us-gaap:RetainedEarningsMem</w:t>
      </w:r>
      <w:r>
        <w:rPr>
          <w:rFonts w:eastAsia="Times New Roman"/>
          <w:vanish/>
        </w:rPr>
        <w:t>ber2021-03-3000012751582021-03-300001275158us-gaap:CommonStockMember2021-03-312021-06-290001275158us-gaap:AdditionalPaidInCapitalMember2021-03-312021-06-290001275158us-gaap:RetainedEarningsMember2021-03-312021-06-290001275158us-gaap:CommonStockMember2021-0</w:t>
      </w:r>
      <w:r>
        <w:rPr>
          <w:rFonts w:eastAsia="Times New Roman"/>
          <w:vanish/>
        </w:rPr>
        <w:t>6-290001275158us-gaap:TreasuryStockMember2021-06-290001275158us-gaap:AdditionalPaidInCapitalMember2021-06-290001275158us-gaap:RetainedEarningsMember2021-06-290001275158us-gaap:CommonStockMember2020-03-310001275158us-gaap:TreasuryStockMember2020-03-31000127</w:t>
      </w:r>
      <w:r>
        <w:rPr>
          <w:rFonts w:eastAsia="Times New Roman"/>
          <w:vanish/>
        </w:rPr>
        <w:t>5158us-gaap:AdditionalPaidInCapitalMember2020-03-310001275158us-gaap:RetainedEarningsMember2020-03-3100012751582020-03-310001275158us-gaap:CommonStockMember2020-04-012020-06-300001275158us-gaap:AdditionalPaidInCapitalMember2020-04-012020-06-300001275158us-</w:t>
      </w:r>
      <w:r>
        <w:rPr>
          <w:rFonts w:eastAsia="Times New Roman"/>
          <w:vanish/>
        </w:rPr>
        <w:t>gaap:RetainedEarningsMember2020-04-012020-06-300001275158us-gaap:CommonStockMember2020-06-300001275158us-gaap:TreasuryStockMember2020-06-300001275158us-gaap:AdditionalPaidInCapitalMember2020-06-300001275158us-gaap:RetainedEarningsMember2020-06-300001275158</w:t>
      </w:r>
      <w:r>
        <w:rPr>
          <w:rFonts w:eastAsia="Times New Roman"/>
          <w:vanish/>
        </w:rPr>
        <w:t>2020-06-300001275158us-gaap:CommonStockMember2020-12-290001275158us-gaap:TreasuryStockMember2020-12-290001275158us-gaap:AdditionalPaidInCapitalMember2020-12-290001275158us-gaap:RetainedEarningsMember2020-12-290001275158us-gaap:CommonStockMember2020-12-3020</w:t>
      </w:r>
      <w:r>
        <w:rPr>
          <w:rFonts w:eastAsia="Times New Roman"/>
          <w:vanish/>
        </w:rPr>
        <w:t>21-06-290001275158us-gaap:AdditionalPaidInCapitalMember2020-12-302021-06-290001275158us-gaap:RetainedEarningsMember2020-12-302021-06-290001275158us-gaap:CommonStockMember2019-12-310001275158us-gaap:TreasuryStockMember2019-12-310001275158us-gaap:AdditionalP</w:t>
      </w:r>
      <w:r>
        <w:rPr>
          <w:rFonts w:eastAsia="Times New Roman"/>
          <w:vanish/>
        </w:rPr>
        <w:t>aidInCapitalMember2019-12-310001275158us-gaap:RetainedEarningsMember2019-12-3100012751582019-12-310001275158us-gaap:CommonStockMember2020-01-012020-06-300001275158us-gaap:AdditionalPaidInCapitalMember2020-01-012020-06-300001275158us-gaap:RetainedEarningsMe</w:t>
      </w:r>
      <w:r>
        <w:rPr>
          <w:rFonts w:eastAsia="Times New Roman"/>
          <w:vanish/>
        </w:rPr>
        <w:t>mber2020-01-012020-06-30ndls:restaurantndls:state0001275158us-gaap:EntityOperatedUnitsMember2021-06-290001275158us-gaap:FranchisedUnitsMember2021-06-29ndls:segment0001275158ndls:DeliveryProgramMember2021-06-290001275158ndls:DeliveryProgramMember2020-12-290</w:t>
      </w:r>
      <w:r>
        <w:rPr>
          <w:rFonts w:eastAsia="Times New Roman"/>
          <w:vanish/>
        </w:rPr>
        <w:t>001275158ndls:InsuranceReceivableMember2021-06-290001275158ndls:InsuranceReceivableMember2020-12-290001275158ndls:VendorRebateMember2021-06-290001275158ndls:VendorRebateMember2020-12-290001275158ndls:FranchiseReceivableMember2021-06-290001275158ndls:Franch</w:t>
      </w:r>
      <w:r>
        <w:rPr>
          <w:rFonts w:eastAsia="Times New Roman"/>
          <w:vanish/>
        </w:rPr>
        <w:t>iseReceivableMember2020-12-290001275158ndls:OtherReceivableMember2021-06-290001275158ndls:OtherReceivableMember2020-12-290001275158us-gaap:LeaseholdImprovementsMember2021-06-290001275158us-gaap:LeaseholdImprovementsMember2020-12-290001275158ndls:FurnitureF</w:t>
      </w:r>
      <w:r>
        <w:rPr>
          <w:rFonts w:eastAsia="Times New Roman"/>
          <w:vanish/>
        </w:rPr>
        <w:t>ixturesAndEquipmentMember2021-06-290001275158ndls:FurnitureFixturesAndEquipmentMember2020-12-290001275158us-gaap:ConstructionInProgressMember2021-06-290001275158us-gaap:ConstructionInProgressMember2020-12-290001275158ndls:TwoThousandandEighteenTermLoanFaci</w:t>
      </w:r>
      <w:r>
        <w:rPr>
          <w:rFonts w:eastAsia="Times New Roman"/>
          <w:vanish/>
        </w:rPr>
        <w:t>lityMemberus-gaap:RevolvingCreditFacilityMember2018-05-090001275158ndls:TwoThousandandEighteenCreditFacilityMemberus-gaap:RevolvingCreditFacilityMember2018-05-090001275158us-gaap:LetterOfCreditMemberndls:TwoThousandandEighteenCreditSubfacilityMember2018-05</w:t>
      </w:r>
      <w:r>
        <w:rPr>
          <w:rFonts w:eastAsia="Times New Roman"/>
          <w:vanish/>
        </w:rPr>
        <w:t>-090001275158ndls:TwoThousandandEighteenSwinglineSubfacilityMember2018-05-090001275158ndls:TwoThousandAndEighteenCreditFacilityAmendedMemberus-gaap:RevolvingCreditFacilityMember2019-11-20xbrli:pure0001275158srt:MinimumMemberndls:TwoThousandAndEighteenCredi</w:t>
      </w:r>
      <w:r>
        <w:rPr>
          <w:rFonts w:eastAsia="Times New Roman"/>
          <w:vanish/>
        </w:rPr>
        <w:t>tFacilityAmendedMemberus-gaap:LondonInterbankOfferedRateLIBORMember2019-11-202019-11-200001275158srt:MaximumMemberndls:TwoThousandAndEighteenCreditFacilityAmendedMemberus-gaap:LondonInterbankOfferedRateLIBORMember2019-11-202019-11-200001275158srt:MinimumMe</w:t>
      </w:r>
      <w:r>
        <w:rPr>
          <w:rFonts w:eastAsia="Times New Roman"/>
          <w:vanish/>
        </w:rPr>
        <w:t>mberndls:TwoThousandAndEighteenCreditFacilityAmendedMemberus-gaap:BaseRateMember2019-11-202019-11-200001275158srt:MaximumMemberndls:TwoThousandAndEighteenCreditFacilityAmendedMemberus-gaap:BaseRateMember2019-11-202019-11-200001275158ndls:TwoThousandAndEigh</w:t>
      </w:r>
      <w:r>
        <w:rPr>
          <w:rFonts w:eastAsia="Times New Roman"/>
          <w:vanish/>
        </w:rPr>
        <w:t>teenCreditFacilityAmendedMemberndls:FederalFundsRateMember2019-11-202019-11-200001275158ndls:TwoThousandAndEighteenCreditFacilityAmendedMemberus-gaap:PrimeRateMember2019-11-202019-11-200001275158srt:MinimumMemberndls:TwoThousandAndEighteenCreditFacilityAme</w:t>
      </w:r>
      <w:r>
        <w:rPr>
          <w:rFonts w:eastAsia="Times New Roman"/>
          <w:vanish/>
        </w:rPr>
        <w:t>ndedMember2019-11-202019-11-200001275158srt:MaximumMemberndls:TwoThousandAndEighteenCreditFacilityAmendedMember2019-11-202019-11-200001275158srt:ScenarioForecastMemberndls:TwoThousandAndEighteenCreditFacilitySecondAmendmentMemberus-gaap:LondonInterbankOffe</w:t>
      </w:r>
      <w:r>
        <w:rPr>
          <w:rFonts w:eastAsia="Times New Roman"/>
          <w:vanish/>
        </w:rPr>
        <w:t>redRateLIBORMember2020-06-162021-09-280001275158srt:ScenarioForecastMemberndls:TwoThousandAndEighteenCreditFacilitySecondAmendmentMembersrt:MinimumMemberus-gaap:LondonInterbankOfferedRateLIBORMember2021-09-292024-11-200001275158srt:ScenarioForecastMembernd</w:t>
      </w:r>
      <w:r>
        <w:rPr>
          <w:rFonts w:eastAsia="Times New Roman"/>
          <w:vanish/>
        </w:rPr>
        <w:t>ls:TwoThousandAndEighteenCreditFacilitySecondAmendmentMembersrt:MaximumMemberus-gaap:LondonInterbankOfferedRateLIBORMember2021-09-292024-11-200001275158ndls:TwoThousandAndEighteenCreditFacilitySecondAmendmentMember2020-06-160001275158srt:ScenarioForecastMe</w:t>
      </w:r>
      <w:r>
        <w:rPr>
          <w:rFonts w:eastAsia="Times New Roman"/>
          <w:vanish/>
        </w:rPr>
        <w:t>mber2021-06-302021-09-280001275158srt:ScenarioForecastMember2021-09-292022-09-270001275158srt:ScenarioForecastMember2022-09-282023-10-030001275158srt:ScenarioForecastMember2023-10-042024-11-200001275158srt:MinimumMember2020-12-302021-06-290001275158srt:Max</w:t>
      </w:r>
      <w:r>
        <w:rPr>
          <w:rFonts w:eastAsia="Times New Roman"/>
          <w:vanish/>
        </w:rPr>
        <w:t>imumMember2020-12-302021-06-29ndls:lease00012751582020-12-302021-03-300001275158ndls:AccruedExpensesandOtherCurrentLiabilitiesMember2021-06-290001275158ndls:AccruedExpensesandOtherCurrentLiabilitiesMember2020-12-290001275158ndls:OtherLongtermLiabilitiesMem</w:t>
      </w:r>
      <w:r>
        <w:rPr>
          <w:rFonts w:eastAsia="Times New Roman"/>
          <w:vanish/>
        </w:rPr>
        <w:t>ber2021-06-290001275158ndls:OtherLongtermLiabilitiesMember2020-12-29</w:t>
      </w:r>
    </w:p>
    <w:p w:rsidR="00000000" w:rsidRDefault="003E235E">
      <w:pPr>
        <w:divId w:val="90275618"/>
        <w:rPr>
          <w:rFonts w:eastAsia="Times New Roman"/>
        </w:rPr>
      </w:pPr>
      <w:hyperlink w:anchor="i48000f6fae8946f8b752541bba7287a8_10" w:history="1">
        <w:r>
          <w:rPr>
            <w:rStyle w:val="a3"/>
            <w:rFonts w:eastAsia="Times New Roman"/>
            <w:sz w:val="20"/>
            <w:szCs w:val="20"/>
          </w:rPr>
          <w:t>Table of Contents</w:t>
        </w:r>
      </w:hyperlink>
    </w:p>
    <w:p w:rsidR="00000000" w:rsidRDefault="003E235E">
      <w:pPr>
        <w:jc w:val="center"/>
        <w:rPr>
          <w:rFonts w:eastAsia="Times New Roman"/>
        </w:rPr>
      </w:pPr>
      <w:r>
        <w:rPr>
          <w:rFonts w:eastAsia="Times New Roman"/>
          <w:b/>
          <w:bCs/>
          <w:color w:val="000000"/>
          <w:sz w:val="32"/>
          <w:szCs w:val="32"/>
        </w:rPr>
        <w:t>UNITED STATES</w:t>
      </w:r>
    </w:p>
    <w:p w:rsidR="00000000" w:rsidRDefault="003E235E">
      <w:pPr>
        <w:jc w:val="center"/>
        <w:divId w:val="19622867"/>
        <w:rPr>
          <w:rFonts w:eastAsia="Times New Roman"/>
        </w:rPr>
      </w:pPr>
      <w:r>
        <w:rPr>
          <w:rFonts w:eastAsia="Times New Roman"/>
          <w:b/>
          <w:bCs/>
          <w:color w:val="000000"/>
          <w:sz w:val="32"/>
          <w:szCs w:val="32"/>
        </w:rPr>
        <w:t>SECURITIES AND EXCHANGE COMMISSION</w:t>
      </w:r>
    </w:p>
    <w:p w:rsidR="00000000" w:rsidRDefault="003E235E">
      <w:pPr>
        <w:jc w:val="center"/>
        <w:rPr>
          <w:rFonts w:eastAsia="Times New Roman"/>
        </w:rPr>
      </w:pPr>
      <w:r>
        <w:rPr>
          <w:rFonts w:eastAsia="Times New Roman"/>
          <w:b/>
          <w:bCs/>
          <w:color w:val="000000"/>
          <w:sz w:val="16"/>
          <w:szCs w:val="16"/>
        </w:rPr>
        <w:t>WASHINGTON, DC 20549</w:t>
      </w:r>
    </w:p>
    <w:p w:rsidR="00000000" w:rsidRDefault="003E235E">
      <w:pPr>
        <w:jc w:val="center"/>
        <w:divId w:val="597520396"/>
        <w:rPr>
          <w:rFonts w:eastAsia="Times New Roman"/>
        </w:rPr>
      </w:pPr>
      <w:r>
        <w:rPr>
          <w:rFonts w:eastAsia="Times New Roman"/>
          <w:color w:val="000000"/>
          <w:sz w:val="16"/>
          <w:szCs w:val="16"/>
        </w:rPr>
        <w:t>________________________________________</w:t>
      </w:r>
      <w:r>
        <w:rPr>
          <w:rFonts w:eastAsia="Times New Roman"/>
          <w:color w:val="000000"/>
          <w:sz w:val="16"/>
          <w:szCs w:val="16"/>
        </w:rPr>
        <w:t>_____________________</w:t>
      </w:r>
    </w:p>
    <w:p w:rsidR="00000000" w:rsidRDefault="003E235E">
      <w:pPr>
        <w:jc w:val="center"/>
        <w:rPr>
          <w:rFonts w:eastAsia="Times New Roman"/>
        </w:rPr>
      </w:pPr>
      <w:r>
        <w:rPr>
          <w:rFonts w:eastAsia="Times New Roman"/>
          <w:b/>
          <w:bCs/>
          <w:color w:val="000000"/>
          <w:sz w:val="32"/>
          <w:szCs w:val="32"/>
        </w:rPr>
        <w:t xml:space="preserve">FORM 10-Q </w:t>
      </w:r>
    </w:p>
    <w:p w:rsidR="00000000" w:rsidRDefault="003E235E">
      <w:pPr>
        <w:jc w:val="center"/>
        <w:rPr>
          <w:rFonts w:eastAsia="Times New Roman"/>
        </w:rPr>
      </w:pPr>
      <w:r>
        <w:rPr>
          <w:rFonts w:eastAsia="Times New Roman"/>
          <w:color w:val="000000"/>
          <w:sz w:val="16"/>
          <w:szCs w:val="16"/>
        </w:rPr>
        <w:t>_____________________________________________________________</w:t>
      </w:r>
    </w:p>
    <w:p w:rsidR="00000000" w:rsidRDefault="003E235E">
      <w:pPr>
        <w:ind w:hanging="360"/>
        <w:jc w:val="center"/>
        <w:rPr>
          <w:rFonts w:eastAsia="Times New Roman"/>
        </w:rPr>
      </w:pPr>
    </w:p>
    <w:p w:rsidR="00000000" w:rsidRDefault="003E235E">
      <w:pPr>
        <w:divId w:val="421688303"/>
        <w:rPr>
          <w:rFonts w:eastAsia="Times New Roman"/>
        </w:rPr>
      </w:pPr>
    </w:p>
    <w:p w:rsidR="00000000" w:rsidRDefault="003E235E">
      <w:pPr>
        <w:jc w:val="center"/>
        <w:rPr>
          <w:rFonts w:eastAsia="Times New Roman"/>
        </w:rPr>
      </w:pPr>
      <w:r>
        <w:rPr>
          <w:rFonts w:eastAsia="Times New Roman"/>
          <w:b/>
          <w:bCs/>
          <w:color w:val="000000"/>
          <w:sz w:val="6"/>
          <w:szCs w:val="6"/>
        </w:rPr>
        <w:t>    </w:t>
      </w:r>
      <w:r>
        <w:rPr>
          <w:rFonts w:ascii="Segoe UI Symbol" w:eastAsia="Times New Roman" w:hAnsi="Segoe UI Symbol" w:cs="Segoe UI Symbol"/>
          <w:color w:val="000000"/>
        </w:rPr>
        <w:t>☒</w:t>
      </w:r>
      <w:r>
        <w:rPr>
          <w:rFonts w:eastAsia="Times New Roman"/>
          <w:b/>
          <w:bCs/>
          <w:color w:val="000000"/>
          <w:sz w:val="6"/>
          <w:szCs w:val="6"/>
        </w:rPr>
        <w:t>   </w:t>
      </w:r>
      <w:r>
        <w:rPr>
          <w:rFonts w:eastAsia="Times New Roman"/>
          <w:b/>
          <w:bCs/>
          <w:color w:val="000000"/>
        </w:rPr>
        <w:t xml:space="preserve"> </w:t>
      </w:r>
      <w:r>
        <w:rPr>
          <w:rFonts w:eastAsia="Times New Roman"/>
          <w:b/>
          <w:bCs/>
          <w:color w:val="000000"/>
          <w:sz w:val="20"/>
          <w:szCs w:val="20"/>
        </w:rPr>
        <w:t>QUARTERLY REPORT PURSUANT TO SECTION 13 OR 15(d) OF THE SECURITIES EXCHANGE ACT OF 1934</w:t>
      </w:r>
      <w:r>
        <w:rPr>
          <w:rFonts w:eastAsia="Times New Roman"/>
          <w:color w:val="000000"/>
          <w:sz w:val="20"/>
          <w:szCs w:val="20"/>
        </w:rPr>
        <w:t> </w:t>
      </w:r>
    </w:p>
    <w:p w:rsidR="00000000" w:rsidRDefault="003E235E">
      <w:pPr>
        <w:jc w:val="center"/>
        <w:divId w:val="928126553"/>
        <w:rPr>
          <w:rFonts w:eastAsia="Times New Roman"/>
        </w:rPr>
      </w:pPr>
      <w:r>
        <w:rPr>
          <w:rFonts w:eastAsia="Times New Roman"/>
          <w:b/>
          <w:bCs/>
          <w:color w:val="000000"/>
          <w:sz w:val="20"/>
          <w:szCs w:val="20"/>
        </w:rPr>
        <w:t xml:space="preserve">For the quarterly period ended June 29, 2021 </w:t>
      </w:r>
    </w:p>
    <w:p w:rsidR="00000000" w:rsidRDefault="003E235E">
      <w:pPr>
        <w:jc w:val="center"/>
        <w:divId w:val="1935170239"/>
        <w:rPr>
          <w:rFonts w:eastAsia="Times New Roman"/>
        </w:rPr>
      </w:pPr>
      <w:r>
        <w:rPr>
          <w:rFonts w:eastAsia="Times New Roman"/>
          <w:b/>
          <w:bCs/>
          <w:color w:val="000000"/>
          <w:sz w:val="20"/>
          <w:szCs w:val="20"/>
        </w:rPr>
        <w:t>or</w:t>
      </w:r>
    </w:p>
    <w:p w:rsidR="00000000" w:rsidRDefault="003E235E">
      <w:pPr>
        <w:jc w:val="center"/>
        <w:divId w:val="1694765139"/>
        <w:rPr>
          <w:rFonts w:eastAsia="Times New Roman"/>
        </w:rPr>
      </w:pPr>
      <w:r>
        <w:rPr>
          <w:rFonts w:eastAsia="Times New Roman"/>
          <w:color w:val="000000"/>
          <w:sz w:val="6"/>
          <w:szCs w:val="6"/>
        </w:rPr>
        <w:t>    </w:t>
      </w:r>
      <w:r>
        <w:rPr>
          <w:rFonts w:ascii="Segoe UI Symbol" w:eastAsia="Times New Roman" w:hAnsi="Segoe UI Symbol" w:cs="Segoe UI Symbol"/>
          <w:color w:val="000000"/>
        </w:rPr>
        <w:t>☐</w:t>
      </w:r>
      <w:r>
        <w:rPr>
          <w:rFonts w:ascii="Wingdings" w:eastAsia="Times New Roman" w:hAnsi="Wingdings"/>
          <w:b/>
          <w:bCs/>
          <w:color w:val="000000"/>
        </w:rPr>
        <w:t xml:space="preserve"> </w:t>
      </w:r>
      <w:r>
        <w:rPr>
          <w:rFonts w:eastAsia="Times New Roman"/>
          <w:b/>
          <w:bCs/>
          <w:color w:val="000000"/>
          <w:sz w:val="20"/>
          <w:szCs w:val="20"/>
        </w:rPr>
        <w:t>TRANSITION REPORT PURSUANT TO SECTION 13 OR 15(d) OF THE SECURITIES EXCHANGE ACT OF 1934</w:t>
      </w:r>
    </w:p>
    <w:p w:rsidR="00000000" w:rsidRDefault="003E235E">
      <w:pPr>
        <w:jc w:val="center"/>
        <w:divId w:val="1097291999"/>
        <w:rPr>
          <w:rFonts w:eastAsia="Times New Roman"/>
        </w:rPr>
      </w:pPr>
      <w:r>
        <w:rPr>
          <w:rFonts w:eastAsia="Times New Roman"/>
          <w:b/>
          <w:bCs/>
          <w:color w:val="000000"/>
          <w:sz w:val="20"/>
          <w:szCs w:val="20"/>
        </w:rPr>
        <w:t>For the transition period from             to            </w:t>
      </w:r>
    </w:p>
    <w:p w:rsidR="00000000" w:rsidRDefault="003E235E">
      <w:pPr>
        <w:jc w:val="center"/>
        <w:divId w:val="346713656"/>
        <w:rPr>
          <w:rFonts w:eastAsia="Times New Roman"/>
        </w:rPr>
      </w:pPr>
      <w:r>
        <w:rPr>
          <w:rFonts w:eastAsia="Times New Roman"/>
          <w:b/>
          <w:bCs/>
          <w:color w:val="000000"/>
          <w:sz w:val="20"/>
          <w:szCs w:val="20"/>
        </w:rPr>
        <w:t xml:space="preserve">Commission File Number: 001-35987 </w:t>
      </w:r>
    </w:p>
    <w:p w:rsidR="00000000" w:rsidRDefault="003E235E">
      <w:pPr>
        <w:jc w:val="center"/>
        <w:rPr>
          <w:rFonts w:eastAsia="Times New Roman"/>
        </w:rPr>
      </w:pPr>
      <w:r>
        <w:rPr>
          <w:rFonts w:eastAsia="Times New Roman"/>
          <w:color w:val="000000"/>
          <w:sz w:val="16"/>
          <w:szCs w:val="16"/>
        </w:rPr>
        <w:t>___________________________________________________________</w:t>
      </w:r>
    </w:p>
    <w:p w:rsidR="00000000" w:rsidRDefault="003E235E">
      <w:pPr>
        <w:jc w:val="center"/>
        <w:divId w:val="330910785"/>
        <w:rPr>
          <w:rFonts w:eastAsia="Times New Roman"/>
        </w:rPr>
      </w:pPr>
      <w:r>
        <w:rPr>
          <w:rFonts w:eastAsia="Times New Roman"/>
          <w:b/>
          <w:bCs/>
          <w:color w:val="000000"/>
          <w:sz w:val="32"/>
          <w:szCs w:val="32"/>
        </w:rPr>
        <w:t>NOODLES &amp; COMP</w:t>
      </w:r>
      <w:r>
        <w:rPr>
          <w:rFonts w:eastAsia="Times New Roman"/>
          <w:b/>
          <w:bCs/>
          <w:color w:val="000000"/>
          <w:sz w:val="32"/>
          <w:szCs w:val="32"/>
        </w:rPr>
        <w:t xml:space="preserve">ANY </w:t>
      </w:r>
    </w:p>
    <w:p w:rsidR="00000000" w:rsidRDefault="003E235E">
      <w:pPr>
        <w:jc w:val="center"/>
        <w:divId w:val="1777599012"/>
        <w:rPr>
          <w:rFonts w:eastAsia="Times New Roman"/>
        </w:rPr>
      </w:pPr>
      <w:r>
        <w:rPr>
          <w:rFonts w:eastAsia="Times New Roman"/>
          <w:color w:val="000000"/>
          <w:sz w:val="16"/>
          <w:szCs w:val="16"/>
        </w:rPr>
        <w:t>(Exact name of registrant as specified in its charter)</w:t>
      </w:r>
    </w:p>
    <w:p w:rsidR="00000000" w:rsidRDefault="003E235E">
      <w:pPr>
        <w:jc w:val="center"/>
        <w:rPr>
          <w:rFonts w:eastAsia="Times New Roman"/>
        </w:rPr>
      </w:pPr>
      <w:r>
        <w:rPr>
          <w:rFonts w:eastAsia="Times New Roman"/>
          <w:color w:val="000000"/>
          <w:sz w:val="16"/>
          <w:szCs w:val="16"/>
        </w:rPr>
        <w:t>_____________________________________________________________</w:t>
      </w:r>
    </w:p>
    <w:tbl>
      <w:tblPr>
        <w:tblW w:w="5000" w:type="pct"/>
        <w:jc w:val="center"/>
        <w:tblCellMar>
          <w:top w:w="15" w:type="dxa"/>
          <w:left w:w="15" w:type="dxa"/>
          <w:bottom w:w="15" w:type="dxa"/>
          <w:right w:w="15" w:type="dxa"/>
        </w:tblCellMar>
        <w:tblLook w:val="04A0" w:firstRow="1" w:lastRow="0" w:firstColumn="1" w:lastColumn="0" w:noHBand="0" w:noVBand="1"/>
      </w:tblPr>
      <w:tblGrid>
        <w:gridCol w:w="61"/>
        <w:gridCol w:w="3930"/>
        <w:gridCol w:w="36"/>
        <w:gridCol w:w="36"/>
        <w:gridCol w:w="179"/>
        <w:gridCol w:w="36"/>
        <w:gridCol w:w="61"/>
        <w:gridCol w:w="3931"/>
        <w:gridCol w:w="36"/>
      </w:tblGrid>
      <w:tr w:rsidR="00000000">
        <w:trPr>
          <w:divId w:val="1993829999"/>
          <w:jc w:val="center"/>
        </w:trPr>
        <w:tc>
          <w:tcPr>
            <w:tcW w:w="50" w:type="pct"/>
            <w:vAlign w:val="center"/>
            <w:hideMark/>
          </w:tcPr>
          <w:p w:rsidR="00000000" w:rsidRDefault="003E235E">
            <w:pPr>
              <w:jc w:val="center"/>
              <w:rPr>
                <w:rFonts w:eastAsia="Times New Roman"/>
              </w:rPr>
            </w:pPr>
          </w:p>
        </w:tc>
        <w:tc>
          <w:tcPr>
            <w:tcW w:w="2379"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121"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2379"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r>
      <w:tr w:rsidR="00000000">
        <w:trPr>
          <w:divId w:val="1993829999"/>
          <w:jc w:val="center"/>
        </w:trPr>
        <w:tc>
          <w:tcPr>
            <w:tcW w:w="0" w:type="auto"/>
            <w:gridSpan w:val="3"/>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20"/>
                <w:szCs w:val="20"/>
              </w:rPr>
              <w:t>Delaware</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20"/>
                <w:szCs w:val="20"/>
              </w:rPr>
              <w:t>84-1303469</w:t>
            </w:r>
          </w:p>
        </w:tc>
      </w:tr>
      <w:tr w:rsidR="00000000">
        <w:trPr>
          <w:divId w:val="1993829999"/>
          <w:jc w:val="center"/>
        </w:trPr>
        <w:tc>
          <w:tcPr>
            <w:tcW w:w="0" w:type="auto"/>
            <w:gridSpan w:val="3"/>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color w:val="000000"/>
                <w:sz w:val="20"/>
                <w:szCs w:val="20"/>
              </w:rPr>
              <w:t>(State or other jurisdiction of incorporation or organization)</w:t>
            </w:r>
          </w:p>
        </w:tc>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
                <w:szCs w:val="2"/>
              </w:rPr>
              <w:t> </w:t>
            </w:r>
          </w:p>
        </w:tc>
        <w:tc>
          <w:tcPr>
            <w:tcW w:w="0" w:type="auto"/>
            <w:gridSpan w:val="3"/>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color w:val="000000"/>
                <w:sz w:val="20"/>
                <w:szCs w:val="20"/>
              </w:rPr>
              <w:t>(I.R.S. Employer Identification No.)</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61"/>
        <w:gridCol w:w="3930"/>
        <w:gridCol w:w="37"/>
        <w:gridCol w:w="36"/>
        <w:gridCol w:w="179"/>
        <w:gridCol w:w="36"/>
        <w:gridCol w:w="61"/>
        <w:gridCol w:w="3930"/>
        <w:gridCol w:w="36"/>
      </w:tblGrid>
      <w:tr w:rsidR="00000000">
        <w:trPr>
          <w:jc w:val="center"/>
        </w:trPr>
        <w:tc>
          <w:tcPr>
            <w:tcW w:w="50" w:type="pct"/>
            <w:vAlign w:val="center"/>
            <w:hideMark/>
          </w:tcPr>
          <w:p w:rsidR="00000000" w:rsidRDefault="003E235E">
            <w:pPr>
              <w:jc w:val="center"/>
              <w:rPr>
                <w:rFonts w:eastAsia="Times New Roman"/>
              </w:rPr>
            </w:pPr>
          </w:p>
        </w:tc>
        <w:tc>
          <w:tcPr>
            <w:tcW w:w="2379"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121"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2379"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20"/>
                <w:szCs w:val="20"/>
              </w:rPr>
              <w:t>520 Zang Street, Suite D</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2"/>
                <w:szCs w:val="2"/>
              </w:rPr>
              <w:t> </w:t>
            </w:r>
          </w:p>
        </w:tc>
      </w:tr>
      <w:tr w:rsidR="00000000">
        <w:trPr>
          <w:jc w:val="center"/>
        </w:trPr>
        <w:tc>
          <w:tcPr>
            <w:tcW w:w="0" w:type="auto"/>
            <w:gridSpan w:val="3"/>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20"/>
                <w:szCs w:val="20"/>
              </w:rPr>
              <w:t>Broomfield, CO</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20"/>
                <w:szCs w:val="20"/>
              </w:rPr>
              <w:t>80021</w:t>
            </w:r>
          </w:p>
        </w:tc>
      </w:tr>
      <w:tr w:rsidR="00000000">
        <w:trPr>
          <w:jc w:val="center"/>
        </w:trPr>
        <w:tc>
          <w:tcPr>
            <w:tcW w:w="0" w:type="auto"/>
            <w:gridSpan w:val="3"/>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color w:val="000000"/>
                <w:sz w:val="20"/>
                <w:szCs w:val="20"/>
              </w:rPr>
              <w:t>(Address of principal executive offices)</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color w:val="000000"/>
                <w:sz w:val="20"/>
                <w:szCs w:val="20"/>
              </w:rPr>
              <w:t>(Zip Code)</w:t>
            </w:r>
          </w:p>
        </w:tc>
      </w:tr>
    </w:tbl>
    <w:p w:rsidR="00000000" w:rsidRDefault="003E235E">
      <w:pPr>
        <w:jc w:val="center"/>
        <w:rPr>
          <w:rFonts w:eastAsia="Times New Roman"/>
        </w:rPr>
      </w:pPr>
    </w:p>
    <w:p w:rsidR="00000000" w:rsidRDefault="003E235E">
      <w:pPr>
        <w:jc w:val="center"/>
        <w:rPr>
          <w:rFonts w:eastAsia="Times New Roman"/>
        </w:rPr>
      </w:pPr>
      <w:r>
        <w:rPr>
          <w:rFonts w:eastAsia="Times New Roman"/>
          <w:b/>
          <w:bCs/>
          <w:color w:val="000000"/>
          <w:sz w:val="20"/>
          <w:szCs w:val="20"/>
        </w:rPr>
        <w:t>(720) 214-1900</w:t>
      </w:r>
    </w:p>
    <w:p w:rsidR="00000000" w:rsidRDefault="003E235E">
      <w:pPr>
        <w:jc w:val="center"/>
        <w:rPr>
          <w:rFonts w:eastAsia="Times New Roman"/>
        </w:rPr>
      </w:pPr>
      <w:r>
        <w:rPr>
          <w:rFonts w:eastAsia="Times New Roman"/>
          <w:color w:val="000000"/>
          <w:sz w:val="16"/>
          <w:szCs w:val="16"/>
        </w:rPr>
        <w:t>(Registrant’s telephone number, including area code)</w:t>
      </w:r>
    </w:p>
    <w:p w:rsidR="00000000" w:rsidRDefault="003E235E">
      <w:pPr>
        <w:jc w:val="center"/>
        <w:rPr>
          <w:rFonts w:eastAsia="Times New Roman"/>
        </w:rPr>
      </w:pPr>
      <w:r>
        <w:rPr>
          <w:rFonts w:eastAsia="Times New Roman"/>
          <w:color w:val="000000"/>
          <w:sz w:val="16"/>
          <w:szCs w:val="16"/>
        </w:rPr>
        <w:t>(Former name, former address and former fiscal year, if changed since last report)</w:t>
      </w:r>
    </w:p>
    <w:p w:rsidR="00000000" w:rsidRDefault="003E235E">
      <w:pPr>
        <w:jc w:val="center"/>
        <w:rPr>
          <w:rFonts w:eastAsia="Times New Roman"/>
        </w:rPr>
      </w:pPr>
    </w:p>
    <w:p w:rsidR="00000000" w:rsidRDefault="003E235E">
      <w:pPr>
        <w:jc w:val="center"/>
        <w:rPr>
          <w:rFonts w:eastAsia="Times New Roman"/>
        </w:rPr>
      </w:pPr>
      <w:r>
        <w:rPr>
          <w:rFonts w:eastAsia="Times New Roman"/>
          <w:color w:val="000000"/>
          <w:sz w:val="16"/>
          <w:szCs w:val="16"/>
        </w:rPr>
        <w:t>Securities registered pursuant to Section 12(b) of the Act.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3015"/>
        <w:gridCol w:w="37"/>
        <w:gridCol w:w="69"/>
        <w:gridCol w:w="1606"/>
        <w:gridCol w:w="36"/>
        <w:gridCol w:w="69"/>
        <w:gridCol w:w="3356"/>
        <w:gridCol w:w="36"/>
      </w:tblGrid>
      <w:tr w:rsidR="00000000">
        <w:trPr>
          <w:jc w:val="center"/>
        </w:trPr>
        <w:tc>
          <w:tcPr>
            <w:tcW w:w="50" w:type="pct"/>
            <w:vAlign w:val="center"/>
            <w:hideMark/>
          </w:tcPr>
          <w:p w:rsidR="00000000" w:rsidRDefault="003E235E">
            <w:pPr>
              <w:jc w:val="center"/>
              <w:rPr>
                <w:rFonts w:eastAsia="Times New Roman"/>
              </w:rPr>
            </w:pPr>
          </w:p>
        </w:tc>
        <w:tc>
          <w:tcPr>
            <w:tcW w:w="18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977"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2031"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color w:val="000000"/>
                <w:sz w:val="16"/>
                <w:szCs w:val="16"/>
              </w:rPr>
              <w:t>Title of each class</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color w:val="000000"/>
                <w:sz w:val="16"/>
                <w:szCs w:val="16"/>
              </w:rPr>
              <w:t>Trading Symbol</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color w:val="000000"/>
                <w:sz w:val="16"/>
                <w:szCs w:val="16"/>
              </w:rPr>
              <w:t>Name of each exchange on which registered</w:t>
            </w:r>
          </w:p>
        </w:tc>
      </w:tr>
      <w:tr w:rsidR="00000000">
        <w:trPr>
          <w:jc w:val="center"/>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color w:val="000000"/>
                <w:sz w:val="16"/>
                <w:szCs w:val="16"/>
              </w:rPr>
              <w:t>Class A Common Stock, $0.01 par value per share</w:t>
            </w: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color w:val="000000"/>
                <w:sz w:val="16"/>
                <w:szCs w:val="16"/>
              </w:rPr>
              <w:t>NDLS</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color w:val="000000"/>
                <w:sz w:val="16"/>
                <w:szCs w:val="16"/>
              </w:rPr>
              <w:t>Nasdaq Global Select Market</w:t>
            </w:r>
          </w:p>
        </w:tc>
      </w:tr>
    </w:tbl>
    <w:p w:rsidR="00000000" w:rsidRDefault="003E235E">
      <w:pPr>
        <w:jc w:val="center"/>
        <w:rPr>
          <w:rFonts w:eastAsia="Times New Roman"/>
        </w:rPr>
      </w:pPr>
      <w:r>
        <w:rPr>
          <w:rFonts w:eastAsia="Times New Roman"/>
          <w:color w:val="000000"/>
          <w:sz w:val="16"/>
          <w:szCs w:val="16"/>
        </w:rPr>
        <w:t> </w:t>
      </w:r>
    </w:p>
    <w:p w:rsidR="00000000" w:rsidRDefault="003E235E">
      <w:pPr>
        <w:ind w:firstLine="270"/>
        <w:divId w:val="908463178"/>
        <w:rPr>
          <w:rFonts w:eastAsia="Times New Roman"/>
        </w:rPr>
      </w:pPr>
      <w:r>
        <w:rPr>
          <w:rFonts w:eastAsia="Times New Roman"/>
          <w:color w:val="000000"/>
          <w:sz w:val="16"/>
          <w:szCs w:val="16"/>
        </w:rPr>
        <w:t>Indicate by check mark whether the registrant (1) </w:t>
      </w:r>
      <w:r>
        <w:rPr>
          <w:rFonts w:eastAsia="Times New Roman"/>
          <w:color w:val="000000"/>
          <w:sz w:val="16"/>
          <w:szCs w:val="16"/>
        </w:rPr>
        <w:t>has filed all reports required to be filed by Section 13 or 15(d) of the Securities Exchange Act of 1934 during the preceding 12 months (or for such shorter period that the registrant was required to file such reports), and (2) has been subject to such fil</w:t>
      </w:r>
      <w:r>
        <w:rPr>
          <w:rFonts w:eastAsia="Times New Roman"/>
          <w:color w:val="000000"/>
          <w:sz w:val="16"/>
          <w:szCs w:val="16"/>
        </w:rPr>
        <w:t>ing requirements for the past 90 days.  Yes </w:t>
      </w:r>
      <w:r>
        <w:rPr>
          <w:rFonts w:ascii="Wingdings" w:eastAsia="Times New Roman" w:hAnsi="Wingdings"/>
          <w:color w:val="000000"/>
          <w:sz w:val="16"/>
          <w:szCs w:val="16"/>
        </w:rPr>
        <w:t xml:space="preserve"> </w:t>
      </w:r>
      <w:r>
        <w:rPr>
          <w:rFonts w:ascii="Segoe UI Symbol" w:eastAsia="Times New Roman" w:hAnsi="Segoe UI Symbol" w:cs="Segoe UI Symbol"/>
          <w:color w:val="000000"/>
          <w:sz w:val="16"/>
          <w:szCs w:val="16"/>
        </w:rPr>
        <w:t>☒</w:t>
      </w:r>
      <w:r>
        <w:rPr>
          <w:rFonts w:ascii="Wingdings" w:eastAsia="Times New Roman" w:hAnsi="Wingdings"/>
          <w:color w:val="000000"/>
          <w:sz w:val="16"/>
          <w:szCs w:val="16"/>
        </w:rPr>
        <w:t xml:space="preserve"> </w:t>
      </w:r>
      <w:r>
        <w:rPr>
          <w:rFonts w:eastAsia="Times New Roman"/>
          <w:color w:val="000000"/>
          <w:sz w:val="16"/>
          <w:szCs w:val="16"/>
        </w:rPr>
        <w:t>No </w:t>
      </w:r>
      <w:r>
        <w:rPr>
          <w:rFonts w:ascii="Segoe UI Symbol" w:eastAsia="Times New Roman" w:hAnsi="Segoe UI Symbol" w:cs="Segoe UI Symbol"/>
          <w:color w:val="000000"/>
          <w:sz w:val="16"/>
          <w:szCs w:val="16"/>
        </w:rPr>
        <w:t>☐</w:t>
      </w:r>
      <w:r>
        <w:rPr>
          <w:rFonts w:ascii="Wingdings" w:eastAsia="Times New Roman" w:hAnsi="Wingdings"/>
          <w:color w:val="000000"/>
          <w:sz w:val="16"/>
          <w:szCs w:val="16"/>
        </w:rPr>
        <w:t xml:space="preserve"> </w:t>
      </w:r>
    </w:p>
    <w:p w:rsidR="00000000" w:rsidRDefault="003E235E">
      <w:pPr>
        <w:ind w:firstLine="270"/>
        <w:divId w:val="279380698"/>
        <w:rPr>
          <w:rFonts w:eastAsia="Times New Roman"/>
        </w:rPr>
      </w:pPr>
      <w:r>
        <w:rPr>
          <w:rFonts w:eastAsia="Times New Roman"/>
          <w:color w:val="000000"/>
          <w:sz w:val="16"/>
          <w:szCs w:val="16"/>
        </w:rPr>
        <w:t> </w:t>
      </w:r>
    </w:p>
    <w:p w:rsidR="00000000" w:rsidRDefault="003E235E">
      <w:pPr>
        <w:ind w:firstLine="270"/>
        <w:divId w:val="2102867224"/>
        <w:rPr>
          <w:rFonts w:eastAsia="Times New Roman"/>
        </w:rPr>
      </w:pPr>
      <w:r>
        <w:rPr>
          <w:rFonts w:eastAsia="Times New Roman"/>
          <w:color w:val="000000"/>
          <w:sz w:val="16"/>
          <w:szCs w:val="16"/>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eastAsia="Times New Roman"/>
          <w:color w:val="000000"/>
          <w:sz w:val="16"/>
          <w:szCs w:val="16"/>
        </w:rPr>
        <w:t>t the registrant was required to submit such files).  </w:t>
      </w:r>
    </w:p>
    <w:p w:rsidR="00000000" w:rsidRDefault="003E235E">
      <w:pPr>
        <w:ind w:firstLine="270"/>
        <w:divId w:val="2026008746"/>
        <w:rPr>
          <w:rFonts w:eastAsia="Times New Roman"/>
        </w:rPr>
      </w:pPr>
      <w:r>
        <w:rPr>
          <w:rFonts w:eastAsia="Times New Roman"/>
          <w:color w:val="000000"/>
          <w:sz w:val="16"/>
          <w:szCs w:val="16"/>
        </w:rPr>
        <w:t>Yes </w:t>
      </w:r>
      <w:r>
        <w:rPr>
          <w:rFonts w:ascii="Wingdings" w:eastAsia="Times New Roman" w:hAnsi="Wingdings"/>
          <w:color w:val="000000"/>
          <w:sz w:val="16"/>
          <w:szCs w:val="16"/>
        </w:rPr>
        <w:t xml:space="preserve"> </w:t>
      </w:r>
      <w:r>
        <w:rPr>
          <w:rFonts w:ascii="Segoe UI Symbol" w:eastAsia="Times New Roman" w:hAnsi="Segoe UI Symbol" w:cs="Segoe UI Symbol"/>
          <w:color w:val="000000"/>
          <w:sz w:val="16"/>
          <w:szCs w:val="16"/>
        </w:rPr>
        <w:t>☒</w:t>
      </w:r>
      <w:r>
        <w:rPr>
          <w:rFonts w:ascii="Wingdings" w:eastAsia="Times New Roman" w:hAnsi="Wingdings"/>
          <w:color w:val="000000"/>
          <w:sz w:val="16"/>
          <w:szCs w:val="16"/>
        </w:rPr>
        <w:t xml:space="preserve"> </w:t>
      </w:r>
      <w:r>
        <w:rPr>
          <w:rFonts w:eastAsia="Times New Roman"/>
          <w:color w:val="000000"/>
          <w:sz w:val="16"/>
          <w:szCs w:val="16"/>
        </w:rPr>
        <w:t>No </w:t>
      </w:r>
      <w:r>
        <w:rPr>
          <w:rFonts w:ascii="Segoe UI Symbol" w:eastAsia="Times New Roman" w:hAnsi="Segoe UI Symbol" w:cs="Segoe UI Symbol"/>
          <w:color w:val="000000"/>
          <w:sz w:val="16"/>
          <w:szCs w:val="16"/>
        </w:rPr>
        <w:t>☐</w:t>
      </w:r>
    </w:p>
    <w:p w:rsidR="00000000" w:rsidRDefault="003E235E">
      <w:pPr>
        <w:ind w:firstLine="270"/>
        <w:divId w:val="1109929500"/>
        <w:rPr>
          <w:rFonts w:eastAsia="Times New Roman"/>
        </w:rPr>
      </w:pPr>
    </w:p>
    <w:p w:rsidR="00000000" w:rsidRDefault="003E235E">
      <w:pPr>
        <w:ind w:firstLine="270"/>
        <w:divId w:val="1796438009"/>
        <w:rPr>
          <w:rFonts w:eastAsia="Times New Roman"/>
        </w:rPr>
      </w:pPr>
      <w:r>
        <w:rPr>
          <w:rFonts w:eastAsia="Times New Roman"/>
          <w:color w:val="000000"/>
          <w:sz w:val="16"/>
          <w:szCs w:val="16"/>
        </w:rPr>
        <w:lastRenderedPageBreak/>
        <w:t>Indicate by check mark whether the registrant is a large accelerated filer, an accelerated filer, a non-accelerated filer, or a smaller reporting company.  See the definitions of “large a</w:t>
      </w:r>
      <w:r>
        <w:rPr>
          <w:rFonts w:eastAsia="Times New Roman"/>
          <w:color w:val="000000"/>
          <w:sz w:val="16"/>
          <w:szCs w:val="16"/>
        </w:rPr>
        <w:t>ccelerated filer,” “accelerated filer,” “smaller reporting company,” and “emerging growth company” in Rule 12b-2 of the Exchange Act.</w:t>
      </w:r>
    </w:p>
    <w:tbl>
      <w:tblPr>
        <w:tblW w:w="10275" w:type="dxa"/>
        <w:jc w:val="center"/>
        <w:tblCellMar>
          <w:top w:w="15" w:type="dxa"/>
          <w:left w:w="15" w:type="dxa"/>
          <w:bottom w:w="15" w:type="dxa"/>
          <w:right w:w="15" w:type="dxa"/>
        </w:tblCellMar>
        <w:tblLook w:val="04A0" w:firstRow="1" w:lastRow="0" w:firstColumn="1" w:lastColumn="0" w:noHBand="0" w:noVBand="1"/>
      </w:tblPr>
      <w:tblGrid>
        <w:gridCol w:w="36"/>
        <w:gridCol w:w="4079"/>
        <w:gridCol w:w="36"/>
        <w:gridCol w:w="36"/>
        <w:gridCol w:w="243"/>
        <w:gridCol w:w="36"/>
        <w:gridCol w:w="36"/>
        <w:gridCol w:w="1271"/>
        <w:gridCol w:w="36"/>
        <w:gridCol w:w="36"/>
        <w:gridCol w:w="4079"/>
        <w:gridCol w:w="36"/>
        <w:gridCol w:w="36"/>
        <w:gridCol w:w="243"/>
        <w:gridCol w:w="36"/>
      </w:tblGrid>
      <w:tr w:rsidR="00000000">
        <w:trPr>
          <w:divId w:val="387267621"/>
          <w:jc w:val="center"/>
        </w:trPr>
        <w:tc>
          <w:tcPr>
            <w:tcW w:w="20" w:type="dxa"/>
            <w:vAlign w:val="center"/>
            <w:hideMark/>
          </w:tcPr>
          <w:p w:rsidR="00000000" w:rsidRDefault="003E235E">
            <w:pPr>
              <w:ind w:firstLine="270"/>
              <w:rPr>
                <w:rFonts w:eastAsia="Times New Roman"/>
              </w:rPr>
            </w:pPr>
          </w:p>
        </w:tc>
        <w:tc>
          <w:tcPr>
            <w:tcW w:w="4145" w:type="dxa"/>
            <w:vAlign w:val="center"/>
            <w:hideMark/>
          </w:tcPr>
          <w:p w:rsidR="00000000" w:rsidRDefault="003E235E">
            <w:pPr>
              <w:spacing w:after="100"/>
              <w:rPr>
                <w:rFonts w:eastAsia="Times New Roman"/>
                <w:sz w:val="20"/>
                <w:szCs w:val="20"/>
              </w:rPr>
            </w:pPr>
          </w:p>
        </w:tc>
        <w:tc>
          <w:tcPr>
            <w:tcW w:w="20" w:type="dxa"/>
            <w:vAlign w:val="center"/>
            <w:hideMark/>
          </w:tcPr>
          <w:p w:rsidR="00000000" w:rsidRDefault="003E235E">
            <w:pPr>
              <w:spacing w:after="100"/>
              <w:rPr>
                <w:rFonts w:eastAsia="Times New Roman"/>
                <w:sz w:val="20"/>
                <w:szCs w:val="20"/>
              </w:rPr>
            </w:pPr>
          </w:p>
        </w:tc>
        <w:tc>
          <w:tcPr>
            <w:tcW w:w="20" w:type="dxa"/>
            <w:vAlign w:val="center"/>
            <w:hideMark/>
          </w:tcPr>
          <w:p w:rsidR="00000000" w:rsidRDefault="003E235E">
            <w:pPr>
              <w:spacing w:after="100"/>
              <w:rPr>
                <w:rFonts w:eastAsia="Times New Roman"/>
                <w:sz w:val="20"/>
                <w:szCs w:val="20"/>
              </w:rPr>
            </w:pPr>
          </w:p>
        </w:tc>
        <w:tc>
          <w:tcPr>
            <w:tcW w:w="245" w:type="dxa"/>
            <w:vAlign w:val="center"/>
            <w:hideMark/>
          </w:tcPr>
          <w:p w:rsidR="00000000" w:rsidRDefault="003E235E">
            <w:pPr>
              <w:spacing w:after="100"/>
              <w:rPr>
                <w:rFonts w:eastAsia="Times New Roman"/>
                <w:sz w:val="20"/>
                <w:szCs w:val="20"/>
              </w:rPr>
            </w:pPr>
          </w:p>
        </w:tc>
        <w:tc>
          <w:tcPr>
            <w:tcW w:w="20" w:type="dxa"/>
            <w:vAlign w:val="center"/>
            <w:hideMark/>
          </w:tcPr>
          <w:p w:rsidR="00000000" w:rsidRDefault="003E235E">
            <w:pPr>
              <w:spacing w:after="100"/>
              <w:rPr>
                <w:rFonts w:eastAsia="Times New Roman"/>
                <w:sz w:val="20"/>
                <w:szCs w:val="20"/>
              </w:rPr>
            </w:pPr>
          </w:p>
        </w:tc>
        <w:tc>
          <w:tcPr>
            <w:tcW w:w="20" w:type="dxa"/>
            <w:vAlign w:val="center"/>
            <w:hideMark/>
          </w:tcPr>
          <w:p w:rsidR="00000000" w:rsidRDefault="003E235E">
            <w:pPr>
              <w:spacing w:after="100"/>
              <w:rPr>
                <w:rFonts w:eastAsia="Times New Roman"/>
                <w:sz w:val="20"/>
                <w:szCs w:val="20"/>
              </w:rPr>
            </w:pPr>
          </w:p>
        </w:tc>
        <w:tc>
          <w:tcPr>
            <w:tcW w:w="1295" w:type="dxa"/>
            <w:vAlign w:val="center"/>
            <w:hideMark/>
          </w:tcPr>
          <w:p w:rsidR="00000000" w:rsidRDefault="003E235E">
            <w:pPr>
              <w:spacing w:after="100"/>
              <w:rPr>
                <w:rFonts w:eastAsia="Times New Roman"/>
                <w:sz w:val="20"/>
                <w:szCs w:val="20"/>
              </w:rPr>
            </w:pPr>
          </w:p>
        </w:tc>
        <w:tc>
          <w:tcPr>
            <w:tcW w:w="20" w:type="dxa"/>
            <w:vAlign w:val="center"/>
            <w:hideMark/>
          </w:tcPr>
          <w:p w:rsidR="00000000" w:rsidRDefault="003E235E">
            <w:pPr>
              <w:spacing w:after="100"/>
              <w:rPr>
                <w:rFonts w:eastAsia="Times New Roman"/>
                <w:sz w:val="20"/>
                <w:szCs w:val="20"/>
              </w:rPr>
            </w:pPr>
          </w:p>
        </w:tc>
        <w:tc>
          <w:tcPr>
            <w:tcW w:w="20" w:type="dxa"/>
            <w:vAlign w:val="center"/>
            <w:hideMark/>
          </w:tcPr>
          <w:p w:rsidR="00000000" w:rsidRDefault="003E235E">
            <w:pPr>
              <w:spacing w:after="100"/>
              <w:rPr>
                <w:rFonts w:eastAsia="Times New Roman"/>
                <w:sz w:val="20"/>
                <w:szCs w:val="20"/>
              </w:rPr>
            </w:pPr>
          </w:p>
        </w:tc>
        <w:tc>
          <w:tcPr>
            <w:tcW w:w="4145" w:type="dxa"/>
            <w:vAlign w:val="center"/>
            <w:hideMark/>
          </w:tcPr>
          <w:p w:rsidR="00000000" w:rsidRDefault="003E235E">
            <w:pPr>
              <w:spacing w:after="100"/>
              <w:rPr>
                <w:rFonts w:eastAsia="Times New Roman"/>
                <w:sz w:val="20"/>
                <w:szCs w:val="20"/>
              </w:rPr>
            </w:pPr>
          </w:p>
        </w:tc>
        <w:tc>
          <w:tcPr>
            <w:tcW w:w="20" w:type="dxa"/>
            <w:vAlign w:val="center"/>
            <w:hideMark/>
          </w:tcPr>
          <w:p w:rsidR="00000000" w:rsidRDefault="003E235E">
            <w:pPr>
              <w:spacing w:after="100"/>
              <w:rPr>
                <w:rFonts w:eastAsia="Times New Roman"/>
                <w:sz w:val="20"/>
                <w:szCs w:val="20"/>
              </w:rPr>
            </w:pPr>
          </w:p>
        </w:tc>
        <w:tc>
          <w:tcPr>
            <w:tcW w:w="20" w:type="dxa"/>
            <w:vAlign w:val="center"/>
            <w:hideMark/>
          </w:tcPr>
          <w:p w:rsidR="00000000" w:rsidRDefault="003E235E">
            <w:pPr>
              <w:spacing w:after="100"/>
              <w:rPr>
                <w:rFonts w:eastAsia="Times New Roman"/>
                <w:sz w:val="20"/>
                <w:szCs w:val="20"/>
              </w:rPr>
            </w:pPr>
          </w:p>
        </w:tc>
        <w:tc>
          <w:tcPr>
            <w:tcW w:w="245" w:type="dxa"/>
            <w:vAlign w:val="center"/>
            <w:hideMark/>
          </w:tcPr>
          <w:p w:rsidR="00000000" w:rsidRDefault="003E235E">
            <w:pPr>
              <w:spacing w:after="100"/>
              <w:rPr>
                <w:rFonts w:eastAsia="Times New Roman"/>
                <w:sz w:val="20"/>
                <w:szCs w:val="20"/>
              </w:rPr>
            </w:pPr>
          </w:p>
        </w:tc>
        <w:tc>
          <w:tcPr>
            <w:tcW w:w="20" w:type="dxa"/>
            <w:vAlign w:val="center"/>
            <w:hideMark/>
          </w:tcPr>
          <w:p w:rsidR="00000000" w:rsidRDefault="003E235E">
            <w:pPr>
              <w:spacing w:after="100"/>
              <w:rPr>
                <w:rFonts w:eastAsia="Times New Roman"/>
                <w:sz w:val="20"/>
                <w:szCs w:val="20"/>
              </w:rPr>
            </w:pPr>
          </w:p>
        </w:tc>
      </w:tr>
      <w:tr w:rsidR="00000000">
        <w:trPr>
          <w:divId w:val="387267621"/>
          <w:trHeight w:val="280"/>
          <w:jc w:val="center"/>
        </w:trPr>
        <w:tc>
          <w:tcPr>
            <w:tcW w:w="0" w:type="auto"/>
            <w:gridSpan w:val="3"/>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color w:val="000000"/>
                <w:sz w:val="16"/>
                <w:szCs w:val="16"/>
              </w:rPr>
              <w:t>Large accelerated filer</w:t>
            </w:r>
          </w:p>
        </w:tc>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color w:val="000000"/>
                <w:sz w:val="16"/>
                <w:szCs w:val="16"/>
              </w:rPr>
              <w:t>Accelerated Filer</w:t>
            </w:r>
          </w:p>
        </w:tc>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ascii="Segoe UI Symbol" w:eastAsia="Times New Roman" w:hAnsi="Segoe UI Symbol" w:cs="Segoe UI Symbol"/>
                <w:color w:val="000000"/>
                <w:sz w:val="20"/>
                <w:szCs w:val="20"/>
              </w:rPr>
              <w:t>☒</w:t>
            </w:r>
          </w:p>
        </w:tc>
      </w:tr>
      <w:tr w:rsidR="00000000">
        <w:trPr>
          <w:divId w:val="387267621"/>
          <w:trHeight w:val="60"/>
          <w:jc w:val="center"/>
        </w:trPr>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r>
      <w:tr w:rsidR="00000000">
        <w:trPr>
          <w:divId w:val="387267621"/>
          <w:trHeight w:val="240"/>
          <w:jc w:val="center"/>
        </w:trPr>
        <w:tc>
          <w:tcPr>
            <w:tcW w:w="0" w:type="auto"/>
            <w:gridSpan w:val="3"/>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color w:val="000000"/>
                <w:sz w:val="16"/>
                <w:szCs w:val="16"/>
              </w:rPr>
              <w:t>Non-accelerated filer </w:t>
            </w:r>
          </w:p>
        </w:tc>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color w:val="000000"/>
                <w:sz w:val="16"/>
                <w:szCs w:val="16"/>
              </w:rPr>
              <w:t>Smaller reporting company</w:t>
            </w:r>
          </w:p>
        </w:tc>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ascii="Segoe UI Symbol" w:eastAsia="Times New Roman" w:hAnsi="Segoe UI Symbol" w:cs="Segoe UI Symbol"/>
                <w:color w:val="000000"/>
                <w:sz w:val="20"/>
                <w:szCs w:val="20"/>
              </w:rPr>
              <w:t>☒</w:t>
            </w:r>
          </w:p>
        </w:tc>
      </w:tr>
      <w:tr w:rsidR="00000000">
        <w:trPr>
          <w:divId w:val="387267621"/>
          <w:trHeight w:val="280"/>
          <w:jc w:val="center"/>
        </w:trPr>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color w:val="000000"/>
                <w:sz w:val="16"/>
                <w:szCs w:val="16"/>
              </w:rPr>
              <w:t>Emerging growth company</w:t>
            </w:r>
          </w:p>
        </w:tc>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ascii="Segoe UI Symbol" w:eastAsia="Times New Roman" w:hAnsi="Segoe UI Symbol" w:cs="Segoe UI Symbol"/>
                <w:color w:val="000000"/>
                <w:sz w:val="20"/>
                <w:szCs w:val="20"/>
              </w:rPr>
              <w:t>☐</w:t>
            </w:r>
          </w:p>
        </w:tc>
      </w:tr>
    </w:tbl>
    <w:p w:rsidR="00000000" w:rsidRDefault="003E235E">
      <w:pPr>
        <w:divId w:val="2018577000"/>
        <w:rPr>
          <w:rFonts w:eastAsia="Times New Roman"/>
        </w:rPr>
      </w:pPr>
      <w:r>
        <w:rPr>
          <w:rFonts w:eastAsia="Times New Roman"/>
          <w:color w:val="000000"/>
          <w:sz w:val="16"/>
          <w:szCs w:val="16"/>
        </w:rPr>
        <w:t> </w:t>
      </w:r>
    </w:p>
    <w:p w:rsidR="00000000" w:rsidRDefault="003E235E">
      <w:pPr>
        <w:ind w:firstLine="270"/>
        <w:divId w:val="869998276"/>
        <w:rPr>
          <w:rFonts w:eastAsia="Times New Roman"/>
        </w:rPr>
      </w:pPr>
      <w:r>
        <w:rPr>
          <w:rFonts w:eastAsia="Times New Roman"/>
          <w:color w:val="000000"/>
          <w:sz w:val="16"/>
          <w:szCs w:val="16"/>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6"/>
          <w:szCs w:val="16"/>
        </w:rPr>
        <w:t>☐</w:t>
      </w:r>
    </w:p>
    <w:p w:rsidR="00000000" w:rsidRDefault="003E235E">
      <w:pPr>
        <w:ind w:firstLine="270"/>
        <w:divId w:val="1495216784"/>
        <w:rPr>
          <w:rFonts w:eastAsia="Times New Roman"/>
        </w:rPr>
      </w:pPr>
    </w:p>
    <w:p w:rsidR="00000000" w:rsidRDefault="003E235E">
      <w:pPr>
        <w:ind w:firstLine="270"/>
        <w:divId w:val="1315377044"/>
        <w:rPr>
          <w:rFonts w:eastAsia="Times New Roman"/>
        </w:rPr>
      </w:pPr>
      <w:r>
        <w:rPr>
          <w:rFonts w:eastAsia="Times New Roman"/>
          <w:color w:val="000000"/>
          <w:sz w:val="16"/>
          <w:szCs w:val="16"/>
        </w:rPr>
        <w:t>Indicate by check mark whether the registrant is a shell company (as defined in Rule 12b-2 of the Exchange Act).  Yes </w:t>
      </w:r>
      <w:r>
        <w:rPr>
          <w:rFonts w:ascii="Wingdings" w:eastAsia="Times New Roman" w:hAnsi="Wingdings"/>
          <w:color w:val="000000"/>
          <w:sz w:val="16"/>
          <w:szCs w:val="16"/>
        </w:rPr>
        <w:t xml:space="preserve"> </w:t>
      </w:r>
      <w:r>
        <w:rPr>
          <w:rFonts w:ascii="Segoe UI Symbol" w:eastAsia="Times New Roman" w:hAnsi="Segoe UI Symbol" w:cs="Segoe UI Symbol"/>
          <w:color w:val="000000"/>
          <w:sz w:val="16"/>
          <w:szCs w:val="16"/>
        </w:rPr>
        <w:t>☐</w:t>
      </w:r>
      <w:r>
        <w:rPr>
          <w:rFonts w:eastAsia="Times New Roman"/>
          <w:color w:val="000000"/>
          <w:sz w:val="16"/>
          <w:szCs w:val="16"/>
        </w:rPr>
        <w:t xml:space="preserve">  No </w:t>
      </w:r>
      <w:r>
        <w:rPr>
          <w:rFonts w:ascii="Wingdings" w:eastAsia="Times New Roman" w:hAnsi="Wingdings"/>
          <w:color w:val="000000"/>
          <w:sz w:val="16"/>
          <w:szCs w:val="16"/>
        </w:rPr>
        <w:t xml:space="preserve"> </w:t>
      </w:r>
      <w:r>
        <w:rPr>
          <w:rFonts w:ascii="Segoe UI Symbol" w:eastAsia="Times New Roman" w:hAnsi="Segoe UI Symbol" w:cs="Segoe UI Symbol"/>
          <w:color w:val="000000"/>
          <w:sz w:val="16"/>
          <w:szCs w:val="16"/>
        </w:rPr>
        <w:t>☒</w:t>
      </w:r>
    </w:p>
    <w:p w:rsidR="00000000" w:rsidRDefault="003E235E">
      <w:pPr>
        <w:ind w:firstLine="270"/>
        <w:divId w:val="447701615"/>
        <w:rPr>
          <w:rFonts w:eastAsia="Times New Roman"/>
        </w:rPr>
      </w:pPr>
      <w:r>
        <w:rPr>
          <w:rFonts w:eastAsia="Times New Roman"/>
          <w:color w:val="000000"/>
          <w:sz w:val="16"/>
          <w:szCs w:val="16"/>
        </w:rPr>
        <w:t> </w:t>
      </w:r>
    </w:p>
    <w:p w:rsidR="00000000" w:rsidRDefault="003E235E">
      <w:pPr>
        <w:ind w:firstLine="270"/>
        <w:divId w:val="1790199470"/>
        <w:rPr>
          <w:rFonts w:eastAsia="Times New Roman"/>
        </w:rPr>
      </w:pPr>
      <w:r>
        <w:rPr>
          <w:rFonts w:eastAsia="Times New Roman"/>
          <w:color w:val="000000"/>
          <w:sz w:val="16"/>
          <w:szCs w:val="16"/>
        </w:rPr>
        <w:t>Indicate the number of shares outstanding of each of the issuer’s classes of common stock, as of the latest practicable date</w:t>
      </w:r>
      <w:r>
        <w:rPr>
          <w:rFonts w:eastAsia="Times New Roman"/>
          <w:color w:val="000000"/>
          <w:sz w:val="16"/>
          <w:szCs w:val="16"/>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61"/>
        <w:gridCol w:w="3967"/>
        <w:gridCol w:w="36"/>
        <w:gridCol w:w="36"/>
        <w:gridCol w:w="119"/>
        <w:gridCol w:w="36"/>
        <w:gridCol w:w="61"/>
        <w:gridCol w:w="3954"/>
        <w:gridCol w:w="36"/>
      </w:tblGrid>
      <w:tr w:rsidR="00000000">
        <w:trPr>
          <w:divId w:val="1801067461"/>
          <w:jc w:val="center"/>
        </w:trPr>
        <w:tc>
          <w:tcPr>
            <w:tcW w:w="50" w:type="pct"/>
            <w:vAlign w:val="center"/>
            <w:hideMark/>
          </w:tcPr>
          <w:p w:rsidR="00000000" w:rsidRDefault="003E235E">
            <w:pPr>
              <w:ind w:firstLine="270"/>
              <w:rPr>
                <w:rFonts w:eastAsia="Times New Roman"/>
              </w:rPr>
            </w:pPr>
          </w:p>
        </w:tc>
        <w:tc>
          <w:tcPr>
            <w:tcW w:w="2401"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8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2393"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r>
      <w:tr w:rsidR="00000000">
        <w:trPr>
          <w:divId w:val="1801067461"/>
          <w:jc w:val="center"/>
        </w:trPr>
        <w:tc>
          <w:tcPr>
            <w:tcW w:w="0" w:type="auto"/>
            <w:gridSpan w:val="3"/>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Class</w:t>
            </w:r>
          </w:p>
        </w:tc>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Outstanding at July 30, 2021</w:t>
            </w:r>
          </w:p>
        </w:tc>
      </w:tr>
      <w:tr w:rsidR="00000000">
        <w:trPr>
          <w:divId w:val="1801067461"/>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color w:val="000000"/>
                <w:sz w:val="16"/>
                <w:szCs w:val="16"/>
              </w:rPr>
              <w:t>Class A Common Stock, $0.01 par value per share</w:t>
            </w:r>
          </w:p>
        </w:tc>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color w:val="000000"/>
                <w:sz w:val="16"/>
                <w:szCs w:val="16"/>
              </w:rPr>
              <w:t>45,634,224 shares</w:t>
            </w:r>
          </w:p>
        </w:tc>
      </w:tr>
    </w:tbl>
    <w:p w:rsidR="00000000" w:rsidRDefault="003E235E">
      <w:pPr>
        <w:jc w:val="center"/>
        <w:divId w:val="1888103554"/>
        <w:rPr>
          <w:rFonts w:eastAsia="Times New Roman"/>
        </w:rPr>
      </w:pPr>
    </w:p>
    <w:p w:rsidR="00000000" w:rsidRDefault="003E235E">
      <w:pPr>
        <w:rPr>
          <w:rFonts w:eastAsia="Times New Roman"/>
        </w:rPr>
      </w:pPr>
      <w:r>
        <w:rPr>
          <w:rFonts w:eastAsia="Times New Roman"/>
        </w:rPr>
        <w:pict>
          <v:rect id="_x0000_i1025" style="width:0;height:1.5pt" o:hralign="center" o:hrstd="t" o:hr="t" fillcolor="#a0a0a0" stroked="f"/>
        </w:pict>
      </w:r>
    </w:p>
    <w:p w:rsidR="00000000" w:rsidRDefault="003E235E">
      <w:pPr>
        <w:divId w:val="326176092"/>
        <w:rPr>
          <w:rFonts w:eastAsia="Times New Roman"/>
        </w:rPr>
      </w:pPr>
      <w:hyperlink w:anchor="i48000f6fae8946f8b752541bba7287a8_10" w:history="1">
        <w:r>
          <w:rPr>
            <w:rStyle w:val="a3"/>
            <w:rFonts w:eastAsia="Times New Roman"/>
            <w:sz w:val="20"/>
            <w:szCs w:val="20"/>
          </w:rPr>
          <w:t>Table of Contents</w:t>
        </w:r>
      </w:hyperlink>
    </w:p>
    <w:p w:rsidR="00000000" w:rsidRDefault="003E235E">
      <w:pPr>
        <w:jc w:val="center"/>
        <w:rPr>
          <w:rFonts w:eastAsia="Times New Roman"/>
        </w:rPr>
      </w:pPr>
      <w:r>
        <w:rPr>
          <w:rFonts w:eastAsia="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70"/>
        <w:gridCol w:w="657"/>
        <w:gridCol w:w="37"/>
        <w:gridCol w:w="70"/>
        <w:gridCol w:w="669"/>
        <w:gridCol w:w="37"/>
        <w:gridCol w:w="69"/>
        <w:gridCol w:w="6113"/>
        <w:gridCol w:w="38"/>
        <w:gridCol w:w="69"/>
        <w:gridCol w:w="441"/>
        <w:gridCol w:w="36"/>
      </w:tblGrid>
      <w:tr w:rsidR="00000000">
        <w:trPr>
          <w:jc w:val="center"/>
        </w:trPr>
        <w:tc>
          <w:tcPr>
            <w:tcW w:w="50" w:type="pct"/>
            <w:vAlign w:val="center"/>
            <w:hideMark/>
          </w:tcPr>
          <w:p w:rsidR="00000000" w:rsidRDefault="003E235E">
            <w:pPr>
              <w:jc w:val="center"/>
              <w:rPr>
                <w:rFonts w:eastAsia="Times New Roman"/>
              </w:rPr>
            </w:pPr>
          </w:p>
        </w:tc>
        <w:tc>
          <w:tcPr>
            <w:tcW w:w="40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412"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3687"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274"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20"/>
                <w:szCs w:val="20"/>
              </w:rPr>
              <w:t>Page</w:t>
            </w:r>
          </w:p>
        </w:tc>
      </w:tr>
      <w:tr w:rsidR="00000000">
        <w:trPr>
          <w:jc w:val="center"/>
        </w:trPr>
        <w:tc>
          <w:tcPr>
            <w:tcW w:w="0" w:type="auto"/>
            <w:gridSpan w:val="3"/>
            <w:tcMar>
              <w:top w:w="30" w:type="dxa"/>
              <w:left w:w="20" w:type="dxa"/>
              <w:bottom w:w="30" w:type="dxa"/>
              <w:right w:w="20" w:type="dxa"/>
            </w:tcMar>
            <w:vAlign w:val="bottom"/>
            <w:hideMark/>
          </w:tcPr>
          <w:p w:rsidR="00000000" w:rsidRDefault="003E235E">
            <w:pPr>
              <w:spacing w:after="100"/>
              <w:divId w:val="1310861122"/>
              <w:rPr>
                <w:rFonts w:eastAsia="Times New Roman"/>
              </w:rPr>
            </w:pPr>
            <w:hyperlink w:anchor="i48000f6fae8946f8b752541bba7287a8_13" w:history="1">
              <w:r>
                <w:rPr>
                  <w:rStyle w:val="a3"/>
                  <w:rFonts w:eastAsia="Times New Roman"/>
                  <w:sz w:val="20"/>
                  <w:szCs w:val="20"/>
                </w:rPr>
                <w:t>PART I</w:t>
              </w:r>
            </w:hyperlink>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E235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E235E">
            <w:pPr>
              <w:spacing w:after="100"/>
              <w:divId w:val="679312431"/>
              <w:rPr>
                <w:rFonts w:eastAsia="Times New Roman"/>
              </w:rPr>
            </w:pPr>
            <w:hyperlink w:anchor="i48000f6fae8946f8b752541bba7287a8_16" w:history="1">
              <w:r>
                <w:rPr>
                  <w:rStyle w:val="a3"/>
                  <w:rFonts w:eastAsia="Times New Roman"/>
                  <w:sz w:val="20"/>
                  <w:szCs w:val="20"/>
                </w:rPr>
                <w:t xml:space="preserve">Item 1. </w:t>
              </w:r>
            </w:hyperlink>
          </w:p>
        </w:tc>
        <w:tc>
          <w:tcPr>
            <w:tcW w:w="0" w:type="auto"/>
            <w:gridSpan w:val="3"/>
            <w:tcMar>
              <w:top w:w="30" w:type="dxa"/>
              <w:left w:w="20" w:type="dxa"/>
              <w:bottom w:w="30" w:type="dxa"/>
              <w:right w:w="20" w:type="dxa"/>
            </w:tcMar>
            <w:vAlign w:val="bottom"/>
            <w:hideMark/>
          </w:tcPr>
          <w:p w:rsidR="00000000" w:rsidRDefault="003E235E">
            <w:pPr>
              <w:spacing w:after="100"/>
              <w:divId w:val="1045443786"/>
              <w:rPr>
                <w:rFonts w:eastAsia="Times New Roman"/>
              </w:rPr>
            </w:pPr>
            <w:hyperlink w:anchor="i48000f6fae8946f8b752541bba7287a8_16" w:history="1">
              <w:r>
                <w:rPr>
                  <w:rStyle w:val="a3"/>
                  <w:rFonts w:eastAsia="Times New Roman"/>
                  <w:sz w:val="20"/>
                  <w:szCs w:val="20"/>
                </w:rPr>
                <w:t>Financial Statements (unaudited)</w:t>
              </w:r>
            </w:hyperlink>
          </w:p>
        </w:tc>
        <w:tc>
          <w:tcPr>
            <w:tcW w:w="0" w:type="auto"/>
            <w:gridSpan w:val="3"/>
            <w:tcMar>
              <w:top w:w="30" w:type="dxa"/>
              <w:left w:w="20" w:type="dxa"/>
              <w:bottom w:w="30" w:type="dxa"/>
              <w:right w:w="20" w:type="dxa"/>
            </w:tcMar>
            <w:vAlign w:val="bottom"/>
            <w:hideMark/>
          </w:tcPr>
          <w:p w:rsidR="00000000" w:rsidRDefault="003E235E">
            <w:pPr>
              <w:spacing w:after="100"/>
              <w:jc w:val="right"/>
              <w:rPr>
                <w:rFonts w:eastAsia="Times New Roman"/>
              </w:rPr>
            </w:pPr>
            <w:hyperlink w:anchor="i48000f6fae8946f8b752541bba7287a8_16" w:history="1">
              <w:r>
                <w:rPr>
                  <w:rStyle w:val="a3"/>
                  <w:rFonts w:eastAsia="Times New Roman"/>
                  <w:sz w:val="20"/>
                  <w:szCs w:val="20"/>
                </w:rPr>
                <w:t>2</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3E235E">
            <w:pPr>
              <w:spacing w:after="100"/>
              <w:divId w:val="1300959445"/>
              <w:rPr>
                <w:rFonts w:eastAsia="Times New Roman"/>
              </w:rPr>
            </w:pPr>
            <w:hyperlink w:anchor="i48000f6fae8946f8b752541bba7287a8_19" w:history="1">
              <w:r>
                <w:rPr>
                  <w:rStyle w:val="a3"/>
                  <w:rFonts w:eastAsia="Times New Roman"/>
                  <w:sz w:val="20"/>
                  <w:szCs w:val="20"/>
                </w:rPr>
                <w:t>Condensed Consolidated Balance Sheets</w:t>
              </w:r>
            </w:hyperlink>
          </w:p>
        </w:tc>
        <w:tc>
          <w:tcPr>
            <w:tcW w:w="0" w:type="auto"/>
            <w:gridSpan w:val="3"/>
            <w:tcMar>
              <w:top w:w="30" w:type="dxa"/>
              <w:left w:w="20" w:type="dxa"/>
              <w:bottom w:w="30" w:type="dxa"/>
              <w:right w:w="20" w:type="dxa"/>
            </w:tcMar>
            <w:vAlign w:val="bottom"/>
            <w:hideMark/>
          </w:tcPr>
          <w:p w:rsidR="00000000" w:rsidRDefault="003E235E">
            <w:pPr>
              <w:spacing w:after="100"/>
              <w:jc w:val="right"/>
              <w:rPr>
                <w:rFonts w:eastAsia="Times New Roman"/>
              </w:rPr>
            </w:pPr>
            <w:hyperlink w:anchor="i48000f6fae8946f8b752541bba7287a8_19" w:history="1">
              <w:r>
                <w:rPr>
                  <w:rStyle w:val="a3"/>
                  <w:rFonts w:eastAsia="Times New Roman"/>
                  <w:sz w:val="20"/>
                  <w:szCs w:val="20"/>
                </w:rPr>
                <w:t>2</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3E235E">
            <w:pPr>
              <w:spacing w:after="100"/>
              <w:divId w:val="1227569354"/>
              <w:rPr>
                <w:rFonts w:eastAsia="Times New Roman"/>
              </w:rPr>
            </w:pPr>
            <w:hyperlink w:anchor="i48000f6fae8946f8b752541bba7287a8_22" w:history="1">
              <w:r>
                <w:rPr>
                  <w:rStyle w:val="a3"/>
                  <w:rFonts w:eastAsia="Times New Roman"/>
                  <w:sz w:val="20"/>
                  <w:szCs w:val="20"/>
                </w:rPr>
                <w:t>Condensed Consolidated Statements of Operations</w:t>
              </w:r>
            </w:hyperlink>
          </w:p>
        </w:tc>
        <w:tc>
          <w:tcPr>
            <w:tcW w:w="0" w:type="auto"/>
            <w:gridSpan w:val="3"/>
            <w:tcMar>
              <w:top w:w="30" w:type="dxa"/>
              <w:left w:w="20" w:type="dxa"/>
              <w:bottom w:w="30" w:type="dxa"/>
              <w:right w:w="20" w:type="dxa"/>
            </w:tcMar>
            <w:vAlign w:val="bottom"/>
            <w:hideMark/>
          </w:tcPr>
          <w:p w:rsidR="00000000" w:rsidRDefault="003E235E">
            <w:pPr>
              <w:spacing w:after="100"/>
              <w:jc w:val="right"/>
              <w:rPr>
                <w:rFonts w:eastAsia="Times New Roman"/>
              </w:rPr>
            </w:pPr>
            <w:hyperlink w:anchor="i48000f6fae8946f8b752541bba7287a8_22" w:history="1">
              <w:r>
                <w:rPr>
                  <w:rStyle w:val="a3"/>
                  <w:rFonts w:eastAsia="Times New Roman"/>
                  <w:sz w:val="20"/>
                  <w:szCs w:val="20"/>
                </w:rPr>
                <w:t>3</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3E235E">
            <w:pPr>
              <w:spacing w:after="100"/>
              <w:divId w:val="1096095068"/>
              <w:rPr>
                <w:rFonts w:eastAsia="Times New Roman"/>
              </w:rPr>
            </w:pPr>
            <w:hyperlink w:anchor="i48000f6fae8946f8b752541bba7287a8_25" w:history="1">
              <w:r>
                <w:rPr>
                  <w:rStyle w:val="a3"/>
                  <w:rFonts w:eastAsia="Times New Roman"/>
                  <w:sz w:val="20"/>
                  <w:szCs w:val="20"/>
                </w:rPr>
                <w:t>Condensed Consolidated Statements of Stockholders’ Equity</w:t>
              </w:r>
            </w:hyperlink>
          </w:p>
        </w:tc>
        <w:tc>
          <w:tcPr>
            <w:tcW w:w="0" w:type="auto"/>
            <w:gridSpan w:val="3"/>
            <w:tcMar>
              <w:top w:w="30" w:type="dxa"/>
              <w:left w:w="20" w:type="dxa"/>
              <w:bottom w:w="30" w:type="dxa"/>
              <w:right w:w="20" w:type="dxa"/>
            </w:tcMar>
            <w:vAlign w:val="bottom"/>
            <w:hideMark/>
          </w:tcPr>
          <w:p w:rsidR="00000000" w:rsidRDefault="003E235E">
            <w:pPr>
              <w:spacing w:after="100"/>
              <w:jc w:val="right"/>
              <w:rPr>
                <w:rFonts w:eastAsia="Times New Roman"/>
              </w:rPr>
            </w:pPr>
            <w:hyperlink w:anchor="i48000f6fae8946f8b752541bba7287a8_25" w:history="1">
              <w:r>
                <w:rPr>
                  <w:rStyle w:val="a3"/>
                  <w:rFonts w:eastAsia="Times New Roman"/>
                  <w:sz w:val="20"/>
                  <w:szCs w:val="20"/>
                </w:rPr>
                <w:t>4</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3E235E">
            <w:pPr>
              <w:spacing w:after="100"/>
              <w:divId w:val="2053575190"/>
              <w:rPr>
                <w:rFonts w:eastAsia="Times New Roman"/>
              </w:rPr>
            </w:pPr>
            <w:hyperlink w:anchor="i48000f6fae8946f8b752541bba7287a8_28" w:history="1">
              <w:r>
                <w:rPr>
                  <w:rStyle w:val="a3"/>
                  <w:rFonts w:eastAsia="Times New Roman"/>
                  <w:sz w:val="20"/>
                  <w:szCs w:val="20"/>
                </w:rPr>
                <w:t>Condensed Consolidated Statements of Cash Flows</w:t>
              </w:r>
            </w:hyperlink>
          </w:p>
        </w:tc>
        <w:tc>
          <w:tcPr>
            <w:tcW w:w="0" w:type="auto"/>
            <w:gridSpan w:val="3"/>
            <w:tcMar>
              <w:top w:w="30" w:type="dxa"/>
              <w:left w:w="20" w:type="dxa"/>
              <w:bottom w:w="30" w:type="dxa"/>
              <w:right w:w="20" w:type="dxa"/>
            </w:tcMar>
            <w:vAlign w:val="bottom"/>
            <w:hideMark/>
          </w:tcPr>
          <w:p w:rsidR="00000000" w:rsidRDefault="003E235E">
            <w:pPr>
              <w:spacing w:after="100"/>
              <w:jc w:val="right"/>
              <w:rPr>
                <w:rFonts w:eastAsia="Times New Roman"/>
              </w:rPr>
            </w:pPr>
            <w:hyperlink w:anchor="i48000f6fae8946f8b752541bba7287a8_28" w:history="1">
              <w:r>
                <w:rPr>
                  <w:rStyle w:val="a3"/>
                  <w:rFonts w:eastAsia="Times New Roman"/>
                  <w:sz w:val="20"/>
                  <w:szCs w:val="20"/>
                </w:rPr>
                <w:t>5</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3E235E">
            <w:pPr>
              <w:spacing w:after="100"/>
              <w:divId w:val="1765416773"/>
              <w:rPr>
                <w:rFonts w:eastAsia="Times New Roman"/>
              </w:rPr>
            </w:pPr>
            <w:hyperlink w:anchor="i48000f6fae8946f8b752541bba7287a8_31" w:history="1">
              <w:r>
                <w:rPr>
                  <w:rStyle w:val="a3"/>
                  <w:rFonts w:eastAsia="Times New Roman"/>
                  <w:sz w:val="20"/>
                  <w:szCs w:val="20"/>
                </w:rPr>
                <w:t>Notes to Condensed Consolidated Financial Statements</w:t>
              </w:r>
            </w:hyperlink>
          </w:p>
        </w:tc>
        <w:tc>
          <w:tcPr>
            <w:tcW w:w="0" w:type="auto"/>
            <w:gridSpan w:val="3"/>
            <w:tcMar>
              <w:top w:w="30" w:type="dxa"/>
              <w:left w:w="20" w:type="dxa"/>
              <w:bottom w:w="30" w:type="dxa"/>
              <w:right w:w="20" w:type="dxa"/>
            </w:tcMar>
            <w:vAlign w:val="bottom"/>
            <w:hideMark/>
          </w:tcPr>
          <w:p w:rsidR="00000000" w:rsidRDefault="003E235E">
            <w:pPr>
              <w:spacing w:after="100"/>
              <w:jc w:val="right"/>
              <w:rPr>
                <w:rFonts w:eastAsia="Times New Roman"/>
              </w:rPr>
            </w:pPr>
            <w:hyperlink w:anchor="i48000f6fae8946f8b752541bba7287a8_31" w:history="1">
              <w:r>
                <w:rPr>
                  <w:rStyle w:val="a3"/>
                  <w:rFonts w:eastAsia="Times New Roman"/>
                  <w:sz w:val="20"/>
                  <w:szCs w:val="20"/>
                </w:rPr>
                <w:t>6</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divId w:val="893200742"/>
              <w:rPr>
                <w:rFonts w:eastAsia="Times New Roman"/>
              </w:rPr>
            </w:pPr>
            <w:hyperlink w:anchor="i48000f6fae8946f8b752541bba7287a8_76" w:history="1">
              <w:r>
                <w:rPr>
                  <w:rStyle w:val="a3"/>
                  <w:rFonts w:eastAsia="Times New Roman"/>
                  <w:sz w:val="20"/>
                  <w:szCs w:val="20"/>
                </w:rPr>
                <w:t>Item 2.</w:t>
              </w:r>
            </w:hyperlink>
          </w:p>
        </w:tc>
        <w:tc>
          <w:tcPr>
            <w:tcW w:w="0" w:type="auto"/>
            <w:gridSpan w:val="3"/>
            <w:tcMar>
              <w:top w:w="30" w:type="dxa"/>
              <w:left w:w="20" w:type="dxa"/>
              <w:bottom w:w="30" w:type="dxa"/>
              <w:right w:w="20" w:type="dxa"/>
            </w:tcMar>
            <w:vAlign w:val="bottom"/>
            <w:hideMark/>
          </w:tcPr>
          <w:p w:rsidR="00000000" w:rsidRDefault="003E235E">
            <w:pPr>
              <w:spacing w:after="100"/>
              <w:divId w:val="1068116083"/>
              <w:rPr>
                <w:rFonts w:eastAsia="Times New Roman"/>
              </w:rPr>
            </w:pPr>
            <w:hyperlink w:anchor="i48000f6fae8946f8b752541bba7287a8_76"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3E235E">
            <w:pPr>
              <w:spacing w:after="100"/>
              <w:jc w:val="right"/>
              <w:rPr>
                <w:rFonts w:eastAsia="Times New Roman"/>
              </w:rPr>
            </w:pPr>
            <w:hyperlink w:anchor="i48000f6fae8946f8b752541bba7287a8_76" w:history="1">
              <w:r>
                <w:rPr>
                  <w:rStyle w:val="a3"/>
                  <w:rFonts w:eastAsia="Times New Roman"/>
                  <w:sz w:val="20"/>
                  <w:szCs w:val="20"/>
                </w:rPr>
                <w:t>14</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divId w:val="1208108615"/>
              <w:rPr>
                <w:rFonts w:eastAsia="Times New Roman"/>
              </w:rPr>
            </w:pPr>
            <w:hyperlink w:anchor="i48000f6fae8946f8b752541bba7287a8_97" w:history="1">
              <w:r>
                <w:rPr>
                  <w:rStyle w:val="a3"/>
                  <w:rFonts w:eastAsia="Times New Roman"/>
                  <w:sz w:val="20"/>
                  <w:szCs w:val="20"/>
                </w:rPr>
                <w:t>Item 3.</w:t>
              </w:r>
            </w:hyperlink>
          </w:p>
        </w:tc>
        <w:tc>
          <w:tcPr>
            <w:tcW w:w="0" w:type="auto"/>
            <w:gridSpan w:val="3"/>
            <w:tcMar>
              <w:top w:w="30" w:type="dxa"/>
              <w:left w:w="20" w:type="dxa"/>
              <w:bottom w:w="30" w:type="dxa"/>
              <w:right w:w="20" w:type="dxa"/>
            </w:tcMar>
            <w:vAlign w:val="bottom"/>
            <w:hideMark/>
          </w:tcPr>
          <w:p w:rsidR="00000000" w:rsidRDefault="003E235E">
            <w:pPr>
              <w:spacing w:after="100"/>
              <w:divId w:val="1026105166"/>
              <w:rPr>
                <w:rFonts w:eastAsia="Times New Roman"/>
              </w:rPr>
            </w:pPr>
            <w:hyperlink w:anchor="i48000f6fae8946f8b752541bba7287a8_97"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3E235E">
            <w:pPr>
              <w:spacing w:after="100"/>
              <w:jc w:val="right"/>
              <w:rPr>
                <w:rFonts w:eastAsia="Times New Roman"/>
              </w:rPr>
            </w:pPr>
            <w:hyperlink w:anchor="i48000f6fae8946f8b752541bba7287a8_97" w:history="1">
              <w:r>
                <w:rPr>
                  <w:rStyle w:val="a3"/>
                  <w:rFonts w:eastAsia="Times New Roman"/>
                  <w:sz w:val="20"/>
                  <w:szCs w:val="20"/>
                </w:rPr>
                <w:t>26</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divId w:val="2025083720"/>
              <w:rPr>
                <w:rFonts w:eastAsia="Times New Roman"/>
              </w:rPr>
            </w:pPr>
            <w:hyperlink w:anchor="i48000f6fae8946f8b752541bba7287a8_100" w:history="1">
              <w:r>
                <w:rPr>
                  <w:rStyle w:val="a3"/>
                  <w:rFonts w:eastAsia="Times New Roman"/>
                  <w:sz w:val="20"/>
                  <w:szCs w:val="20"/>
                </w:rPr>
                <w:t>Item 4.</w:t>
              </w:r>
            </w:hyperlink>
          </w:p>
        </w:tc>
        <w:tc>
          <w:tcPr>
            <w:tcW w:w="0" w:type="auto"/>
            <w:gridSpan w:val="3"/>
            <w:tcMar>
              <w:top w:w="30" w:type="dxa"/>
              <w:left w:w="20" w:type="dxa"/>
              <w:bottom w:w="30" w:type="dxa"/>
              <w:right w:w="20" w:type="dxa"/>
            </w:tcMar>
            <w:vAlign w:val="bottom"/>
            <w:hideMark/>
          </w:tcPr>
          <w:p w:rsidR="00000000" w:rsidRDefault="003E235E">
            <w:pPr>
              <w:spacing w:after="100"/>
              <w:divId w:val="439954518"/>
              <w:rPr>
                <w:rFonts w:eastAsia="Times New Roman"/>
              </w:rPr>
            </w:pPr>
            <w:hyperlink w:anchor="i48000f6fae8946f8b752541bba7287a8_100"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bottom"/>
            <w:hideMark/>
          </w:tcPr>
          <w:p w:rsidR="00000000" w:rsidRDefault="003E235E">
            <w:pPr>
              <w:spacing w:after="100"/>
              <w:jc w:val="right"/>
              <w:rPr>
                <w:rFonts w:eastAsia="Times New Roman"/>
              </w:rPr>
            </w:pPr>
            <w:hyperlink w:anchor="i48000f6fae8946f8b752541bba7287a8_100" w:history="1">
              <w:r>
                <w:rPr>
                  <w:rStyle w:val="a3"/>
                  <w:rFonts w:eastAsia="Times New Roman"/>
                  <w:sz w:val="20"/>
                  <w:szCs w:val="20"/>
                </w:rPr>
                <w:t>26</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3E235E">
            <w:pPr>
              <w:spacing w:after="100"/>
              <w:divId w:val="1933195765"/>
              <w:rPr>
                <w:rFonts w:eastAsia="Times New Roman"/>
              </w:rPr>
            </w:pPr>
            <w:hyperlink w:anchor="i48000f6fae8946f8b752541bba7287a8_103" w:history="1">
              <w:r>
                <w:rPr>
                  <w:rStyle w:val="a3"/>
                  <w:rFonts w:eastAsia="Times New Roman"/>
                  <w:sz w:val="20"/>
                  <w:szCs w:val="20"/>
                </w:rPr>
                <w:t>PART II</w:t>
              </w:r>
            </w:hyperlink>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E235E">
            <w:pPr>
              <w:spacing w:after="100"/>
              <w:divId w:val="80489093"/>
              <w:rPr>
                <w:rFonts w:eastAsia="Times New Roman"/>
              </w:rPr>
            </w:pPr>
            <w:hyperlink w:anchor="i48000f6fae8946f8b752541bba7287a8_106" w:history="1">
              <w:r>
                <w:rPr>
                  <w:rStyle w:val="a3"/>
                  <w:rFonts w:eastAsia="Times New Roman"/>
                  <w:sz w:val="20"/>
                  <w:szCs w:val="20"/>
                </w:rPr>
                <w:t>Item 1.</w:t>
              </w:r>
            </w:hyperlink>
          </w:p>
        </w:tc>
        <w:tc>
          <w:tcPr>
            <w:tcW w:w="0" w:type="auto"/>
            <w:gridSpan w:val="3"/>
            <w:tcMar>
              <w:top w:w="30" w:type="dxa"/>
              <w:left w:w="20" w:type="dxa"/>
              <w:bottom w:w="30" w:type="dxa"/>
              <w:right w:w="20" w:type="dxa"/>
            </w:tcMar>
            <w:vAlign w:val="bottom"/>
            <w:hideMark/>
          </w:tcPr>
          <w:p w:rsidR="00000000" w:rsidRDefault="003E235E">
            <w:pPr>
              <w:spacing w:after="100"/>
              <w:divId w:val="1468468269"/>
              <w:rPr>
                <w:rFonts w:eastAsia="Times New Roman"/>
              </w:rPr>
            </w:pPr>
            <w:hyperlink w:anchor="i48000f6fae8946f8b752541bba7287a8_106"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bottom"/>
            <w:hideMark/>
          </w:tcPr>
          <w:p w:rsidR="00000000" w:rsidRDefault="003E235E">
            <w:pPr>
              <w:spacing w:after="100"/>
              <w:jc w:val="right"/>
              <w:rPr>
                <w:rFonts w:eastAsia="Times New Roman"/>
              </w:rPr>
            </w:pPr>
            <w:hyperlink w:anchor="i48000f6fae8946f8b752541bba7287a8_106" w:history="1">
              <w:r>
                <w:rPr>
                  <w:rStyle w:val="a3"/>
                  <w:rFonts w:eastAsia="Times New Roman"/>
                  <w:sz w:val="20"/>
                  <w:szCs w:val="20"/>
                </w:rPr>
                <w:t>28</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divId w:val="651952203"/>
              <w:rPr>
                <w:rFonts w:eastAsia="Times New Roman"/>
              </w:rPr>
            </w:pPr>
            <w:hyperlink w:anchor="i48000f6fae8946f8b752541bba7287a8_109" w:history="1">
              <w:r>
                <w:rPr>
                  <w:rStyle w:val="a3"/>
                  <w:rFonts w:eastAsia="Times New Roman"/>
                  <w:sz w:val="20"/>
                  <w:szCs w:val="20"/>
                </w:rPr>
                <w:t>Item 1A.</w:t>
              </w:r>
            </w:hyperlink>
          </w:p>
        </w:tc>
        <w:tc>
          <w:tcPr>
            <w:tcW w:w="0" w:type="auto"/>
            <w:gridSpan w:val="3"/>
            <w:tcMar>
              <w:top w:w="30" w:type="dxa"/>
              <w:left w:w="20" w:type="dxa"/>
              <w:bottom w:w="30" w:type="dxa"/>
              <w:right w:w="20" w:type="dxa"/>
            </w:tcMar>
            <w:vAlign w:val="bottom"/>
            <w:hideMark/>
          </w:tcPr>
          <w:p w:rsidR="00000000" w:rsidRDefault="003E235E">
            <w:pPr>
              <w:spacing w:after="100"/>
              <w:divId w:val="1068385203"/>
              <w:rPr>
                <w:rFonts w:eastAsia="Times New Roman"/>
              </w:rPr>
            </w:pPr>
            <w:hyperlink w:anchor="i48000f6fae8946f8b752541bba7287a8_109"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bottom"/>
            <w:hideMark/>
          </w:tcPr>
          <w:p w:rsidR="00000000" w:rsidRDefault="003E235E">
            <w:pPr>
              <w:spacing w:after="100"/>
              <w:jc w:val="right"/>
              <w:rPr>
                <w:rFonts w:eastAsia="Times New Roman"/>
              </w:rPr>
            </w:pPr>
            <w:hyperlink w:anchor="i48000f6fae8946f8b752541bba7287a8_109" w:history="1">
              <w:r>
                <w:rPr>
                  <w:rStyle w:val="a3"/>
                  <w:rFonts w:eastAsia="Times New Roman"/>
                  <w:sz w:val="20"/>
                  <w:szCs w:val="20"/>
                </w:rPr>
                <w:t>28</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divId w:val="1362322455"/>
              <w:rPr>
                <w:rFonts w:eastAsia="Times New Roman"/>
              </w:rPr>
            </w:pPr>
            <w:hyperlink w:anchor="i48000f6fae8946f8b752541bba7287a8_112" w:history="1">
              <w:r>
                <w:rPr>
                  <w:rStyle w:val="a3"/>
                  <w:rFonts w:eastAsia="Times New Roman"/>
                  <w:sz w:val="20"/>
                  <w:szCs w:val="20"/>
                </w:rPr>
                <w:t>Item 2.</w:t>
              </w:r>
            </w:hyperlink>
          </w:p>
        </w:tc>
        <w:tc>
          <w:tcPr>
            <w:tcW w:w="0" w:type="auto"/>
            <w:gridSpan w:val="3"/>
            <w:tcMar>
              <w:top w:w="30" w:type="dxa"/>
              <w:left w:w="20" w:type="dxa"/>
              <w:bottom w:w="30" w:type="dxa"/>
              <w:right w:w="20" w:type="dxa"/>
            </w:tcMar>
            <w:vAlign w:val="bottom"/>
            <w:hideMark/>
          </w:tcPr>
          <w:p w:rsidR="00000000" w:rsidRDefault="003E235E">
            <w:pPr>
              <w:spacing w:after="100"/>
              <w:divId w:val="1538852042"/>
              <w:rPr>
                <w:rFonts w:eastAsia="Times New Roman"/>
              </w:rPr>
            </w:pPr>
            <w:hyperlink w:anchor="i48000f6fae8946f8b752541bba7287a8_112" w:history="1">
              <w:r>
                <w:rPr>
                  <w:rStyle w:val="a3"/>
                  <w:rFonts w:eastAsia="Times New Roman"/>
                  <w:sz w:val="20"/>
                  <w:szCs w:val="20"/>
                </w:rPr>
                <w:t>Unregistered Sales of Equity Securities and Use of Proceeds</w:t>
              </w:r>
            </w:hyperlink>
          </w:p>
        </w:tc>
        <w:tc>
          <w:tcPr>
            <w:tcW w:w="0" w:type="auto"/>
            <w:gridSpan w:val="3"/>
            <w:tcMar>
              <w:top w:w="30" w:type="dxa"/>
              <w:left w:w="20" w:type="dxa"/>
              <w:bottom w:w="30" w:type="dxa"/>
              <w:right w:w="20" w:type="dxa"/>
            </w:tcMar>
            <w:vAlign w:val="bottom"/>
            <w:hideMark/>
          </w:tcPr>
          <w:p w:rsidR="00000000" w:rsidRDefault="003E235E">
            <w:pPr>
              <w:spacing w:after="100"/>
              <w:jc w:val="right"/>
              <w:rPr>
                <w:rFonts w:eastAsia="Times New Roman"/>
              </w:rPr>
            </w:pPr>
            <w:hyperlink w:anchor="i48000f6fae8946f8b752541bba7287a8_112" w:history="1">
              <w:r>
                <w:rPr>
                  <w:rStyle w:val="a3"/>
                  <w:rFonts w:eastAsia="Times New Roman"/>
                  <w:sz w:val="20"/>
                  <w:szCs w:val="20"/>
                </w:rPr>
                <w:t>28</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divId w:val="1208954042"/>
              <w:rPr>
                <w:rFonts w:eastAsia="Times New Roman"/>
              </w:rPr>
            </w:pPr>
            <w:hyperlink w:anchor="i48000f6fae8946f8b752541bba7287a8_115" w:history="1">
              <w:r>
                <w:rPr>
                  <w:rStyle w:val="a3"/>
                  <w:rFonts w:eastAsia="Times New Roman"/>
                  <w:sz w:val="20"/>
                  <w:szCs w:val="20"/>
                </w:rPr>
                <w:t>Item 3.</w:t>
              </w:r>
            </w:hyperlink>
          </w:p>
        </w:tc>
        <w:tc>
          <w:tcPr>
            <w:tcW w:w="0" w:type="auto"/>
            <w:gridSpan w:val="3"/>
            <w:tcMar>
              <w:top w:w="30" w:type="dxa"/>
              <w:left w:w="20" w:type="dxa"/>
              <w:bottom w:w="30" w:type="dxa"/>
              <w:right w:w="20" w:type="dxa"/>
            </w:tcMar>
            <w:vAlign w:val="bottom"/>
            <w:hideMark/>
          </w:tcPr>
          <w:p w:rsidR="00000000" w:rsidRDefault="003E235E">
            <w:pPr>
              <w:spacing w:after="100"/>
              <w:divId w:val="1775251671"/>
              <w:rPr>
                <w:rFonts w:eastAsia="Times New Roman"/>
              </w:rPr>
            </w:pPr>
            <w:hyperlink w:anchor="i48000f6fae8946f8b752541bba7287a8_115" w:history="1">
              <w:r>
                <w:rPr>
                  <w:rStyle w:val="a3"/>
                  <w:rFonts w:eastAsia="Times New Roman"/>
                  <w:sz w:val="20"/>
                  <w:szCs w:val="20"/>
                </w:rPr>
                <w:t>Defaults Upon Senior Securities</w:t>
              </w:r>
            </w:hyperlink>
          </w:p>
        </w:tc>
        <w:tc>
          <w:tcPr>
            <w:tcW w:w="0" w:type="auto"/>
            <w:gridSpan w:val="3"/>
            <w:tcMar>
              <w:top w:w="30" w:type="dxa"/>
              <w:left w:w="20" w:type="dxa"/>
              <w:bottom w:w="30" w:type="dxa"/>
              <w:right w:w="20" w:type="dxa"/>
            </w:tcMar>
            <w:vAlign w:val="bottom"/>
            <w:hideMark/>
          </w:tcPr>
          <w:p w:rsidR="00000000" w:rsidRDefault="003E235E">
            <w:pPr>
              <w:spacing w:after="100"/>
              <w:jc w:val="right"/>
              <w:rPr>
                <w:rFonts w:eastAsia="Times New Roman"/>
              </w:rPr>
            </w:pPr>
            <w:hyperlink w:anchor="i48000f6fae8946f8b752541bba7287a8_115" w:history="1">
              <w:r>
                <w:rPr>
                  <w:rStyle w:val="a3"/>
                  <w:rFonts w:eastAsia="Times New Roman"/>
                  <w:sz w:val="20"/>
                  <w:szCs w:val="20"/>
                </w:rPr>
                <w:t>28</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divId w:val="989559506"/>
              <w:rPr>
                <w:rFonts w:eastAsia="Times New Roman"/>
              </w:rPr>
            </w:pPr>
            <w:hyperlink w:anchor="i48000f6fae8946f8b752541bba7287a8_118" w:history="1">
              <w:r>
                <w:rPr>
                  <w:rStyle w:val="a3"/>
                  <w:rFonts w:eastAsia="Times New Roman"/>
                  <w:sz w:val="20"/>
                  <w:szCs w:val="20"/>
                </w:rPr>
                <w:t>Item 4.</w:t>
              </w:r>
            </w:hyperlink>
          </w:p>
        </w:tc>
        <w:tc>
          <w:tcPr>
            <w:tcW w:w="0" w:type="auto"/>
            <w:gridSpan w:val="3"/>
            <w:tcMar>
              <w:top w:w="30" w:type="dxa"/>
              <w:left w:w="20" w:type="dxa"/>
              <w:bottom w:w="30" w:type="dxa"/>
              <w:right w:w="20" w:type="dxa"/>
            </w:tcMar>
            <w:vAlign w:val="bottom"/>
            <w:hideMark/>
          </w:tcPr>
          <w:p w:rsidR="00000000" w:rsidRDefault="003E235E">
            <w:pPr>
              <w:spacing w:after="100"/>
              <w:divId w:val="1980182055"/>
              <w:rPr>
                <w:rFonts w:eastAsia="Times New Roman"/>
              </w:rPr>
            </w:pPr>
            <w:hyperlink w:anchor="i48000f6fae8946f8b752541bba7287a8_118"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vAlign w:val="bottom"/>
            <w:hideMark/>
          </w:tcPr>
          <w:p w:rsidR="00000000" w:rsidRDefault="003E235E">
            <w:pPr>
              <w:spacing w:after="100"/>
              <w:jc w:val="right"/>
              <w:rPr>
                <w:rFonts w:eastAsia="Times New Roman"/>
              </w:rPr>
            </w:pPr>
            <w:hyperlink w:anchor="i48000f6fae8946f8b752541bba7287a8_118" w:history="1">
              <w:r>
                <w:rPr>
                  <w:rStyle w:val="a3"/>
                  <w:rFonts w:eastAsia="Times New Roman"/>
                  <w:sz w:val="20"/>
                  <w:szCs w:val="20"/>
                </w:rPr>
                <w:t>28</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divId w:val="425350579"/>
              <w:rPr>
                <w:rFonts w:eastAsia="Times New Roman"/>
              </w:rPr>
            </w:pPr>
            <w:hyperlink w:anchor="i48000f6fae8946f8b752541bba7287a8_121" w:history="1">
              <w:r>
                <w:rPr>
                  <w:rStyle w:val="a3"/>
                  <w:rFonts w:eastAsia="Times New Roman"/>
                  <w:sz w:val="20"/>
                  <w:szCs w:val="20"/>
                </w:rPr>
                <w:t>Item 5.</w:t>
              </w:r>
            </w:hyperlink>
          </w:p>
        </w:tc>
        <w:tc>
          <w:tcPr>
            <w:tcW w:w="0" w:type="auto"/>
            <w:gridSpan w:val="3"/>
            <w:tcMar>
              <w:top w:w="30" w:type="dxa"/>
              <w:left w:w="20" w:type="dxa"/>
              <w:bottom w:w="30" w:type="dxa"/>
              <w:right w:w="20" w:type="dxa"/>
            </w:tcMar>
            <w:vAlign w:val="bottom"/>
            <w:hideMark/>
          </w:tcPr>
          <w:p w:rsidR="00000000" w:rsidRDefault="003E235E">
            <w:pPr>
              <w:spacing w:after="100"/>
              <w:divId w:val="1335260132"/>
              <w:rPr>
                <w:rFonts w:eastAsia="Times New Roman"/>
              </w:rPr>
            </w:pPr>
            <w:hyperlink w:anchor="i48000f6fae8946f8b752541bba7287a8_121"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vAlign w:val="bottom"/>
            <w:hideMark/>
          </w:tcPr>
          <w:p w:rsidR="00000000" w:rsidRDefault="003E235E">
            <w:pPr>
              <w:spacing w:after="100"/>
              <w:jc w:val="right"/>
              <w:rPr>
                <w:rFonts w:eastAsia="Times New Roman"/>
              </w:rPr>
            </w:pPr>
            <w:hyperlink w:anchor="i48000f6fae8946f8b752541bba7287a8_121" w:history="1">
              <w:r>
                <w:rPr>
                  <w:rStyle w:val="a3"/>
                  <w:rFonts w:eastAsia="Times New Roman"/>
                  <w:sz w:val="20"/>
                  <w:szCs w:val="20"/>
                </w:rPr>
                <w:t>28</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divId w:val="398359965"/>
              <w:rPr>
                <w:rFonts w:eastAsia="Times New Roman"/>
              </w:rPr>
            </w:pPr>
            <w:hyperlink w:anchor="i48000f6fae8946f8b752541bba7287a8_124" w:history="1">
              <w:r>
                <w:rPr>
                  <w:rStyle w:val="a3"/>
                  <w:rFonts w:eastAsia="Times New Roman"/>
                  <w:sz w:val="20"/>
                  <w:szCs w:val="20"/>
                </w:rPr>
                <w:t>Item 6.</w:t>
              </w:r>
            </w:hyperlink>
          </w:p>
        </w:tc>
        <w:tc>
          <w:tcPr>
            <w:tcW w:w="0" w:type="auto"/>
            <w:gridSpan w:val="3"/>
            <w:tcMar>
              <w:top w:w="30" w:type="dxa"/>
              <w:left w:w="20" w:type="dxa"/>
              <w:bottom w:w="30" w:type="dxa"/>
              <w:right w:w="20" w:type="dxa"/>
            </w:tcMar>
            <w:vAlign w:val="bottom"/>
            <w:hideMark/>
          </w:tcPr>
          <w:p w:rsidR="00000000" w:rsidRDefault="003E235E">
            <w:pPr>
              <w:spacing w:after="100"/>
              <w:divId w:val="646782055"/>
              <w:rPr>
                <w:rFonts w:eastAsia="Times New Roman"/>
              </w:rPr>
            </w:pPr>
            <w:hyperlink w:anchor="i48000f6fae8946f8b752541bba7287a8_124" w:history="1">
              <w:r>
                <w:rPr>
                  <w:rStyle w:val="a3"/>
                  <w:rFonts w:eastAsia="Times New Roman"/>
                  <w:sz w:val="20"/>
                  <w:szCs w:val="20"/>
                </w:rPr>
                <w:t>Exhibits</w:t>
              </w:r>
            </w:hyperlink>
          </w:p>
        </w:tc>
        <w:tc>
          <w:tcPr>
            <w:tcW w:w="0" w:type="auto"/>
            <w:gridSpan w:val="3"/>
            <w:tcMar>
              <w:top w:w="30" w:type="dxa"/>
              <w:left w:w="20" w:type="dxa"/>
              <w:bottom w:w="30" w:type="dxa"/>
              <w:right w:w="20" w:type="dxa"/>
            </w:tcMar>
            <w:vAlign w:val="bottom"/>
            <w:hideMark/>
          </w:tcPr>
          <w:p w:rsidR="00000000" w:rsidRDefault="003E235E">
            <w:pPr>
              <w:spacing w:after="100"/>
              <w:jc w:val="right"/>
              <w:rPr>
                <w:rFonts w:eastAsia="Times New Roman"/>
              </w:rPr>
            </w:pPr>
            <w:hyperlink w:anchor="i48000f6fae8946f8b752541bba7287a8_124" w:history="1">
              <w:r>
                <w:rPr>
                  <w:rStyle w:val="a3"/>
                  <w:rFonts w:eastAsia="Times New Roman"/>
                  <w:sz w:val="20"/>
                  <w:szCs w:val="20"/>
                </w:rPr>
                <w:t>29</w:t>
              </w:r>
            </w:hyperlink>
          </w:p>
        </w:tc>
      </w:tr>
      <w:tr w:rsidR="00000000">
        <w:trPr>
          <w:jc w:val="center"/>
        </w:trPr>
        <w:tc>
          <w:tcPr>
            <w:tcW w:w="0" w:type="auto"/>
            <w:gridSpan w:val="6"/>
            <w:tcMar>
              <w:top w:w="30" w:type="dxa"/>
              <w:left w:w="20" w:type="dxa"/>
              <w:bottom w:w="30" w:type="dxa"/>
              <w:right w:w="20" w:type="dxa"/>
            </w:tcMar>
            <w:vAlign w:val="bottom"/>
            <w:hideMark/>
          </w:tcPr>
          <w:p w:rsidR="00000000" w:rsidRDefault="003E235E">
            <w:pPr>
              <w:spacing w:after="100"/>
              <w:divId w:val="1041977431"/>
              <w:rPr>
                <w:rFonts w:eastAsia="Times New Roman"/>
              </w:rPr>
            </w:pPr>
            <w:hyperlink w:anchor="i48000f6fae8946f8b752541bba7287a8_127" w:history="1">
              <w:r>
                <w:rPr>
                  <w:rStyle w:val="a3"/>
                  <w:rFonts w:eastAsia="Times New Roman"/>
                  <w:sz w:val="20"/>
                  <w:szCs w:val="20"/>
                </w:rPr>
                <w:t>SIGNATURES</w:t>
              </w:r>
            </w:hyperlink>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jc w:val="right"/>
              <w:rPr>
                <w:rFonts w:eastAsia="Times New Roman"/>
              </w:rPr>
            </w:pPr>
            <w:hyperlink w:anchor="i48000f6fae8946f8b752541bba7287a8_127" w:history="1">
              <w:r>
                <w:rPr>
                  <w:rStyle w:val="a3"/>
                  <w:rFonts w:eastAsia="Times New Roman"/>
                  <w:sz w:val="20"/>
                  <w:szCs w:val="20"/>
                </w:rPr>
                <w:t>30</w:t>
              </w:r>
            </w:hyperlink>
          </w:p>
        </w:tc>
      </w:tr>
    </w:tbl>
    <w:p w:rsidR="00000000" w:rsidRDefault="003E235E">
      <w:pPr>
        <w:divId w:val="100533589"/>
        <w:rPr>
          <w:rFonts w:eastAsia="Times New Roman"/>
        </w:rPr>
      </w:pPr>
    </w:p>
    <w:p w:rsidR="00000000" w:rsidRDefault="003E235E">
      <w:pPr>
        <w:divId w:val="500968919"/>
        <w:rPr>
          <w:rFonts w:eastAsia="Times New Roman"/>
        </w:rPr>
      </w:pPr>
    </w:p>
    <w:p w:rsidR="00000000" w:rsidRDefault="003E235E">
      <w:pPr>
        <w:jc w:val="center"/>
        <w:divId w:val="357774182"/>
        <w:rPr>
          <w:rFonts w:eastAsia="Times New Roman"/>
        </w:rPr>
      </w:pPr>
      <w:r>
        <w:rPr>
          <w:rFonts w:eastAsia="Times New Roman"/>
          <w:color w:val="000000"/>
          <w:sz w:val="20"/>
          <w:szCs w:val="20"/>
        </w:rPr>
        <w:t>1</w:t>
      </w:r>
    </w:p>
    <w:p w:rsidR="00000000" w:rsidRDefault="003E235E">
      <w:pPr>
        <w:rPr>
          <w:rFonts w:eastAsia="Times New Roman"/>
        </w:rPr>
      </w:pPr>
      <w:r>
        <w:rPr>
          <w:rFonts w:eastAsia="Times New Roman"/>
        </w:rPr>
        <w:pict>
          <v:rect id="_x0000_i1026" style="width:0;height:1.5pt" o:hralign="center" o:hrstd="t" o:hr="t" fillcolor="#a0a0a0" stroked="f"/>
        </w:pict>
      </w:r>
    </w:p>
    <w:p w:rsidR="00000000" w:rsidRDefault="003E235E">
      <w:pPr>
        <w:divId w:val="1835028654"/>
        <w:rPr>
          <w:rFonts w:eastAsia="Times New Roman"/>
        </w:rPr>
      </w:pPr>
      <w:hyperlink w:anchor="i48000f6fae8946f8b752541bba7287a8_10" w:history="1">
        <w:r>
          <w:rPr>
            <w:rStyle w:val="a3"/>
            <w:rFonts w:eastAsia="Times New Roman"/>
            <w:sz w:val="20"/>
            <w:szCs w:val="20"/>
          </w:rPr>
          <w:t>Table of Contents</w:t>
        </w:r>
      </w:hyperlink>
    </w:p>
    <w:p w:rsidR="00000000" w:rsidRDefault="003E235E">
      <w:pPr>
        <w:jc w:val="center"/>
        <w:rPr>
          <w:rFonts w:eastAsia="Times New Roman"/>
        </w:rPr>
      </w:pPr>
      <w:r>
        <w:rPr>
          <w:rFonts w:eastAsia="Times New Roman"/>
          <w:b/>
          <w:bCs/>
          <w:color w:val="000000"/>
          <w:sz w:val="20"/>
          <w:szCs w:val="20"/>
        </w:rPr>
        <w:t>PART I</w:t>
      </w:r>
    </w:p>
    <w:p w:rsidR="00000000" w:rsidRDefault="003E235E">
      <w:pPr>
        <w:jc w:val="center"/>
        <w:rPr>
          <w:rFonts w:eastAsia="Times New Roman"/>
        </w:rPr>
      </w:pPr>
    </w:p>
    <w:p w:rsidR="00000000" w:rsidRDefault="003E235E">
      <w:pPr>
        <w:divId w:val="510491111"/>
        <w:rPr>
          <w:rFonts w:eastAsia="Times New Roman"/>
        </w:rPr>
      </w:pPr>
      <w:r>
        <w:rPr>
          <w:rFonts w:eastAsia="Times New Roman"/>
          <w:b/>
          <w:bCs/>
          <w:color w:val="000000"/>
          <w:sz w:val="20"/>
          <w:szCs w:val="20"/>
        </w:rPr>
        <w:t>Item 1. Financial Statements</w:t>
      </w:r>
    </w:p>
    <w:p w:rsidR="00000000" w:rsidRDefault="003E235E">
      <w:pPr>
        <w:divId w:val="1135411599"/>
        <w:rPr>
          <w:rFonts w:eastAsia="Times New Roman"/>
        </w:rPr>
      </w:pPr>
    </w:p>
    <w:p w:rsidR="00000000" w:rsidRDefault="003E235E">
      <w:pPr>
        <w:jc w:val="center"/>
        <w:divId w:val="1195001528"/>
        <w:rPr>
          <w:rFonts w:eastAsia="Times New Roman"/>
        </w:rPr>
      </w:pPr>
      <w:r>
        <w:rPr>
          <w:rFonts w:eastAsia="Times New Roman"/>
          <w:b/>
          <w:bCs/>
          <w:color w:val="000000"/>
          <w:sz w:val="20"/>
          <w:szCs w:val="20"/>
        </w:rPr>
        <w:t>Noodles &amp; Company</w:t>
      </w:r>
    </w:p>
    <w:p w:rsidR="00000000" w:rsidRDefault="003E235E">
      <w:pPr>
        <w:jc w:val="center"/>
        <w:divId w:val="781657163"/>
        <w:rPr>
          <w:rFonts w:eastAsia="Times New Roman"/>
        </w:rPr>
      </w:pPr>
      <w:r>
        <w:rPr>
          <w:rFonts w:eastAsia="Times New Roman"/>
          <w:b/>
          <w:bCs/>
          <w:color w:val="000000"/>
          <w:sz w:val="20"/>
          <w:szCs w:val="20"/>
        </w:rPr>
        <w:t>Condensed Consolidated Balance Sheets</w:t>
      </w:r>
    </w:p>
    <w:p w:rsidR="00000000" w:rsidRDefault="003E235E">
      <w:pPr>
        <w:jc w:val="center"/>
        <w:divId w:val="1805535784"/>
        <w:rPr>
          <w:rFonts w:eastAsia="Times New Roman"/>
        </w:rPr>
      </w:pPr>
      <w:r>
        <w:rPr>
          <w:rFonts w:eastAsia="Times New Roman"/>
          <w:b/>
          <w:bCs/>
          <w:color w:val="000000"/>
          <w:sz w:val="20"/>
          <w:szCs w:val="20"/>
        </w:rPr>
        <w:t>(in thousands, except share and per share data)</w:t>
      </w:r>
    </w:p>
    <w:tbl>
      <w:tblPr>
        <w:tblW w:w="4985" w:type="pct"/>
        <w:tblCellMar>
          <w:top w:w="15" w:type="dxa"/>
          <w:left w:w="15" w:type="dxa"/>
          <w:bottom w:w="15" w:type="dxa"/>
          <w:right w:w="15" w:type="dxa"/>
        </w:tblCellMar>
        <w:tblLook w:val="04A0" w:firstRow="1" w:lastRow="0" w:firstColumn="1" w:lastColumn="0" w:noHBand="0" w:noVBand="1"/>
      </w:tblPr>
      <w:tblGrid>
        <w:gridCol w:w="41"/>
        <w:gridCol w:w="5115"/>
        <w:gridCol w:w="38"/>
        <w:gridCol w:w="36"/>
        <w:gridCol w:w="36"/>
        <w:gridCol w:w="36"/>
        <w:gridCol w:w="111"/>
        <w:gridCol w:w="1288"/>
        <w:gridCol w:w="36"/>
        <w:gridCol w:w="36"/>
        <w:gridCol w:w="36"/>
        <w:gridCol w:w="36"/>
        <w:gridCol w:w="111"/>
        <w:gridCol w:w="1289"/>
        <w:gridCol w:w="36"/>
      </w:tblGrid>
      <w:tr w:rsidR="00000000">
        <w:trPr>
          <w:divId w:val="550112814"/>
        </w:trPr>
        <w:tc>
          <w:tcPr>
            <w:tcW w:w="50" w:type="pct"/>
            <w:vAlign w:val="center"/>
            <w:hideMark/>
          </w:tcPr>
          <w:p w:rsidR="00000000" w:rsidRDefault="003E235E">
            <w:pPr>
              <w:jc w:val="center"/>
              <w:rPr>
                <w:rFonts w:eastAsia="Times New Roman"/>
              </w:rPr>
            </w:pPr>
          </w:p>
        </w:tc>
        <w:tc>
          <w:tcPr>
            <w:tcW w:w="3112"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824"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824"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r>
      <w:tr w:rsidR="00000000">
        <w:trPr>
          <w:divId w:val="550112814"/>
        </w:trPr>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8"/>
                <w:szCs w:val="18"/>
              </w:rPr>
              <w:t>June 29,</w:t>
            </w:r>
            <w:r>
              <w:rPr>
                <w:rFonts w:eastAsia="Times New Roman"/>
                <w:b/>
                <w:bCs/>
                <w:color w:val="000000"/>
                <w:sz w:val="18"/>
                <w:szCs w:val="18"/>
              </w:rPr>
              <w:br/>
              <w:t>2021</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8"/>
                <w:szCs w:val="18"/>
              </w:rPr>
              <w:t>December 29,</w:t>
            </w:r>
            <w:r>
              <w:rPr>
                <w:rFonts w:eastAsia="Times New Roman"/>
                <w:b/>
                <w:bCs/>
                <w:color w:val="000000"/>
                <w:sz w:val="18"/>
                <w:szCs w:val="18"/>
              </w:rPr>
              <w:br/>
              <w:t>2020</w:t>
            </w:r>
          </w:p>
        </w:tc>
      </w:tr>
      <w:tr w:rsidR="00000000">
        <w:trPr>
          <w:divId w:val="550112814"/>
        </w:trPr>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(unaudited)</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b/>
                <w:bCs/>
                <w:color w:val="000000"/>
                <w:sz w:val="16"/>
                <w:szCs w:val="16"/>
              </w:rPr>
              <w:t> </w:t>
            </w:r>
          </w:p>
        </w:tc>
      </w:tr>
      <w:tr w:rsidR="00000000">
        <w:trPr>
          <w:divId w:val="550112814"/>
        </w:trPr>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b/>
                <w:bCs/>
                <w:color w:val="000000"/>
                <w:sz w:val="18"/>
                <w:szCs w:val="18"/>
              </w:rPr>
              <w:t>Assets</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r>
      <w:tr w:rsidR="00000000">
        <w:trPr>
          <w:divId w:val="550112814"/>
        </w:trPr>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18"/>
                <w:szCs w:val="18"/>
              </w:rPr>
              <w:t>Current assets:</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r>
      <w:tr w:rsidR="00000000">
        <w:trPr>
          <w:divId w:val="550112814"/>
        </w:trPr>
        <w:tc>
          <w:tcPr>
            <w:tcW w:w="0" w:type="auto"/>
            <w:gridSpan w:val="3"/>
            <w:shd w:val="clear" w:color="auto" w:fill="CCEE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18"/>
                <w:szCs w:val="18"/>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17,324 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7,840 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550112814"/>
        </w:trPr>
        <w:tc>
          <w:tcPr>
            <w:tcW w:w="0" w:type="auto"/>
            <w:gridSpan w:val="3"/>
            <w:shd w:val="clear" w:color="auto" w:fill="FFFF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18"/>
                <w:szCs w:val="18"/>
              </w:rPr>
              <w:t>Accounts receivable</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4,348 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3,428 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550112814"/>
        </w:trPr>
        <w:tc>
          <w:tcPr>
            <w:tcW w:w="0" w:type="auto"/>
            <w:gridSpan w:val="3"/>
            <w:shd w:val="clear" w:color="auto" w:fill="CCEE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18"/>
                <w:szCs w:val="18"/>
              </w:rPr>
              <w:t>Inventories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9,527 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9,643 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550112814"/>
        </w:trPr>
        <w:tc>
          <w:tcPr>
            <w:tcW w:w="0" w:type="auto"/>
            <w:gridSpan w:val="3"/>
            <w:shd w:val="clear" w:color="auto" w:fill="FFFF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18"/>
                <w:szCs w:val="18"/>
              </w:rPr>
              <w:t>Prepaid expenses and other assets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3,695 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2,759 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550112814"/>
        </w:trPr>
        <w:tc>
          <w:tcPr>
            <w:tcW w:w="0" w:type="auto"/>
            <w:gridSpan w:val="3"/>
            <w:shd w:val="clear" w:color="auto" w:fill="CCEE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18"/>
                <w:szCs w:val="18"/>
              </w:rPr>
              <w:t>Income tax receivable</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70 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44 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550112814"/>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18"/>
                <w:szCs w:val="18"/>
              </w:rPr>
              <w:t>Total current assets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34,964 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23,714 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550112814"/>
        </w:trPr>
        <w:tc>
          <w:tcPr>
            <w:tcW w:w="0" w:type="auto"/>
            <w:gridSpan w:val="3"/>
            <w:shd w:val="clear" w:color="auto" w:fill="CCEE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18"/>
                <w:szCs w:val="18"/>
              </w:rPr>
              <w:t>Property and equipment, net</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122,399 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122,917 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550112814"/>
        </w:trPr>
        <w:tc>
          <w:tcPr>
            <w:tcW w:w="0" w:type="auto"/>
            <w:gridSpan w:val="3"/>
            <w:shd w:val="clear" w:color="auto" w:fill="FFFF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18"/>
                <w:szCs w:val="18"/>
              </w:rPr>
              <w:t>Operating lease assets, net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191,410 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195,618 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550112814"/>
        </w:trPr>
        <w:tc>
          <w:tcPr>
            <w:tcW w:w="0" w:type="auto"/>
            <w:gridSpan w:val="3"/>
            <w:shd w:val="clear" w:color="auto" w:fill="CCEE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18"/>
                <w:szCs w:val="18"/>
              </w:rPr>
              <w:t>Goodwill</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7,154 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7,154 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550112814"/>
        </w:trPr>
        <w:tc>
          <w:tcPr>
            <w:tcW w:w="0" w:type="auto"/>
            <w:gridSpan w:val="3"/>
            <w:shd w:val="clear" w:color="auto" w:fill="FFFF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18"/>
                <w:szCs w:val="18"/>
              </w:rPr>
              <w:t>Intangibles, net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732 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757 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550112814"/>
        </w:trPr>
        <w:tc>
          <w:tcPr>
            <w:tcW w:w="0" w:type="auto"/>
            <w:gridSpan w:val="3"/>
            <w:shd w:val="clear" w:color="auto" w:fill="CCEE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18"/>
                <w:szCs w:val="18"/>
              </w:rPr>
              <w:t>Other assets, net</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3,496 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3,471 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550112814"/>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18"/>
                <w:szCs w:val="18"/>
              </w:rPr>
              <w:t>Total long-term assets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325,191 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329,917 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550112814"/>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18"/>
                <w:szCs w:val="18"/>
              </w:rPr>
              <w:t>Total assets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360,155 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353,631 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550112814"/>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b/>
                <w:bCs/>
                <w:color w:val="000000"/>
                <w:sz w:val="18"/>
                <w:szCs w:val="18"/>
              </w:rPr>
              <w:t>Liabilities and Stockholders’ Equity</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18"/>
                <w:szCs w:val="18"/>
              </w:rPr>
              <w:t> </w:t>
            </w:r>
          </w:p>
        </w:tc>
      </w:tr>
      <w:tr w:rsidR="00000000">
        <w:trPr>
          <w:divId w:val="550112814"/>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18"/>
                <w:szCs w:val="18"/>
              </w:rPr>
              <w:t>Current liabilities: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18"/>
                <w:szCs w:val="18"/>
              </w:rPr>
              <w:t> </w:t>
            </w:r>
          </w:p>
        </w:tc>
      </w:tr>
      <w:tr w:rsidR="00000000">
        <w:trPr>
          <w:divId w:val="550112814"/>
        </w:trPr>
        <w:tc>
          <w:tcPr>
            <w:tcW w:w="0" w:type="auto"/>
            <w:gridSpan w:val="3"/>
            <w:shd w:val="clear" w:color="auto" w:fill="FFFF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18"/>
                <w:szCs w:val="18"/>
              </w:rPr>
              <w:t>Accounts payable</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12,586 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6,402 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550112814"/>
        </w:trPr>
        <w:tc>
          <w:tcPr>
            <w:tcW w:w="0" w:type="auto"/>
            <w:gridSpan w:val="3"/>
            <w:shd w:val="clear" w:color="auto" w:fill="CCEE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18"/>
                <w:szCs w:val="18"/>
              </w:rPr>
              <w:t>Accrued payroll and benefits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18,241 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12,876 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550112814"/>
        </w:trPr>
        <w:tc>
          <w:tcPr>
            <w:tcW w:w="0" w:type="auto"/>
            <w:gridSpan w:val="3"/>
            <w:shd w:val="clear" w:color="auto" w:fill="FFFF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18"/>
                <w:szCs w:val="18"/>
              </w:rPr>
              <w:t>Accrued expenses and other current liabilities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12,293 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11,632 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550112814"/>
        </w:trPr>
        <w:tc>
          <w:tcPr>
            <w:tcW w:w="0" w:type="auto"/>
            <w:gridSpan w:val="3"/>
            <w:shd w:val="clear" w:color="auto" w:fill="CCEE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18"/>
                <w:szCs w:val="18"/>
              </w:rPr>
              <w:t>Current operating lease liabilities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26,141 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26,094 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550112814"/>
        </w:trPr>
        <w:tc>
          <w:tcPr>
            <w:tcW w:w="0" w:type="auto"/>
            <w:gridSpan w:val="3"/>
            <w:shd w:val="clear" w:color="auto" w:fill="FFFF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18"/>
                <w:szCs w:val="18"/>
              </w:rPr>
              <w:t>Current portion of long-term debt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1,500 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1,125 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550112814"/>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18"/>
                <w:szCs w:val="18"/>
              </w:rPr>
              <w:t>Total current liabilities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70,761 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58,129 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550112814"/>
        </w:trPr>
        <w:tc>
          <w:tcPr>
            <w:tcW w:w="0" w:type="auto"/>
            <w:gridSpan w:val="3"/>
            <w:shd w:val="clear" w:color="auto" w:fill="FFFF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18"/>
                <w:szCs w:val="18"/>
              </w:rPr>
              <w:t>Long-term debt, net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35,754 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40,949 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550112814"/>
        </w:trPr>
        <w:tc>
          <w:tcPr>
            <w:tcW w:w="0" w:type="auto"/>
            <w:gridSpan w:val="3"/>
            <w:shd w:val="clear" w:color="auto" w:fill="CCEE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18"/>
                <w:szCs w:val="18"/>
              </w:rPr>
              <w:lastRenderedPageBreak/>
              <w:t>Long-term operating lease liabilities, net</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206,977 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210,454 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550112814"/>
        </w:trPr>
        <w:tc>
          <w:tcPr>
            <w:tcW w:w="0" w:type="auto"/>
            <w:gridSpan w:val="3"/>
            <w:shd w:val="clear" w:color="auto" w:fill="FFFF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18"/>
                <w:szCs w:val="18"/>
              </w:rPr>
              <w:t>Deferred tax liabilities, net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256 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240 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550112814"/>
        </w:trPr>
        <w:tc>
          <w:tcPr>
            <w:tcW w:w="0" w:type="auto"/>
            <w:gridSpan w:val="3"/>
            <w:shd w:val="clear" w:color="auto" w:fill="CCEE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18"/>
                <w:szCs w:val="18"/>
              </w:rPr>
              <w:t>Other long-term liabilities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10,964 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14,160 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550112814"/>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324,712 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323,932 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550112814"/>
          <w:trHeight w:val="240"/>
        </w:trPr>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r>
      <w:tr w:rsidR="00000000">
        <w:trPr>
          <w:divId w:val="550112814"/>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18"/>
                <w:szCs w:val="18"/>
              </w:rPr>
              <w:t>Stockholders’ equity:</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18"/>
                <w:szCs w:val="18"/>
              </w:rPr>
              <w:t> </w:t>
            </w:r>
          </w:p>
        </w:tc>
      </w:tr>
      <w:tr w:rsidR="00000000">
        <w:trPr>
          <w:divId w:val="550112814"/>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divId w:val="166940435"/>
              <w:rPr>
                <w:rFonts w:eastAsia="Times New Roman"/>
              </w:rPr>
            </w:pPr>
            <w:r>
              <w:rPr>
                <w:rFonts w:eastAsia="Times New Roman"/>
                <w:color w:val="000000"/>
                <w:sz w:val="18"/>
                <w:szCs w:val="18"/>
              </w:rPr>
              <w:t xml:space="preserve">Preferred stock—$0.01 par value, 1,000,000 shares authorized and undesignated as of June 29, 2021 and December 29, 2020; no </w:t>
            </w:r>
            <w:r>
              <w:rPr>
                <w:rFonts w:eastAsia="Times New Roman"/>
                <w:color w:val="000000"/>
                <w:sz w:val="18"/>
                <w:szCs w:val="18"/>
              </w:rPr>
              <w:t>shares issued or outstanding</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550112814"/>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divId w:val="453066267"/>
              <w:rPr>
                <w:rFonts w:eastAsia="Times New Roman"/>
              </w:rPr>
            </w:pPr>
            <w:r>
              <w:rPr>
                <w:rFonts w:eastAsia="Times New Roman"/>
                <w:color w:val="000000"/>
                <w:sz w:val="18"/>
                <w:szCs w:val="18"/>
              </w:rPr>
              <w:t xml:space="preserve">Common stock—$0.01 par value, 180,000,000 shares authorized as of June 29, 2021 and December 29, 2020; 48,011,761 issued and 45,587,890 outstanding as of June 29, 2021 and 46,807,587 issued and </w:t>
            </w:r>
            <w:r>
              <w:rPr>
                <w:rFonts w:eastAsia="Times New Roman"/>
                <w:color w:val="000000"/>
                <w:sz w:val="18"/>
                <w:szCs w:val="18"/>
              </w:rPr>
              <w:t>44,383,716 outstanding as of December 29, 2020</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480 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468 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550112814"/>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divId w:val="512426554"/>
              <w:rPr>
                <w:rFonts w:eastAsia="Times New Roman"/>
              </w:rPr>
            </w:pPr>
            <w:r>
              <w:rPr>
                <w:rFonts w:eastAsia="Times New Roman"/>
                <w:color w:val="000000"/>
                <w:sz w:val="18"/>
                <w:szCs w:val="18"/>
              </w:rPr>
              <w:t>Treasury stock, at cost, 2,423,871 shares as of June 29, 2021 and December 29, 2020</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(35,000)</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(35,000)</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550112814"/>
        </w:trPr>
        <w:tc>
          <w:tcPr>
            <w:tcW w:w="0" w:type="auto"/>
            <w:gridSpan w:val="3"/>
            <w:shd w:val="clear" w:color="auto" w:fill="FFFF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18"/>
                <w:szCs w:val="18"/>
              </w:rPr>
              <w:t>Additional paid-in capital</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204,996 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202,970 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550112814"/>
        </w:trPr>
        <w:tc>
          <w:tcPr>
            <w:tcW w:w="0" w:type="auto"/>
            <w:gridSpan w:val="3"/>
            <w:shd w:val="clear" w:color="auto" w:fill="CCEE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18"/>
                <w:szCs w:val="18"/>
              </w:rPr>
              <w:t>Accumulated deficit</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(135,033)</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(138,739)</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550112814"/>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18"/>
                <w:szCs w:val="18"/>
              </w:rPr>
              <w:t>Total stockholders’ equity</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35,443 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29,699 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550112814"/>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18"/>
                <w:szCs w:val="18"/>
              </w:rPr>
              <w:t>Total liabilities and stockholders’ equity</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360,155 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8"/>
                <w:szCs w:val="18"/>
              </w:rPr>
              <w:t>353,631 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bl>
    <w:p w:rsidR="00000000" w:rsidRDefault="003E235E">
      <w:pPr>
        <w:ind w:firstLine="360"/>
        <w:jc w:val="center"/>
        <w:divId w:val="201594078"/>
        <w:rPr>
          <w:rFonts w:eastAsia="Times New Roman"/>
        </w:rPr>
      </w:pPr>
      <w:r>
        <w:rPr>
          <w:rFonts w:eastAsia="Times New Roman"/>
          <w:color w:val="000000"/>
          <w:sz w:val="20"/>
          <w:szCs w:val="20"/>
        </w:rPr>
        <w:t>  </w:t>
      </w:r>
      <w:r>
        <w:rPr>
          <w:rFonts w:eastAsia="Times New Roman"/>
          <w:color w:val="000000"/>
          <w:sz w:val="18"/>
          <w:szCs w:val="18"/>
        </w:rPr>
        <w:t> </w:t>
      </w:r>
      <w:r>
        <w:rPr>
          <w:rFonts w:eastAsia="Times New Roman"/>
          <w:i/>
          <w:iCs/>
          <w:color w:val="000000"/>
          <w:sz w:val="18"/>
          <w:szCs w:val="18"/>
        </w:rPr>
        <w:t>See accompanying notes to condensed consolidated financial statements.</w:t>
      </w:r>
    </w:p>
    <w:p w:rsidR="00000000" w:rsidRDefault="003E235E">
      <w:pPr>
        <w:jc w:val="center"/>
        <w:divId w:val="454060625"/>
        <w:rPr>
          <w:rFonts w:eastAsia="Times New Roman"/>
        </w:rPr>
      </w:pPr>
      <w:r>
        <w:rPr>
          <w:rFonts w:eastAsia="Times New Roman"/>
          <w:color w:val="000000"/>
          <w:sz w:val="20"/>
          <w:szCs w:val="20"/>
        </w:rPr>
        <w:t>2</w:t>
      </w:r>
    </w:p>
    <w:p w:rsidR="00000000" w:rsidRDefault="003E235E">
      <w:pPr>
        <w:rPr>
          <w:rFonts w:eastAsia="Times New Roman"/>
        </w:rPr>
      </w:pPr>
      <w:r>
        <w:rPr>
          <w:rFonts w:eastAsia="Times New Roman"/>
        </w:rPr>
        <w:pict>
          <v:rect id="_x0000_i1027" style="width:0;height:1.5pt" o:hralign="center" o:hrstd="t" o:hr="t" fillcolor="#a0a0a0" stroked="f"/>
        </w:pict>
      </w:r>
    </w:p>
    <w:p w:rsidR="00000000" w:rsidRDefault="003E235E">
      <w:pPr>
        <w:divId w:val="1379165058"/>
        <w:rPr>
          <w:rFonts w:eastAsia="Times New Roman"/>
        </w:rPr>
      </w:pPr>
      <w:hyperlink w:anchor="i48000f6fae8946f8b752541bba7287a8_10" w:history="1">
        <w:r>
          <w:rPr>
            <w:rStyle w:val="a3"/>
            <w:rFonts w:eastAsia="Times New Roman"/>
            <w:sz w:val="20"/>
            <w:szCs w:val="20"/>
          </w:rPr>
          <w:t>Table of Contents</w:t>
        </w:r>
      </w:hyperlink>
    </w:p>
    <w:p w:rsidR="00000000" w:rsidRDefault="003E235E">
      <w:pPr>
        <w:jc w:val="center"/>
        <w:divId w:val="301615085"/>
        <w:rPr>
          <w:rFonts w:eastAsia="Times New Roman"/>
        </w:rPr>
      </w:pPr>
      <w:r>
        <w:rPr>
          <w:rFonts w:eastAsia="Times New Roman"/>
          <w:b/>
          <w:bCs/>
          <w:color w:val="000000"/>
          <w:sz w:val="20"/>
          <w:szCs w:val="20"/>
        </w:rPr>
        <w:t>Noodles &amp; Company</w:t>
      </w:r>
    </w:p>
    <w:p w:rsidR="00000000" w:rsidRDefault="003E235E">
      <w:pPr>
        <w:jc w:val="center"/>
        <w:divId w:val="2024937559"/>
        <w:rPr>
          <w:rFonts w:eastAsia="Times New Roman"/>
        </w:rPr>
      </w:pPr>
      <w:r>
        <w:rPr>
          <w:rFonts w:eastAsia="Times New Roman"/>
          <w:b/>
          <w:bCs/>
          <w:color w:val="000000"/>
          <w:sz w:val="20"/>
          <w:szCs w:val="20"/>
        </w:rPr>
        <w:t>Condensed Consolidated Statements of Operations</w:t>
      </w:r>
    </w:p>
    <w:p w:rsidR="00000000" w:rsidRDefault="003E235E">
      <w:pPr>
        <w:jc w:val="center"/>
        <w:divId w:val="1527937683"/>
        <w:rPr>
          <w:rFonts w:eastAsia="Times New Roman"/>
        </w:rPr>
      </w:pPr>
      <w:r>
        <w:rPr>
          <w:rFonts w:eastAsia="Times New Roman"/>
          <w:b/>
          <w:bCs/>
          <w:color w:val="000000"/>
          <w:sz w:val="20"/>
          <w:szCs w:val="20"/>
        </w:rPr>
        <w:t>(in thousands, except share and per share data, unaudited)</w:t>
      </w:r>
    </w:p>
    <w:tbl>
      <w:tblPr>
        <w:tblW w:w="4992" w:type="pct"/>
        <w:jc w:val="center"/>
        <w:tblCellMar>
          <w:top w:w="15" w:type="dxa"/>
          <w:left w:w="15" w:type="dxa"/>
          <w:bottom w:w="15" w:type="dxa"/>
          <w:right w:w="15" w:type="dxa"/>
        </w:tblCellMar>
        <w:tblLook w:val="04A0" w:firstRow="1" w:lastRow="0" w:firstColumn="1" w:lastColumn="0" w:noHBand="0" w:noVBand="1"/>
      </w:tblPr>
      <w:tblGrid>
        <w:gridCol w:w="41"/>
        <w:gridCol w:w="3581"/>
        <w:gridCol w:w="39"/>
        <w:gridCol w:w="36"/>
        <w:gridCol w:w="36"/>
        <w:gridCol w:w="36"/>
        <w:gridCol w:w="121"/>
        <w:gridCol w:w="893"/>
        <w:gridCol w:w="36"/>
        <w:gridCol w:w="36"/>
        <w:gridCol w:w="36"/>
        <w:gridCol w:w="36"/>
        <w:gridCol w:w="121"/>
        <w:gridCol w:w="893"/>
        <w:gridCol w:w="36"/>
        <w:gridCol w:w="36"/>
        <w:gridCol w:w="36"/>
        <w:gridCol w:w="36"/>
        <w:gridCol w:w="121"/>
        <w:gridCol w:w="893"/>
        <w:gridCol w:w="36"/>
        <w:gridCol w:w="36"/>
        <w:gridCol w:w="36"/>
        <w:gridCol w:w="36"/>
        <w:gridCol w:w="121"/>
        <w:gridCol w:w="893"/>
        <w:gridCol w:w="36"/>
      </w:tblGrid>
      <w:tr w:rsidR="00000000">
        <w:trPr>
          <w:jc w:val="center"/>
        </w:trPr>
        <w:tc>
          <w:tcPr>
            <w:tcW w:w="50" w:type="pct"/>
            <w:vAlign w:val="center"/>
            <w:hideMark/>
          </w:tcPr>
          <w:p w:rsidR="00000000" w:rsidRDefault="003E235E">
            <w:pPr>
              <w:jc w:val="center"/>
              <w:rPr>
                <w:rFonts w:eastAsia="Times New Roman"/>
              </w:rPr>
            </w:pPr>
          </w:p>
        </w:tc>
        <w:tc>
          <w:tcPr>
            <w:tcW w:w="2251"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1"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1"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1"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2"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Two Fiscal Quarters Ended</w:t>
            </w:r>
          </w:p>
        </w:tc>
      </w:tr>
      <w:tr w:rsidR="00000000">
        <w:trPr>
          <w:jc w:val="center"/>
        </w:trPr>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2020</w:t>
            </w:r>
          </w:p>
        </w:tc>
      </w:tr>
      <w:tr w:rsidR="00000000">
        <w:trPr>
          <w:jc w:val="center"/>
        </w:trPr>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i/>
                <w:iCs/>
                <w:color w:val="000000"/>
                <w:sz w:val="20"/>
                <w:szCs w:val="20"/>
              </w:rPr>
              <w:t>Revenue:</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E235E">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Restaurant revenue</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123,715 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80,021 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231,459 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178,737 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Franchising royalties and fees, and other</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1,934 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136 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3,767 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1,768 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125,649 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80,157 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235,226 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180,505 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i/>
                <w:iCs/>
                <w:color w:val="000000"/>
                <w:sz w:val="20"/>
                <w:szCs w:val="20"/>
              </w:rPr>
              <w:t>Costs and expenses: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Restaurant operating costs (exclusive of depreciation and amortization shown separately below):</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Cost of sales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30,805 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20,020 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57,782 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45,224 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Labor</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36,926 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27,137 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71,232 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61,368 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Occupancy</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11,519 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11,676 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23,168 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23,736 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Other restaurant operating costs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21,082 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15,789 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41,287 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32,478 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lastRenderedPageBreak/>
              <w:t>General and administrative</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12,978 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10,034 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23,907 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20,588 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5,576 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5,397 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11,163 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10,732 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Pre-opening</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163 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71 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221 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144 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Restaurant impairments, closure costs and asset disposals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390 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2,558 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1,621 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3,614 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Total costs and expenses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119,439 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92,682 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230,381 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197,884 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Income (loss) from operations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6,210 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(12,525)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4,845 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(17,379)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vAlign w:val="center"/>
            <w:hideMark/>
          </w:tcPr>
          <w:p w:rsidR="00000000" w:rsidRDefault="003E235E">
            <w:pPr>
              <w:spacing w:after="100"/>
              <w:jc w:val="right"/>
              <w:rPr>
                <w:rFonts w:eastAsia="Times New Roman"/>
                <w:sz w:val="20"/>
                <w:szCs w:val="20"/>
              </w:rPr>
            </w:pPr>
          </w:p>
        </w:tc>
        <w:tc>
          <w:tcPr>
            <w:tcW w:w="0" w:type="auto"/>
            <w:gridSpan w:val="3"/>
            <w:vAlign w:val="center"/>
            <w:hideMark/>
          </w:tcPr>
          <w:p w:rsidR="00000000" w:rsidRDefault="003E235E">
            <w:pPr>
              <w:spacing w:after="100"/>
              <w:rPr>
                <w:rFonts w:eastAsia="Times New Roman"/>
                <w:sz w:val="20"/>
                <w:szCs w:val="20"/>
              </w:rPr>
            </w:pPr>
          </w:p>
        </w:tc>
        <w:tc>
          <w:tcPr>
            <w:tcW w:w="0" w:type="auto"/>
            <w:gridSpan w:val="3"/>
            <w:vAlign w:val="center"/>
            <w:hideMark/>
          </w:tcPr>
          <w:p w:rsidR="00000000" w:rsidRDefault="003E235E">
            <w:pPr>
              <w:spacing w:after="100"/>
              <w:rPr>
                <w:rFonts w:eastAsia="Times New Roman"/>
                <w:sz w:val="20"/>
                <w:szCs w:val="20"/>
              </w:rPr>
            </w:pPr>
          </w:p>
        </w:tc>
        <w:tc>
          <w:tcPr>
            <w:tcW w:w="0" w:type="auto"/>
            <w:gridSpan w:val="3"/>
            <w:vAlign w:val="center"/>
            <w:hideMark/>
          </w:tcPr>
          <w:p w:rsidR="00000000" w:rsidRDefault="003E235E">
            <w:pPr>
              <w:spacing w:after="100"/>
              <w:rPr>
                <w:rFonts w:eastAsia="Times New Roman"/>
                <w:sz w:val="20"/>
                <w:szCs w:val="20"/>
              </w:rPr>
            </w:pPr>
          </w:p>
        </w:tc>
        <w:tc>
          <w:tcPr>
            <w:tcW w:w="0" w:type="auto"/>
            <w:gridSpan w:val="3"/>
            <w:vAlign w:val="center"/>
            <w:hideMark/>
          </w:tcPr>
          <w:p w:rsidR="00000000" w:rsidRDefault="003E235E">
            <w:pPr>
              <w:spacing w:after="100"/>
              <w:rPr>
                <w:rFonts w:eastAsia="Times New Roman"/>
                <w:sz w:val="20"/>
                <w:szCs w:val="20"/>
              </w:rPr>
            </w:pPr>
          </w:p>
        </w:tc>
        <w:tc>
          <w:tcPr>
            <w:tcW w:w="0" w:type="auto"/>
            <w:gridSpan w:val="3"/>
            <w:vAlign w:val="center"/>
            <w:hideMark/>
          </w:tcPr>
          <w:p w:rsidR="00000000" w:rsidRDefault="003E235E">
            <w:pPr>
              <w:spacing w:after="100"/>
              <w:rPr>
                <w:rFonts w:eastAsia="Times New Roman"/>
                <w:sz w:val="20"/>
                <w:szCs w:val="20"/>
              </w:rPr>
            </w:pPr>
          </w:p>
        </w:tc>
        <w:tc>
          <w:tcPr>
            <w:tcW w:w="0" w:type="auto"/>
            <w:gridSpan w:val="3"/>
            <w:vAlign w:val="center"/>
            <w:hideMark/>
          </w:tcPr>
          <w:p w:rsidR="00000000" w:rsidRDefault="003E235E">
            <w:pPr>
              <w:spacing w:after="100"/>
              <w:rPr>
                <w:rFonts w:eastAsia="Times New Roman"/>
                <w:sz w:val="20"/>
                <w:szCs w:val="20"/>
              </w:rPr>
            </w:pPr>
          </w:p>
        </w:tc>
        <w:tc>
          <w:tcPr>
            <w:tcW w:w="0" w:type="auto"/>
            <w:gridSpan w:val="3"/>
            <w:vAlign w:val="center"/>
            <w:hideMark/>
          </w:tcPr>
          <w:p w:rsidR="00000000" w:rsidRDefault="003E235E">
            <w:pPr>
              <w:spacing w:after="100"/>
              <w:rPr>
                <w:rFonts w:eastAsia="Times New Roman"/>
                <w:sz w:val="20"/>
                <w:szCs w:val="20"/>
              </w:rPr>
            </w:pPr>
          </w:p>
        </w:tc>
        <w:tc>
          <w:tcPr>
            <w:tcW w:w="0" w:type="auto"/>
            <w:gridSpan w:val="3"/>
            <w:vAlign w:val="center"/>
            <w:hideMark/>
          </w:tcPr>
          <w:p w:rsidR="00000000" w:rsidRDefault="003E235E">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Interest expense, net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498 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920 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1,120 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1,888 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Income (loss) before taxes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5,712 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(13,445)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3,725 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(19,267)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Provision for income taxes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5,683 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(13,478)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3,706 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(19,313)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Earnings (loss) per Class A and Class B common stock, combined</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Basic</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0.12 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(0.30)</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0.08 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(0.44)</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Diluted</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0.12 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(0.30)</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0.08 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(0.44)</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Weighted average shares of Class A and Class B common stock outstanding, combined:</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Basic</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45,506,476 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44,212,751 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45,303,160 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44,177,648 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Diluted</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46,246,169 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44,212,751 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45,992,119 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44,177,648 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bl>
    <w:p w:rsidR="00000000" w:rsidRDefault="003E235E">
      <w:pPr>
        <w:divId w:val="853962444"/>
        <w:rPr>
          <w:rFonts w:eastAsia="Times New Roman"/>
        </w:rPr>
      </w:pPr>
    </w:p>
    <w:p w:rsidR="00000000" w:rsidRDefault="003E235E">
      <w:pPr>
        <w:jc w:val="center"/>
        <w:divId w:val="791174371"/>
        <w:rPr>
          <w:rFonts w:eastAsia="Times New Roman"/>
        </w:rPr>
      </w:pPr>
      <w:r>
        <w:rPr>
          <w:rFonts w:eastAsia="Times New Roman"/>
          <w:i/>
          <w:iCs/>
          <w:color w:val="000000"/>
          <w:sz w:val="20"/>
          <w:szCs w:val="20"/>
        </w:rPr>
        <w:t>See accompanying notes to condensed consolidated financial statements.</w:t>
      </w:r>
    </w:p>
    <w:p w:rsidR="00000000" w:rsidRDefault="003E235E">
      <w:pPr>
        <w:jc w:val="center"/>
        <w:divId w:val="214782446"/>
        <w:rPr>
          <w:rFonts w:eastAsia="Times New Roman"/>
        </w:rPr>
      </w:pPr>
      <w:r>
        <w:rPr>
          <w:rFonts w:eastAsia="Times New Roman"/>
          <w:color w:val="000000"/>
          <w:sz w:val="20"/>
          <w:szCs w:val="20"/>
        </w:rPr>
        <w:t>3</w:t>
      </w:r>
    </w:p>
    <w:p w:rsidR="00000000" w:rsidRDefault="003E235E">
      <w:pPr>
        <w:rPr>
          <w:rFonts w:eastAsia="Times New Roman"/>
        </w:rPr>
      </w:pPr>
      <w:r>
        <w:rPr>
          <w:rFonts w:eastAsia="Times New Roman"/>
        </w:rPr>
        <w:pict>
          <v:rect id="_x0000_i1028" style="width:0;height:1.5pt" o:hralign="center" o:hrstd="t" o:hr="t" fillcolor="#a0a0a0" stroked="f"/>
        </w:pict>
      </w:r>
    </w:p>
    <w:p w:rsidR="00000000" w:rsidRDefault="003E235E">
      <w:pPr>
        <w:divId w:val="1368679633"/>
        <w:rPr>
          <w:rFonts w:eastAsia="Times New Roman"/>
        </w:rPr>
      </w:pPr>
      <w:hyperlink w:anchor="i48000f6fae8946f8b752541bba7287a8_10" w:history="1">
        <w:r>
          <w:rPr>
            <w:rStyle w:val="a3"/>
            <w:rFonts w:eastAsia="Times New Roman"/>
            <w:sz w:val="20"/>
            <w:szCs w:val="20"/>
          </w:rPr>
          <w:t>Table of Contents</w:t>
        </w:r>
      </w:hyperlink>
    </w:p>
    <w:p w:rsidR="00000000" w:rsidRDefault="003E235E">
      <w:pPr>
        <w:jc w:val="center"/>
        <w:divId w:val="1716615963"/>
        <w:rPr>
          <w:rFonts w:eastAsia="Times New Roman"/>
        </w:rPr>
      </w:pPr>
      <w:r>
        <w:rPr>
          <w:rFonts w:eastAsia="Times New Roman"/>
          <w:b/>
          <w:bCs/>
          <w:color w:val="000000"/>
          <w:sz w:val="16"/>
          <w:szCs w:val="16"/>
        </w:rPr>
        <w:t>Noodles &amp; Company</w:t>
      </w:r>
    </w:p>
    <w:p w:rsidR="00000000" w:rsidRDefault="003E235E">
      <w:pPr>
        <w:jc w:val="center"/>
        <w:divId w:val="1822886173"/>
        <w:rPr>
          <w:rFonts w:eastAsia="Times New Roman"/>
        </w:rPr>
      </w:pPr>
      <w:r>
        <w:rPr>
          <w:rFonts w:eastAsia="Times New Roman"/>
          <w:b/>
          <w:bCs/>
          <w:color w:val="000000"/>
          <w:sz w:val="16"/>
          <w:szCs w:val="16"/>
        </w:rPr>
        <w:t>Condensed Consolidated Statements of Stockholders’ Equity</w:t>
      </w:r>
    </w:p>
    <w:p w:rsidR="00000000" w:rsidRDefault="003E235E">
      <w:pPr>
        <w:jc w:val="center"/>
        <w:divId w:val="854617482"/>
        <w:rPr>
          <w:rFonts w:eastAsia="Times New Roman"/>
        </w:rPr>
      </w:pPr>
      <w:r>
        <w:rPr>
          <w:rFonts w:eastAsia="Times New Roman"/>
          <w:b/>
          <w:bCs/>
          <w:color w:val="000000"/>
          <w:sz w:val="16"/>
          <w:szCs w:val="16"/>
        </w:rPr>
        <w:t>(in thousands, except share data, unaudited)</w:t>
      </w:r>
    </w:p>
    <w:tbl>
      <w:tblPr>
        <w:tblW w:w="4994" w:type="pct"/>
        <w:jc w:val="center"/>
        <w:tblCellMar>
          <w:top w:w="15" w:type="dxa"/>
          <w:left w:w="15" w:type="dxa"/>
          <w:bottom w:w="15" w:type="dxa"/>
          <w:right w:w="15" w:type="dxa"/>
        </w:tblCellMar>
        <w:tblLook w:val="04A0" w:firstRow="1" w:lastRow="0" w:firstColumn="1" w:lastColumn="0" w:noHBand="0" w:noVBand="1"/>
      </w:tblPr>
      <w:tblGrid>
        <w:gridCol w:w="39"/>
        <w:gridCol w:w="1710"/>
        <w:gridCol w:w="38"/>
        <w:gridCol w:w="36"/>
        <w:gridCol w:w="36"/>
        <w:gridCol w:w="36"/>
        <w:gridCol w:w="82"/>
        <w:gridCol w:w="698"/>
        <w:gridCol w:w="37"/>
        <w:gridCol w:w="37"/>
        <w:gridCol w:w="36"/>
        <w:gridCol w:w="36"/>
        <w:gridCol w:w="101"/>
        <w:gridCol w:w="533"/>
        <w:gridCol w:w="36"/>
        <w:gridCol w:w="36"/>
        <w:gridCol w:w="36"/>
        <w:gridCol w:w="36"/>
        <w:gridCol w:w="73"/>
        <w:gridCol w:w="627"/>
        <w:gridCol w:w="36"/>
        <w:gridCol w:w="36"/>
        <w:gridCol w:w="36"/>
        <w:gridCol w:w="36"/>
        <w:gridCol w:w="100"/>
        <w:gridCol w:w="547"/>
        <w:gridCol w:w="36"/>
        <w:gridCol w:w="36"/>
        <w:gridCol w:w="36"/>
        <w:gridCol w:w="36"/>
        <w:gridCol w:w="101"/>
        <w:gridCol w:w="727"/>
        <w:gridCol w:w="36"/>
        <w:gridCol w:w="36"/>
        <w:gridCol w:w="36"/>
        <w:gridCol w:w="36"/>
        <w:gridCol w:w="110"/>
        <w:gridCol w:w="827"/>
        <w:gridCol w:w="36"/>
        <w:gridCol w:w="36"/>
        <w:gridCol w:w="36"/>
        <w:gridCol w:w="36"/>
        <w:gridCol w:w="101"/>
        <w:gridCol w:w="872"/>
        <w:gridCol w:w="36"/>
      </w:tblGrid>
      <w:tr w:rsidR="00000000">
        <w:trPr>
          <w:divId w:val="1671787095"/>
          <w:jc w:val="center"/>
        </w:trPr>
        <w:tc>
          <w:tcPr>
            <w:tcW w:w="50" w:type="pct"/>
            <w:vAlign w:val="center"/>
            <w:hideMark/>
          </w:tcPr>
          <w:p w:rsidR="00000000" w:rsidRDefault="003E235E">
            <w:pPr>
              <w:jc w:val="center"/>
              <w:rPr>
                <w:rFonts w:eastAsia="Times New Roman"/>
              </w:rPr>
            </w:pPr>
          </w:p>
        </w:tc>
        <w:tc>
          <w:tcPr>
            <w:tcW w:w="135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1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431"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1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431"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1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431"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1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431"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1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479"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1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378"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1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432"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r>
      <w:tr w:rsidR="00000000">
        <w:trPr>
          <w:divId w:val="1671787095"/>
          <w:jc w:val="center"/>
        </w:trPr>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9"/>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Fiscal Quarter Ended</w:t>
            </w:r>
          </w:p>
        </w:tc>
      </w:tr>
      <w:tr w:rsidR="00000000">
        <w:trPr>
          <w:divId w:val="1671787095"/>
          <w:trHeight w:val="240"/>
          <w:jc w:val="center"/>
        </w:trPr>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Common Stoc</w:t>
            </w:r>
            <w:r>
              <w:rPr>
                <w:rFonts w:eastAsia="Times New Roman"/>
                <w:b/>
                <w:bCs/>
                <w:color w:val="000000"/>
                <w:sz w:val="16"/>
                <w:szCs w:val="16"/>
              </w:rPr>
              <w:t>k</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Treasury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 Additional Paid-In</w:t>
            </w:r>
            <w:r>
              <w:rPr>
                <w:rFonts w:eastAsia="Times New Roman"/>
                <w:b/>
                <w:bCs/>
                <w:color w:val="000000"/>
                <w:sz w:val="16"/>
                <w:szCs w:val="16"/>
              </w:rPr>
              <w:br/>
              <w:t>Capital</w:t>
            </w:r>
          </w:p>
        </w:tc>
        <w:tc>
          <w:tcPr>
            <w:tcW w:w="0" w:type="auto"/>
            <w:gridSpan w:val="3"/>
            <w:vMerge w:val="restart"/>
            <w:tcBorders>
              <w:top w:val="single" w:sz="8" w:space="0" w:color="000000"/>
            </w:tcBorders>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vMerge w:val="restart"/>
            <w:tcBorders>
              <w:top w:val="single" w:sz="8" w:space="0" w:color="000000"/>
            </w:tcBorders>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Stockholders’</w:t>
            </w:r>
            <w:r>
              <w:rPr>
                <w:rFonts w:eastAsia="Times New Roman"/>
                <w:b/>
                <w:bCs/>
                <w:color w:val="000000"/>
                <w:sz w:val="16"/>
                <w:szCs w:val="16"/>
              </w:rPr>
              <w:br/>
              <w:t>Equity</w:t>
            </w:r>
          </w:p>
        </w:tc>
      </w:tr>
      <w:tr w:rsidR="00000000">
        <w:trPr>
          <w:divId w:val="1671787095"/>
          <w:trHeight w:val="360"/>
          <w:jc w:val="center"/>
        </w:trPr>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vMerge/>
            <w:tcBorders>
              <w:top w:val="single" w:sz="8" w:space="0" w:color="000000"/>
            </w:tcBorders>
            <w:vAlign w:val="center"/>
            <w:hideMark/>
          </w:tcPr>
          <w:p w:rsidR="00000000" w:rsidRDefault="003E235E">
            <w:pPr>
              <w:spacing w:after="100"/>
              <w:rPr>
                <w:rFonts w:eastAsia="Times New Roman"/>
              </w:rPr>
            </w:pPr>
          </w:p>
        </w:tc>
        <w:tc>
          <w:tcPr>
            <w:tcW w:w="0" w:type="auto"/>
            <w:gridSpan w:val="3"/>
            <w:vMerge/>
            <w:tcBorders>
              <w:top w:val="single" w:sz="8" w:space="0" w:color="000000"/>
            </w:tcBorders>
            <w:vAlign w:val="center"/>
            <w:hideMark/>
          </w:tcPr>
          <w:p w:rsidR="00000000" w:rsidRDefault="003E235E">
            <w:pPr>
              <w:spacing w:after="100"/>
              <w:rPr>
                <w:rFonts w:eastAsia="Times New Roman"/>
              </w:rPr>
            </w:pPr>
          </w:p>
        </w:tc>
        <w:tc>
          <w:tcPr>
            <w:tcW w:w="0" w:type="auto"/>
            <w:gridSpan w:val="3"/>
            <w:vMerge/>
            <w:tcBorders>
              <w:top w:val="single" w:sz="8" w:space="0" w:color="000000"/>
            </w:tcBorders>
            <w:vAlign w:val="center"/>
            <w:hideMark/>
          </w:tcPr>
          <w:p w:rsidR="00000000" w:rsidRDefault="003E235E">
            <w:pPr>
              <w:spacing w:after="100"/>
              <w:rPr>
                <w:rFonts w:eastAsia="Times New Roman"/>
              </w:rPr>
            </w:pPr>
          </w:p>
        </w:tc>
        <w:tc>
          <w:tcPr>
            <w:tcW w:w="0" w:type="auto"/>
            <w:gridSpan w:val="3"/>
            <w:vMerge/>
            <w:tcBorders>
              <w:top w:val="single" w:sz="8" w:space="0" w:color="000000"/>
            </w:tcBorders>
            <w:vAlign w:val="center"/>
            <w:hideMark/>
          </w:tcPr>
          <w:p w:rsidR="00000000" w:rsidRDefault="003E235E">
            <w:pPr>
              <w:spacing w:after="100"/>
              <w:rPr>
                <w:rFonts w:eastAsia="Times New Roman"/>
              </w:rPr>
            </w:pPr>
          </w:p>
        </w:tc>
        <w:tc>
          <w:tcPr>
            <w:tcW w:w="0" w:type="auto"/>
            <w:gridSpan w:val="3"/>
            <w:vMerge/>
            <w:tcBorders>
              <w:top w:val="single" w:sz="8" w:space="0" w:color="000000"/>
            </w:tcBorders>
            <w:vAlign w:val="center"/>
            <w:hideMark/>
          </w:tcPr>
          <w:p w:rsidR="00000000" w:rsidRDefault="003E235E">
            <w:pPr>
              <w:spacing w:after="100"/>
              <w:rPr>
                <w:rFonts w:eastAsia="Times New Roman"/>
              </w:rPr>
            </w:pPr>
          </w:p>
        </w:tc>
      </w:tr>
      <w:tr w:rsidR="003E235E">
        <w:trPr>
          <w:divId w:val="1671787095"/>
          <w:jc w:val="center"/>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16"/>
                <w:szCs w:val="16"/>
              </w:rPr>
              <w:t>Balance—March 30, 2021</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47,890,488 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479 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2,423,871 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(35,000)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203,362 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(140,716)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28,125 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1671787095"/>
          <w:jc w:val="center"/>
        </w:trPr>
        <w:tc>
          <w:tcPr>
            <w:tcW w:w="0" w:type="auto"/>
            <w:gridSpan w:val="3"/>
            <w:shd w:val="clear" w:color="auto" w:fill="FFFFFF"/>
            <w:tcMar>
              <w:top w:w="30" w:type="dxa"/>
              <w:left w:w="155" w:type="dxa"/>
              <w:bottom w:w="30" w:type="dxa"/>
              <w:right w:w="20" w:type="dxa"/>
            </w:tcMar>
            <w:vAlign w:val="bottom"/>
            <w:hideMark/>
          </w:tcPr>
          <w:p w:rsidR="00000000" w:rsidRDefault="003E235E">
            <w:pPr>
              <w:spacing w:after="100"/>
              <w:rPr>
                <w:rFonts w:eastAsia="Times New Roman"/>
              </w:rPr>
            </w:pPr>
            <w:r>
              <w:rPr>
                <w:rFonts w:eastAsia="Times New Roman"/>
                <w:color w:val="000000"/>
                <w:sz w:val="16"/>
                <w:szCs w:val="16"/>
              </w:rPr>
              <w:t>Stock plan transactions and other</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121,273 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55 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56 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1671787095"/>
          <w:jc w:val="center"/>
        </w:trPr>
        <w:tc>
          <w:tcPr>
            <w:tcW w:w="0" w:type="auto"/>
            <w:gridSpan w:val="3"/>
            <w:shd w:val="clear" w:color="auto" w:fill="CCEEFF"/>
            <w:tcMar>
              <w:top w:w="30" w:type="dxa"/>
              <w:left w:w="155" w:type="dxa"/>
              <w:bottom w:w="30" w:type="dxa"/>
              <w:right w:w="20" w:type="dxa"/>
            </w:tcMar>
            <w:vAlign w:val="bottom"/>
            <w:hideMark/>
          </w:tcPr>
          <w:p w:rsidR="00000000" w:rsidRDefault="003E235E">
            <w:pPr>
              <w:spacing w:after="100"/>
              <w:rPr>
                <w:rFonts w:eastAsia="Times New Roman"/>
              </w:rPr>
            </w:pPr>
            <w:r>
              <w:rPr>
                <w:rFonts w:eastAsia="Times New Roman"/>
                <w:color w:val="000000"/>
                <w:sz w:val="16"/>
                <w:szCs w:val="16"/>
              </w:rPr>
              <w:t>Stock-based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1,579 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1,579 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1671787095"/>
          <w:jc w:val="center"/>
        </w:trPr>
        <w:tc>
          <w:tcPr>
            <w:tcW w:w="0" w:type="auto"/>
            <w:gridSpan w:val="3"/>
            <w:tcMar>
              <w:top w:w="30" w:type="dxa"/>
              <w:left w:w="155" w:type="dxa"/>
              <w:bottom w:w="30" w:type="dxa"/>
              <w:right w:w="20" w:type="dxa"/>
            </w:tcMar>
            <w:vAlign w:val="bottom"/>
            <w:hideMark/>
          </w:tcPr>
          <w:p w:rsidR="00000000" w:rsidRDefault="003E235E">
            <w:pPr>
              <w:spacing w:after="100"/>
              <w:rPr>
                <w:rFonts w:eastAsia="Times New Roman"/>
              </w:rPr>
            </w:pPr>
            <w:r>
              <w:rPr>
                <w:rFonts w:eastAsia="Times New Roman"/>
                <w:color w:val="000000"/>
                <w:sz w:val="16"/>
                <w:szCs w:val="16"/>
              </w:rPr>
              <w:t>Net income</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5,683 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5,683 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3E235E">
        <w:trPr>
          <w:divId w:val="1671787095"/>
          <w:jc w:val="center"/>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16"/>
                <w:szCs w:val="16"/>
              </w:rPr>
              <w:t>Balance—June 29, 2021</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48,011,761 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480 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2,423,871 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(35,000)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204,996 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(135,033)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35,443 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1671787095"/>
          <w:trHeight w:val="180"/>
          <w:jc w:val="center"/>
        </w:trPr>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r>
      <w:tr w:rsidR="003E235E">
        <w:trPr>
          <w:divId w:val="1671787095"/>
          <w:jc w:val="center"/>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16"/>
                <w:szCs w:val="16"/>
              </w:rPr>
              <w:t>Balance—March 31, 2020</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46,583,879 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466 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2,423,871 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(35,000)</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200,755 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(121,315)</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44,906 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1671787095"/>
          <w:jc w:val="center"/>
        </w:trPr>
        <w:tc>
          <w:tcPr>
            <w:tcW w:w="0" w:type="auto"/>
            <w:gridSpan w:val="3"/>
            <w:shd w:val="clear" w:color="auto" w:fill="FFFFFF"/>
            <w:tcMar>
              <w:top w:w="30" w:type="dxa"/>
              <w:left w:w="155" w:type="dxa"/>
              <w:bottom w:w="30" w:type="dxa"/>
              <w:right w:w="20" w:type="dxa"/>
            </w:tcMar>
            <w:vAlign w:val="bottom"/>
            <w:hideMark/>
          </w:tcPr>
          <w:p w:rsidR="00000000" w:rsidRDefault="003E235E">
            <w:pPr>
              <w:spacing w:after="100"/>
              <w:rPr>
                <w:rFonts w:eastAsia="Times New Roman"/>
              </w:rPr>
            </w:pPr>
            <w:r>
              <w:rPr>
                <w:rFonts w:eastAsia="Times New Roman"/>
                <w:color w:val="000000"/>
                <w:sz w:val="16"/>
                <w:szCs w:val="16"/>
              </w:rPr>
              <w:lastRenderedPageBreak/>
              <w:t>Stock plan transactions and other</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194,803 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(273)</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(271)</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1671787095"/>
          <w:jc w:val="center"/>
        </w:trPr>
        <w:tc>
          <w:tcPr>
            <w:tcW w:w="0" w:type="auto"/>
            <w:gridSpan w:val="3"/>
            <w:shd w:val="clear" w:color="auto" w:fill="CCEEFF"/>
            <w:tcMar>
              <w:top w:w="30" w:type="dxa"/>
              <w:left w:w="155" w:type="dxa"/>
              <w:bottom w:w="30" w:type="dxa"/>
              <w:right w:w="20" w:type="dxa"/>
            </w:tcMar>
            <w:vAlign w:val="bottom"/>
            <w:hideMark/>
          </w:tcPr>
          <w:p w:rsidR="00000000" w:rsidRDefault="003E235E">
            <w:pPr>
              <w:spacing w:after="100"/>
              <w:rPr>
                <w:rFonts w:eastAsia="Times New Roman"/>
              </w:rPr>
            </w:pPr>
            <w:r>
              <w:rPr>
                <w:rFonts w:eastAsia="Times New Roman"/>
                <w:color w:val="000000"/>
                <w:sz w:val="16"/>
                <w:szCs w:val="16"/>
              </w:rPr>
              <w:t>Stock-based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1,119 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1,119 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1671787095"/>
          <w:jc w:val="center"/>
        </w:trPr>
        <w:tc>
          <w:tcPr>
            <w:tcW w:w="0" w:type="auto"/>
            <w:gridSpan w:val="3"/>
            <w:shd w:val="clear" w:color="auto" w:fill="FFFFFF"/>
            <w:tcMar>
              <w:top w:w="30" w:type="dxa"/>
              <w:left w:w="155" w:type="dxa"/>
              <w:bottom w:w="30" w:type="dxa"/>
              <w:right w:w="20" w:type="dxa"/>
            </w:tcMar>
            <w:vAlign w:val="bottom"/>
            <w:hideMark/>
          </w:tcPr>
          <w:p w:rsidR="00000000" w:rsidRDefault="003E235E">
            <w:pPr>
              <w:spacing w:after="100"/>
              <w:rPr>
                <w:rFonts w:eastAsia="Times New Roman"/>
              </w:rPr>
            </w:pPr>
            <w:r>
              <w:rPr>
                <w:rFonts w:eastAsia="Times New Roman"/>
                <w:color w:val="000000"/>
                <w:sz w:val="16"/>
                <w:szCs w:val="16"/>
              </w:rPr>
              <w:t>Net loss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(13,478)</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(13,478)</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3E235E">
        <w:trPr>
          <w:divId w:val="1671787095"/>
          <w:jc w:val="center"/>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16"/>
                <w:szCs w:val="16"/>
              </w:rPr>
              <w:t>Balance—June 30, 2020</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46,778,682 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468 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2,423,871 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(35,000)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201,601 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(134,793)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32,276 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1671787095"/>
          <w:trHeight w:val="180"/>
          <w:jc w:val="center"/>
        </w:trPr>
        <w:tc>
          <w:tcPr>
            <w:tcW w:w="0" w:type="auto"/>
            <w:gridSpan w:val="3"/>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E235E">
            <w:pPr>
              <w:spacing w:after="100"/>
              <w:rPr>
                <w:rFonts w:eastAsia="Times New Roman"/>
                <w:sz w:val="20"/>
                <w:szCs w:val="20"/>
              </w:rPr>
            </w:pPr>
          </w:p>
        </w:tc>
      </w:tr>
      <w:tr w:rsidR="00000000">
        <w:trPr>
          <w:divId w:val="1671787095"/>
          <w:jc w:val="center"/>
        </w:trPr>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9"/>
            <w:shd w:val="clear" w:color="auto" w:fill="FFFFFF"/>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Two Fiscal Quarters Ended</w:t>
            </w:r>
          </w:p>
        </w:tc>
      </w:tr>
      <w:tr w:rsidR="00000000">
        <w:trPr>
          <w:divId w:val="1671787095"/>
          <w:trHeight w:val="240"/>
          <w:jc w:val="center"/>
        </w:trPr>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Common Stoc</w:t>
            </w:r>
            <w:r>
              <w:rPr>
                <w:rFonts w:eastAsia="Times New Roman"/>
                <w:b/>
                <w:bCs/>
                <w:color w:val="000000"/>
                <w:sz w:val="16"/>
                <w:szCs w:val="16"/>
              </w:rPr>
              <w:t>k</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Treasury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vMerge w:val="restart"/>
            <w:tcBorders>
              <w:top w:val="single" w:sz="8" w:space="0" w:color="000000"/>
            </w:tcBorders>
            <w:shd w:val="clear" w:color="auto" w:fill="FFFFFF"/>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 Additional Paid-In</w:t>
            </w:r>
            <w:r>
              <w:rPr>
                <w:rFonts w:eastAsia="Times New Roman"/>
                <w:b/>
                <w:bCs/>
                <w:color w:val="000000"/>
                <w:sz w:val="16"/>
                <w:szCs w:val="16"/>
              </w:rPr>
              <w:br/>
              <w:t>Capital</w:t>
            </w:r>
          </w:p>
        </w:tc>
        <w:tc>
          <w:tcPr>
            <w:tcW w:w="0" w:type="auto"/>
            <w:gridSpan w:val="3"/>
            <w:vMerge w:val="restart"/>
            <w:tcBorders>
              <w:top w:val="single" w:sz="8" w:space="0" w:color="000000"/>
            </w:tcBorders>
            <w:shd w:val="clear" w:color="auto" w:fill="FFFFFF"/>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vMerge w:val="restart"/>
            <w:tcBorders>
              <w:top w:val="single" w:sz="8" w:space="0" w:color="000000"/>
            </w:tcBorders>
            <w:shd w:val="clear" w:color="auto" w:fill="FFFFFF"/>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vMerge w:val="restart"/>
            <w:tcBorders>
              <w:top w:val="single" w:sz="8" w:space="0" w:color="000000"/>
            </w:tcBorders>
            <w:shd w:val="clear" w:color="auto" w:fill="FFFFFF"/>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vMerge w:val="restart"/>
            <w:tcBorders>
              <w:top w:val="single" w:sz="8" w:space="0" w:color="000000"/>
            </w:tcBorders>
            <w:shd w:val="clear" w:color="auto" w:fill="FFFFFF"/>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Stockholders’</w:t>
            </w:r>
            <w:r>
              <w:rPr>
                <w:rFonts w:eastAsia="Times New Roman"/>
                <w:b/>
                <w:bCs/>
                <w:color w:val="000000"/>
                <w:sz w:val="16"/>
                <w:szCs w:val="16"/>
              </w:rPr>
              <w:br/>
              <w:t>Equity</w:t>
            </w:r>
          </w:p>
        </w:tc>
      </w:tr>
      <w:tr w:rsidR="00000000">
        <w:trPr>
          <w:divId w:val="1671787095"/>
          <w:trHeight w:val="360"/>
          <w:jc w:val="center"/>
        </w:trPr>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vMerge/>
            <w:tcBorders>
              <w:top w:val="single" w:sz="8" w:space="0" w:color="000000"/>
            </w:tcBorders>
            <w:vAlign w:val="center"/>
            <w:hideMark/>
          </w:tcPr>
          <w:p w:rsidR="00000000" w:rsidRDefault="003E235E">
            <w:pPr>
              <w:spacing w:after="100"/>
              <w:rPr>
                <w:rFonts w:eastAsia="Times New Roman"/>
              </w:rPr>
            </w:pPr>
          </w:p>
        </w:tc>
        <w:tc>
          <w:tcPr>
            <w:tcW w:w="0" w:type="auto"/>
            <w:gridSpan w:val="3"/>
            <w:vMerge/>
            <w:tcBorders>
              <w:top w:val="single" w:sz="8" w:space="0" w:color="000000"/>
            </w:tcBorders>
            <w:vAlign w:val="center"/>
            <w:hideMark/>
          </w:tcPr>
          <w:p w:rsidR="00000000" w:rsidRDefault="003E235E">
            <w:pPr>
              <w:spacing w:after="100"/>
              <w:rPr>
                <w:rFonts w:eastAsia="Times New Roman"/>
              </w:rPr>
            </w:pPr>
          </w:p>
        </w:tc>
        <w:tc>
          <w:tcPr>
            <w:tcW w:w="0" w:type="auto"/>
            <w:gridSpan w:val="3"/>
            <w:vMerge/>
            <w:tcBorders>
              <w:top w:val="single" w:sz="8" w:space="0" w:color="000000"/>
            </w:tcBorders>
            <w:vAlign w:val="center"/>
            <w:hideMark/>
          </w:tcPr>
          <w:p w:rsidR="00000000" w:rsidRDefault="003E235E">
            <w:pPr>
              <w:spacing w:after="100"/>
              <w:rPr>
                <w:rFonts w:eastAsia="Times New Roman"/>
              </w:rPr>
            </w:pPr>
          </w:p>
        </w:tc>
        <w:tc>
          <w:tcPr>
            <w:tcW w:w="0" w:type="auto"/>
            <w:gridSpan w:val="3"/>
            <w:vMerge/>
            <w:tcBorders>
              <w:top w:val="single" w:sz="8" w:space="0" w:color="000000"/>
            </w:tcBorders>
            <w:vAlign w:val="center"/>
            <w:hideMark/>
          </w:tcPr>
          <w:p w:rsidR="00000000" w:rsidRDefault="003E235E">
            <w:pPr>
              <w:spacing w:after="100"/>
              <w:rPr>
                <w:rFonts w:eastAsia="Times New Roman"/>
              </w:rPr>
            </w:pPr>
          </w:p>
        </w:tc>
        <w:tc>
          <w:tcPr>
            <w:tcW w:w="0" w:type="auto"/>
            <w:gridSpan w:val="3"/>
            <w:vMerge/>
            <w:tcBorders>
              <w:top w:val="single" w:sz="8" w:space="0" w:color="000000"/>
            </w:tcBorders>
            <w:vAlign w:val="center"/>
            <w:hideMark/>
          </w:tcPr>
          <w:p w:rsidR="00000000" w:rsidRDefault="003E235E">
            <w:pPr>
              <w:spacing w:after="100"/>
              <w:rPr>
                <w:rFonts w:eastAsia="Times New Roman"/>
              </w:rPr>
            </w:pPr>
          </w:p>
        </w:tc>
      </w:tr>
      <w:tr w:rsidR="003E235E">
        <w:trPr>
          <w:divId w:val="1671787095"/>
          <w:jc w:val="center"/>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16"/>
                <w:szCs w:val="16"/>
              </w:rPr>
              <w:t>Balance—December 29, 2020</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46,807,587 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468 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2,423,871 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(35,000)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202,970 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(138,739)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29,699 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1671787095"/>
          <w:jc w:val="center"/>
        </w:trPr>
        <w:tc>
          <w:tcPr>
            <w:tcW w:w="0" w:type="auto"/>
            <w:gridSpan w:val="3"/>
            <w:shd w:val="clear" w:color="auto" w:fill="FFFFFF"/>
            <w:tcMar>
              <w:top w:w="30" w:type="dxa"/>
              <w:left w:w="155" w:type="dxa"/>
              <w:bottom w:w="30" w:type="dxa"/>
              <w:right w:w="20" w:type="dxa"/>
            </w:tcMar>
            <w:vAlign w:val="bottom"/>
            <w:hideMark/>
          </w:tcPr>
          <w:p w:rsidR="00000000" w:rsidRDefault="003E235E">
            <w:pPr>
              <w:spacing w:after="100"/>
              <w:rPr>
                <w:rFonts w:eastAsia="Times New Roman"/>
              </w:rPr>
            </w:pPr>
            <w:r>
              <w:rPr>
                <w:rFonts w:eastAsia="Times New Roman"/>
                <w:color w:val="000000"/>
                <w:sz w:val="16"/>
                <w:szCs w:val="16"/>
              </w:rPr>
              <w:t>L Catterton warrants exercised</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975,458 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10 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(10)</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1671787095"/>
          <w:jc w:val="center"/>
        </w:trPr>
        <w:tc>
          <w:tcPr>
            <w:tcW w:w="0" w:type="auto"/>
            <w:gridSpan w:val="3"/>
            <w:shd w:val="clear" w:color="auto" w:fill="CCEEFF"/>
            <w:tcMar>
              <w:top w:w="30" w:type="dxa"/>
              <w:left w:w="155" w:type="dxa"/>
              <w:bottom w:w="30" w:type="dxa"/>
              <w:right w:w="20" w:type="dxa"/>
            </w:tcMar>
            <w:vAlign w:val="bottom"/>
            <w:hideMark/>
          </w:tcPr>
          <w:p w:rsidR="00000000" w:rsidRDefault="003E235E">
            <w:pPr>
              <w:spacing w:after="100"/>
              <w:rPr>
                <w:rFonts w:eastAsia="Times New Roman"/>
              </w:rPr>
            </w:pPr>
            <w:r>
              <w:rPr>
                <w:rFonts w:eastAsia="Times New Roman"/>
                <w:color w:val="000000"/>
                <w:sz w:val="16"/>
                <w:szCs w:val="16"/>
              </w:rPr>
              <w:t>Stock plan transactions and other</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228,716 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(281)</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(279)</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1671787095"/>
          <w:jc w:val="center"/>
        </w:trPr>
        <w:tc>
          <w:tcPr>
            <w:tcW w:w="0" w:type="auto"/>
            <w:gridSpan w:val="3"/>
            <w:shd w:val="clear" w:color="auto" w:fill="FFFFFF"/>
            <w:tcMar>
              <w:top w:w="30" w:type="dxa"/>
              <w:left w:w="155" w:type="dxa"/>
              <w:bottom w:w="30" w:type="dxa"/>
              <w:right w:w="20" w:type="dxa"/>
            </w:tcMar>
            <w:vAlign w:val="bottom"/>
            <w:hideMark/>
          </w:tcPr>
          <w:p w:rsidR="00000000" w:rsidRDefault="003E235E">
            <w:pPr>
              <w:spacing w:after="100"/>
              <w:rPr>
                <w:rFonts w:eastAsia="Times New Roman"/>
              </w:rPr>
            </w:pPr>
            <w:r>
              <w:rPr>
                <w:rFonts w:eastAsia="Times New Roman"/>
                <w:color w:val="000000"/>
                <w:sz w:val="16"/>
                <w:szCs w:val="16"/>
              </w:rPr>
              <w:t>Stock-based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2,317 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2,317 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1671787095"/>
          <w:jc w:val="center"/>
        </w:trPr>
        <w:tc>
          <w:tcPr>
            <w:tcW w:w="0" w:type="auto"/>
            <w:gridSpan w:val="3"/>
            <w:shd w:val="clear" w:color="auto" w:fill="CCEEFF"/>
            <w:tcMar>
              <w:top w:w="30" w:type="dxa"/>
              <w:left w:w="155" w:type="dxa"/>
              <w:bottom w:w="30" w:type="dxa"/>
              <w:right w:w="20" w:type="dxa"/>
            </w:tcMar>
            <w:vAlign w:val="bottom"/>
            <w:hideMark/>
          </w:tcPr>
          <w:p w:rsidR="00000000" w:rsidRDefault="003E235E">
            <w:pPr>
              <w:spacing w:after="100"/>
              <w:rPr>
                <w:rFonts w:eastAsia="Times New Roman"/>
              </w:rPr>
            </w:pPr>
            <w:r>
              <w:rPr>
                <w:rFonts w:eastAsia="Times New Roman"/>
                <w:color w:val="000000"/>
                <w:sz w:val="16"/>
                <w:szCs w:val="16"/>
              </w:rPr>
              <w:t>Net income</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3,706 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3,706 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3E235E">
        <w:trPr>
          <w:divId w:val="1671787095"/>
          <w:jc w:val="center"/>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16"/>
                <w:szCs w:val="16"/>
              </w:rPr>
              <w:t>Balance—June 29, 2021</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48,011,761 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480 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2,423,871 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(35,000)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204,996 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(135,033)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35,443 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1671787095"/>
          <w:trHeight w:val="120"/>
          <w:jc w:val="center"/>
        </w:trPr>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r>
      <w:tr w:rsidR="003E235E">
        <w:trPr>
          <w:divId w:val="1671787095"/>
          <w:jc w:val="center"/>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16"/>
                <w:szCs w:val="16"/>
              </w:rPr>
              <w:t>Balance—December 31, 2019</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46,557,934 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466 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2,423,871 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(35,000)</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200,585 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(115,480)</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50,571 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1671787095"/>
          <w:jc w:val="center"/>
        </w:trPr>
        <w:tc>
          <w:tcPr>
            <w:tcW w:w="0" w:type="auto"/>
            <w:gridSpan w:val="3"/>
            <w:shd w:val="clear" w:color="auto" w:fill="CCEEFF"/>
            <w:tcMar>
              <w:top w:w="30" w:type="dxa"/>
              <w:left w:w="155" w:type="dxa"/>
              <w:bottom w:w="30" w:type="dxa"/>
              <w:right w:w="20" w:type="dxa"/>
            </w:tcMar>
            <w:vAlign w:val="bottom"/>
            <w:hideMark/>
          </w:tcPr>
          <w:p w:rsidR="00000000" w:rsidRDefault="003E235E">
            <w:pPr>
              <w:spacing w:after="100"/>
              <w:rPr>
                <w:rFonts w:eastAsia="Times New Roman"/>
              </w:rPr>
            </w:pPr>
            <w:r>
              <w:rPr>
                <w:rFonts w:eastAsia="Times New Roman"/>
                <w:color w:val="000000"/>
                <w:sz w:val="16"/>
                <w:szCs w:val="16"/>
              </w:rPr>
              <w:t>Stock plan transactions and other</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220,748 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(274)</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(272)</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1671787095"/>
          <w:jc w:val="center"/>
        </w:trPr>
        <w:tc>
          <w:tcPr>
            <w:tcW w:w="0" w:type="auto"/>
            <w:gridSpan w:val="3"/>
            <w:shd w:val="clear" w:color="auto" w:fill="FFFFFF"/>
            <w:tcMar>
              <w:top w:w="30" w:type="dxa"/>
              <w:left w:w="155" w:type="dxa"/>
              <w:bottom w:w="30" w:type="dxa"/>
              <w:right w:w="20" w:type="dxa"/>
            </w:tcMar>
            <w:vAlign w:val="bottom"/>
            <w:hideMark/>
          </w:tcPr>
          <w:p w:rsidR="00000000" w:rsidRDefault="003E235E">
            <w:pPr>
              <w:spacing w:after="100"/>
              <w:rPr>
                <w:rFonts w:eastAsia="Times New Roman"/>
              </w:rPr>
            </w:pPr>
            <w:r>
              <w:rPr>
                <w:rFonts w:eastAsia="Times New Roman"/>
                <w:color w:val="000000"/>
                <w:sz w:val="16"/>
                <w:szCs w:val="16"/>
              </w:rPr>
              <w:t>Stock-based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1,290 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1,290 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1671787095"/>
          <w:jc w:val="center"/>
        </w:trPr>
        <w:tc>
          <w:tcPr>
            <w:tcW w:w="0" w:type="auto"/>
            <w:gridSpan w:val="3"/>
            <w:shd w:val="clear" w:color="auto" w:fill="CCEEFF"/>
            <w:tcMar>
              <w:top w:w="30" w:type="dxa"/>
              <w:left w:w="155" w:type="dxa"/>
              <w:bottom w:w="30" w:type="dxa"/>
              <w:right w:w="20" w:type="dxa"/>
            </w:tcMar>
            <w:vAlign w:val="bottom"/>
            <w:hideMark/>
          </w:tcPr>
          <w:p w:rsidR="00000000" w:rsidRDefault="003E235E">
            <w:pPr>
              <w:spacing w:after="100"/>
              <w:rPr>
                <w:rFonts w:eastAsia="Times New Roman"/>
              </w:rPr>
            </w:pPr>
            <w:r>
              <w:rPr>
                <w:rFonts w:eastAsia="Times New Roman"/>
                <w:color w:val="000000"/>
                <w:sz w:val="16"/>
                <w:szCs w:val="16"/>
              </w:rPr>
              <w:t>Net loss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(19,313)</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(19,313)</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3E235E">
        <w:trPr>
          <w:divId w:val="1671787095"/>
          <w:jc w:val="center"/>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16"/>
                <w:szCs w:val="16"/>
              </w:rPr>
              <w:t>Balance—June 30, 2020</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46,778,682 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468 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2,423,871 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w:t>
            </w:r>
            <w:r>
              <w:rPr>
                <w:rFonts w:eastAsia="Times New Roman"/>
                <w:color w:val="000000"/>
                <w:sz w:val="16"/>
                <w:szCs w:val="16"/>
              </w:rPr>
              <w:t>35,000)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201,601 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(134,793)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16"/>
                <w:szCs w:val="16"/>
              </w:rPr>
              <w:t>32,276 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bl>
    <w:p w:rsidR="00000000" w:rsidRDefault="003E235E">
      <w:pPr>
        <w:divId w:val="215550270"/>
        <w:rPr>
          <w:rFonts w:eastAsia="Times New Roman"/>
        </w:rPr>
      </w:pPr>
      <w:r>
        <w:rPr>
          <w:rFonts w:eastAsia="Times New Roman"/>
          <w:color w:val="000000"/>
          <w:sz w:val="16"/>
          <w:szCs w:val="16"/>
        </w:rPr>
        <w:t>_____________</w:t>
      </w:r>
    </w:p>
    <w:p w:rsidR="00000000" w:rsidRDefault="003E235E">
      <w:pPr>
        <w:ind w:hanging="720"/>
        <w:divId w:val="407045378"/>
        <w:rPr>
          <w:rFonts w:eastAsia="Times New Roman"/>
        </w:rPr>
      </w:pPr>
      <w:r>
        <w:rPr>
          <w:rFonts w:eastAsia="Times New Roman"/>
          <w:color w:val="000000"/>
          <w:sz w:val="16"/>
          <w:szCs w:val="16"/>
        </w:rPr>
        <w:t>(1)Unless other</w:t>
      </w:r>
      <w:r>
        <w:rPr>
          <w:rFonts w:eastAsia="Times New Roman"/>
          <w:color w:val="000000"/>
          <w:sz w:val="16"/>
          <w:szCs w:val="16"/>
        </w:rPr>
        <w:t>wise noted, activity relates to Class A common stock.</w:t>
      </w:r>
    </w:p>
    <w:p w:rsidR="00000000" w:rsidRDefault="003E235E">
      <w:pPr>
        <w:divId w:val="580259552"/>
        <w:rPr>
          <w:rFonts w:eastAsia="Times New Roman"/>
        </w:rPr>
      </w:pPr>
    </w:p>
    <w:p w:rsidR="00000000" w:rsidRDefault="003E235E">
      <w:pPr>
        <w:jc w:val="center"/>
        <w:divId w:val="765351135"/>
        <w:rPr>
          <w:rFonts w:eastAsia="Times New Roman"/>
        </w:rPr>
      </w:pPr>
      <w:r>
        <w:rPr>
          <w:rFonts w:eastAsia="Times New Roman"/>
          <w:i/>
          <w:iCs/>
          <w:color w:val="000000"/>
          <w:sz w:val="16"/>
          <w:szCs w:val="16"/>
        </w:rPr>
        <w:t>See accompanying notes to condensed consolidated financial statements.</w:t>
      </w:r>
    </w:p>
    <w:p w:rsidR="00000000" w:rsidRDefault="003E235E">
      <w:pPr>
        <w:jc w:val="center"/>
        <w:divId w:val="362754061"/>
        <w:rPr>
          <w:rFonts w:eastAsia="Times New Roman"/>
        </w:rPr>
      </w:pPr>
      <w:r>
        <w:rPr>
          <w:rFonts w:eastAsia="Times New Roman"/>
          <w:color w:val="000000"/>
          <w:sz w:val="20"/>
          <w:szCs w:val="20"/>
        </w:rPr>
        <w:t>4</w:t>
      </w:r>
    </w:p>
    <w:p w:rsidR="00000000" w:rsidRDefault="003E235E">
      <w:pPr>
        <w:rPr>
          <w:rFonts w:eastAsia="Times New Roman"/>
        </w:rPr>
      </w:pPr>
      <w:r>
        <w:rPr>
          <w:rFonts w:eastAsia="Times New Roman"/>
        </w:rPr>
        <w:pict>
          <v:rect id="_x0000_i1029" style="width:0;height:1.5pt" o:hralign="center" o:hrstd="t" o:hr="t" fillcolor="#a0a0a0" stroked="f"/>
        </w:pict>
      </w:r>
    </w:p>
    <w:p w:rsidR="00000000" w:rsidRDefault="003E235E">
      <w:pPr>
        <w:divId w:val="1456174182"/>
        <w:rPr>
          <w:rFonts w:eastAsia="Times New Roman"/>
        </w:rPr>
      </w:pPr>
      <w:hyperlink w:anchor="i48000f6fae8946f8b752541bba7287a8_10" w:history="1">
        <w:r>
          <w:rPr>
            <w:rStyle w:val="a3"/>
            <w:rFonts w:eastAsia="Times New Roman"/>
            <w:sz w:val="20"/>
            <w:szCs w:val="20"/>
          </w:rPr>
          <w:t>Table of Contents</w:t>
        </w:r>
      </w:hyperlink>
    </w:p>
    <w:p w:rsidR="00000000" w:rsidRDefault="003E235E">
      <w:pPr>
        <w:jc w:val="center"/>
        <w:divId w:val="2134013046"/>
        <w:rPr>
          <w:rFonts w:eastAsia="Times New Roman"/>
        </w:rPr>
      </w:pPr>
      <w:r>
        <w:rPr>
          <w:rFonts w:eastAsia="Times New Roman"/>
          <w:b/>
          <w:bCs/>
          <w:color w:val="000000"/>
          <w:sz w:val="20"/>
          <w:szCs w:val="20"/>
        </w:rPr>
        <w:t>Noodles &amp; Company</w:t>
      </w:r>
    </w:p>
    <w:p w:rsidR="00000000" w:rsidRDefault="003E235E">
      <w:pPr>
        <w:jc w:val="center"/>
        <w:divId w:val="2036614540"/>
        <w:rPr>
          <w:rFonts w:eastAsia="Times New Roman"/>
        </w:rPr>
      </w:pPr>
      <w:r>
        <w:rPr>
          <w:rFonts w:eastAsia="Times New Roman"/>
          <w:b/>
          <w:bCs/>
          <w:color w:val="000000"/>
          <w:sz w:val="20"/>
          <w:szCs w:val="20"/>
        </w:rPr>
        <w:t>Condensed Consolidated Statements of Cash Flows</w:t>
      </w:r>
    </w:p>
    <w:p w:rsidR="00000000" w:rsidRDefault="003E235E">
      <w:pPr>
        <w:jc w:val="center"/>
        <w:divId w:val="841242335"/>
        <w:rPr>
          <w:rFonts w:eastAsia="Times New Roman"/>
        </w:rPr>
      </w:pPr>
      <w:r>
        <w:rPr>
          <w:rFonts w:eastAsia="Times New Roman"/>
          <w:b/>
          <w:bCs/>
          <w:color w:val="000000"/>
          <w:sz w:val="20"/>
          <w:szCs w:val="20"/>
        </w:rPr>
        <w:t>(in thousands, unaudited)</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5870"/>
        <w:gridCol w:w="39"/>
        <w:gridCol w:w="37"/>
        <w:gridCol w:w="130"/>
        <w:gridCol w:w="36"/>
        <w:gridCol w:w="120"/>
        <w:gridCol w:w="892"/>
        <w:gridCol w:w="36"/>
        <w:gridCol w:w="36"/>
        <w:gridCol w:w="36"/>
        <w:gridCol w:w="36"/>
        <w:gridCol w:w="120"/>
        <w:gridCol w:w="829"/>
        <w:gridCol w:w="36"/>
      </w:tblGrid>
      <w:tr w:rsidR="00000000">
        <w:trPr>
          <w:jc w:val="center"/>
        </w:trPr>
        <w:tc>
          <w:tcPr>
            <w:tcW w:w="50" w:type="pct"/>
            <w:vAlign w:val="center"/>
            <w:hideMark/>
          </w:tcPr>
          <w:p w:rsidR="00000000" w:rsidRDefault="003E235E">
            <w:pPr>
              <w:jc w:val="center"/>
              <w:rPr>
                <w:rFonts w:eastAsia="Times New Roman"/>
              </w:rPr>
            </w:pPr>
          </w:p>
        </w:tc>
        <w:tc>
          <w:tcPr>
            <w:tcW w:w="3598"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1"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1"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Two Fiscal Quarters Ended</w:t>
            </w:r>
          </w:p>
        </w:tc>
      </w:tr>
      <w:tr w:rsidR="00000000">
        <w:trPr>
          <w:jc w:val="center"/>
        </w:trPr>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2020</w:t>
            </w:r>
          </w:p>
        </w:tc>
      </w:tr>
      <w:tr w:rsidR="00000000">
        <w:trPr>
          <w:jc w:val="center"/>
        </w:trPr>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b/>
                <w:bCs/>
                <w:color w:val="000000"/>
                <w:sz w:val="20"/>
                <w:szCs w:val="20"/>
              </w:rPr>
              <w:t>Operating activities</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3,706 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(19,313)</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Adjustments to reconcile net income (loss) to net cash provided by operating activities: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11,163 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10,732 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Deferred income taxes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47 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Restaurant impairments, closure costs and asset disposals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898 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3,029 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Amortization of debt issuance costs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222 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149 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Stock-based compensation</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2,283 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1,253 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Gain on insurance proceeds</w:t>
            </w:r>
          </w:p>
        </w:tc>
        <w:tc>
          <w:tcPr>
            <w:tcW w:w="0" w:type="auto"/>
            <w:gridSpan w:val="3"/>
            <w:shd w:val="clear" w:color="auto" w:fill="FFFFFF"/>
            <w:tcMar>
              <w:top w:w="0" w:type="dxa"/>
              <w:left w:w="155"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(406)</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Changes in operating assets and liabilities: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xml:space="preserve">Accounts receivable </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(521)</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1,190 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Inventories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306 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Prepaid expenses and other assets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(961)</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87 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Accounts payable</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3,060 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2,722 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Income taxes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(77)</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Operating lease assets and liabilities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830 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7,507 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Accrued expenses and other liabilities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2,983 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(925)</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23,246 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6,707 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b/>
                <w:bCs/>
                <w:color w:val="000000"/>
                <w:sz w:val="20"/>
                <w:szCs w:val="20"/>
              </w:rPr>
              <w:t>Investing activities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Purchases of property and equipment</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(7,476)</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(6,810)</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Net cash used in investing activities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(7,476)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(6,810)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b/>
                <w:bCs/>
                <w:color w:val="000000"/>
                <w:sz w:val="20"/>
                <w:szCs w:val="20"/>
              </w:rPr>
              <w:t>Financing activities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r>
      <w:tr w:rsidR="00000000">
        <w:trPr>
          <w:jc w:val="center"/>
        </w:trPr>
        <w:tc>
          <w:tcPr>
            <w:tcW w:w="0" w:type="auto"/>
            <w:gridSpan w:val="3"/>
            <w:vAlign w:val="center"/>
            <w:hideMark/>
          </w:tcPr>
          <w:p w:rsidR="00000000" w:rsidRDefault="003E235E">
            <w:pPr>
              <w:spacing w:after="100"/>
              <w:rPr>
                <w:rFonts w:eastAsia="Times New Roman"/>
              </w:rPr>
            </w:pPr>
          </w:p>
        </w:tc>
        <w:tc>
          <w:tcPr>
            <w:tcW w:w="0" w:type="auto"/>
            <w:gridSpan w:val="3"/>
            <w:vAlign w:val="center"/>
            <w:hideMark/>
          </w:tcPr>
          <w:p w:rsidR="00000000" w:rsidRDefault="003E235E">
            <w:pPr>
              <w:spacing w:after="100"/>
              <w:rPr>
                <w:rFonts w:eastAsia="Times New Roman"/>
                <w:sz w:val="20"/>
                <w:szCs w:val="20"/>
              </w:rPr>
            </w:pPr>
          </w:p>
        </w:tc>
        <w:tc>
          <w:tcPr>
            <w:tcW w:w="0" w:type="auto"/>
            <w:gridSpan w:val="3"/>
            <w:vAlign w:val="center"/>
            <w:hideMark/>
          </w:tcPr>
          <w:p w:rsidR="00000000" w:rsidRDefault="003E235E">
            <w:pPr>
              <w:spacing w:after="100"/>
              <w:rPr>
                <w:rFonts w:eastAsia="Times New Roman"/>
                <w:sz w:val="20"/>
                <w:szCs w:val="20"/>
              </w:rPr>
            </w:pPr>
          </w:p>
        </w:tc>
        <w:tc>
          <w:tcPr>
            <w:tcW w:w="0" w:type="auto"/>
            <w:gridSpan w:val="3"/>
            <w:vAlign w:val="center"/>
            <w:hideMark/>
          </w:tcPr>
          <w:p w:rsidR="00000000" w:rsidRDefault="003E235E">
            <w:pPr>
              <w:spacing w:after="100"/>
              <w:rPr>
                <w:rFonts w:eastAsia="Times New Roman"/>
                <w:sz w:val="20"/>
                <w:szCs w:val="20"/>
              </w:rPr>
            </w:pPr>
          </w:p>
        </w:tc>
        <w:tc>
          <w:tcPr>
            <w:tcW w:w="0" w:type="auto"/>
            <w:gridSpan w:val="3"/>
            <w:vAlign w:val="center"/>
            <w:hideMark/>
          </w:tcPr>
          <w:p w:rsidR="00000000" w:rsidRDefault="003E235E">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Proceeds from issuance of long-term debt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55,500 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Payments on long-term debt</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(5,042)</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(2,375)</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Payments on finance leases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(965)</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(402)</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Debt issuance costs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(731)</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Stock plan transactions and tax withholding on share-based compensation awards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(279)</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(272)</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Net cash (used in) provided by financing activities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(6,286)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51,720 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Net increase in 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9,484 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51,617 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b/>
                <w:bCs/>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Beginning of period</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7,840 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10,459 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End of period</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17,324 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62,076 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bl>
    <w:p w:rsidR="00000000" w:rsidRDefault="003E235E">
      <w:pPr>
        <w:ind w:firstLine="360"/>
        <w:jc w:val="center"/>
        <w:divId w:val="1110472133"/>
        <w:rPr>
          <w:rFonts w:eastAsia="Times New Roman"/>
        </w:rPr>
      </w:pPr>
      <w:r>
        <w:rPr>
          <w:rFonts w:eastAsia="Times New Roman"/>
          <w:i/>
          <w:iCs/>
          <w:color w:val="000000"/>
          <w:sz w:val="20"/>
          <w:szCs w:val="20"/>
        </w:rPr>
        <w:t>S</w:t>
      </w:r>
      <w:r>
        <w:rPr>
          <w:rFonts w:eastAsia="Times New Roman"/>
          <w:i/>
          <w:iCs/>
          <w:color w:val="000000"/>
          <w:sz w:val="20"/>
          <w:szCs w:val="20"/>
        </w:rPr>
        <w:t>ee accompanying notes to condensed consolidated financial statements.</w:t>
      </w:r>
    </w:p>
    <w:p w:rsidR="00000000" w:rsidRDefault="003E235E">
      <w:pPr>
        <w:jc w:val="center"/>
        <w:divId w:val="848637288"/>
        <w:rPr>
          <w:rFonts w:eastAsia="Times New Roman"/>
        </w:rPr>
      </w:pPr>
      <w:r>
        <w:rPr>
          <w:rFonts w:eastAsia="Times New Roman"/>
          <w:color w:val="000000"/>
          <w:sz w:val="20"/>
          <w:szCs w:val="20"/>
        </w:rPr>
        <w:t>5</w:t>
      </w:r>
    </w:p>
    <w:p w:rsidR="00000000" w:rsidRDefault="003E235E">
      <w:pPr>
        <w:rPr>
          <w:rFonts w:eastAsia="Times New Roman"/>
        </w:rPr>
      </w:pPr>
      <w:r>
        <w:rPr>
          <w:rFonts w:eastAsia="Times New Roman"/>
        </w:rPr>
        <w:pict>
          <v:rect id="_x0000_i1030" style="width:0;height:1.5pt" o:hralign="center" o:hrstd="t" o:hr="t" fillcolor="#a0a0a0" stroked="f"/>
        </w:pict>
      </w:r>
    </w:p>
    <w:p w:rsidR="00000000" w:rsidRDefault="003E235E">
      <w:pPr>
        <w:divId w:val="260182817"/>
        <w:rPr>
          <w:rFonts w:eastAsia="Times New Roman"/>
        </w:rPr>
      </w:pPr>
      <w:hyperlink w:anchor="i48000f6fae8946f8b752541bba7287a8_10" w:history="1">
        <w:r>
          <w:rPr>
            <w:rStyle w:val="a3"/>
            <w:rFonts w:eastAsia="Times New Roman"/>
            <w:sz w:val="20"/>
            <w:szCs w:val="20"/>
          </w:rPr>
          <w:t>Table of Contents</w:t>
        </w:r>
      </w:hyperlink>
    </w:p>
    <w:p w:rsidR="00000000" w:rsidRDefault="003E235E">
      <w:pPr>
        <w:jc w:val="center"/>
        <w:divId w:val="1180269169"/>
        <w:rPr>
          <w:rFonts w:eastAsia="Times New Roman"/>
        </w:rPr>
      </w:pPr>
      <w:r>
        <w:rPr>
          <w:rFonts w:eastAsia="Times New Roman"/>
          <w:b/>
          <w:bCs/>
          <w:color w:val="000000"/>
          <w:sz w:val="20"/>
          <w:szCs w:val="20"/>
        </w:rPr>
        <w:t>NOODLES &amp; COMPANY</w:t>
      </w:r>
    </w:p>
    <w:p w:rsidR="00000000" w:rsidRDefault="003E235E">
      <w:pPr>
        <w:jc w:val="center"/>
        <w:divId w:val="1695494525"/>
        <w:rPr>
          <w:rFonts w:eastAsia="Times New Roman"/>
        </w:rPr>
      </w:pPr>
      <w:r>
        <w:rPr>
          <w:rFonts w:eastAsia="Times New Roman"/>
          <w:b/>
          <w:bCs/>
          <w:color w:val="000000"/>
          <w:sz w:val="20"/>
          <w:szCs w:val="20"/>
        </w:rPr>
        <w:t>Notes to Condensed Consolidated Financial Statements</w:t>
      </w:r>
    </w:p>
    <w:p w:rsidR="00000000" w:rsidRDefault="003E235E">
      <w:pPr>
        <w:jc w:val="center"/>
        <w:divId w:val="319192383"/>
        <w:rPr>
          <w:rFonts w:eastAsia="Times New Roman"/>
        </w:rPr>
      </w:pPr>
      <w:r>
        <w:rPr>
          <w:rFonts w:eastAsia="Times New Roman"/>
          <w:b/>
          <w:bCs/>
          <w:color w:val="000000"/>
          <w:sz w:val="20"/>
          <w:szCs w:val="20"/>
        </w:rPr>
        <w:t>(unaudited)</w:t>
      </w:r>
    </w:p>
    <w:p w:rsidR="00000000" w:rsidRDefault="003E235E">
      <w:pPr>
        <w:divId w:val="316765732"/>
        <w:rPr>
          <w:rFonts w:eastAsia="Times New Roman"/>
        </w:rPr>
      </w:pPr>
    </w:p>
    <w:p w:rsidR="00000000" w:rsidRDefault="003E235E">
      <w:pPr>
        <w:jc w:val="both"/>
        <w:rPr>
          <w:rFonts w:eastAsia="Times New Roman"/>
        </w:rPr>
      </w:pPr>
      <w:r>
        <w:rPr>
          <w:rFonts w:eastAsia="Times New Roman"/>
          <w:b/>
          <w:bCs/>
          <w:color w:val="000000"/>
          <w:sz w:val="20"/>
          <w:szCs w:val="20"/>
        </w:rPr>
        <w:t xml:space="preserve">1. </w:t>
      </w:r>
      <w:r>
        <w:rPr>
          <w:rFonts w:eastAsia="Times New Roman"/>
          <w:b/>
          <w:bCs/>
          <w:color w:val="000000"/>
          <w:sz w:val="20"/>
          <w:szCs w:val="20"/>
        </w:rPr>
        <w:t>Business Summary and Basis of Presentation</w:t>
      </w:r>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Business</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Noodles &amp; Company (the “Company”), a Delaware corporation, develops and operates fast casual restaurants that serve globally inspired noodle and pasta dishes, soups, salads and appetizers. As of June </w:t>
      </w:r>
      <w:r>
        <w:rPr>
          <w:rFonts w:eastAsia="Times New Roman"/>
          <w:color w:val="000000"/>
          <w:sz w:val="20"/>
          <w:szCs w:val="20"/>
        </w:rPr>
        <w:t xml:space="preserve">29, 2021, the Company had 451 restaurants system-wide in 29 states, comprised of 374 company-owned restaurants and 77 franchise restaurants. The Company operates its business as one operating and reportable segment. </w:t>
      </w:r>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 xml:space="preserve">Basis of Presentation </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The accompan</w:t>
      </w:r>
      <w:r>
        <w:rPr>
          <w:rFonts w:eastAsia="Times New Roman"/>
          <w:color w:val="000000"/>
          <w:sz w:val="20"/>
          <w:szCs w:val="20"/>
        </w:rPr>
        <w:t>ying unaudited condensed consolidated financial statements include the accounts of Noodles &amp; Company and its subsidiaries. All intercompany accounts and transactions have been eliminated in consolidation. The accompanying interim unaudited condensed consol</w:t>
      </w:r>
      <w:r>
        <w:rPr>
          <w:rFonts w:eastAsia="Times New Roman"/>
          <w:color w:val="000000"/>
          <w:sz w:val="20"/>
          <w:szCs w:val="20"/>
        </w:rPr>
        <w:t xml:space="preserve">idated financial statements have been prepared by the Company pursuant to the rules and regulations of the Securities and Exchange Commission (the “SEC”). Accordingly, they do not include all the information and footnotes required by accounting principles </w:t>
      </w:r>
      <w:r>
        <w:rPr>
          <w:rFonts w:eastAsia="Times New Roman"/>
          <w:color w:val="000000"/>
          <w:sz w:val="20"/>
          <w:szCs w:val="20"/>
        </w:rPr>
        <w:t>generally accepted in the United States of America (“GAAP”) for complete financial statements. In the opinion of the Company, all adjustments considered necessary for the fair presentation of the Company’s results of operations, financial position and cash</w:t>
      </w:r>
      <w:r>
        <w:rPr>
          <w:rFonts w:eastAsia="Times New Roman"/>
          <w:color w:val="000000"/>
          <w:sz w:val="20"/>
          <w:szCs w:val="20"/>
        </w:rPr>
        <w:t xml:space="preserve"> flows for the periods presented have been included and are of a normal, recurring nature. The preparation of financial statements in conformity with GAAP requires management to make estimates and assumptions that affect the reported amounts of assets and </w:t>
      </w:r>
      <w:r>
        <w:rPr>
          <w:rFonts w:eastAsia="Times New Roman"/>
          <w:color w:val="000000"/>
          <w:sz w:val="20"/>
          <w:szCs w:val="20"/>
        </w:rPr>
        <w:t>liabilities and disclosure of contingent assets and liabilities at the date of the financial statements and the reported amounts of revenues and expenses during the reporting period. The results of operations for any interim period are not necessarily indi</w:t>
      </w:r>
      <w:r>
        <w:rPr>
          <w:rFonts w:eastAsia="Times New Roman"/>
          <w:color w:val="000000"/>
          <w:sz w:val="20"/>
          <w:szCs w:val="20"/>
        </w:rPr>
        <w:t>cative of results for the full year. Certain information and footnote disclosures normally included in the Company’s annual consolidated financial statements on Form 10-K have been condensed or omitted. The condensed consolidated balance sheet as of Decemb</w:t>
      </w:r>
      <w:r>
        <w:rPr>
          <w:rFonts w:eastAsia="Times New Roman"/>
          <w:color w:val="000000"/>
          <w:sz w:val="20"/>
          <w:szCs w:val="20"/>
        </w:rPr>
        <w:t>er 29, 2020 was derived from audited financial statements. These financial statements should be read in conjunction with the audited financial statements and the related notes included in the Company’s</w:t>
      </w:r>
      <w:r>
        <w:rPr>
          <w:rFonts w:eastAsia="Times New Roman"/>
          <w:i/>
          <w:iCs/>
          <w:color w:val="000000"/>
          <w:sz w:val="20"/>
          <w:szCs w:val="20"/>
        </w:rPr>
        <w:t xml:space="preserve"> </w:t>
      </w:r>
      <w:r>
        <w:rPr>
          <w:rFonts w:eastAsia="Times New Roman"/>
          <w:color w:val="000000"/>
          <w:sz w:val="20"/>
          <w:szCs w:val="20"/>
        </w:rPr>
        <w:t>Annual Report on Form 10-K for the fiscal year ended D</w:t>
      </w:r>
      <w:r>
        <w:rPr>
          <w:rFonts w:eastAsia="Times New Roman"/>
          <w:color w:val="000000"/>
          <w:sz w:val="20"/>
          <w:szCs w:val="20"/>
        </w:rPr>
        <w:t xml:space="preserve">ecember 29, 2020. </w:t>
      </w:r>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Fiscal Year</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The Company operates on a 52- or 53-week fiscal year ending on the Tuesday closest to December 31. The Company’s fiscal quarters each contain 13 operating weeks, with the exception of the fourth quarter of a 53-week fisca</w:t>
      </w:r>
      <w:r>
        <w:rPr>
          <w:rFonts w:eastAsia="Times New Roman"/>
          <w:color w:val="000000"/>
          <w:sz w:val="20"/>
          <w:szCs w:val="20"/>
        </w:rPr>
        <w:t xml:space="preserve">l year, which contains 14 operating weeks. Fiscal year 2021, which ends on December 28, 2021, and fiscal year 2020, which ended on December 29, 2020, both contain 52 weeks. The Company’s fiscal quarter that ended June 29, 2021 is referred to as the second </w:t>
      </w:r>
      <w:r>
        <w:rPr>
          <w:rFonts w:eastAsia="Times New Roman"/>
          <w:color w:val="000000"/>
          <w:sz w:val="20"/>
          <w:szCs w:val="20"/>
        </w:rPr>
        <w:t>quarter of 2021, and the fiscal quarter ended June 30, 2020 is referred to as the second quarter of 2020.</w:t>
      </w:r>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212529"/>
          <w:sz w:val="20"/>
          <w:szCs w:val="20"/>
        </w:rPr>
        <w:t>Risks and Uncertainties</w:t>
      </w:r>
    </w:p>
    <w:p w:rsidR="00000000" w:rsidRDefault="003E235E">
      <w:pPr>
        <w:jc w:val="both"/>
        <w:rPr>
          <w:rFonts w:eastAsia="Times New Roman"/>
        </w:rPr>
      </w:pPr>
    </w:p>
    <w:p w:rsidR="00000000" w:rsidRDefault="003E235E">
      <w:pPr>
        <w:jc w:val="both"/>
        <w:rPr>
          <w:rFonts w:eastAsia="Times New Roman"/>
        </w:rPr>
      </w:pPr>
      <w:r>
        <w:rPr>
          <w:rFonts w:eastAsia="Times New Roman"/>
          <w:color w:val="212529"/>
          <w:sz w:val="20"/>
          <w:szCs w:val="20"/>
          <w:shd w:val="clear" w:color="auto" w:fill="FFFFFF"/>
        </w:rPr>
        <w:t xml:space="preserve">We are subject to risks and uncertainties as a result of the ongoing COVID-19 pandemic. </w:t>
      </w:r>
      <w:r>
        <w:rPr>
          <w:rFonts w:eastAsia="Times New Roman"/>
          <w:color w:val="000000"/>
          <w:sz w:val="20"/>
          <w:szCs w:val="20"/>
          <w:shd w:val="clear" w:color="auto" w:fill="FFFFFF"/>
        </w:rPr>
        <w:t>The onset of the COVID-19 pandemic</w:t>
      </w:r>
      <w:r>
        <w:rPr>
          <w:rFonts w:eastAsia="Times New Roman"/>
          <w:color w:val="000000"/>
          <w:sz w:val="20"/>
          <w:szCs w:val="20"/>
          <w:shd w:val="clear" w:color="auto" w:fill="FFFFFF"/>
        </w:rPr>
        <w:t xml:space="preserve"> resulted in significant disruption to the restaurant industry and adversely affected our business. The greatest impact to our sales and overall financial results was during the initial stages of the pandemic, beginning the third week of March 2020 through</w:t>
      </w:r>
      <w:r>
        <w:rPr>
          <w:rFonts w:eastAsia="Times New Roman"/>
          <w:color w:val="000000"/>
          <w:sz w:val="20"/>
          <w:szCs w:val="20"/>
          <w:shd w:val="clear" w:color="auto" w:fill="FFFFFF"/>
        </w:rPr>
        <w:t xml:space="preserve"> the second quarter of 2020.</w:t>
      </w:r>
      <w:r>
        <w:rPr>
          <w:rFonts w:eastAsia="Times New Roman"/>
          <w:color w:val="000000"/>
          <w:shd w:val="clear" w:color="auto" w:fill="FFFFFF"/>
        </w:rPr>
        <w:t xml:space="preserve"> </w:t>
      </w:r>
      <w:r>
        <w:rPr>
          <w:rFonts w:eastAsia="Times New Roman"/>
          <w:color w:val="000000"/>
          <w:sz w:val="20"/>
          <w:szCs w:val="20"/>
          <w:shd w:val="clear" w:color="auto" w:fill="FFFFFF"/>
        </w:rPr>
        <w:t>During this period, we temporarily closed nearly all of our dining rooms, driven by local government imposed restrictions in areas where we operate our restaurants and migrated to an almost completely off-premise model. Since the initial disruption, we hav</w:t>
      </w:r>
      <w:r>
        <w:rPr>
          <w:rFonts w:eastAsia="Times New Roman"/>
          <w:color w:val="000000"/>
          <w:sz w:val="20"/>
          <w:szCs w:val="20"/>
          <w:shd w:val="clear" w:color="auto" w:fill="FFFFFF"/>
        </w:rPr>
        <w:t>e seen sequential improvement in our financial performance due in part to our investments in our off-premise and digital channels. In 2021, we saw further improvement as vaccine availability was more widespread and social distancing restrictions were softe</w:t>
      </w:r>
      <w:r>
        <w:rPr>
          <w:rFonts w:eastAsia="Times New Roman"/>
          <w:color w:val="000000"/>
          <w:sz w:val="20"/>
          <w:szCs w:val="20"/>
          <w:shd w:val="clear" w:color="auto" w:fill="FFFFFF"/>
        </w:rPr>
        <w:t xml:space="preserve">ned. </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The extent of the impact of the COVID-19 pandemic on our operations and financial results depends on future developments and is highly uncertain due to the unknown duration and severity of the outbreak, including the potential impact of the COVID-1</w:t>
      </w:r>
      <w:r>
        <w:rPr>
          <w:rFonts w:eastAsia="Times New Roman"/>
          <w:color w:val="000000"/>
          <w:sz w:val="20"/>
          <w:szCs w:val="20"/>
        </w:rPr>
        <w:t xml:space="preserve">9 delta variant. The situation is changing rapidly and future impacts may materialize that are not yet known. As of the date of this filing, substantially all of our restaurants continue to operate, with dining rooms open at varying capacities. </w:t>
      </w:r>
      <w:r>
        <w:rPr>
          <w:rFonts w:eastAsia="Times New Roman"/>
          <w:color w:val="000000"/>
          <w:sz w:val="20"/>
          <w:szCs w:val="20"/>
          <w:shd w:val="clear" w:color="auto" w:fill="FFFFFF"/>
        </w:rPr>
        <w:t>We intend t</w:t>
      </w:r>
      <w:r>
        <w:rPr>
          <w:rFonts w:eastAsia="Times New Roman"/>
          <w:color w:val="000000"/>
          <w:sz w:val="20"/>
          <w:szCs w:val="20"/>
          <w:shd w:val="clear" w:color="auto" w:fill="FFFFFF"/>
        </w:rPr>
        <w:t>o continue to actively monitor the evolving situation and may take further actions that alter our business operations as may be required by federal, state or local authorities or that we determine are in the best interests of our team members, customers, s</w:t>
      </w:r>
      <w:r>
        <w:rPr>
          <w:rFonts w:eastAsia="Times New Roman"/>
          <w:color w:val="000000"/>
          <w:sz w:val="20"/>
          <w:szCs w:val="20"/>
          <w:shd w:val="clear" w:color="auto" w:fill="FFFFFF"/>
        </w:rPr>
        <w:t xml:space="preserve">uppliers and shareholders. </w:t>
      </w:r>
    </w:p>
    <w:p w:rsidR="00000000" w:rsidRDefault="003E235E">
      <w:pPr>
        <w:jc w:val="both"/>
        <w:rPr>
          <w:rFonts w:eastAsia="Times New Roman"/>
        </w:rPr>
      </w:pPr>
    </w:p>
    <w:p w:rsidR="00000000" w:rsidRDefault="003E235E">
      <w:pPr>
        <w:jc w:val="center"/>
        <w:divId w:val="1960843401"/>
        <w:rPr>
          <w:rFonts w:eastAsia="Times New Roman"/>
        </w:rPr>
      </w:pPr>
      <w:r>
        <w:rPr>
          <w:rFonts w:eastAsia="Times New Roman"/>
          <w:color w:val="000000"/>
          <w:sz w:val="20"/>
          <w:szCs w:val="20"/>
        </w:rPr>
        <w:t>6</w:t>
      </w:r>
    </w:p>
    <w:p w:rsidR="00000000" w:rsidRDefault="003E235E">
      <w:pPr>
        <w:rPr>
          <w:rFonts w:eastAsia="Times New Roman"/>
        </w:rPr>
      </w:pPr>
      <w:r>
        <w:rPr>
          <w:rFonts w:eastAsia="Times New Roman"/>
        </w:rPr>
        <w:pict>
          <v:rect id="_x0000_i1031" style="width:0;height:1.5pt" o:hralign="center" o:hrstd="t" o:hr="t" fillcolor="#a0a0a0" stroked="f"/>
        </w:pict>
      </w:r>
    </w:p>
    <w:p w:rsidR="00000000" w:rsidRDefault="003E235E">
      <w:pPr>
        <w:divId w:val="513156313"/>
        <w:rPr>
          <w:rFonts w:eastAsia="Times New Roman"/>
        </w:rPr>
      </w:pPr>
    </w:p>
    <w:p w:rsidR="00000000" w:rsidRDefault="003E235E">
      <w:pPr>
        <w:jc w:val="both"/>
        <w:rPr>
          <w:rFonts w:eastAsia="Times New Roman"/>
        </w:rPr>
      </w:pPr>
      <w:r>
        <w:rPr>
          <w:rFonts w:eastAsia="Times New Roman"/>
          <w:b/>
          <w:bCs/>
          <w:i/>
          <w:iCs/>
          <w:color w:val="000000"/>
          <w:sz w:val="20"/>
          <w:szCs w:val="20"/>
        </w:rPr>
        <w:t>Recent Accounting Pronouncements</w:t>
      </w:r>
    </w:p>
    <w:p w:rsidR="00000000" w:rsidRDefault="003E235E">
      <w:pPr>
        <w:jc w:val="both"/>
        <w:divId w:val="1583950082"/>
        <w:rPr>
          <w:rFonts w:eastAsia="Times New Roman"/>
        </w:rPr>
      </w:pPr>
      <w:r>
        <w:rPr>
          <w:rFonts w:eastAsia="Times New Roman"/>
          <w:color w:val="000000"/>
          <w:sz w:val="20"/>
          <w:szCs w:val="20"/>
        </w:rPr>
        <w:t>In March 2020, the FASB issued ASU No. 2020-04, </w:t>
      </w:r>
      <w:r>
        <w:rPr>
          <w:rFonts w:eastAsia="Times New Roman"/>
          <w:i/>
          <w:iCs/>
          <w:color w:val="000000"/>
          <w:sz w:val="20"/>
          <w:szCs w:val="20"/>
        </w:rPr>
        <w:t xml:space="preserve">Facilitation of the Effects of Reference Rate Reform on Financial Reporting </w:t>
      </w:r>
      <w:r>
        <w:rPr>
          <w:rFonts w:eastAsia="Times New Roman"/>
          <w:color w:val="000000"/>
          <w:sz w:val="20"/>
          <w:szCs w:val="20"/>
        </w:rPr>
        <w:t>(“ASU 2020-04”). ASU 2020-04 is intended to provide temporary optional expedients and exceptions to the U.S. GAAP guidance on contract modifications and hedge accounting to ease th</w:t>
      </w:r>
      <w:r>
        <w:rPr>
          <w:rFonts w:eastAsia="Times New Roman"/>
          <w:color w:val="000000"/>
          <w:sz w:val="20"/>
          <w:szCs w:val="20"/>
        </w:rPr>
        <w:t>e financial reporting burdens related to the expected market transition from the London Interbank Offered Rate (LIBOR) and other interbank offered rates to alternative reference rates. The Company may elect to apply the amendments prospectively through Dec</w:t>
      </w:r>
      <w:r>
        <w:rPr>
          <w:rFonts w:eastAsia="Times New Roman"/>
          <w:color w:val="000000"/>
          <w:sz w:val="20"/>
          <w:szCs w:val="20"/>
        </w:rPr>
        <w:t>ember 31, 202</w:t>
      </w:r>
      <w:r>
        <w:rPr>
          <w:rFonts w:eastAsia="Times New Roman"/>
          <w:color w:val="000000"/>
          <w:sz w:val="20"/>
          <w:szCs w:val="20"/>
          <w:shd w:val="clear" w:color="auto" w:fill="FFFFFF"/>
        </w:rPr>
        <w:t>2. The Company is currently evaluating the impact this guidance may have on its consolidated financial statements and related disclosures.</w:t>
      </w:r>
    </w:p>
    <w:p w:rsidR="00000000" w:rsidRDefault="003E235E">
      <w:pPr>
        <w:jc w:val="both"/>
        <w:divId w:val="1149056141"/>
        <w:rPr>
          <w:rFonts w:eastAsia="Times New Roman"/>
        </w:rPr>
      </w:pPr>
      <w:r>
        <w:rPr>
          <w:rFonts w:eastAsia="Times New Roman"/>
          <w:b/>
          <w:bCs/>
          <w:i/>
          <w:iCs/>
          <w:color w:val="000000"/>
          <w:sz w:val="20"/>
          <w:szCs w:val="20"/>
        </w:rPr>
        <w:t>Recently Adopted Accounting Pronouncements</w:t>
      </w:r>
    </w:p>
    <w:p w:rsidR="00000000" w:rsidRDefault="003E235E">
      <w:pPr>
        <w:jc w:val="both"/>
        <w:divId w:val="722412987"/>
        <w:rPr>
          <w:rFonts w:eastAsia="Times New Roman"/>
        </w:rPr>
      </w:pPr>
      <w:r>
        <w:rPr>
          <w:rFonts w:eastAsia="Times New Roman"/>
          <w:color w:val="000000"/>
          <w:sz w:val="20"/>
          <w:szCs w:val="20"/>
        </w:rPr>
        <w:t xml:space="preserve">In December 2019, the FASB issued ASU No. 2019-12, </w:t>
      </w:r>
      <w:r>
        <w:rPr>
          <w:rFonts w:eastAsia="Times New Roman"/>
          <w:i/>
          <w:iCs/>
          <w:color w:val="000000"/>
          <w:sz w:val="20"/>
          <w:szCs w:val="20"/>
        </w:rPr>
        <w:t>Income Tax</w:t>
      </w:r>
      <w:r>
        <w:rPr>
          <w:rFonts w:eastAsia="Times New Roman"/>
          <w:i/>
          <w:iCs/>
          <w:color w:val="000000"/>
          <w:sz w:val="20"/>
          <w:szCs w:val="20"/>
        </w:rPr>
        <w:t>es (Topic 740): Simplifying the Accounting for Income Taxes</w:t>
      </w:r>
      <w:r>
        <w:rPr>
          <w:rFonts w:eastAsia="Times New Roman"/>
          <w:color w:val="000000"/>
          <w:sz w:val="20"/>
          <w:szCs w:val="20"/>
        </w:rPr>
        <w:t xml:space="preserve"> (“ASU 2019-12”). ASU 2019-12 was issued as a means to reduce the complexity of accounting for income taxes for those entities that fall within the scope of the accounting standard. This guidance i</w:t>
      </w:r>
      <w:r>
        <w:rPr>
          <w:rFonts w:eastAsia="Times New Roman"/>
          <w:color w:val="000000"/>
          <w:sz w:val="20"/>
          <w:szCs w:val="20"/>
        </w:rPr>
        <w:t>s effective for public companies for annual reporting periods beginning after December 15, 2020 and interim periods within those reporting periods. Interim period adoption is permitted. The guidance is to be applied using a prospective method, excluding am</w:t>
      </w:r>
      <w:r>
        <w:rPr>
          <w:rFonts w:eastAsia="Times New Roman"/>
          <w:color w:val="000000"/>
          <w:sz w:val="20"/>
          <w:szCs w:val="20"/>
        </w:rPr>
        <w:t>endments related to franchise taxes, which should be applied on either a retrospective basis for all periods presented or a modified retrospective basis through a cumulative-effect adjustment to retained earnings as of the beginning of the fiscal year of a</w:t>
      </w:r>
      <w:r>
        <w:rPr>
          <w:rFonts w:eastAsia="Times New Roman"/>
          <w:color w:val="000000"/>
          <w:sz w:val="20"/>
          <w:szCs w:val="20"/>
        </w:rPr>
        <w:t>doption. The Company adopted this standard on Decembe</w:t>
      </w:r>
      <w:r>
        <w:rPr>
          <w:rFonts w:eastAsia="Times New Roman"/>
          <w:color w:val="000000"/>
          <w:sz w:val="20"/>
          <w:szCs w:val="20"/>
          <w:shd w:val="clear" w:color="auto" w:fill="FFFFFF"/>
        </w:rPr>
        <w:t>r 30, 2020. The adoption of this standard did not have a material impact on our consolidated financial statements or disclosures.</w:t>
      </w:r>
    </w:p>
    <w:p w:rsidR="00000000" w:rsidRDefault="003E235E">
      <w:pPr>
        <w:jc w:val="both"/>
        <w:rPr>
          <w:rFonts w:eastAsia="Times New Roman"/>
        </w:rPr>
      </w:pPr>
    </w:p>
    <w:p w:rsidR="00000000" w:rsidRDefault="003E235E">
      <w:pPr>
        <w:jc w:val="both"/>
        <w:rPr>
          <w:rFonts w:eastAsia="Times New Roman"/>
        </w:rPr>
      </w:pPr>
      <w:r>
        <w:rPr>
          <w:rFonts w:eastAsia="Times New Roman"/>
          <w:b/>
          <w:bCs/>
          <w:color w:val="000000"/>
          <w:sz w:val="20"/>
          <w:szCs w:val="20"/>
        </w:rPr>
        <w:t>2. Supplemental Financial Information</w:t>
      </w:r>
    </w:p>
    <w:p w:rsidR="00000000" w:rsidRDefault="003E235E">
      <w:pPr>
        <w:jc w:val="both"/>
        <w:rPr>
          <w:rFonts w:eastAsia="Times New Roman"/>
        </w:rPr>
      </w:pPr>
    </w:p>
    <w:p w:rsidR="00000000" w:rsidRDefault="003E235E">
      <w:pPr>
        <w:jc w:val="both"/>
        <w:divId w:val="237253014"/>
        <w:rPr>
          <w:rFonts w:eastAsia="Times New Roman"/>
        </w:rPr>
      </w:pPr>
      <w:r>
        <w:rPr>
          <w:rFonts w:eastAsia="Times New Roman"/>
          <w:color w:val="000000"/>
          <w:sz w:val="20"/>
          <w:szCs w:val="20"/>
        </w:rPr>
        <w:t xml:space="preserve">Accounts receivable consist of </w:t>
      </w:r>
      <w:r>
        <w:rPr>
          <w:rFonts w:eastAsia="Times New Roman"/>
          <w:color w:val="000000"/>
          <w:sz w:val="20"/>
          <w:szCs w:val="20"/>
        </w:rPr>
        <w:t>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5110"/>
        <w:gridCol w:w="36"/>
        <w:gridCol w:w="36"/>
        <w:gridCol w:w="36"/>
        <w:gridCol w:w="36"/>
        <w:gridCol w:w="120"/>
        <w:gridCol w:w="1344"/>
        <w:gridCol w:w="36"/>
        <w:gridCol w:w="36"/>
        <w:gridCol w:w="36"/>
        <w:gridCol w:w="36"/>
        <w:gridCol w:w="121"/>
        <w:gridCol w:w="1236"/>
        <w:gridCol w:w="36"/>
      </w:tblGrid>
      <w:tr w:rsidR="00000000">
        <w:trPr>
          <w:divId w:val="1410541531"/>
        </w:trPr>
        <w:tc>
          <w:tcPr>
            <w:tcW w:w="50" w:type="pct"/>
            <w:vAlign w:val="center"/>
            <w:hideMark/>
          </w:tcPr>
          <w:p w:rsidR="00000000" w:rsidRDefault="003E235E">
            <w:pPr>
              <w:jc w:val="both"/>
              <w:rPr>
                <w:rFonts w:eastAsia="Times New Roman"/>
              </w:rPr>
            </w:pPr>
          </w:p>
        </w:tc>
        <w:tc>
          <w:tcPr>
            <w:tcW w:w="3107"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860"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794"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r>
      <w:tr w:rsidR="00000000">
        <w:trPr>
          <w:divId w:val="1410541531"/>
        </w:trPr>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December 29,</w:t>
            </w:r>
            <w:r>
              <w:rPr>
                <w:rFonts w:eastAsia="Times New Roman"/>
                <w:b/>
                <w:bCs/>
                <w:color w:val="000000"/>
                <w:sz w:val="16"/>
                <w:szCs w:val="16"/>
              </w:rPr>
              <w:br/>
              <w:t>2020</w:t>
            </w:r>
          </w:p>
        </w:tc>
      </w:tr>
      <w:tr w:rsidR="00000000">
        <w:trPr>
          <w:divId w:val="1410541531"/>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Delivery program receivables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1,778 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1,268 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1410541531"/>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Insurance receivable</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586 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74 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1410541531"/>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Vendor rebate receivables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704 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641 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1410541531"/>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jc w:val="both"/>
              <w:rPr>
                <w:rFonts w:eastAsia="Times New Roman"/>
              </w:rPr>
            </w:pPr>
            <w:r>
              <w:rPr>
                <w:rFonts w:eastAsia="Times New Roman"/>
                <w:color w:val="000000"/>
                <w:sz w:val="20"/>
                <w:szCs w:val="20"/>
              </w:rPr>
              <w:t>Franchise receivables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both"/>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687 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564 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1410541531"/>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jc w:val="both"/>
              <w:rPr>
                <w:rFonts w:eastAsia="Times New Roman"/>
              </w:rPr>
            </w:pPr>
            <w:r>
              <w:rPr>
                <w:rFonts w:eastAsia="Times New Roman"/>
                <w:color w:val="000000"/>
                <w:sz w:val="20"/>
                <w:szCs w:val="20"/>
              </w:rPr>
              <w:t>Other receivables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both"/>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593 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881 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1410541531"/>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Accounts receivable</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4,348 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3,428 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bl>
    <w:p w:rsidR="00000000" w:rsidRDefault="003E235E">
      <w:pPr>
        <w:ind w:firstLine="360"/>
        <w:jc w:val="both"/>
        <w:rPr>
          <w:rFonts w:eastAsia="Times New Roman"/>
        </w:rPr>
      </w:pPr>
    </w:p>
    <w:p w:rsidR="00000000" w:rsidRDefault="003E235E">
      <w:pPr>
        <w:jc w:val="both"/>
        <w:rPr>
          <w:rFonts w:eastAsia="Times New Roman"/>
        </w:rPr>
      </w:pPr>
      <w:r>
        <w:rPr>
          <w:rFonts w:eastAsia="Times New Roman"/>
          <w:color w:val="000000"/>
          <w:sz w:val="20"/>
          <w:szCs w:val="20"/>
        </w:rPr>
        <w:t>P</w:t>
      </w:r>
      <w:r>
        <w:rPr>
          <w:rFonts w:eastAsia="Times New Roman"/>
          <w:color w:val="000000"/>
          <w:sz w:val="20"/>
          <w:szCs w:val="20"/>
        </w:rPr>
        <w:t>repaid expenses and other assets consist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5123"/>
        <w:gridCol w:w="37"/>
        <w:gridCol w:w="36"/>
        <w:gridCol w:w="36"/>
        <w:gridCol w:w="36"/>
        <w:gridCol w:w="120"/>
        <w:gridCol w:w="1282"/>
        <w:gridCol w:w="36"/>
        <w:gridCol w:w="36"/>
        <w:gridCol w:w="36"/>
        <w:gridCol w:w="36"/>
        <w:gridCol w:w="121"/>
        <w:gridCol w:w="1284"/>
        <w:gridCol w:w="36"/>
      </w:tblGrid>
      <w:tr w:rsidR="00000000">
        <w:trPr>
          <w:divId w:val="1271475756"/>
        </w:trPr>
        <w:tc>
          <w:tcPr>
            <w:tcW w:w="50" w:type="pct"/>
            <w:vAlign w:val="center"/>
            <w:hideMark/>
          </w:tcPr>
          <w:p w:rsidR="00000000" w:rsidRDefault="003E235E">
            <w:pPr>
              <w:jc w:val="both"/>
              <w:rPr>
                <w:rFonts w:eastAsia="Times New Roman"/>
              </w:rPr>
            </w:pPr>
          </w:p>
        </w:tc>
        <w:tc>
          <w:tcPr>
            <w:tcW w:w="3114"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823"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823"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r>
      <w:tr w:rsidR="00000000">
        <w:trPr>
          <w:divId w:val="1271475756"/>
        </w:trPr>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December 29,</w:t>
            </w:r>
            <w:r>
              <w:rPr>
                <w:rFonts w:eastAsia="Times New Roman"/>
                <w:b/>
                <w:bCs/>
                <w:color w:val="000000"/>
                <w:sz w:val="16"/>
                <w:szCs w:val="16"/>
              </w:rPr>
              <w:br/>
              <w:t>2020</w:t>
            </w:r>
          </w:p>
        </w:tc>
      </w:tr>
      <w:tr w:rsidR="00000000">
        <w:trPr>
          <w:divId w:val="1271475756"/>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Prepaid insurance</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992 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744 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1271475756"/>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Prepaid occupancy related costs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884 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1271475756"/>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Other prepaid expenses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2,552 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1,092 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1271475756"/>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Other current assets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1271475756"/>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Prepaid expenses and other assets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3,695 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2,759 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bl>
    <w:p w:rsidR="00000000" w:rsidRDefault="003E235E">
      <w:pPr>
        <w:jc w:val="both"/>
        <w:rPr>
          <w:rFonts w:eastAsia="Times New Roman"/>
        </w:rPr>
      </w:pPr>
    </w:p>
    <w:p w:rsidR="00000000" w:rsidRDefault="003E235E">
      <w:pPr>
        <w:jc w:val="both"/>
        <w:divId w:val="1494881476"/>
        <w:rPr>
          <w:rFonts w:eastAsia="Times New Roman"/>
        </w:rPr>
      </w:pPr>
      <w:r>
        <w:rPr>
          <w:rFonts w:eastAsia="Times New Roman"/>
          <w:color w:val="000000"/>
          <w:sz w:val="20"/>
          <w:szCs w:val="20"/>
        </w:rPr>
        <w:t>P</w:t>
      </w:r>
      <w:r>
        <w:rPr>
          <w:rFonts w:eastAsia="Times New Roman"/>
          <w:color w:val="000000"/>
          <w:sz w:val="20"/>
          <w:szCs w:val="20"/>
        </w:rPr>
        <w:t>roperty and equipment, net, consists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5123"/>
        <w:gridCol w:w="36"/>
        <w:gridCol w:w="36"/>
        <w:gridCol w:w="36"/>
        <w:gridCol w:w="36"/>
        <w:gridCol w:w="120"/>
        <w:gridCol w:w="1284"/>
        <w:gridCol w:w="36"/>
        <w:gridCol w:w="36"/>
        <w:gridCol w:w="36"/>
        <w:gridCol w:w="36"/>
        <w:gridCol w:w="120"/>
        <w:gridCol w:w="1284"/>
        <w:gridCol w:w="36"/>
      </w:tblGrid>
      <w:tr w:rsidR="00000000">
        <w:trPr>
          <w:divId w:val="853417628"/>
        </w:trPr>
        <w:tc>
          <w:tcPr>
            <w:tcW w:w="50" w:type="pct"/>
            <w:vAlign w:val="center"/>
            <w:hideMark/>
          </w:tcPr>
          <w:p w:rsidR="00000000" w:rsidRDefault="003E235E">
            <w:pPr>
              <w:jc w:val="both"/>
              <w:rPr>
                <w:rFonts w:eastAsia="Times New Roman"/>
              </w:rPr>
            </w:pPr>
          </w:p>
        </w:tc>
        <w:tc>
          <w:tcPr>
            <w:tcW w:w="3114"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823"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823"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r>
      <w:tr w:rsidR="00000000">
        <w:trPr>
          <w:divId w:val="853417628"/>
        </w:trPr>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December 29,</w:t>
            </w:r>
            <w:r>
              <w:rPr>
                <w:rFonts w:eastAsia="Times New Roman"/>
                <w:b/>
                <w:bCs/>
                <w:color w:val="000000"/>
                <w:sz w:val="16"/>
                <w:szCs w:val="16"/>
              </w:rPr>
              <w:br/>
              <w:t>2020</w:t>
            </w:r>
          </w:p>
        </w:tc>
      </w:tr>
      <w:tr w:rsidR="00000000">
        <w:trPr>
          <w:divId w:val="853417628"/>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Leasehold improvements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200,646 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199,782 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853417628"/>
        </w:trPr>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Furniture, fixtures and equipment</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134,461 </w:t>
            </w:r>
          </w:p>
        </w:tc>
        <w:tc>
          <w:tcPr>
            <w:tcW w:w="0" w:type="auto"/>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132,756 </w:t>
            </w:r>
          </w:p>
        </w:tc>
        <w:tc>
          <w:tcPr>
            <w:tcW w:w="0" w:type="auto"/>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853417628"/>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Construction in progress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8,212 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1,713 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853417628"/>
        </w:trPr>
        <w:tc>
          <w:tcPr>
            <w:tcW w:w="0" w:type="auto"/>
            <w:gridSpan w:val="3"/>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343,319 </w:t>
            </w:r>
          </w:p>
        </w:tc>
        <w:tc>
          <w:tcPr>
            <w:tcW w:w="0" w:type="auto"/>
            <w:tcBorders>
              <w:top w:val="single" w:sz="8" w:space="0" w:color="000000"/>
            </w:tcBorders>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334,251 </w:t>
            </w:r>
          </w:p>
        </w:tc>
        <w:tc>
          <w:tcPr>
            <w:tcW w:w="0" w:type="auto"/>
            <w:tcBorders>
              <w:top w:val="single" w:sz="8" w:space="0" w:color="000000"/>
            </w:tcBorders>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853417628"/>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Accumulated 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(220,920)</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(211,334)</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853417628"/>
        </w:trPr>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Property and equipment, net</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122,399 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122,917 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3E235E">
            <w:pPr>
              <w:spacing w:after="100"/>
              <w:jc w:val="right"/>
              <w:rPr>
                <w:rFonts w:eastAsia="Times New Roman"/>
              </w:rPr>
            </w:pPr>
          </w:p>
        </w:tc>
      </w:tr>
    </w:tbl>
    <w:p w:rsidR="00000000" w:rsidRDefault="003E235E">
      <w:pPr>
        <w:jc w:val="center"/>
        <w:divId w:val="1345206028"/>
        <w:rPr>
          <w:rFonts w:eastAsia="Times New Roman"/>
        </w:rPr>
      </w:pPr>
      <w:r>
        <w:rPr>
          <w:rFonts w:eastAsia="Times New Roman"/>
          <w:color w:val="000000"/>
          <w:sz w:val="20"/>
          <w:szCs w:val="20"/>
        </w:rPr>
        <w:t>7</w:t>
      </w:r>
    </w:p>
    <w:p w:rsidR="00000000" w:rsidRDefault="003E235E">
      <w:pPr>
        <w:rPr>
          <w:rFonts w:eastAsia="Times New Roman"/>
        </w:rPr>
      </w:pPr>
      <w:r>
        <w:rPr>
          <w:rFonts w:eastAsia="Times New Roman"/>
        </w:rPr>
        <w:pict>
          <v:rect id="_x0000_i1032" style="width:0;height:1.5pt" o:hralign="center" o:hrstd="t" o:hr="t" fillcolor="#a0a0a0" stroked="f"/>
        </w:pict>
      </w:r>
    </w:p>
    <w:p w:rsidR="00000000" w:rsidRDefault="003E235E">
      <w:pPr>
        <w:divId w:val="839927537"/>
        <w:rPr>
          <w:rFonts w:eastAsia="Times New Roman"/>
        </w:rPr>
      </w:pPr>
      <w:hyperlink w:anchor="i48000f6fae8946f8b752541bba7287a8_10" w:history="1">
        <w:r>
          <w:rPr>
            <w:rStyle w:val="a3"/>
            <w:rFonts w:eastAsia="Times New Roman"/>
            <w:sz w:val="20"/>
            <w:szCs w:val="20"/>
          </w:rPr>
          <w:t>Table of Contents</w:t>
        </w:r>
      </w:hyperlink>
    </w:p>
    <w:p w:rsidR="00000000" w:rsidRDefault="003E235E">
      <w:pPr>
        <w:jc w:val="both"/>
        <w:divId w:val="1793866532"/>
        <w:rPr>
          <w:rFonts w:eastAsia="Times New Roman"/>
        </w:rPr>
      </w:pPr>
    </w:p>
    <w:p w:rsidR="00000000" w:rsidRDefault="003E235E">
      <w:pPr>
        <w:jc w:val="both"/>
        <w:divId w:val="1926721272"/>
        <w:rPr>
          <w:rFonts w:eastAsia="Times New Roman"/>
        </w:rPr>
      </w:pPr>
      <w:r>
        <w:rPr>
          <w:rFonts w:eastAsia="Times New Roman"/>
          <w:color w:val="000000"/>
          <w:sz w:val="20"/>
          <w:szCs w:val="20"/>
        </w:rPr>
        <w:t>Accrued payroll and benefits consist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5123"/>
        <w:gridCol w:w="36"/>
        <w:gridCol w:w="36"/>
        <w:gridCol w:w="36"/>
        <w:gridCol w:w="36"/>
        <w:gridCol w:w="120"/>
        <w:gridCol w:w="1345"/>
        <w:gridCol w:w="36"/>
        <w:gridCol w:w="36"/>
        <w:gridCol w:w="36"/>
        <w:gridCol w:w="36"/>
        <w:gridCol w:w="120"/>
        <w:gridCol w:w="1223"/>
        <w:gridCol w:w="36"/>
      </w:tblGrid>
      <w:tr w:rsidR="00000000">
        <w:trPr>
          <w:divId w:val="1670131088"/>
        </w:trPr>
        <w:tc>
          <w:tcPr>
            <w:tcW w:w="50" w:type="pct"/>
            <w:vAlign w:val="center"/>
            <w:hideMark/>
          </w:tcPr>
          <w:p w:rsidR="00000000" w:rsidRDefault="003E235E">
            <w:pPr>
              <w:jc w:val="both"/>
              <w:rPr>
                <w:rFonts w:eastAsia="Times New Roman"/>
              </w:rPr>
            </w:pPr>
          </w:p>
        </w:tc>
        <w:tc>
          <w:tcPr>
            <w:tcW w:w="3114"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860"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78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r>
      <w:tr w:rsidR="00000000">
        <w:trPr>
          <w:divId w:val="1670131088"/>
        </w:trPr>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December 29,</w:t>
            </w:r>
            <w:r>
              <w:rPr>
                <w:rFonts w:eastAsia="Times New Roman"/>
                <w:b/>
                <w:bCs/>
                <w:color w:val="000000"/>
                <w:sz w:val="16"/>
                <w:szCs w:val="16"/>
              </w:rPr>
              <w:br/>
              <w:t>2020</w:t>
            </w:r>
          </w:p>
        </w:tc>
      </w:tr>
      <w:tr w:rsidR="00000000">
        <w:trPr>
          <w:divId w:val="1670131088"/>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Accrued payroll and related liabilities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10,286 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6,812 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1670131088"/>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Accrued bonus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3,699 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2,364 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1670131088"/>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Insurance liabilities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4,256 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3,700 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1670131088"/>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Accrued payroll and benefits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18,241 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12,876 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bl>
    <w:p w:rsidR="00000000" w:rsidRDefault="003E235E">
      <w:pPr>
        <w:divId w:val="236983549"/>
        <w:rPr>
          <w:rFonts w:eastAsia="Times New Roman"/>
        </w:rPr>
      </w:pPr>
    </w:p>
    <w:p w:rsidR="00000000" w:rsidRDefault="003E235E">
      <w:pPr>
        <w:divId w:val="1015500855"/>
        <w:rPr>
          <w:rFonts w:eastAsia="Times New Roman"/>
        </w:rPr>
      </w:pPr>
      <w:r>
        <w:rPr>
          <w:rFonts w:eastAsia="Times New Roman"/>
          <w:color w:val="000000"/>
          <w:sz w:val="20"/>
          <w:szCs w:val="20"/>
        </w:rPr>
        <w:t>A</w:t>
      </w:r>
      <w:r>
        <w:rPr>
          <w:rFonts w:eastAsia="Times New Roman"/>
          <w:color w:val="000000"/>
          <w:sz w:val="20"/>
          <w:szCs w:val="20"/>
        </w:rPr>
        <w:t>ccrued expenses and other current liabilities consist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5123"/>
        <w:gridCol w:w="37"/>
        <w:gridCol w:w="36"/>
        <w:gridCol w:w="36"/>
        <w:gridCol w:w="36"/>
        <w:gridCol w:w="120"/>
        <w:gridCol w:w="1283"/>
        <w:gridCol w:w="36"/>
        <w:gridCol w:w="36"/>
        <w:gridCol w:w="36"/>
        <w:gridCol w:w="36"/>
        <w:gridCol w:w="120"/>
        <w:gridCol w:w="1284"/>
        <w:gridCol w:w="36"/>
      </w:tblGrid>
      <w:tr w:rsidR="00000000">
        <w:trPr>
          <w:divId w:val="1086340064"/>
        </w:trPr>
        <w:tc>
          <w:tcPr>
            <w:tcW w:w="50" w:type="pct"/>
            <w:vAlign w:val="center"/>
            <w:hideMark/>
          </w:tcPr>
          <w:p w:rsidR="00000000" w:rsidRDefault="003E235E">
            <w:pPr>
              <w:rPr>
                <w:rFonts w:eastAsia="Times New Roman"/>
              </w:rPr>
            </w:pPr>
          </w:p>
        </w:tc>
        <w:tc>
          <w:tcPr>
            <w:tcW w:w="3114"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823"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823"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r>
      <w:tr w:rsidR="00000000">
        <w:trPr>
          <w:divId w:val="1086340064"/>
        </w:trPr>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December 29,</w:t>
            </w:r>
            <w:r>
              <w:rPr>
                <w:rFonts w:eastAsia="Times New Roman"/>
                <w:b/>
                <w:bCs/>
                <w:color w:val="000000"/>
                <w:sz w:val="16"/>
                <w:szCs w:val="16"/>
              </w:rPr>
              <w:br/>
              <w:t>2020</w:t>
            </w:r>
          </w:p>
        </w:tc>
      </w:tr>
      <w:tr w:rsidR="00000000">
        <w:trPr>
          <w:divId w:val="1086340064"/>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Gift card liability</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2,270 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2,551 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1086340064"/>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Occupancy related</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1,792 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1,322 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1086340064"/>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Utilities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1,399 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1,338 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1086340064"/>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Deferred revenue</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291 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427 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1086340064"/>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Current portion of finance lease liability</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1,958 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1,800 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1086340064"/>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Other accrued expenses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4,583 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4,194 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1086340064"/>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Accrued expenses and 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12,293 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11,632 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bl>
    <w:p w:rsidR="00000000" w:rsidRDefault="003E235E">
      <w:pPr>
        <w:divId w:val="571963459"/>
        <w:rPr>
          <w:rFonts w:eastAsia="Times New Roman"/>
        </w:rPr>
      </w:pPr>
    </w:p>
    <w:p w:rsidR="00000000" w:rsidRDefault="003E235E">
      <w:pPr>
        <w:jc w:val="both"/>
        <w:rPr>
          <w:rFonts w:eastAsia="Times New Roman"/>
        </w:rPr>
      </w:pPr>
      <w:r>
        <w:rPr>
          <w:rFonts w:eastAsia="Times New Roman"/>
          <w:b/>
          <w:bCs/>
          <w:color w:val="000000"/>
          <w:sz w:val="20"/>
          <w:szCs w:val="20"/>
        </w:rPr>
        <w:t>3</w:t>
      </w:r>
      <w:r>
        <w:rPr>
          <w:rFonts w:eastAsia="Times New Roman"/>
          <w:b/>
          <w:bCs/>
          <w:color w:val="000000"/>
          <w:sz w:val="20"/>
          <w:szCs w:val="20"/>
        </w:rPr>
        <w:t>. Long-Term Debt</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On May 9, 2018, the Company entered into a credit facility with U.S. Bank National Association (the “2018 Credit Facility”). The 2018 Credit Facility consisted of a term loan facility in an aggregate principal amount of $25.0 million and</w:t>
      </w:r>
      <w:r>
        <w:rPr>
          <w:rFonts w:eastAsia="Times New Roman"/>
          <w:color w:val="000000"/>
          <w:sz w:val="20"/>
          <w:szCs w:val="20"/>
        </w:rPr>
        <w:t xml:space="preserve"> a revolving credit facility of $65.0 million, which included a letter of credit subfacility in the amount of $15.0 million and a swingline subfacility in the amount of $10.0 million. </w:t>
      </w:r>
    </w:p>
    <w:p w:rsidR="00000000" w:rsidRDefault="003E235E">
      <w:pPr>
        <w:jc w:val="both"/>
        <w:divId w:val="1629356185"/>
        <w:rPr>
          <w:rFonts w:eastAsia="Times New Roman"/>
        </w:rPr>
      </w:pPr>
      <w:r>
        <w:rPr>
          <w:rFonts w:eastAsia="Times New Roman"/>
          <w:color w:val="000000"/>
          <w:sz w:val="20"/>
          <w:szCs w:val="20"/>
        </w:rPr>
        <w:t>On November 20, 2019, the Company amended its 2018 Credit Facility by entering into the First Amendment to the Credit Agreement (the “Amendment” and the 2018 Credit Facility, as amended, the “First Amended Credit Facility”). Among other things, the Amendme</w:t>
      </w:r>
      <w:r>
        <w:rPr>
          <w:rFonts w:eastAsia="Times New Roman"/>
          <w:color w:val="000000"/>
          <w:sz w:val="20"/>
          <w:szCs w:val="20"/>
        </w:rPr>
        <w:t xml:space="preserve">nt: (i) extended the maturity date to November 20, 2024; (ii) increased the revolving credit facility from $65.0 million to $75.0 million; (iii) delayed step downs of the Company’s leverage covenant; and (iv) increased the limit on capital expenditures to </w:t>
      </w:r>
      <w:r>
        <w:rPr>
          <w:rFonts w:eastAsia="Times New Roman"/>
          <w:color w:val="000000"/>
          <w:sz w:val="20"/>
          <w:szCs w:val="20"/>
        </w:rPr>
        <w:t xml:space="preserve">$37.0 million in 2020 and to $45.0 million in 2021 and each fiscal year thereafter. </w:t>
      </w:r>
    </w:p>
    <w:p w:rsidR="00000000" w:rsidRDefault="003E235E">
      <w:pPr>
        <w:jc w:val="both"/>
        <w:divId w:val="1752309448"/>
        <w:rPr>
          <w:rFonts w:eastAsia="Times New Roman"/>
        </w:rPr>
      </w:pPr>
      <w:r>
        <w:rPr>
          <w:rFonts w:eastAsia="Times New Roman"/>
          <w:color w:val="000000"/>
          <w:sz w:val="20"/>
          <w:szCs w:val="20"/>
        </w:rPr>
        <w:t>Borrowings under the First Amended Credit Facility, including the term loan facility, bear interest annually, at the Company’s option, at either (i) LIBOR plus a margin of</w:t>
      </w:r>
      <w:r>
        <w:rPr>
          <w:rFonts w:eastAsia="Times New Roman"/>
          <w:color w:val="000000"/>
          <w:sz w:val="20"/>
          <w:szCs w:val="20"/>
        </w:rPr>
        <w:t xml:space="preserve"> 2.00% to 2.75% per annum, based upon the consolidated total lease-adjusted leverage ratio or (ii) the highest of the following base rates plus a margin of 1.00% to 1.75% per annum: (a) the federal funds rate plus 0.50%; (b) the U.S. Bank prime rate or (c)</w:t>
      </w:r>
      <w:r>
        <w:rPr>
          <w:rFonts w:eastAsia="Times New Roman"/>
          <w:color w:val="000000"/>
          <w:sz w:val="20"/>
          <w:szCs w:val="20"/>
        </w:rPr>
        <w:t xml:space="preserve"> the one-month LIBOR plus 1.00%. The Amendment includes a commitment fee of 0.20% to 0.35% per annum, based upon the consolidated total lease-adjusted leverage ratio, on any unused portion of the revolving credit facility.</w:t>
      </w:r>
    </w:p>
    <w:p w:rsidR="00000000" w:rsidRDefault="003E235E">
      <w:pPr>
        <w:jc w:val="both"/>
        <w:rPr>
          <w:rFonts w:eastAsia="Times New Roman"/>
        </w:rPr>
      </w:pPr>
      <w:r>
        <w:rPr>
          <w:rFonts w:eastAsia="Times New Roman"/>
          <w:color w:val="000000"/>
          <w:sz w:val="20"/>
          <w:szCs w:val="20"/>
        </w:rPr>
        <w:t xml:space="preserve">On June 16, 2020 (the “Effective </w:t>
      </w:r>
      <w:r>
        <w:rPr>
          <w:rFonts w:eastAsia="Times New Roman"/>
          <w:color w:val="000000"/>
          <w:sz w:val="20"/>
          <w:szCs w:val="20"/>
        </w:rPr>
        <w:t>Date”), the Company amended its First Amended Credit Facility by entering into the Second Amendment to the Credit Agreement (the “Second Amendment” and the First Amended Credit Facility, as amended, or the “Second Amended Credit Facility”). Beginning on th</w:t>
      </w:r>
      <w:r>
        <w:rPr>
          <w:rFonts w:eastAsia="Times New Roman"/>
          <w:color w:val="000000"/>
          <w:sz w:val="20"/>
          <w:szCs w:val="20"/>
        </w:rPr>
        <w:t>e Effective Date and through the third quarter of 2021 (the “Amendment Period”), borrowings under the Second Amended Credit Facility, including the term loan facility (“Borrowings”), will bear interest at LIBOR plus 3.25% per annum. Following the Amendment</w:t>
      </w:r>
      <w:r>
        <w:rPr>
          <w:rFonts w:eastAsia="Times New Roman"/>
          <w:color w:val="000000"/>
          <w:sz w:val="20"/>
          <w:szCs w:val="20"/>
        </w:rPr>
        <w:t xml:space="preserve"> Period, borrowings will bear interest at LIBOR plus a margin of 2.00% to 3.00% per annum, based upon the consolidated total lease-adjusted leverage ratio. Among other things, the Second Amendment (i) waives the lease-adjusted leverage ratio and fixed char</w:t>
      </w:r>
      <w:r>
        <w:rPr>
          <w:rFonts w:eastAsia="Times New Roman"/>
          <w:color w:val="000000"/>
          <w:sz w:val="20"/>
          <w:szCs w:val="20"/>
        </w:rPr>
        <w:t>ge ratio covenants through the first quarter of 2021; (ii) amends the Company’s lease-adjusted leverage ratio and fixed coverage ratio covenant thresholds beginning in the second quarter of 2021 through the third quarter of 2022 and the first quarter of 20</w:t>
      </w:r>
      <w:r>
        <w:rPr>
          <w:rFonts w:eastAsia="Times New Roman"/>
          <w:color w:val="000000"/>
          <w:sz w:val="20"/>
          <w:szCs w:val="20"/>
        </w:rPr>
        <w:t>22, respectively; and (iii) limits capital expenditures to $12.0 million in 2020, $12.0 million plus a liquidity-based performance basket up to an additional $12.0 million in 2021, $34.0 million in 2022, $37.0 million in 2023 and $45.0 million annually the</w:t>
      </w:r>
      <w:r>
        <w:rPr>
          <w:rFonts w:eastAsia="Times New Roman"/>
          <w:color w:val="000000"/>
          <w:sz w:val="20"/>
          <w:szCs w:val="20"/>
        </w:rPr>
        <w:t xml:space="preserve">reafter. </w:t>
      </w:r>
    </w:p>
    <w:p w:rsidR="00000000" w:rsidRDefault="003E235E">
      <w:pPr>
        <w:jc w:val="both"/>
        <w:divId w:val="33041320"/>
        <w:rPr>
          <w:rFonts w:eastAsia="Times New Roman"/>
        </w:rPr>
      </w:pPr>
      <w:r>
        <w:rPr>
          <w:rFonts w:eastAsia="Times New Roman"/>
          <w:color w:val="000000"/>
          <w:sz w:val="20"/>
          <w:szCs w:val="20"/>
        </w:rPr>
        <w:t>As of June 29, 2021, the Company had $38.8 million of indebtedness (excluding $1.5 million of unamortized debt issuance costs) and $3.2 million of letters of credit outstanding under the Second Amended Credit Facility reflecting debt repayments o</w:t>
      </w:r>
      <w:r>
        <w:rPr>
          <w:rFonts w:eastAsia="Times New Roman"/>
          <w:color w:val="000000"/>
          <w:sz w:val="20"/>
          <w:szCs w:val="20"/>
        </w:rPr>
        <w:t xml:space="preserve">f $5.0 million in the first two quarters of 2021. As of June 29, 2021, the Company had cash on hand of $17.3 million. </w:t>
      </w:r>
    </w:p>
    <w:p w:rsidR="00000000" w:rsidRDefault="003E235E">
      <w:pPr>
        <w:jc w:val="center"/>
        <w:divId w:val="1378550279"/>
        <w:rPr>
          <w:rFonts w:eastAsia="Times New Roman"/>
        </w:rPr>
      </w:pPr>
      <w:r>
        <w:rPr>
          <w:rFonts w:eastAsia="Times New Roman"/>
          <w:color w:val="000000"/>
          <w:sz w:val="20"/>
          <w:szCs w:val="20"/>
        </w:rPr>
        <w:t>8</w:t>
      </w:r>
    </w:p>
    <w:p w:rsidR="00000000" w:rsidRDefault="003E235E">
      <w:pPr>
        <w:rPr>
          <w:rFonts w:eastAsia="Times New Roman"/>
        </w:rPr>
      </w:pPr>
      <w:r>
        <w:rPr>
          <w:rFonts w:eastAsia="Times New Roman"/>
        </w:rPr>
        <w:pict>
          <v:rect id="_x0000_i1033" style="width:0;height:1.5pt" o:hralign="center" o:hrstd="t" o:hr="t" fillcolor="#a0a0a0" stroked="f"/>
        </w:pict>
      </w:r>
    </w:p>
    <w:p w:rsidR="00000000" w:rsidRDefault="003E235E">
      <w:pPr>
        <w:divId w:val="1874419337"/>
        <w:rPr>
          <w:rFonts w:eastAsia="Times New Roman"/>
        </w:rPr>
      </w:pPr>
      <w:hyperlink w:anchor="i48000f6fae8946f8b752541bba7287a8_10" w:history="1">
        <w:r>
          <w:rPr>
            <w:rStyle w:val="a3"/>
            <w:rFonts w:eastAsia="Times New Roman"/>
            <w:sz w:val="20"/>
            <w:szCs w:val="20"/>
          </w:rPr>
          <w:t>Table of Contents</w:t>
        </w:r>
      </w:hyperlink>
    </w:p>
    <w:p w:rsidR="00000000" w:rsidRDefault="003E235E">
      <w:pPr>
        <w:jc w:val="both"/>
        <w:divId w:val="1987738244"/>
        <w:rPr>
          <w:rFonts w:eastAsia="Times New Roman"/>
        </w:rPr>
      </w:pPr>
      <w:r>
        <w:rPr>
          <w:rFonts w:eastAsia="Times New Roman"/>
          <w:color w:val="000000"/>
          <w:sz w:val="20"/>
          <w:szCs w:val="20"/>
        </w:rPr>
        <w:t>The term loan require</w:t>
      </w:r>
      <w:r>
        <w:rPr>
          <w:rFonts w:eastAsia="Times New Roman"/>
          <w:color w:val="000000"/>
          <w:sz w:val="20"/>
          <w:szCs w:val="20"/>
        </w:rPr>
        <w:t>s principal payments of $187,500 per quarter through the third quarter of 2021, $375,000 per quarter through the third quarter of 2022, $531,250 per quarter through the third quarter of 2023 and $625,000 per quarter thereafter through maturity.</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Aggregate</w:t>
      </w:r>
      <w:r>
        <w:rPr>
          <w:rFonts w:eastAsia="Times New Roman"/>
          <w:color w:val="000000"/>
          <w:sz w:val="20"/>
          <w:szCs w:val="20"/>
        </w:rPr>
        <w:t xml:space="preserve"> maturities for debt outstanding as of June 29, 2021 are as follows (in thousands):</w:t>
      </w:r>
    </w:p>
    <w:tbl>
      <w:tblPr>
        <w:tblW w:w="4992" w:type="pct"/>
        <w:jc w:val="center"/>
        <w:tblCellMar>
          <w:top w:w="15" w:type="dxa"/>
          <w:left w:w="15" w:type="dxa"/>
          <w:bottom w:w="15" w:type="dxa"/>
          <w:right w:w="15" w:type="dxa"/>
        </w:tblCellMar>
        <w:tblLook w:val="04A0" w:firstRow="1" w:lastRow="0" w:firstColumn="1" w:lastColumn="0" w:noHBand="0" w:noVBand="1"/>
      </w:tblPr>
      <w:tblGrid>
        <w:gridCol w:w="52"/>
        <w:gridCol w:w="6666"/>
        <w:gridCol w:w="36"/>
        <w:gridCol w:w="120"/>
        <w:gridCol w:w="1383"/>
        <w:gridCol w:w="36"/>
      </w:tblGrid>
      <w:tr w:rsidR="00000000">
        <w:trPr>
          <w:jc w:val="center"/>
        </w:trPr>
        <w:tc>
          <w:tcPr>
            <w:tcW w:w="50" w:type="pct"/>
            <w:vAlign w:val="center"/>
            <w:hideMark/>
          </w:tcPr>
          <w:p w:rsidR="00000000" w:rsidRDefault="003E235E">
            <w:pPr>
              <w:jc w:val="both"/>
              <w:rPr>
                <w:rFonts w:eastAsia="Times New Roman"/>
              </w:rPr>
            </w:pPr>
          </w:p>
        </w:tc>
        <w:tc>
          <w:tcPr>
            <w:tcW w:w="4037"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852"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Year 1</w:t>
            </w: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1,500 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Year 2</w:t>
            </w: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1,969 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Year 3</w:t>
            </w: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2,406 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Year 4</w:t>
            </w: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32,889 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CCEEFF"/>
            <w:tcMar>
              <w:top w:w="30" w:type="dxa"/>
              <w:left w:w="74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38,764 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bl>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The Company’</w:t>
      </w:r>
      <w:r>
        <w:rPr>
          <w:rFonts w:eastAsia="Times New Roman"/>
          <w:color w:val="000000"/>
          <w:sz w:val="20"/>
          <w:szCs w:val="20"/>
        </w:rPr>
        <w:t xml:space="preserve">s outstanding indebtedness bore interest at rates between 3.40% to 3.52% during the first two quarters of 2021. </w:t>
      </w:r>
    </w:p>
    <w:p w:rsidR="00000000" w:rsidRDefault="003E235E">
      <w:pPr>
        <w:jc w:val="both"/>
        <w:rPr>
          <w:rFonts w:eastAsia="Times New Roman"/>
        </w:rPr>
      </w:pPr>
    </w:p>
    <w:p w:rsidR="00000000" w:rsidRDefault="003E235E">
      <w:pPr>
        <w:jc w:val="both"/>
        <w:divId w:val="180510358"/>
        <w:rPr>
          <w:rFonts w:eastAsia="Times New Roman"/>
        </w:rPr>
      </w:pPr>
      <w:r>
        <w:rPr>
          <w:rFonts w:eastAsia="Times New Roman"/>
          <w:color w:val="000000"/>
          <w:sz w:val="20"/>
          <w:szCs w:val="20"/>
        </w:rPr>
        <w:t>The Company also maintains outstanding letters of credit to secure obligations under its workers’ compensation program and certain lease obli</w:t>
      </w:r>
      <w:r>
        <w:rPr>
          <w:rFonts w:eastAsia="Times New Roman"/>
          <w:color w:val="000000"/>
          <w:sz w:val="20"/>
          <w:szCs w:val="20"/>
        </w:rPr>
        <w:t xml:space="preserve">gations. The Company was in compliance with all of its debt covenants as of June 29, 2021. </w:t>
      </w:r>
    </w:p>
    <w:p w:rsidR="00000000" w:rsidRDefault="003E235E">
      <w:pPr>
        <w:jc w:val="both"/>
        <w:divId w:val="907229479"/>
        <w:rPr>
          <w:rFonts w:eastAsia="Times New Roman"/>
        </w:rPr>
      </w:pPr>
      <w:r>
        <w:rPr>
          <w:rFonts w:eastAsia="Times New Roman"/>
          <w:b/>
          <w:bCs/>
          <w:color w:val="000000"/>
          <w:sz w:val="20"/>
          <w:szCs w:val="20"/>
        </w:rPr>
        <w:t>4. Fair Value Measurements</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 xml:space="preserve">The carrying amounts of cash and cash equivalents, accounts receivable, accounts payable and all other current liabilities approximate </w:t>
      </w:r>
      <w:r>
        <w:rPr>
          <w:rFonts w:eastAsia="Times New Roman"/>
          <w:color w:val="000000"/>
          <w:sz w:val="20"/>
          <w:szCs w:val="20"/>
        </w:rPr>
        <w:t>their fair values due to their short-term nature. The carrying amounts of borrowings approximate fair value as the line of credit and term borrowings vary with market interest rates and negotiated terms and conditions are consistent with current market rat</w:t>
      </w:r>
      <w:r>
        <w:rPr>
          <w:rFonts w:eastAsia="Times New Roman"/>
          <w:color w:val="000000"/>
          <w:sz w:val="20"/>
          <w:szCs w:val="20"/>
        </w:rPr>
        <w:t xml:space="preserve">es. The fair value of the Company’s line of credit and term borrowings are measured using Level 2 inputs. </w:t>
      </w:r>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Assets and Liabilities Measured at Fair Value on a Nonrecurring Basis</w:t>
      </w:r>
      <w:r>
        <w:rPr>
          <w:rFonts w:eastAsia="Times New Roman"/>
          <w:color w:val="000000"/>
          <w:sz w:val="20"/>
          <w:szCs w:val="20"/>
        </w:rPr>
        <w:t xml:space="preserve"> </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Assets recognized or disclosed at fair value in the condensed consolidated financial statements on a non-recurring basis include items such as leasehold improvements, property and equipment, operating lease assets, goodwill and other intangible assets. The</w:t>
      </w:r>
      <w:r>
        <w:rPr>
          <w:rFonts w:eastAsia="Times New Roman"/>
          <w:color w:val="000000"/>
          <w:sz w:val="20"/>
          <w:szCs w:val="20"/>
        </w:rPr>
        <w:t xml:space="preserve">se assets are measured at fair value if determined to be impaired or when acquired. </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 xml:space="preserve">Adjustments to the fair value of assets measured at fair value on a non-recurring basis as of June 29, 2021 and June 30, 2020 are discussed in Note 7, Restaurant Impairments, Closure Costs and Asset Disposals. </w:t>
      </w:r>
    </w:p>
    <w:p w:rsidR="00000000" w:rsidRDefault="003E235E">
      <w:pPr>
        <w:jc w:val="both"/>
        <w:rPr>
          <w:rFonts w:eastAsia="Times New Roman"/>
        </w:rPr>
      </w:pPr>
    </w:p>
    <w:p w:rsidR="00000000" w:rsidRDefault="003E235E">
      <w:pPr>
        <w:jc w:val="both"/>
        <w:rPr>
          <w:rFonts w:eastAsia="Times New Roman"/>
        </w:rPr>
      </w:pPr>
      <w:r>
        <w:rPr>
          <w:rFonts w:eastAsia="Times New Roman"/>
          <w:b/>
          <w:bCs/>
          <w:color w:val="000000"/>
          <w:sz w:val="20"/>
          <w:szCs w:val="20"/>
        </w:rPr>
        <w:t>5. Income Taxes</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The following table prese</w:t>
      </w:r>
      <w:r>
        <w:rPr>
          <w:rFonts w:eastAsia="Times New Roman"/>
          <w:color w:val="000000"/>
          <w:sz w:val="20"/>
          <w:szCs w:val="20"/>
        </w:rPr>
        <w:t>nts the Company’s provision for income taxes (in thousands):</w:t>
      </w:r>
    </w:p>
    <w:tbl>
      <w:tblPr>
        <w:tblW w:w="4985" w:type="pct"/>
        <w:jc w:val="center"/>
        <w:tblCellMar>
          <w:top w:w="15" w:type="dxa"/>
          <w:left w:w="15" w:type="dxa"/>
          <w:bottom w:w="15" w:type="dxa"/>
          <w:right w:w="15" w:type="dxa"/>
        </w:tblCellMar>
        <w:tblLook w:val="04A0" w:firstRow="1" w:lastRow="0" w:firstColumn="1" w:lastColumn="0" w:noHBand="0" w:noVBand="1"/>
      </w:tblPr>
      <w:tblGrid>
        <w:gridCol w:w="37"/>
        <w:gridCol w:w="3532"/>
        <w:gridCol w:w="36"/>
        <w:gridCol w:w="36"/>
        <w:gridCol w:w="36"/>
        <w:gridCol w:w="36"/>
        <w:gridCol w:w="120"/>
        <w:gridCol w:w="723"/>
        <w:gridCol w:w="187"/>
        <w:gridCol w:w="36"/>
        <w:gridCol w:w="36"/>
        <w:gridCol w:w="36"/>
        <w:gridCol w:w="121"/>
        <w:gridCol w:w="723"/>
        <w:gridCol w:w="187"/>
        <w:gridCol w:w="36"/>
        <w:gridCol w:w="36"/>
        <w:gridCol w:w="36"/>
        <w:gridCol w:w="120"/>
        <w:gridCol w:w="842"/>
        <w:gridCol w:w="187"/>
        <w:gridCol w:w="36"/>
        <w:gridCol w:w="36"/>
        <w:gridCol w:w="36"/>
        <w:gridCol w:w="121"/>
        <w:gridCol w:w="726"/>
        <w:gridCol w:w="187"/>
      </w:tblGrid>
      <w:tr w:rsidR="00000000">
        <w:trPr>
          <w:jc w:val="center"/>
        </w:trPr>
        <w:tc>
          <w:tcPr>
            <w:tcW w:w="50" w:type="pct"/>
            <w:vAlign w:val="center"/>
            <w:hideMark/>
          </w:tcPr>
          <w:p w:rsidR="00000000" w:rsidRDefault="003E235E">
            <w:pPr>
              <w:jc w:val="both"/>
              <w:rPr>
                <w:rFonts w:eastAsia="Times New Roman"/>
              </w:rPr>
            </w:pPr>
          </w:p>
        </w:tc>
        <w:tc>
          <w:tcPr>
            <w:tcW w:w="2254"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2"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2"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19"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2"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3"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Two Fiscal Quarters Ended</w:t>
            </w:r>
          </w:p>
        </w:tc>
      </w:tr>
      <w:tr w:rsidR="00000000">
        <w:trPr>
          <w:jc w:val="center"/>
        </w:trPr>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2020</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Provision for income taxes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Effective tax rate</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(0.2)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(0.2)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bl>
    <w:p w:rsidR="00000000" w:rsidRDefault="003E235E">
      <w:pPr>
        <w:ind w:firstLine="360"/>
        <w:jc w:val="both"/>
        <w:rPr>
          <w:rFonts w:eastAsia="Times New Roman"/>
        </w:rPr>
      </w:pPr>
    </w:p>
    <w:p w:rsidR="00000000" w:rsidRDefault="003E235E">
      <w:pPr>
        <w:jc w:val="both"/>
        <w:rPr>
          <w:rFonts w:eastAsia="Times New Roman"/>
        </w:rPr>
      </w:pPr>
      <w:r>
        <w:rPr>
          <w:rFonts w:eastAsia="Times New Roman"/>
          <w:color w:val="000000"/>
          <w:sz w:val="20"/>
          <w:szCs w:val="20"/>
        </w:rPr>
        <w:t>The effective tax rate</w:t>
      </w:r>
      <w:r>
        <w:rPr>
          <w:rFonts w:eastAsia="Times New Roman"/>
          <w:color w:val="000000"/>
          <w:sz w:val="20"/>
          <w:szCs w:val="20"/>
          <w:shd w:val="clear" w:color="auto" w:fill="FFFFFF"/>
        </w:rPr>
        <w:t xml:space="preserve"> for the second quarter of 2021 and the first two quarters of 2021 ref</w:t>
      </w:r>
      <w:r>
        <w:rPr>
          <w:rFonts w:eastAsia="Times New Roman"/>
          <w:color w:val="000000"/>
          <w:sz w:val="20"/>
          <w:szCs w:val="20"/>
        </w:rPr>
        <w:t>lects the impact of the previously recorded valuation allowance. For the remainder of fiscal 2021, the Company does not anticipate material income tax expe</w:t>
      </w:r>
      <w:r>
        <w:rPr>
          <w:rFonts w:eastAsia="Times New Roman"/>
          <w:color w:val="000000"/>
          <w:sz w:val="20"/>
          <w:szCs w:val="20"/>
        </w:rPr>
        <w:t>nse or benefit as a result of the valuation allowance recorded. The Company will maintain the valuation allowance against deferred tax assets until there is sufficient evidence to support a full or partial reversal. The reversal of a previously recorded va</w:t>
      </w:r>
      <w:r>
        <w:rPr>
          <w:rFonts w:eastAsia="Times New Roman"/>
          <w:color w:val="000000"/>
          <w:sz w:val="20"/>
          <w:szCs w:val="20"/>
        </w:rPr>
        <w:t>luation allowance will generally result in a benefit from income tax.</w:t>
      </w:r>
    </w:p>
    <w:p w:rsidR="00000000" w:rsidRDefault="003E235E">
      <w:pPr>
        <w:jc w:val="both"/>
        <w:rPr>
          <w:rFonts w:eastAsia="Times New Roman"/>
        </w:rPr>
      </w:pPr>
    </w:p>
    <w:p w:rsidR="00000000" w:rsidRDefault="003E235E">
      <w:pPr>
        <w:jc w:val="both"/>
        <w:rPr>
          <w:rFonts w:eastAsia="Times New Roman"/>
        </w:rPr>
      </w:pPr>
    </w:p>
    <w:p w:rsidR="00000000" w:rsidRDefault="003E235E">
      <w:pPr>
        <w:jc w:val="both"/>
        <w:rPr>
          <w:rFonts w:eastAsia="Times New Roman"/>
        </w:rPr>
      </w:pPr>
      <w:r>
        <w:rPr>
          <w:rFonts w:eastAsia="Times New Roman"/>
          <w:b/>
          <w:bCs/>
          <w:color w:val="000000"/>
          <w:sz w:val="20"/>
          <w:szCs w:val="20"/>
        </w:rPr>
        <w:t>6. Stock-Based Compensation</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The Company’s Stock Incentive Plan (the “Plan”</w:t>
      </w:r>
      <w:r>
        <w:rPr>
          <w:rFonts w:eastAsia="Times New Roman"/>
          <w:color w:val="000000"/>
          <w:sz w:val="20"/>
          <w:szCs w:val="20"/>
        </w:rPr>
        <w:t>), as amended and restated in May of 2013, authorizes the grant of non-qualified stock options, incentive stock options, stock appreciation rights, restricted stock, restricted stock units (“RSUs”), performance share units (“PSUs”) and incentive bonuses to</w:t>
      </w:r>
      <w:r>
        <w:rPr>
          <w:rFonts w:eastAsia="Times New Roman"/>
          <w:color w:val="000000"/>
          <w:sz w:val="20"/>
          <w:szCs w:val="20"/>
        </w:rPr>
        <w:t xml:space="preserve"> employees, officers, non-employee directors and other service providers. As of June 29, 2021, approximatel</w:t>
      </w:r>
      <w:r>
        <w:rPr>
          <w:rFonts w:eastAsia="Times New Roman"/>
          <w:color w:val="000000"/>
          <w:sz w:val="20"/>
          <w:szCs w:val="20"/>
          <w:shd w:val="clear" w:color="auto" w:fill="FFFFFF"/>
        </w:rPr>
        <w:t>y 3.0 million share-based awards were available to be granted under the Plan.</w:t>
      </w:r>
    </w:p>
    <w:p w:rsidR="00000000" w:rsidRDefault="003E235E">
      <w:pPr>
        <w:divId w:val="318929332"/>
        <w:rPr>
          <w:rFonts w:eastAsia="Times New Roman"/>
        </w:rPr>
      </w:pPr>
    </w:p>
    <w:p w:rsidR="00000000" w:rsidRDefault="003E235E">
      <w:pPr>
        <w:divId w:val="760301777"/>
        <w:rPr>
          <w:rFonts w:eastAsia="Times New Roman"/>
        </w:rPr>
      </w:pPr>
      <w:r>
        <w:rPr>
          <w:rFonts w:eastAsia="Times New Roman"/>
          <w:color w:val="000000"/>
          <w:sz w:val="20"/>
          <w:szCs w:val="20"/>
        </w:rPr>
        <w:t xml:space="preserve">The following table shows total stock-based compensation expense (in </w:t>
      </w:r>
      <w:r>
        <w:rPr>
          <w:rFonts w:eastAsia="Times New Roman"/>
          <w:color w:val="000000"/>
          <w:sz w:val="20"/>
          <w:szCs w:val="20"/>
        </w:rPr>
        <w:t xml:space="preserve">thousands): </w:t>
      </w:r>
    </w:p>
    <w:p w:rsidR="00000000" w:rsidRDefault="003E235E">
      <w:pPr>
        <w:jc w:val="center"/>
        <w:divId w:val="176241075"/>
        <w:rPr>
          <w:rFonts w:eastAsia="Times New Roman"/>
        </w:rPr>
      </w:pPr>
      <w:r>
        <w:rPr>
          <w:rFonts w:eastAsia="Times New Roman"/>
          <w:color w:val="000000"/>
          <w:sz w:val="20"/>
          <w:szCs w:val="20"/>
        </w:rPr>
        <w:t>9</w:t>
      </w:r>
    </w:p>
    <w:p w:rsidR="00000000" w:rsidRDefault="003E235E">
      <w:pPr>
        <w:rPr>
          <w:rFonts w:eastAsia="Times New Roman"/>
        </w:rPr>
      </w:pPr>
      <w:r>
        <w:rPr>
          <w:rFonts w:eastAsia="Times New Roman"/>
        </w:rPr>
        <w:pict>
          <v:rect id="_x0000_i1034" style="width:0;height:1.5pt" o:hralign="center" o:hrstd="t" o:hr="t" fillcolor="#a0a0a0" stroked="f"/>
        </w:pict>
      </w:r>
    </w:p>
    <w:p w:rsidR="00000000" w:rsidRDefault="003E235E">
      <w:pPr>
        <w:divId w:val="379133257"/>
        <w:rPr>
          <w:rFonts w:eastAsia="Times New Roman"/>
        </w:rPr>
      </w:pPr>
      <w:hyperlink w:anchor="i48000f6fae8946f8b752541bba7287a8_10" w:history="1">
        <w:r>
          <w:rPr>
            <w:rStyle w:val="a3"/>
            <w:rFonts w:eastAsia="Times New Roman"/>
            <w:sz w:val="20"/>
            <w:szCs w:val="20"/>
          </w:rPr>
          <w:t>Table of Contents</w:t>
        </w:r>
      </w:hyperlink>
    </w:p>
    <w:tbl>
      <w:tblPr>
        <w:tblW w:w="4956" w:type="pct"/>
        <w:jc w:val="center"/>
        <w:tblCellMar>
          <w:top w:w="15" w:type="dxa"/>
          <w:left w:w="15" w:type="dxa"/>
          <w:bottom w:w="15" w:type="dxa"/>
          <w:right w:w="15" w:type="dxa"/>
        </w:tblCellMar>
        <w:tblLook w:val="04A0" w:firstRow="1" w:lastRow="0" w:firstColumn="1" w:lastColumn="0" w:noHBand="0" w:noVBand="1"/>
      </w:tblPr>
      <w:tblGrid>
        <w:gridCol w:w="37"/>
        <w:gridCol w:w="3680"/>
        <w:gridCol w:w="36"/>
        <w:gridCol w:w="120"/>
        <w:gridCol w:w="916"/>
        <w:gridCol w:w="36"/>
        <w:gridCol w:w="36"/>
        <w:gridCol w:w="36"/>
        <w:gridCol w:w="36"/>
        <w:gridCol w:w="120"/>
        <w:gridCol w:w="872"/>
        <w:gridCol w:w="36"/>
        <w:gridCol w:w="36"/>
        <w:gridCol w:w="36"/>
        <w:gridCol w:w="36"/>
        <w:gridCol w:w="120"/>
        <w:gridCol w:w="872"/>
        <w:gridCol w:w="36"/>
        <w:gridCol w:w="36"/>
        <w:gridCol w:w="36"/>
        <w:gridCol w:w="36"/>
        <w:gridCol w:w="120"/>
        <w:gridCol w:w="872"/>
        <w:gridCol w:w="36"/>
      </w:tblGrid>
      <w:tr w:rsidR="00000000">
        <w:trPr>
          <w:jc w:val="center"/>
        </w:trPr>
        <w:tc>
          <w:tcPr>
            <w:tcW w:w="50" w:type="pct"/>
            <w:vAlign w:val="center"/>
            <w:hideMark/>
          </w:tcPr>
          <w:p w:rsidR="00000000" w:rsidRDefault="003E235E">
            <w:pPr>
              <w:rPr>
                <w:rFonts w:eastAsia="Times New Roman"/>
              </w:rPr>
            </w:pPr>
          </w:p>
        </w:tc>
        <w:tc>
          <w:tcPr>
            <w:tcW w:w="2268"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Two Fiscal Quarters Ended</w:t>
            </w:r>
          </w:p>
        </w:tc>
      </w:tr>
      <w:tr w:rsidR="00000000">
        <w:trPr>
          <w:jc w:val="center"/>
        </w:trPr>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2020</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xml:space="preserve">Stock-based compensation expense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1,611 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1,094 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2,413 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1,253 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Capitalized stock-based compensation expense</w:t>
            </w:r>
          </w:p>
        </w:tc>
        <w:tc>
          <w:tcPr>
            <w:tcW w:w="0" w:type="auto"/>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16 </w:t>
            </w:r>
          </w:p>
        </w:tc>
        <w:tc>
          <w:tcPr>
            <w:tcW w:w="0" w:type="auto"/>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bl>
    <w:p w:rsidR="00000000" w:rsidRDefault="003E235E">
      <w:pPr>
        <w:divId w:val="1036352308"/>
        <w:rPr>
          <w:rFonts w:eastAsia="Times New Roman"/>
        </w:rPr>
      </w:pPr>
    </w:p>
    <w:p w:rsidR="00000000" w:rsidRDefault="003E235E">
      <w:pPr>
        <w:jc w:val="both"/>
        <w:rPr>
          <w:rFonts w:eastAsia="Times New Roman"/>
        </w:rPr>
      </w:pPr>
    </w:p>
    <w:p w:rsidR="00000000" w:rsidRDefault="003E235E">
      <w:pPr>
        <w:jc w:val="both"/>
        <w:rPr>
          <w:rFonts w:eastAsia="Times New Roman"/>
        </w:rPr>
      </w:pPr>
      <w:r>
        <w:rPr>
          <w:rFonts w:eastAsia="Times New Roman"/>
          <w:b/>
          <w:bCs/>
          <w:color w:val="000000"/>
          <w:sz w:val="20"/>
          <w:szCs w:val="20"/>
        </w:rPr>
        <w:t>7. Restaurant Impairments, Closure Costs and Asset Disposals</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The following table presents restaurant impairments, closure costs and asset disposals (in thousands):</w:t>
      </w:r>
    </w:p>
    <w:tbl>
      <w:tblPr>
        <w:tblW w:w="4956" w:type="pct"/>
        <w:jc w:val="center"/>
        <w:tblCellMar>
          <w:top w:w="15" w:type="dxa"/>
          <w:left w:w="15" w:type="dxa"/>
          <w:bottom w:w="15" w:type="dxa"/>
          <w:right w:w="15" w:type="dxa"/>
        </w:tblCellMar>
        <w:tblLook w:val="04A0" w:firstRow="1" w:lastRow="0" w:firstColumn="1" w:lastColumn="0" w:noHBand="0" w:noVBand="1"/>
      </w:tblPr>
      <w:tblGrid>
        <w:gridCol w:w="37"/>
        <w:gridCol w:w="3680"/>
        <w:gridCol w:w="36"/>
        <w:gridCol w:w="120"/>
        <w:gridCol w:w="916"/>
        <w:gridCol w:w="36"/>
        <w:gridCol w:w="36"/>
        <w:gridCol w:w="36"/>
        <w:gridCol w:w="36"/>
        <w:gridCol w:w="120"/>
        <w:gridCol w:w="872"/>
        <w:gridCol w:w="36"/>
        <w:gridCol w:w="36"/>
        <w:gridCol w:w="36"/>
        <w:gridCol w:w="36"/>
        <w:gridCol w:w="120"/>
        <w:gridCol w:w="872"/>
        <w:gridCol w:w="36"/>
        <w:gridCol w:w="36"/>
        <w:gridCol w:w="36"/>
        <w:gridCol w:w="36"/>
        <w:gridCol w:w="120"/>
        <w:gridCol w:w="872"/>
        <w:gridCol w:w="36"/>
      </w:tblGrid>
      <w:tr w:rsidR="00000000">
        <w:trPr>
          <w:jc w:val="center"/>
        </w:trPr>
        <w:tc>
          <w:tcPr>
            <w:tcW w:w="50" w:type="pct"/>
            <w:vAlign w:val="center"/>
            <w:hideMark/>
          </w:tcPr>
          <w:p w:rsidR="00000000" w:rsidRDefault="003E235E">
            <w:pPr>
              <w:jc w:val="both"/>
              <w:rPr>
                <w:rFonts w:eastAsia="Times New Roman"/>
              </w:rPr>
            </w:pPr>
          </w:p>
        </w:tc>
        <w:tc>
          <w:tcPr>
            <w:tcW w:w="2268"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Two Fiscal Quarters Ended</w:t>
            </w:r>
          </w:p>
        </w:tc>
      </w:tr>
      <w:tr w:rsidR="00000000">
        <w:trPr>
          <w:jc w:val="center"/>
        </w:trPr>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2020</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divId w:val="937522277"/>
              <w:rPr>
                <w:rFonts w:eastAsia="Times New Roman"/>
              </w:rPr>
            </w:pPr>
            <w:r>
              <w:rPr>
                <w:rFonts w:eastAsia="Times New Roman"/>
                <w:color w:val="000000"/>
                <w:sz w:val="20"/>
                <w:szCs w:val="20"/>
              </w:rPr>
              <w:t>Restaurant impairments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2,135 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680 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2,262 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divId w:val="1606884857"/>
              <w:rPr>
                <w:rFonts w:eastAsia="Times New Roman"/>
              </w:rPr>
            </w:pPr>
            <w:r>
              <w:rPr>
                <w:rFonts w:eastAsia="Times New Roman"/>
                <w:color w:val="000000"/>
                <w:sz w:val="20"/>
                <w:szCs w:val="20"/>
              </w:rPr>
              <w:t>Closure costs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288 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299 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593 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512 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(Gain) loss on disposal of assets and other</w:t>
            </w: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(76)</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124 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348 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840 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2,558 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1,621 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3,614 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bl>
    <w:p w:rsidR="00000000" w:rsidRDefault="003E235E">
      <w:pPr>
        <w:ind w:hanging="450"/>
        <w:divId w:val="308365401"/>
        <w:rPr>
          <w:rFonts w:eastAsia="Times New Roman"/>
        </w:rPr>
      </w:pPr>
      <w:r>
        <w:rPr>
          <w:rFonts w:eastAsia="Times New Roman"/>
          <w:color w:val="000000"/>
          <w:sz w:val="16"/>
          <w:szCs w:val="16"/>
        </w:rPr>
        <w:t>_____________________________</w:t>
      </w:r>
    </w:p>
    <w:p w:rsidR="00000000" w:rsidRDefault="003E235E">
      <w:pPr>
        <w:ind w:hanging="720"/>
        <w:jc w:val="both"/>
        <w:rPr>
          <w:rFonts w:eastAsia="Times New Roman"/>
        </w:rPr>
      </w:pPr>
      <w:r>
        <w:rPr>
          <w:rFonts w:eastAsia="Times New Roman"/>
          <w:color w:val="000000"/>
          <w:sz w:val="16"/>
          <w:szCs w:val="16"/>
        </w:rPr>
        <w:t>(1)Restaurant impairments and closure costs in all periods presented abo</w:t>
      </w:r>
      <w:r>
        <w:rPr>
          <w:rFonts w:eastAsia="Times New Roman"/>
          <w:color w:val="000000"/>
          <w:sz w:val="16"/>
          <w:szCs w:val="16"/>
        </w:rPr>
        <w:t xml:space="preserve">ve include amounts related to restaurants previously impaired or closed. </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 xml:space="preserve">The Company did not impair </w:t>
      </w:r>
      <w:r>
        <w:rPr>
          <w:rFonts w:eastAsia="Times New Roman"/>
          <w:color w:val="000000"/>
          <w:sz w:val="20"/>
          <w:szCs w:val="20"/>
          <w:shd w:val="clear" w:color="auto" w:fill="FFFFFF"/>
        </w:rPr>
        <w:t>any restaurants in t</w:t>
      </w:r>
      <w:r>
        <w:rPr>
          <w:rFonts w:eastAsia="Times New Roman"/>
          <w:color w:val="000000"/>
          <w:sz w:val="20"/>
          <w:szCs w:val="20"/>
        </w:rPr>
        <w:t xml:space="preserve">he second quarter of 2021 and had five </w:t>
      </w:r>
      <w:r>
        <w:rPr>
          <w:rFonts w:eastAsia="Times New Roman"/>
          <w:color w:val="000000"/>
          <w:sz w:val="20"/>
          <w:szCs w:val="20"/>
        </w:rPr>
        <w:t>restaurant impairments in the second quarter of 2020.</w:t>
      </w:r>
      <w:r>
        <w:rPr>
          <w:rFonts w:eastAsia="Times New Roman"/>
          <w:color w:val="000000"/>
          <w:sz w:val="20"/>
          <w:szCs w:val="20"/>
          <w:shd w:val="clear" w:color="auto" w:fill="FFFFFF"/>
        </w:rPr>
        <w:t xml:space="preserve"> The Company impaired one restaurant in the first two quarters of 2021 and five restaurants in the first two quarters of 2020. I</w:t>
      </w:r>
      <w:r>
        <w:rPr>
          <w:rFonts w:eastAsia="Times New Roman"/>
          <w:color w:val="000000"/>
          <w:sz w:val="20"/>
          <w:szCs w:val="20"/>
        </w:rPr>
        <w:t>mpairment is based on management’s current assessment of the expected futur</w:t>
      </w:r>
      <w:r>
        <w:rPr>
          <w:rFonts w:eastAsia="Times New Roman"/>
          <w:color w:val="000000"/>
          <w:sz w:val="20"/>
          <w:szCs w:val="20"/>
        </w:rPr>
        <w:t xml:space="preserve">e cash flows of a restaurant based on recent results and other specific market factors. Impairment expense is a Level 3 fair value measure and is determined by comparing the carrying value of restaurant assets to the estimated fair value of the restaurant </w:t>
      </w:r>
      <w:r>
        <w:rPr>
          <w:rFonts w:eastAsia="Times New Roman"/>
          <w:color w:val="000000"/>
          <w:sz w:val="20"/>
          <w:szCs w:val="20"/>
        </w:rPr>
        <w:t>assets at resale value and the right-of-use asset based on a discounted cash flow analysis utilizing market lease rates. The Company will continue to monitor the impact from the COVID-19 pandemic as it relates to recoverability of long-lived assets. Althou</w:t>
      </w:r>
      <w:r>
        <w:rPr>
          <w:rFonts w:eastAsia="Times New Roman"/>
          <w:color w:val="000000"/>
          <w:sz w:val="20"/>
          <w:szCs w:val="20"/>
        </w:rPr>
        <w:t xml:space="preserve">gh the Company has seen an improvement in sales, the Company is unable to predict how long these conditions will persist, what additional measures may be introduced by governments or what effect any such additional measures may have on restaurants and our </w:t>
      </w:r>
      <w:r>
        <w:rPr>
          <w:rFonts w:eastAsia="Times New Roman"/>
          <w:color w:val="000000"/>
          <w:sz w:val="20"/>
          <w:szCs w:val="20"/>
        </w:rPr>
        <w:t>business. Any measure that encourages consumers to stay in their homes, engage in social distancing or avoid larger gatherings of people for an extended period of time is and has been highly likely to continue to be harmful to the restaurant industry in ge</w:t>
      </w:r>
      <w:r>
        <w:rPr>
          <w:rFonts w:eastAsia="Times New Roman"/>
          <w:color w:val="000000"/>
          <w:sz w:val="20"/>
          <w:szCs w:val="20"/>
        </w:rPr>
        <w:t>neral.</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shd w:val="clear" w:color="auto" w:fill="FFFFFF"/>
        </w:rPr>
        <w:t xml:space="preserve">Closure costs in the second quarter of 2021 and the first two quarters of 2021 include ongoing costs related to restaurants closed in previous years as well as six company-owned restaurant closures during the </w:t>
      </w:r>
      <w:r>
        <w:rPr>
          <w:rFonts w:eastAsia="Times New Roman"/>
          <w:color w:val="000000"/>
          <w:sz w:val="20"/>
          <w:szCs w:val="20"/>
        </w:rPr>
        <w:t>first two quarters of 2021</w:t>
      </w:r>
      <w:r>
        <w:rPr>
          <w:rFonts w:eastAsia="Times New Roman"/>
          <w:color w:val="000000"/>
          <w:sz w:val="20"/>
          <w:szCs w:val="20"/>
          <w:shd w:val="clear" w:color="auto" w:fill="FFFFFF"/>
        </w:rPr>
        <w:t>. Closure co</w:t>
      </w:r>
      <w:r>
        <w:rPr>
          <w:rFonts w:eastAsia="Times New Roman"/>
          <w:color w:val="000000"/>
          <w:sz w:val="20"/>
          <w:szCs w:val="20"/>
          <w:shd w:val="clear" w:color="auto" w:fill="FFFFFF"/>
        </w:rPr>
        <w:t>sts in the second quarter of 2020 and first two quarters of 2020 include ongoing costs related to restaurants closed in previous years as well as one company-owned restaurant closure during the second quarter of 2020 that was near the end of its lease term</w:t>
      </w:r>
      <w:r>
        <w:rPr>
          <w:rFonts w:eastAsia="Times New Roman"/>
          <w:color w:val="000000"/>
          <w:sz w:val="20"/>
          <w:szCs w:val="20"/>
          <w:shd w:val="clear" w:color="auto" w:fill="FFFFFF"/>
        </w:rPr>
        <w:t xml:space="preserve">. In addition, closure costs were offset by gains resulting from adjustments to liabilities as lease terminations occur. </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shd w:val="clear" w:color="auto" w:fill="FFFFFF"/>
        </w:rPr>
        <w:t>Loss on disposal of assets and other for the second quarter 2021 includes a gain on insurance proceeds from property damage. Loss on</w:t>
      </w:r>
      <w:r>
        <w:rPr>
          <w:rFonts w:eastAsia="Times New Roman"/>
          <w:color w:val="000000"/>
          <w:sz w:val="20"/>
          <w:szCs w:val="20"/>
          <w:shd w:val="clear" w:color="auto" w:fill="FFFFFF"/>
        </w:rPr>
        <w:t xml:space="preserve"> disposal of assets and other includes expenses recognized during the first two quarters of 2020 related to the divestiture of company-owned restaurants to a franchisee. </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These expenses are included in the “Restaurant impairments, closure costs and asset</w:t>
      </w:r>
      <w:r>
        <w:rPr>
          <w:rFonts w:eastAsia="Times New Roman"/>
          <w:color w:val="000000"/>
          <w:sz w:val="20"/>
          <w:szCs w:val="20"/>
        </w:rPr>
        <w:t xml:space="preserve"> disposals” line in the Condensed Consolidated Statements of Operations. </w:t>
      </w:r>
    </w:p>
    <w:p w:rsidR="00000000" w:rsidRDefault="003E235E">
      <w:pPr>
        <w:jc w:val="both"/>
        <w:rPr>
          <w:rFonts w:eastAsia="Times New Roman"/>
        </w:rPr>
      </w:pPr>
    </w:p>
    <w:p w:rsidR="00000000" w:rsidRDefault="003E235E">
      <w:pPr>
        <w:jc w:val="both"/>
        <w:rPr>
          <w:rFonts w:eastAsia="Times New Roman"/>
        </w:rPr>
      </w:pPr>
      <w:r>
        <w:rPr>
          <w:rFonts w:eastAsia="Times New Roman"/>
          <w:b/>
          <w:bCs/>
          <w:color w:val="000000"/>
          <w:sz w:val="20"/>
          <w:szCs w:val="20"/>
          <w:shd w:val="clear" w:color="auto" w:fill="FFFFFF"/>
        </w:rPr>
        <w:t>8. Earnings (Loss) Per Share</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Basic earnings (loss) per share (“EPS”</w:t>
      </w:r>
      <w:r>
        <w:rPr>
          <w:rFonts w:eastAsia="Times New Roman"/>
          <w:color w:val="000000"/>
          <w:sz w:val="20"/>
          <w:szCs w:val="20"/>
        </w:rPr>
        <w:t>) is calculated by dividing net income (loss) available to common stockholders by the weighted-average number of shares of common stock outstanding during each period. Diluted EPS is calculated using net income (loss) available to common stockholders divid</w:t>
      </w:r>
      <w:r>
        <w:rPr>
          <w:rFonts w:eastAsia="Times New Roman"/>
          <w:color w:val="000000"/>
          <w:sz w:val="20"/>
          <w:szCs w:val="20"/>
        </w:rPr>
        <w:t>ed by diluted weighted-average shares of common stock outstanding during each period. Potentially dilutive securities include shares of common stock underlying stock options, warrants and RSUs. Diluted EPS considers the impact of potentially dilutive secur</w:t>
      </w:r>
      <w:r>
        <w:rPr>
          <w:rFonts w:eastAsia="Times New Roman"/>
          <w:color w:val="000000"/>
          <w:sz w:val="20"/>
          <w:szCs w:val="20"/>
        </w:rPr>
        <w:t xml:space="preserve">ities except in periods in which there is a loss because the inclusion of the potential common shares would have an anti-dilutive effect. </w:t>
      </w:r>
    </w:p>
    <w:p w:rsidR="00000000" w:rsidRDefault="003E235E">
      <w:pPr>
        <w:jc w:val="center"/>
        <w:divId w:val="301814228"/>
        <w:rPr>
          <w:rFonts w:eastAsia="Times New Roman"/>
        </w:rPr>
      </w:pPr>
      <w:r>
        <w:rPr>
          <w:rFonts w:eastAsia="Times New Roman"/>
          <w:color w:val="000000"/>
          <w:sz w:val="20"/>
          <w:szCs w:val="20"/>
        </w:rPr>
        <w:t>10</w:t>
      </w:r>
    </w:p>
    <w:p w:rsidR="00000000" w:rsidRDefault="003E235E">
      <w:pPr>
        <w:rPr>
          <w:rFonts w:eastAsia="Times New Roman"/>
        </w:rPr>
      </w:pPr>
      <w:r>
        <w:rPr>
          <w:rFonts w:eastAsia="Times New Roman"/>
        </w:rPr>
        <w:pict>
          <v:rect id="_x0000_i1035" style="width:0;height:1.5pt" o:hralign="center" o:hrstd="t" o:hr="t" fillcolor="#a0a0a0" stroked="f"/>
        </w:pict>
      </w:r>
    </w:p>
    <w:p w:rsidR="00000000" w:rsidRDefault="003E235E">
      <w:pPr>
        <w:divId w:val="532690493"/>
        <w:rPr>
          <w:rFonts w:eastAsia="Times New Roman"/>
        </w:rPr>
      </w:pPr>
      <w:hyperlink w:anchor="i48000f6fae8946f8b752541bba7287a8_10" w:history="1">
        <w:r>
          <w:rPr>
            <w:rStyle w:val="a3"/>
            <w:rFonts w:eastAsia="Times New Roman"/>
            <w:sz w:val="20"/>
            <w:szCs w:val="20"/>
          </w:rPr>
          <w:t>Table of Contents</w:t>
        </w:r>
      </w:hyperlink>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The following table sets forth the computations of basic and diluted EPS (in thousands, except share and per share data):</w:t>
      </w:r>
    </w:p>
    <w:tbl>
      <w:tblPr>
        <w:tblW w:w="4992" w:type="pct"/>
        <w:tblCellMar>
          <w:top w:w="15" w:type="dxa"/>
          <w:left w:w="15" w:type="dxa"/>
          <w:bottom w:w="15" w:type="dxa"/>
          <w:right w:w="15" w:type="dxa"/>
        </w:tblCellMar>
        <w:tblLook w:val="04A0" w:firstRow="1" w:lastRow="0" w:firstColumn="1" w:lastColumn="0" w:noHBand="0" w:noVBand="1"/>
      </w:tblPr>
      <w:tblGrid>
        <w:gridCol w:w="38"/>
        <w:gridCol w:w="3589"/>
        <w:gridCol w:w="37"/>
        <w:gridCol w:w="36"/>
        <w:gridCol w:w="36"/>
        <w:gridCol w:w="36"/>
        <w:gridCol w:w="121"/>
        <w:gridCol w:w="893"/>
        <w:gridCol w:w="36"/>
        <w:gridCol w:w="36"/>
        <w:gridCol w:w="36"/>
        <w:gridCol w:w="36"/>
        <w:gridCol w:w="121"/>
        <w:gridCol w:w="893"/>
        <w:gridCol w:w="36"/>
        <w:gridCol w:w="36"/>
        <w:gridCol w:w="36"/>
        <w:gridCol w:w="36"/>
        <w:gridCol w:w="121"/>
        <w:gridCol w:w="893"/>
        <w:gridCol w:w="36"/>
        <w:gridCol w:w="36"/>
        <w:gridCol w:w="36"/>
        <w:gridCol w:w="36"/>
        <w:gridCol w:w="121"/>
        <w:gridCol w:w="890"/>
        <w:gridCol w:w="36"/>
      </w:tblGrid>
      <w:tr w:rsidR="00000000">
        <w:tc>
          <w:tcPr>
            <w:tcW w:w="50" w:type="pct"/>
            <w:vAlign w:val="center"/>
            <w:hideMark/>
          </w:tcPr>
          <w:p w:rsidR="00000000" w:rsidRDefault="003E235E">
            <w:pPr>
              <w:jc w:val="both"/>
              <w:rPr>
                <w:rFonts w:eastAsia="Times New Roman"/>
              </w:rPr>
            </w:pPr>
          </w:p>
        </w:tc>
        <w:tc>
          <w:tcPr>
            <w:tcW w:w="2251"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1"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1"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1"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2"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Two Fiscal Quarters Ended</w:t>
            </w:r>
          </w:p>
        </w:tc>
      </w:tr>
      <w:tr w:rsidR="00000000">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2020</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5,683 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(13,478)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3,706 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(19,313)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Shares: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Basic weighted average shares outstanding</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45,506,476 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44,212,751 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45,303,160 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44,177,648 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Effect of dilutive securities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739,693 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688,959 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Diluted weighted average shares outstanding</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46,246,169 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44,212,751 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45,992,119 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44,177,648 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Earnings (loss) per share:</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Basic earnings (loss) per share</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0.12 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(0.30)</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0.08 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(0.44)</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Diluted earnings (loss) per share</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0.12 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(0.30)</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0.08 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(0.44)</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bl>
    <w:p w:rsidR="00000000" w:rsidRDefault="003E235E">
      <w:pPr>
        <w:divId w:val="1659453600"/>
        <w:rPr>
          <w:rFonts w:eastAsia="Times New Roman"/>
        </w:rPr>
      </w:pPr>
    </w:p>
    <w:p w:rsidR="00000000" w:rsidRDefault="003E235E">
      <w:pPr>
        <w:jc w:val="both"/>
        <w:rPr>
          <w:rFonts w:eastAsia="Times New Roman"/>
        </w:rPr>
      </w:pPr>
      <w:r>
        <w:rPr>
          <w:rFonts w:eastAsia="Times New Roman"/>
          <w:color w:val="000000"/>
          <w:sz w:val="20"/>
          <w:szCs w:val="20"/>
        </w:rPr>
        <w:t>The Company computes the effect of dilutive securities using the treasury stock method and average market prices during the period. Potential common shares are excluded from the computation of diluted earnings (loss) per share when the effect would be anti</w:t>
      </w:r>
      <w:r>
        <w:rPr>
          <w:rFonts w:eastAsia="Times New Roman"/>
          <w:color w:val="000000"/>
          <w:sz w:val="20"/>
          <w:szCs w:val="20"/>
        </w:rPr>
        <w:t>-dilutive. The shares issuable on the vesting or exercise of share-based awards or exercise of outstanding warrants that were excluded from the calculation of diluted earnings per share because the effect of their inclusion would have been anti-dilutive to</w:t>
      </w:r>
      <w:r>
        <w:rPr>
          <w:rFonts w:eastAsia="Times New Roman"/>
          <w:color w:val="000000"/>
          <w:sz w:val="20"/>
          <w:szCs w:val="20"/>
        </w:rPr>
        <w:t>taled 478,353 and 4,142,754 for the second quarters of 2021 and 2020, respectively, and totaled 730,847 and 3,309,278 for the first two quarters of 2021 and 2020, respectively.</w:t>
      </w:r>
    </w:p>
    <w:p w:rsidR="00000000" w:rsidRDefault="003E235E">
      <w:pPr>
        <w:jc w:val="both"/>
        <w:rPr>
          <w:rFonts w:eastAsia="Times New Roman"/>
        </w:rPr>
      </w:pPr>
    </w:p>
    <w:p w:rsidR="00000000" w:rsidRDefault="003E235E">
      <w:pPr>
        <w:jc w:val="both"/>
        <w:rPr>
          <w:rFonts w:eastAsia="Times New Roman"/>
        </w:rPr>
      </w:pPr>
      <w:r>
        <w:rPr>
          <w:rFonts w:eastAsia="Times New Roman"/>
          <w:b/>
          <w:bCs/>
          <w:color w:val="000000"/>
          <w:sz w:val="20"/>
          <w:szCs w:val="20"/>
        </w:rPr>
        <w:t>9. Leases</w:t>
      </w:r>
    </w:p>
    <w:p w:rsidR="00000000" w:rsidRDefault="003E235E">
      <w:pPr>
        <w:jc w:val="both"/>
        <w:divId w:val="1560941411"/>
        <w:rPr>
          <w:rFonts w:eastAsia="Times New Roman"/>
        </w:rPr>
      </w:pPr>
      <w:r>
        <w:rPr>
          <w:rFonts w:eastAsia="Times New Roman"/>
          <w:color w:val="000000"/>
          <w:sz w:val="20"/>
          <w:szCs w:val="20"/>
        </w:rPr>
        <w:t>Supplemental balance sheet information related to leases is as foll</w:t>
      </w:r>
      <w:r>
        <w:rPr>
          <w:rFonts w:eastAsia="Times New Roman"/>
          <w:color w:val="000000"/>
          <w:sz w:val="20"/>
          <w:szCs w:val="20"/>
        </w:rPr>
        <w:t>ows (in thousands):</w:t>
      </w:r>
    </w:p>
    <w:tbl>
      <w:tblPr>
        <w:tblW w:w="5000" w:type="pct"/>
        <w:jc w:val="center"/>
        <w:tblCellMar>
          <w:top w:w="15" w:type="dxa"/>
          <w:left w:w="15" w:type="dxa"/>
          <w:bottom w:w="15" w:type="dxa"/>
          <w:right w:w="15" w:type="dxa"/>
        </w:tblCellMar>
        <w:tblLook w:val="04A0" w:firstRow="1" w:lastRow="0" w:firstColumn="1" w:lastColumn="0" w:noHBand="0" w:noVBand="1"/>
      </w:tblPr>
      <w:tblGrid>
        <w:gridCol w:w="47"/>
        <w:gridCol w:w="1744"/>
        <w:gridCol w:w="38"/>
        <w:gridCol w:w="40"/>
        <w:gridCol w:w="3784"/>
        <w:gridCol w:w="36"/>
        <w:gridCol w:w="36"/>
        <w:gridCol w:w="36"/>
        <w:gridCol w:w="36"/>
        <w:gridCol w:w="120"/>
        <w:gridCol w:w="1062"/>
        <w:gridCol w:w="36"/>
        <w:gridCol w:w="36"/>
        <w:gridCol w:w="36"/>
        <w:gridCol w:w="36"/>
        <w:gridCol w:w="120"/>
        <w:gridCol w:w="1027"/>
        <w:gridCol w:w="36"/>
      </w:tblGrid>
      <w:tr w:rsidR="00000000">
        <w:trPr>
          <w:jc w:val="center"/>
        </w:trPr>
        <w:tc>
          <w:tcPr>
            <w:tcW w:w="50" w:type="pct"/>
            <w:vAlign w:val="center"/>
            <w:hideMark/>
          </w:tcPr>
          <w:p w:rsidR="00000000" w:rsidRDefault="003E235E">
            <w:pPr>
              <w:jc w:val="both"/>
              <w:rPr>
                <w:rFonts w:eastAsia="Times New Roman"/>
              </w:rPr>
            </w:pPr>
          </w:p>
        </w:tc>
        <w:tc>
          <w:tcPr>
            <w:tcW w:w="1080"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2303"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19"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66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66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r>
      <w:tr w:rsidR="00000000">
        <w:trPr>
          <w:jc w:val="center"/>
        </w:trPr>
        <w:tc>
          <w:tcPr>
            <w:tcW w:w="0" w:type="auto"/>
            <w:gridSpan w:val="6"/>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Classification</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December 29,</w:t>
            </w:r>
            <w:r>
              <w:rPr>
                <w:rFonts w:eastAsia="Times New Roman"/>
                <w:b/>
                <w:bCs/>
                <w:color w:val="000000"/>
                <w:sz w:val="16"/>
                <w:szCs w:val="16"/>
              </w:rPr>
              <w:br/>
              <w:t>2020</w:t>
            </w:r>
          </w:p>
        </w:tc>
      </w:tr>
      <w:tr w:rsidR="00000000">
        <w:trPr>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Operating</w:t>
            </w:r>
          </w:p>
        </w:tc>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xml:space="preserve">Operating lease assets, net </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191,410 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195,618 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Finance</w:t>
            </w:r>
          </w:p>
        </w:tc>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divId w:val="1018505180"/>
              <w:rPr>
                <w:rFonts w:eastAsia="Times New Roman"/>
              </w:rPr>
            </w:pPr>
            <w:r>
              <w:rPr>
                <w:rFonts w:eastAsia="Times New Roman"/>
                <w:color w:val="000000"/>
                <w:sz w:val="20"/>
                <w:szCs w:val="20"/>
              </w:rPr>
              <w:t>Finance lease assets, net</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7,456 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7,822 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Total leased assets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198,866 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203,440 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Current lease liabilities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Operating</w:t>
            </w:r>
          </w:p>
        </w:tc>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Current operating lease liabilities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26,141 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26,094 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Finance</w:t>
            </w:r>
          </w:p>
        </w:tc>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divId w:val="755901741"/>
              <w:rPr>
                <w:rFonts w:eastAsia="Times New Roman"/>
              </w:rPr>
            </w:pPr>
            <w:r>
              <w:rPr>
                <w:rFonts w:eastAsia="Times New Roman"/>
                <w:color w:val="000000"/>
                <w:sz w:val="20"/>
                <w:szCs w:val="20"/>
              </w:rPr>
              <w:t>Current finance lease liabilities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1,958 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1,800 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Long-term lease liabilities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Operating</w:t>
            </w:r>
          </w:p>
        </w:tc>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Long-term operating lease liabilities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206,977 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210,454 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Finance</w:t>
            </w:r>
          </w:p>
        </w:tc>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divId w:val="969554497"/>
              <w:rPr>
                <w:rFonts w:eastAsia="Times New Roman"/>
              </w:rPr>
            </w:pPr>
            <w:r>
              <w:rPr>
                <w:rFonts w:eastAsia="Times New Roman"/>
                <w:color w:val="000000"/>
                <w:sz w:val="20"/>
                <w:szCs w:val="20"/>
              </w:rPr>
              <w:t>Long-term finance lease liabilities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5,632 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6,056 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Total lease liabilities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240,708 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244,404 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bl>
    <w:p w:rsidR="00000000" w:rsidRDefault="003E235E">
      <w:pPr>
        <w:divId w:val="916717968"/>
        <w:rPr>
          <w:rFonts w:eastAsia="Times New Roman"/>
        </w:rPr>
      </w:pPr>
      <w:r>
        <w:rPr>
          <w:rFonts w:eastAsia="Times New Roman"/>
          <w:color w:val="000000"/>
          <w:sz w:val="16"/>
          <w:szCs w:val="16"/>
        </w:rPr>
        <w:t>_____________________</w:t>
      </w:r>
    </w:p>
    <w:p w:rsidR="00000000" w:rsidRDefault="003E235E">
      <w:pPr>
        <w:ind w:hanging="720"/>
        <w:jc w:val="both"/>
        <w:rPr>
          <w:rFonts w:eastAsia="Times New Roman"/>
        </w:rPr>
      </w:pPr>
      <w:r>
        <w:rPr>
          <w:rFonts w:eastAsia="Times New Roman"/>
          <w:color w:val="000000"/>
          <w:sz w:val="16"/>
          <w:szCs w:val="16"/>
        </w:rPr>
        <w:t>(1)The finance lease assets are included in</w:t>
      </w:r>
      <w:r>
        <w:rPr>
          <w:rFonts w:eastAsia="Times New Roman"/>
          <w:color w:val="000000"/>
          <w:sz w:val="16"/>
          <w:szCs w:val="16"/>
        </w:rPr>
        <w:t xml:space="preserve"> </w:t>
      </w:r>
      <w:r>
        <w:rPr>
          <w:rFonts w:eastAsia="Times New Roman"/>
          <w:color w:val="000000"/>
          <w:sz w:val="16"/>
          <w:szCs w:val="16"/>
        </w:rPr>
        <w:t>property and equipmen</w:t>
      </w:r>
      <w:r>
        <w:rPr>
          <w:rFonts w:eastAsia="Times New Roman"/>
          <w:color w:val="000000"/>
          <w:sz w:val="16"/>
          <w:szCs w:val="16"/>
        </w:rPr>
        <w:t>t</w:t>
      </w:r>
      <w:r>
        <w:rPr>
          <w:rFonts w:eastAsia="Times New Roman"/>
          <w:color w:val="000000"/>
          <w:sz w:val="16"/>
          <w:szCs w:val="16"/>
        </w:rPr>
        <w:t xml:space="preserve">, net in the Condensed Consolidated Balance Sheets. </w:t>
      </w:r>
    </w:p>
    <w:p w:rsidR="00000000" w:rsidRDefault="003E235E">
      <w:pPr>
        <w:ind w:hanging="720"/>
        <w:jc w:val="both"/>
        <w:rPr>
          <w:rFonts w:eastAsia="Times New Roman"/>
        </w:rPr>
      </w:pPr>
      <w:r>
        <w:rPr>
          <w:rFonts w:eastAsia="Times New Roman"/>
          <w:color w:val="000000"/>
          <w:sz w:val="16"/>
          <w:szCs w:val="16"/>
        </w:rPr>
        <w:t>(2)</w:t>
      </w:r>
      <w:r>
        <w:rPr>
          <w:rFonts w:eastAsia="Times New Roman"/>
          <w:color w:val="000000"/>
          <w:sz w:val="16"/>
          <w:szCs w:val="16"/>
        </w:rPr>
        <w:t>The current portion of the finance lease liabilities is included in</w:t>
      </w:r>
      <w:r>
        <w:rPr>
          <w:rFonts w:eastAsia="Times New Roman"/>
          <w:color w:val="000000"/>
          <w:sz w:val="16"/>
          <w:szCs w:val="16"/>
        </w:rPr>
        <w:t xml:space="preserve"> </w:t>
      </w:r>
      <w:r>
        <w:rPr>
          <w:rFonts w:eastAsia="Times New Roman"/>
          <w:color w:val="000000"/>
          <w:sz w:val="16"/>
          <w:szCs w:val="16"/>
        </w:rPr>
        <w:t>accrued expenses and other current liabilitie</w:t>
      </w:r>
      <w:r>
        <w:rPr>
          <w:rFonts w:eastAsia="Times New Roman"/>
          <w:color w:val="000000"/>
          <w:sz w:val="16"/>
          <w:szCs w:val="16"/>
        </w:rPr>
        <w:t>s</w:t>
      </w:r>
      <w:r>
        <w:rPr>
          <w:rFonts w:eastAsia="Times New Roman"/>
          <w:color w:val="000000"/>
          <w:sz w:val="16"/>
          <w:szCs w:val="16"/>
        </w:rPr>
        <w:t>, and the long-term portion was included in</w:t>
      </w:r>
      <w:r>
        <w:rPr>
          <w:rFonts w:eastAsia="Times New Roman"/>
          <w:color w:val="000000"/>
          <w:sz w:val="16"/>
          <w:szCs w:val="16"/>
        </w:rPr>
        <w:t xml:space="preserve"> </w:t>
      </w:r>
      <w:r>
        <w:rPr>
          <w:rFonts w:eastAsia="Times New Roman"/>
          <w:color w:val="000000"/>
          <w:sz w:val="16"/>
          <w:szCs w:val="16"/>
        </w:rPr>
        <w:t>other long-term liabilitie</w:t>
      </w:r>
      <w:r>
        <w:rPr>
          <w:rFonts w:eastAsia="Times New Roman"/>
          <w:color w:val="000000"/>
          <w:sz w:val="16"/>
          <w:szCs w:val="16"/>
        </w:rPr>
        <w:t>s</w:t>
      </w:r>
      <w:r>
        <w:rPr>
          <w:rFonts w:eastAsia="Times New Roman"/>
          <w:color w:val="000000"/>
          <w:sz w:val="16"/>
          <w:szCs w:val="16"/>
        </w:rPr>
        <w:t xml:space="preserve"> in the Condensed Consolidated Balance Sheets.</w:t>
      </w:r>
    </w:p>
    <w:p w:rsidR="00000000" w:rsidRDefault="003E235E">
      <w:pPr>
        <w:divId w:val="1841384543"/>
        <w:rPr>
          <w:rFonts w:eastAsia="Times New Roman"/>
        </w:rPr>
      </w:pPr>
    </w:p>
    <w:p w:rsidR="00000000" w:rsidRDefault="003E235E">
      <w:pPr>
        <w:jc w:val="both"/>
        <w:rPr>
          <w:rFonts w:eastAsia="Times New Roman"/>
        </w:rPr>
      </w:pPr>
      <w:r>
        <w:rPr>
          <w:rFonts w:eastAsia="Times New Roman"/>
          <w:color w:val="000000"/>
          <w:sz w:val="20"/>
          <w:szCs w:val="20"/>
        </w:rPr>
        <w:t>Sublease income recogn</w:t>
      </w:r>
      <w:r>
        <w:rPr>
          <w:rFonts w:eastAsia="Times New Roman"/>
          <w:color w:val="000000"/>
          <w:sz w:val="20"/>
          <w:szCs w:val="20"/>
        </w:rPr>
        <w:t>ized in the Condensed Consolidated Statements of Operations was $0.5 million and $0.1 million for the second quarter of 2021 and 2020, and $0.9 million and $0.5 million for the first two quarters of 2021 and 2020, respectively.</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 xml:space="preserve">During 2020, the onset of </w:t>
      </w:r>
      <w:r>
        <w:rPr>
          <w:rFonts w:eastAsia="Times New Roman"/>
          <w:color w:val="000000"/>
          <w:sz w:val="20"/>
          <w:szCs w:val="20"/>
        </w:rPr>
        <w:t>the COVID-19 pandemic impacted the Company’s business significantly, including temporary closures of our dining rooms starting in March 2020. During the second quarter of 2020, we were able to negotiate with the majority of our landlords to obtain rent aba</w:t>
      </w:r>
      <w:r>
        <w:rPr>
          <w:rFonts w:eastAsia="Times New Roman"/>
          <w:color w:val="000000"/>
          <w:sz w:val="20"/>
          <w:szCs w:val="20"/>
        </w:rPr>
        <w:t>tements, or defer rent amounts due during the second quarter, and in some cases, the periods of the respective lease terms were extended earlier than as proscribed in the lease as part of the rent concessions. In the case where the lease term was extended,</w:t>
      </w:r>
      <w:r>
        <w:rPr>
          <w:rFonts w:eastAsia="Times New Roman"/>
          <w:color w:val="000000"/>
          <w:sz w:val="20"/>
          <w:szCs w:val="20"/>
        </w:rPr>
        <w:t xml:space="preserve"> we remeasured the remaining consideration in the contract. The total rent that was deferred for lease amendments that have been executed was $4.0 million.</w:t>
      </w:r>
    </w:p>
    <w:p w:rsidR="00000000" w:rsidRDefault="003E235E">
      <w:pPr>
        <w:jc w:val="center"/>
        <w:divId w:val="1792891744"/>
        <w:rPr>
          <w:rFonts w:eastAsia="Times New Roman"/>
        </w:rPr>
      </w:pPr>
      <w:r>
        <w:rPr>
          <w:rFonts w:eastAsia="Times New Roman"/>
          <w:color w:val="000000"/>
          <w:sz w:val="20"/>
          <w:szCs w:val="20"/>
        </w:rPr>
        <w:t>11</w:t>
      </w:r>
    </w:p>
    <w:p w:rsidR="00000000" w:rsidRDefault="003E235E">
      <w:pPr>
        <w:rPr>
          <w:rFonts w:eastAsia="Times New Roman"/>
        </w:rPr>
      </w:pPr>
      <w:r>
        <w:rPr>
          <w:rFonts w:eastAsia="Times New Roman"/>
        </w:rPr>
        <w:pict>
          <v:rect id="_x0000_i1036" style="width:0;height:1.5pt" o:hralign="center" o:hrstd="t" o:hr="t" fillcolor="#a0a0a0" stroked="f"/>
        </w:pict>
      </w:r>
    </w:p>
    <w:p w:rsidR="00000000" w:rsidRDefault="003E235E">
      <w:pPr>
        <w:divId w:val="1872648510"/>
        <w:rPr>
          <w:rFonts w:eastAsia="Times New Roman"/>
        </w:rPr>
      </w:pPr>
      <w:hyperlink w:anchor="i48000f6fae8946f8b752541bba7287a8_10" w:history="1">
        <w:r>
          <w:rPr>
            <w:rStyle w:val="a3"/>
            <w:rFonts w:eastAsia="Times New Roman"/>
            <w:sz w:val="20"/>
            <w:szCs w:val="20"/>
          </w:rPr>
          <w:t>T</w:t>
        </w:r>
        <w:r>
          <w:rPr>
            <w:rStyle w:val="a3"/>
            <w:rFonts w:eastAsia="Times New Roman"/>
            <w:sz w:val="20"/>
            <w:szCs w:val="20"/>
          </w:rPr>
          <w:t>able of Contents</w:t>
        </w:r>
      </w:hyperlink>
    </w:p>
    <w:p w:rsidR="00000000" w:rsidRDefault="003E235E">
      <w:pPr>
        <w:jc w:val="both"/>
        <w:rPr>
          <w:rFonts w:eastAsia="Times New Roman"/>
        </w:rPr>
      </w:pPr>
      <w:r>
        <w:rPr>
          <w:rFonts w:eastAsia="Times New Roman"/>
          <w:color w:val="000000"/>
          <w:sz w:val="20"/>
          <w:szCs w:val="20"/>
        </w:rPr>
        <w:t xml:space="preserve">For certain of the Company’s restaurants, the COVID-19 pandemic has had an impact on the underlying asset values. In the </w:t>
      </w:r>
      <w:r>
        <w:rPr>
          <w:rFonts w:eastAsia="Times New Roman"/>
          <w:color w:val="000000"/>
          <w:sz w:val="20"/>
          <w:szCs w:val="20"/>
          <w:shd w:val="clear" w:color="auto" w:fill="FFFFFF"/>
        </w:rPr>
        <w:t xml:space="preserve">first quarter of 2021, </w:t>
      </w:r>
      <w:r>
        <w:rPr>
          <w:rFonts w:eastAsia="Times New Roman"/>
          <w:color w:val="000000"/>
          <w:sz w:val="20"/>
          <w:szCs w:val="20"/>
        </w:rPr>
        <w:t>the Company recorded a right-of-use asset impairment charge for one restaurant to reduce the ca</w:t>
      </w:r>
      <w:r>
        <w:rPr>
          <w:rFonts w:eastAsia="Times New Roman"/>
          <w:color w:val="000000"/>
          <w:sz w:val="20"/>
          <w:szCs w:val="20"/>
        </w:rPr>
        <w:t>rrying value of operating lease assets to its respective estimated fair value. There was no impairment to the Company’s right-of-use assets during the second quarter of 2021. In the second quarter of 2020, we recorded an impairment charge of $0.3 million o</w:t>
      </w:r>
      <w:r>
        <w:rPr>
          <w:rFonts w:eastAsia="Times New Roman"/>
          <w:color w:val="000000"/>
          <w:sz w:val="20"/>
          <w:szCs w:val="20"/>
        </w:rPr>
        <w:t>n the right-of-use assets.</w:t>
      </w:r>
    </w:p>
    <w:p w:rsidR="00000000" w:rsidRDefault="003E235E">
      <w:pPr>
        <w:jc w:val="center"/>
        <w:rPr>
          <w:rFonts w:eastAsia="Times New Roman"/>
        </w:rPr>
      </w:pPr>
    </w:p>
    <w:p w:rsidR="00000000" w:rsidRDefault="003E235E">
      <w:pPr>
        <w:jc w:val="both"/>
        <w:rPr>
          <w:rFonts w:eastAsia="Times New Roman"/>
        </w:rPr>
      </w:pPr>
      <w:r>
        <w:rPr>
          <w:rFonts w:eastAsia="Times New Roman"/>
          <w:color w:val="000000"/>
          <w:sz w:val="20"/>
          <w:szCs w:val="20"/>
        </w:rPr>
        <w:t>Supplemental disclosures of cash flow information related to leases are as follows (in thousands):</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3680"/>
        <w:gridCol w:w="37"/>
        <w:gridCol w:w="36"/>
        <w:gridCol w:w="36"/>
        <w:gridCol w:w="36"/>
        <w:gridCol w:w="120"/>
        <w:gridCol w:w="870"/>
        <w:gridCol w:w="36"/>
        <w:gridCol w:w="36"/>
        <w:gridCol w:w="36"/>
        <w:gridCol w:w="36"/>
        <w:gridCol w:w="120"/>
        <w:gridCol w:w="870"/>
        <w:gridCol w:w="36"/>
        <w:gridCol w:w="36"/>
        <w:gridCol w:w="36"/>
        <w:gridCol w:w="36"/>
        <w:gridCol w:w="120"/>
        <w:gridCol w:w="870"/>
        <w:gridCol w:w="36"/>
        <w:gridCol w:w="36"/>
        <w:gridCol w:w="36"/>
        <w:gridCol w:w="36"/>
        <w:gridCol w:w="120"/>
        <w:gridCol w:w="872"/>
        <w:gridCol w:w="36"/>
      </w:tblGrid>
      <w:tr w:rsidR="00000000">
        <w:trPr>
          <w:jc w:val="center"/>
        </w:trPr>
        <w:tc>
          <w:tcPr>
            <w:tcW w:w="50" w:type="pct"/>
            <w:vAlign w:val="center"/>
            <w:hideMark/>
          </w:tcPr>
          <w:p w:rsidR="00000000" w:rsidRDefault="003E235E">
            <w:pPr>
              <w:jc w:val="both"/>
              <w:rPr>
                <w:rFonts w:eastAsia="Times New Roman"/>
              </w:rPr>
            </w:pPr>
          </w:p>
        </w:tc>
        <w:tc>
          <w:tcPr>
            <w:tcW w:w="2251"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1"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1"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1"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2"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Two Fiscal Quarters Ended</w:t>
            </w:r>
          </w:p>
        </w:tc>
      </w:tr>
      <w:tr w:rsidR="00000000">
        <w:trPr>
          <w:jc w:val="center"/>
        </w:trPr>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2020</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Cash paid for lease liabilities: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Operating leases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7,929 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6,066 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19,595 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13,574 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Finance leases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699 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270 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1,224 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452 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8,628 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6,336 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20,819 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14,026 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Right-of-use assets obtained in exchange for lease liabilities: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Operating leases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6,123 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4,557 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6,696 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10,281 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Finance leases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1,238 </w:t>
            </w:r>
          </w:p>
        </w:tc>
        <w:tc>
          <w:tcPr>
            <w:tcW w:w="0" w:type="auto"/>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700 </w:t>
            </w:r>
          </w:p>
        </w:tc>
        <w:tc>
          <w:tcPr>
            <w:tcW w:w="0" w:type="auto"/>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2,842 </w:t>
            </w:r>
          </w:p>
        </w:tc>
        <w:tc>
          <w:tcPr>
            <w:tcW w:w="0" w:type="auto"/>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6,172 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5,795 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7,396 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13,123 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bl>
    <w:p w:rsidR="00000000" w:rsidRDefault="003E235E">
      <w:pPr>
        <w:divId w:val="1972593561"/>
        <w:rPr>
          <w:rFonts w:eastAsia="Times New Roman"/>
        </w:rPr>
      </w:pPr>
    </w:p>
    <w:p w:rsidR="00000000" w:rsidRDefault="003E235E">
      <w:pPr>
        <w:divId w:val="2113240570"/>
        <w:rPr>
          <w:rFonts w:eastAsia="Times New Roman"/>
        </w:rPr>
      </w:pPr>
    </w:p>
    <w:p w:rsidR="00000000" w:rsidRDefault="003E235E">
      <w:pPr>
        <w:jc w:val="both"/>
        <w:rPr>
          <w:rFonts w:eastAsia="Times New Roman"/>
        </w:rPr>
      </w:pPr>
      <w:r>
        <w:rPr>
          <w:rFonts w:eastAsia="Times New Roman"/>
          <w:b/>
          <w:bCs/>
          <w:color w:val="000000"/>
          <w:sz w:val="20"/>
          <w:szCs w:val="20"/>
        </w:rPr>
        <w:t>10. Supplemental Disclosures to Condensed Consolidated Statements of Cash Flows</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The following table presents the supplemental disclosures to the Condensed Consolidated Statements of Cash Flows for the two quarters ended June 29, 2021 and June 30, 2020 (in thousands):</w:t>
      </w:r>
    </w:p>
    <w:tbl>
      <w:tblPr>
        <w:tblW w:w="4985" w:type="pct"/>
        <w:tblCellMar>
          <w:top w:w="15" w:type="dxa"/>
          <w:left w:w="15" w:type="dxa"/>
          <w:bottom w:w="15" w:type="dxa"/>
          <w:right w:w="15" w:type="dxa"/>
        </w:tblCellMar>
        <w:tblLook w:val="04A0" w:firstRow="1" w:lastRow="0" w:firstColumn="1" w:lastColumn="0" w:noHBand="0" w:noVBand="1"/>
      </w:tblPr>
      <w:tblGrid>
        <w:gridCol w:w="38"/>
        <w:gridCol w:w="5305"/>
        <w:gridCol w:w="36"/>
        <w:gridCol w:w="36"/>
        <w:gridCol w:w="36"/>
        <w:gridCol w:w="36"/>
        <w:gridCol w:w="121"/>
        <w:gridCol w:w="1186"/>
        <w:gridCol w:w="36"/>
        <w:gridCol w:w="36"/>
        <w:gridCol w:w="36"/>
        <w:gridCol w:w="36"/>
        <w:gridCol w:w="120"/>
        <w:gridCol w:w="1187"/>
        <w:gridCol w:w="36"/>
      </w:tblGrid>
      <w:tr w:rsidR="00000000">
        <w:tc>
          <w:tcPr>
            <w:tcW w:w="50" w:type="pct"/>
            <w:vAlign w:val="center"/>
            <w:hideMark/>
          </w:tcPr>
          <w:p w:rsidR="00000000" w:rsidRDefault="003E235E">
            <w:pPr>
              <w:jc w:val="both"/>
              <w:rPr>
                <w:rFonts w:eastAsia="Times New Roman"/>
              </w:rPr>
            </w:pPr>
          </w:p>
        </w:tc>
        <w:tc>
          <w:tcPr>
            <w:tcW w:w="3229"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76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76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2020</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Interest paid (net of amounts capitalized)</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864 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1,666 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Income taxes paid</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Purchases of property and equipment accrued in accounts payable</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4,002 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1,793 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bl>
    <w:p w:rsidR="00000000" w:rsidRDefault="003E235E">
      <w:pPr>
        <w:divId w:val="16121927"/>
        <w:rPr>
          <w:rFonts w:eastAsia="Times New Roman"/>
        </w:rPr>
      </w:pPr>
    </w:p>
    <w:p w:rsidR="00000000" w:rsidRDefault="003E235E">
      <w:pPr>
        <w:jc w:val="both"/>
        <w:rPr>
          <w:rFonts w:eastAsia="Times New Roman"/>
        </w:rPr>
      </w:pPr>
      <w:r>
        <w:rPr>
          <w:rFonts w:eastAsia="Times New Roman"/>
          <w:b/>
          <w:bCs/>
          <w:color w:val="000000"/>
          <w:sz w:val="20"/>
          <w:szCs w:val="20"/>
        </w:rPr>
        <w:t>11. Revenue Recognition</w:t>
      </w:r>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Revenue</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Revenue consists of sales from restaurant operations, franchise royalties and fees, and sublease income. Revenue from the operation of company-owned restaurants is recognized when sales occur. The Company reports revenue net of sales tax collected from cus</w:t>
      </w:r>
      <w:r>
        <w:rPr>
          <w:rFonts w:eastAsia="Times New Roman"/>
          <w:color w:val="000000"/>
          <w:sz w:val="20"/>
          <w:szCs w:val="20"/>
        </w:rPr>
        <w:t xml:space="preserve">tomers and remitted to governmental taxing authorities. </w:t>
      </w:r>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Gift Cards</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The Company sells gift cards which do not have an expiration date, and it does not deduct non-usage fees from outstanding gift card balances. The Company recognizes revenue from gift cards when the gift card is redeemed by the customer or the Company deter</w:t>
      </w:r>
      <w:r>
        <w:rPr>
          <w:rFonts w:eastAsia="Times New Roman"/>
          <w:color w:val="000000"/>
          <w:sz w:val="20"/>
          <w:szCs w:val="20"/>
        </w:rPr>
        <w:t>mines the likelihood of the gift card being redeemed by the customer is remote (“gift card breakage”). The determination of the gift card breakage rate is based upon Company-specific historical redemption patterns. The Company has determined that approxima</w:t>
      </w:r>
      <w:r>
        <w:rPr>
          <w:rFonts w:eastAsia="Times New Roman"/>
          <w:color w:val="000000"/>
          <w:sz w:val="20"/>
          <w:szCs w:val="20"/>
        </w:rPr>
        <w:t>tely 9% of gift cards will not be redeemed and recognizes gift card breakage ratably over the estimated redemption period of the gift card, which is approximately 24 months. Gift card liability balances are typically highest at the end of each calendar yea</w:t>
      </w:r>
      <w:r>
        <w:rPr>
          <w:rFonts w:eastAsia="Times New Roman"/>
          <w:color w:val="000000"/>
          <w:sz w:val="20"/>
          <w:szCs w:val="20"/>
        </w:rPr>
        <w:t xml:space="preserve">r following increased gift card purchases during the holiday season. </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 xml:space="preserve">As of June 29, 2021 and December 29, 2020, the current portion of the gift card liability, </w:t>
      </w:r>
      <w:r>
        <w:rPr>
          <w:rFonts w:eastAsia="Times New Roman"/>
          <w:color w:val="000000"/>
          <w:sz w:val="20"/>
          <w:szCs w:val="20"/>
          <w:shd w:val="clear" w:color="auto" w:fill="FFFFFF"/>
        </w:rPr>
        <w:t>$2.3 million</w:t>
      </w:r>
      <w:r>
        <w:rPr>
          <w:rFonts w:eastAsia="Times New Roman"/>
          <w:color w:val="000000"/>
          <w:sz w:val="20"/>
          <w:szCs w:val="20"/>
        </w:rPr>
        <w:t xml:space="preserve"> and $2.6 million, respectively, was included in accrued expenses and other curre</w:t>
      </w:r>
      <w:r>
        <w:rPr>
          <w:rFonts w:eastAsia="Times New Roman"/>
          <w:color w:val="000000"/>
          <w:sz w:val="20"/>
          <w:szCs w:val="20"/>
        </w:rPr>
        <w:t xml:space="preserve">nt liabilities, and the long-term portion, </w:t>
      </w:r>
      <w:r>
        <w:rPr>
          <w:rFonts w:eastAsia="Times New Roman"/>
          <w:color w:val="000000"/>
          <w:sz w:val="20"/>
          <w:szCs w:val="20"/>
          <w:shd w:val="clear" w:color="auto" w:fill="FFFFFF"/>
        </w:rPr>
        <w:t>$0.4 million</w:t>
      </w:r>
      <w:r>
        <w:rPr>
          <w:rFonts w:eastAsia="Times New Roman"/>
          <w:color w:val="000000"/>
          <w:sz w:val="20"/>
          <w:szCs w:val="20"/>
        </w:rPr>
        <w:t xml:space="preserve"> and $0.6 million, respectively, was included in other long-term liabilities in the Condensed Consolidated Balance Sheets.</w:t>
      </w:r>
    </w:p>
    <w:p w:rsidR="00000000" w:rsidRDefault="003E235E">
      <w:pPr>
        <w:jc w:val="both"/>
        <w:rPr>
          <w:rFonts w:eastAsia="Times New Roman"/>
        </w:rPr>
      </w:pPr>
    </w:p>
    <w:p w:rsidR="00000000" w:rsidRDefault="003E235E">
      <w:pPr>
        <w:jc w:val="center"/>
        <w:divId w:val="1035423898"/>
        <w:rPr>
          <w:rFonts w:eastAsia="Times New Roman"/>
        </w:rPr>
      </w:pPr>
      <w:r>
        <w:rPr>
          <w:rFonts w:eastAsia="Times New Roman"/>
          <w:color w:val="000000"/>
          <w:sz w:val="20"/>
          <w:szCs w:val="20"/>
        </w:rPr>
        <w:t>12</w:t>
      </w:r>
    </w:p>
    <w:p w:rsidR="00000000" w:rsidRDefault="003E235E">
      <w:pPr>
        <w:rPr>
          <w:rFonts w:eastAsia="Times New Roman"/>
        </w:rPr>
      </w:pPr>
      <w:r>
        <w:rPr>
          <w:rFonts w:eastAsia="Times New Roman"/>
        </w:rPr>
        <w:pict>
          <v:rect id="_x0000_i1037" style="width:0;height:1.5pt" o:hralign="center" o:hrstd="t" o:hr="t" fillcolor="#a0a0a0" stroked="f"/>
        </w:pict>
      </w:r>
    </w:p>
    <w:p w:rsidR="00000000" w:rsidRDefault="003E235E">
      <w:pPr>
        <w:divId w:val="1496187480"/>
        <w:rPr>
          <w:rFonts w:eastAsia="Times New Roman"/>
        </w:rPr>
      </w:pPr>
      <w:hyperlink w:anchor="i48000f6fae8946f8b752541bba7287a8_10" w:history="1">
        <w:r>
          <w:rPr>
            <w:rStyle w:val="a3"/>
            <w:rFonts w:eastAsia="Times New Roman"/>
            <w:sz w:val="20"/>
            <w:szCs w:val="20"/>
          </w:rPr>
          <w:t>Table of Contents</w:t>
        </w:r>
      </w:hyperlink>
    </w:p>
    <w:p w:rsidR="00000000" w:rsidRDefault="003E235E">
      <w:pPr>
        <w:jc w:val="both"/>
        <w:rPr>
          <w:rFonts w:eastAsia="Times New Roman"/>
        </w:rPr>
      </w:pPr>
      <w:r>
        <w:rPr>
          <w:rFonts w:eastAsia="Times New Roman"/>
          <w:color w:val="000000"/>
          <w:sz w:val="20"/>
          <w:szCs w:val="20"/>
        </w:rPr>
        <w:t xml:space="preserve">Revenue recognized in the Condensed Consolidated Statements of Operations for the redemption of gift cards was $0.8 million and $0.6 million for the second quarter of 2021 and 2020, and </w:t>
      </w:r>
      <w:r>
        <w:rPr>
          <w:rFonts w:eastAsia="Times New Roman"/>
          <w:color w:val="000000"/>
          <w:sz w:val="20"/>
          <w:szCs w:val="20"/>
          <w:shd w:val="clear" w:color="auto" w:fill="FFFFFF"/>
        </w:rPr>
        <w:t>$1.9 million</w:t>
      </w:r>
      <w:r>
        <w:rPr>
          <w:rFonts w:eastAsia="Times New Roman"/>
          <w:color w:val="000000"/>
          <w:sz w:val="20"/>
          <w:szCs w:val="20"/>
        </w:rPr>
        <w:t xml:space="preserve"> and $2.1 million</w:t>
      </w:r>
      <w:r>
        <w:rPr>
          <w:rFonts w:eastAsia="Times New Roman"/>
          <w:color w:val="000000"/>
          <w:sz w:val="20"/>
          <w:szCs w:val="20"/>
        </w:rPr>
        <w:t xml:space="preserve"> for the first two quarters of 2021 and 2020, respectively. </w:t>
      </w:r>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Franchise Fees</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Royalties from franchise restaurants are based on a percentage of restaurant revenues and are recognized in the period the related franchised restaurants’ sales occur. In the s</w:t>
      </w:r>
      <w:r>
        <w:rPr>
          <w:rFonts w:eastAsia="Times New Roman"/>
          <w:color w:val="000000"/>
          <w:sz w:val="20"/>
          <w:szCs w:val="20"/>
        </w:rPr>
        <w:t>econd quarter of 2020, the Company forgave the franchise royalties due for the quarter due to the impact of the COVID-19 pan</w:t>
      </w:r>
      <w:r>
        <w:rPr>
          <w:rFonts w:eastAsia="Times New Roman"/>
          <w:color w:val="000000"/>
          <w:sz w:val="20"/>
          <w:szCs w:val="20"/>
          <w:shd w:val="clear" w:color="auto" w:fill="FFFFFF"/>
        </w:rPr>
        <w:t>demic. Royalties were reinstated in the third quarter of 2020. Dev</w:t>
      </w:r>
      <w:r>
        <w:rPr>
          <w:rFonts w:eastAsia="Times New Roman"/>
          <w:color w:val="000000"/>
          <w:sz w:val="20"/>
          <w:szCs w:val="20"/>
        </w:rPr>
        <w:t xml:space="preserve">elopment fees and franchise fees, portions of which are collected </w:t>
      </w:r>
      <w:r>
        <w:rPr>
          <w:rFonts w:eastAsia="Times New Roman"/>
          <w:color w:val="000000"/>
          <w:sz w:val="20"/>
          <w:szCs w:val="20"/>
        </w:rPr>
        <w:t>in advance, are nonrefundable and are recognized in income ratably over the term of the related franchise agreement or recognized upon the termination of the agreement between the Company and the franchisee. The Company has determined that the initial fran</w:t>
      </w:r>
      <w:r>
        <w:rPr>
          <w:rFonts w:eastAsia="Times New Roman"/>
          <w:color w:val="000000"/>
          <w:sz w:val="20"/>
          <w:szCs w:val="20"/>
        </w:rPr>
        <w:t xml:space="preserve">chise services are not distinct from the continuing rights or services offered during the term of the franchise agreement and should be treated as a single performance obligation; therefore, initial fees received from franchisees are recognized as revenue </w:t>
      </w:r>
      <w:r>
        <w:rPr>
          <w:rFonts w:eastAsia="Times New Roman"/>
          <w:color w:val="000000"/>
          <w:sz w:val="20"/>
          <w:szCs w:val="20"/>
        </w:rPr>
        <w:t xml:space="preserve">over the term of each respective franchise agreement, which is typically 20 years. </w:t>
      </w:r>
    </w:p>
    <w:p w:rsidR="00000000" w:rsidRDefault="003E235E">
      <w:pPr>
        <w:jc w:val="both"/>
        <w:divId w:val="715155189"/>
        <w:rPr>
          <w:rFonts w:eastAsia="Times New Roman"/>
        </w:rPr>
      </w:pPr>
      <w:r>
        <w:rPr>
          <w:rFonts w:eastAsia="Times New Roman"/>
          <w:b/>
          <w:bCs/>
          <w:i/>
          <w:iCs/>
          <w:color w:val="000000"/>
          <w:sz w:val="20"/>
          <w:szCs w:val="20"/>
        </w:rPr>
        <w:t>Loyalty Program</w:t>
      </w:r>
    </w:p>
    <w:p w:rsidR="00000000" w:rsidRDefault="003E235E">
      <w:pPr>
        <w:jc w:val="both"/>
        <w:divId w:val="1940025171"/>
        <w:rPr>
          <w:rFonts w:eastAsia="Times New Roman"/>
        </w:rPr>
      </w:pPr>
      <w:r>
        <w:rPr>
          <w:rFonts w:eastAsia="Times New Roman"/>
          <w:color w:val="000000"/>
          <w:sz w:val="20"/>
          <w:szCs w:val="20"/>
        </w:rPr>
        <w:t>The Company operates the Noodles Rewards program, which is primarily a spend-based loyalty program. With each purchase, Noodles Rewards members earn loyalty</w:t>
      </w:r>
      <w:r>
        <w:rPr>
          <w:rFonts w:eastAsia="Times New Roman"/>
          <w:color w:val="000000"/>
          <w:sz w:val="20"/>
          <w:szCs w:val="20"/>
        </w:rPr>
        <w:t xml:space="preserve"> points that can be redeemed for rewards, including free products. Using an estimate of the value of reward redemptions, we defer revenue associated with points earned, net of estimated points that will not be redeemed based upon the Company’s historical r</w:t>
      </w:r>
      <w:r>
        <w:rPr>
          <w:rFonts w:eastAsia="Times New Roman"/>
          <w:color w:val="000000"/>
          <w:sz w:val="20"/>
          <w:szCs w:val="20"/>
        </w:rPr>
        <w:t xml:space="preserve">edemption patterns. Points generally expire after six months. Revenue is recognized in a future period when the reward points are redeemed. As of June 29, 2021 and December 29, 2020, the deferred revenue related to the rewards was </w:t>
      </w:r>
      <w:r>
        <w:rPr>
          <w:rFonts w:eastAsia="Times New Roman"/>
          <w:color w:val="000000"/>
          <w:sz w:val="20"/>
          <w:szCs w:val="20"/>
          <w:shd w:val="clear" w:color="auto" w:fill="FFFFFF"/>
        </w:rPr>
        <w:t>$0.3 million</w:t>
      </w:r>
      <w:r>
        <w:rPr>
          <w:rFonts w:eastAsia="Times New Roman"/>
          <w:color w:val="000000"/>
          <w:sz w:val="20"/>
          <w:szCs w:val="20"/>
        </w:rPr>
        <w:t xml:space="preserve"> and $0.4 mil</w:t>
      </w:r>
      <w:r>
        <w:rPr>
          <w:rFonts w:eastAsia="Times New Roman"/>
          <w:color w:val="000000"/>
          <w:sz w:val="20"/>
          <w:szCs w:val="20"/>
        </w:rPr>
        <w:t>lion, respectively, and was included in accrued expenses and other current liabilities in the Condensed Consolidated Balance Sheets.</w:t>
      </w:r>
    </w:p>
    <w:p w:rsidR="00000000" w:rsidRDefault="003E235E">
      <w:pPr>
        <w:jc w:val="both"/>
        <w:divId w:val="1584295001"/>
        <w:rPr>
          <w:rFonts w:eastAsia="Times New Roman"/>
        </w:rPr>
      </w:pPr>
      <w:r>
        <w:rPr>
          <w:rFonts w:eastAsia="Times New Roman"/>
          <w:b/>
          <w:bCs/>
          <w:color w:val="000000"/>
          <w:sz w:val="20"/>
          <w:szCs w:val="20"/>
        </w:rPr>
        <w:t>12. Commitments and Contingencies</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In the normal course of business, the Company is subject to other proceedings, lawsuits</w:t>
      </w:r>
      <w:r>
        <w:rPr>
          <w:rFonts w:eastAsia="Times New Roman"/>
          <w:color w:val="000000"/>
          <w:sz w:val="20"/>
          <w:szCs w:val="20"/>
        </w:rPr>
        <w:t xml:space="preserve"> and claims. Such matters are subject to many uncertainties, and outcomes are not predictable with assurance. Consequently, the Company is unable to ascertain the ultimate aggregate amount of monetary liability or financial impact with respect to these mat</w:t>
      </w:r>
      <w:r>
        <w:rPr>
          <w:rFonts w:eastAsia="Times New Roman"/>
          <w:color w:val="000000"/>
          <w:sz w:val="20"/>
          <w:szCs w:val="20"/>
        </w:rPr>
        <w:t xml:space="preserve">ters as of June 29, 2021. These matters could affect the operating results of any one financial reporting period when resolved in future periods. The Company believes that an unfavorable outcome with respect to these matters is remote or a potential range </w:t>
      </w:r>
      <w:r>
        <w:rPr>
          <w:rFonts w:eastAsia="Times New Roman"/>
          <w:color w:val="000000"/>
          <w:sz w:val="20"/>
          <w:szCs w:val="20"/>
        </w:rPr>
        <w:t>of loss is not material to its consolidated financial statements. Significant increases in the number of these claims, or one or more successful claims that result in greater liabilities than the Company currently anticipates, could materially and adversel</w:t>
      </w:r>
      <w:r>
        <w:rPr>
          <w:rFonts w:eastAsia="Times New Roman"/>
          <w:color w:val="000000"/>
          <w:sz w:val="20"/>
          <w:szCs w:val="20"/>
        </w:rPr>
        <w:t>y affect its business, financial condition, results of operations or cash flows.</w:t>
      </w:r>
    </w:p>
    <w:p w:rsidR="00000000" w:rsidRDefault="003E235E">
      <w:pPr>
        <w:jc w:val="center"/>
        <w:divId w:val="1003165319"/>
        <w:rPr>
          <w:rFonts w:eastAsia="Times New Roman"/>
        </w:rPr>
      </w:pPr>
      <w:r>
        <w:rPr>
          <w:rFonts w:eastAsia="Times New Roman"/>
          <w:color w:val="000000"/>
          <w:sz w:val="20"/>
          <w:szCs w:val="20"/>
        </w:rPr>
        <w:t>13</w:t>
      </w:r>
    </w:p>
    <w:p w:rsidR="00000000" w:rsidRDefault="003E235E">
      <w:pPr>
        <w:rPr>
          <w:rFonts w:eastAsia="Times New Roman"/>
        </w:rPr>
      </w:pPr>
      <w:r>
        <w:rPr>
          <w:rFonts w:eastAsia="Times New Roman"/>
        </w:rPr>
        <w:pict>
          <v:rect id="_x0000_i1038" style="width:0;height:1.5pt" o:hralign="center" o:hrstd="t" o:hr="t" fillcolor="#a0a0a0" stroked="f"/>
        </w:pict>
      </w:r>
    </w:p>
    <w:p w:rsidR="00000000" w:rsidRDefault="003E235E">
      <w:pPr>
        <w:divId w:val="1695766160"/>
        <w:rPr>
          <w:rFonts w:eastAsia="Times New Roman"/>
        </w:rPr>
      </w:pPr>
      <w:hyperlink w:anchor="i48000f6fae8946f8b752541bba7287a8_10" w:history="1">
        <w:r>
          <w:rPr>
            <w:rStyle w:val="a3"/>
            <w:rFonts w:eastAsia="Times New Roman"/>
            <w:sz w:val="20"/>
            <w:szCs w:val="20"/>
          </w:rPr>
          <w:t>Table of Contents</w:t>
        </w:r>
      </w:hyperlink>
    </w:p>
    <w:p w:rsidR="00000000" w:rsidRDefault="003E235E">
      <w:pPr>
        <w:jc w:val="center"/>
        <w:rPr>
          <w:rFonts w:eastAsia="Times New Roman"/>
        </w:rPr>
      </w:pPr>
      <w:r>
        <w:rPr>
          <w:rFonts w:eastAsia="Times New Roman"/>
          <w:b/>
          <w:bCs/>
          <w:color w:val="000000"/>
          <w:sz w:val="20"/>
          <w:szCs w:val="20"/>
        </w:rPr>
        <w:t>NOODLES &amp; COMPANY</w:t>
      </w:r>
    </w:p>
    <w:p w:rsidR="00000000" w:rsidRDefault="003E235E">
      <w:pPr>
        <w:jc w:val="center"/>
        <w:rPr>
          <w:rFonts w:eastAsia="Times New Roman"/>
        </w:rPr>
      </w:pPr>
      <w:r>
        <w:rPr>
          <w:rFonts w:eastAsia="Times New Roman"/>
          <w:b/>
          <w:bCs/>
          <w:color w:val="000000"/>
          <w:sz w:val="20"/>
          <w:szCs w:val="20"/>
        </w:rPr>
        <w:t>MANAGEMENT’S DISCUSSION AND ANALYSIS OF</w:t>
      </w:r>
    </w:p>
    <w:p w:rsidR="00000000" w:rsidRDefault="003E235E">
      <w:pPr>
        <w:jc w:val="center"/>
        <w:rPr>
          <w:rFonts w:eastAsia="Times New Roman"/>
        </w:rPr>
      </w:pPr>
      <w:r>
        <w:rPr>
          <w:rFonts w:eastAsia="Times New Roman"/>
          <w:b/>
          <w:bCs/>
          <w:color w:val="000000"/>
          <w:sz w:val="20"/>
          <w:szCs w:val="20"/>
        </w:rPr>
        <w:t>F</w:t>
      </w:r>
      <w:r>
        <w:rPr>
          <w:rFonts w:eastAsia="Times New Roman"/>
          <w:b/>
          <w:bCs/>
          <w:color w:val="000000"/>
          <w:sz w:val="20"/>
          <w:szCs w:val="20"/>
        </w:rPr>
        <w:t>INANCIAL CONDITION AND RESULTS OF OPERATIONS</w:t>
      </w:r>
    </w:p>
    <w:p w:rsidR="00000000" w:rsidRDefault="003E235E">
      <w:pPr>
        <w:divId w:val="687145275"/>
        <w:rPr>
          <w:rFonts w:eastAsia="Times New Roman"/>
        </w:rPr>
      </w:pPr>
    </w:p>
    <w:p w:rsidR="00000000" w:rsidRDefault="003E235E">
      <w:pPr>
        <w:divId w:val="978917566"/>
        <w:rPr>
          <w:rFonts w:eastAsia="Times New Roman"/>
        </w:rPr>
      </w:pPr>
      <w:r>
        <w:rPr>
          <w:rFonts w:eastAsia="Times New Roman"/>
          <w:b/>
          <w:bCs/>
          <w:color w:val="000000"/>
          <w:sz w:val="20"/>
          <w:szCs w:val="20"/>
        </w:rPr>
        <w:t>Item 2. Management’s Discussion and Analysis of Financial Condition and Results of Operations</w:t>
      </w:r>
    </w:p>
    <w:p w:rsidR="00000000" w:rsidRDefault="003E235E">
      <w:pPr>
        <w:jc w:val="both"/>
        <w:rPr>
          <w:rFonts w:eastAsia="Times New Roman"/>
        </w:rPr>
      </w:pPr>
    </w:p>
    <w:p w:rsidR="00000000" w:rsidRDefault="003E235E">
      <w:pPr>
        <w:jc w:val="both"/>
        <w:rPr>
          <w:rFonts w:eastAsia="Times New Roman"/>
        </w:rPr>
      </w:pPr>
      <w:r>
        <w:rPr>
          <w:rFonts w:eastAsia="Times New Roman"/>
          <w:i/>
          <w:iCs/>
          <w:color w:val="000000"/>
          <w:sz w:val="20"/>
          <w:szCs w:val="20"/>
        </w:rPr>
        <w:t xml:space="preserve">Noodles &amp; </w:t>
      </w:r>
      <w:r>
        <w:rPr>
          <w:rFonts w:eastAsia="Times New Roman"/>
          <w:i/>
          <w:iCs/>
          <w:color w:val="000000"/>
          <w:sz w:val="20"/>
          <w:szCs w:val="20"/>
        </w:rPr>
        <w:t>Company is a Delaware corporation that was organized in 2002. Noodles &amp; Company and its subsidiaries are sometimes referred to as “we,” “us,” “our” and the “Company” in this report. The following discussion and analysis of our financial condition and resul</w:t>
      </w:r>
      <w:r>
        <w:rPr>
          <w:rFonts w:eastAsia="Times New Roman"/>
          <w:i/>
          <w:iCs/>
          <w:color w:val="000000"/>
          <w:sz w:val="20"/>
          <w:szCs w:val="20"/>
        </w:rPr>
        <w:t>ts of operations should be read in conjunction with the accompanying unaudited condensed consolidated financial statements and related notes in Item 1 and with the audited consolidated financial statements and the related notes included in our Annual Repor</w:t>
      </w:r>
      <w:r>
        <w:rPr>
          <w:rFonts w:eastAsia="Times New Roman"/>
          <w:i/>
          <w:iCs/>
          <w:color w:val="000000"/>
          <w:sz w:val="20"/>
          <w:szCs w:val="20"/>
        </w:rPr>
        <w:t xml:space="preserve">t on Form 10-K for our fiscal year ended December 29, 2020. We operate on a 52- or 53-week fiscal year ending on the Tuesday closest to December 31. Our fiscal quarters each contain 13 operating weeks, with the exception of the fourth quarter of a 53-week </w:t>
      </w:r>
      <w:r>
        <w:rPr>
          <w:rFonts w:eastAsia="Times New Roman"/>
          <w:i/>
          <w:iCs/>
          <w:color w:val="000000"/>
          <w:sz w:val="20"/>
          <w:szCs w:val="20"/>
        </w:rPr>
        <w:t>fiscal year, which contains 14 operating weeks. Fiscal years 2021 and 2020 each contain 52 weeks.    </w:t>
      </w:r>
    </w:p>
    <w:p w:rsidR="00000000" w:rsidRDefault="003E235E">
      <w:pPr>
        <w:divId w:val="1043022896"/>
        <w:rPr>
          <w:rFonts w:eastAsia="Times New Roman"/>
        </w:rPr>
      </w:pPr>
    </w:p>
    <w:p w:rsidR="00000000" w:rsidRDefault="003E235E">
      <w:pPr>
        <w:divId w:val="123040947"/>
        <w:rPr>
          <w:rFonts w:eastAsia="Times New Roman"/>
        </w:rPr>
      </w:pPr>
      <w:r>
        <w:rPr>
          <w:rFonts w:eastAsia="Times New Roman"/>
          <w:b/>
          <w:bCs/>
          <w:i/>
          <w:iCs/>
          <w:color w:val="000000"/>
          <w:sz w:val="20"/>
          <w:szCs w:val="20"/>
        </w:rPr>
        <w:t>Cautionary Note Regarding Forward-Looking Statements</w:t>
      </w:r>
    </w:p>
    <w:p w:rsidR="00000000" w:rsidRDefault="003E235E">
      <w:pPr>
        <w:jc w:val="both"/>
        <w:rPr>
          <w:rFonts w:eastAsia="Times New Roman"/>
        </w:rPr>
      </w:pPr>
    </w:p>
    <w:p w:rsidR="00000000" w:rsidRDefault="003E235E">
      <w:pPr>
        <w:jc w:val="both"/>
        <w:rPr>
          <w:rFonts w:eastAsia="Times New Roman"/>
        </w:rPr>
      </w:pPr>
      <w:r>
        <w:rPr>
          <w:rFonts w:eastAsia="Times New Roman"/>
          <w:i/>
          <w:iCs/>
          <w:color w:val="000000"/>
          <w:sz w:val="20"/>
          <w:szCs w:val="20"/>
        </w:rPr>
        <w:t>In addition to historical information, this discussion and analysis contains forward-looking stat</w:t>
      </w:r>
      <w:r>
        <w:rPr>
          <w:rFonts w:eastAsia="Times New Roman"/>
          <w:i/>
          <w:iCs/>
          <w:color w:val="000000"/>
          <w:sz w:val="20"/>
          <w:szCs w:val="20"/>
        </w:rPr>
        <w:t>ements within the meaning of the Private Securities Litigation Reform Act of 1995 that involve risks and uncertainties such as the number of restaurants we intend to open, projected capital expenditures and estimates of our effective tax rates. In some cas</w:t>
      </w:r>
      <w:r>
        <w:rPr>
          <w:rFonts w:eastAsia="Times New Roman"/>
          <w:i/>
          <w:iCs/>
          <w:color w:val="000000"/>
          <w:sz w:val="20"/>
          <w:szCs w:val="20"/>
        </w:rPr>
        <w:t xml:space="preserve">es, you can identify forward-looking statements by terms such as “may,” “might,” “will,” “objective,” “intend,” “should,” “could,” “can,” “would,” “expect,” “believe,” “design,” “estimate,” “predict,” “potential,” “plan” or the negative of these terms and </w:t>
      </w:r>
      <w:r>
        <w:rPr>
          <w:rFonts w:eastAsia="Times New Roman"/>
          <w:i/>
          <w:iCs/>
          <w:color w:val="000000"/>
          <w:sz w:val="20"/>
          <w:szCs w:val="20"/>
        </w:rPr>
        <w:t>similar expressions intended to identify forward-looking statements. These statements reflect our current views with respect to future events and are based on currently available operating, financial and competitive information. Examples of forward-looking</w:t>
      </w:r>
      <w:r>
        <w:rPr>
          <w:rFonts w:eastAsia="Times New Roman"/>
          <w:i/>
          <w:iCs/>
          <w:color w:val="000000"/>
          <w:sz w:val="20"/>
          <w:szCs w:val="20"/>
        </w:rPr>
        <w:t xml:space="preserve"> statements include all matters that are not historical facts, such as statements regarding our ability to navigate the COVID-19 pandemic, projected capital expenditures, the revenue and balance sheet impact of the COVID-19 pandemic, estimated costs associ</w:t>
      </w:r>
      <w:r>
        <w:rPr>
          <w:rFonts w:eastAsia="Times New Roman"/>
          <w:i/>
          <w:iCs/>
          <w:color w:val="000000"/>
          <w:sz w:val="20"/>
          <w:szCs w:val="20"/>
        </w:rPr>
        <w:t>ated with our closure of underperforming restaurants, the implementation and results of strategic initiatives and our future financial performance. Our actual results may differ materially from those anticipated in these forward-looking statements due to r</w:t>
      </w:r>
      <w:r>
        <w:rPr>
          <w:rFonts w:eastAsia="Times New Roman"/>
          <w:i/>
          <w:iCs/>
          <w:color w:val="000000"/>
          <w:sz w:val="20"/>
          <w:szCs w:val="20"/>
        </w:rPr>
        <w:t>easons including, but not limited to, the extent, duration and severity of the COVID-19 pandemic; governmental and customer response to the COVID-19 pandemic; other conditions beyond our control such as weather, natural disasters, disease outbreaks, epidem</w:t>
      </w:r>
      <w:r>
        <w:rPr>
          <w:rFonts w:eastAsia="Times New Roman"/>
          <w:i/>
          <w:iCs/>
          <w:color w:val="000000"/>
          <w:sz w:val="20"/>
          <w:szCs w:val="20"/>
        </w:rPr>
        <w:t>ics or pandemics impacting our customers or food supplies; consumer reaction to industry related public health issues and health pandemics and perceptions of food safety, our ability to achieve and maintain increases in comparable restaurant sales and to s</w:t>
      </w:r>
      <w:r>
        <w:rPr>
          <w:rFonts w:eastAsia="Times New Roman"/>
          <w:i/>
          <w:iCs/>
          <w:color w:val="000000"/>
          <w:sz w:val="20"/>
          <w:szCs w:val="20"/>
        </w:rPr>
        <w:t>uccessfully execute our business strategy, including new restaurant initiatives and operational strategies to improve the performance of our restaurant portfolio; our ability to maintain compliance with debt covenants and continue to access financing neces</w:t>
      </w:r>
      <w:r>
        <w:rPr>
          <w:rFonts w:eastAsia="Times New Roman"/>
          <w:i/>
          <w:iCs/>
          <w:color w:val="000000"/>
          <w:sz w:val="20"/>
          <w:szCs w:val="20"/>
        </w:rPr>
        <w:t>sary to execute our business strategy; the success of our marketing efforts; our ability to open new restaurants on schedule; current economic conditions; price and availability of commodities; our ability to adequately staff our restaurants; changes in la</w:t>
      </w:r>
      <w:r>
        <w:rPr>
          <w:rFonts w:eastAsia="Times New Roman"/>
          <w:i/>
          <w:iCs/>
          <w:color w:val="000000"/>
          <w:sz w:val="20"/>
          <w:szCs w:val="20"/>
        </w:rPr>
        <w:t>bor costs; consumer confidence and spending patterns; seasonal factors; and those discussed in “Special Note Regarding Forward-Looking Statements” and “Risk Factors” as filed in our Annual Report on Form 10-K for our fiscal year ended December 29, 2020 and</w:t>
      </w:r>
      <w:r>
        <w:rPr>
          <w:rFonts w:eastAsia="Times New Roman"/>
          <w:i/>
          <w:iCs/>
          <w:color w:val="000000"/>
          <w:sz w:val="20"/>
          <w:szCs w:val="20"/>
        </w:rPr>
        <w:t xml:space="preserve"> in our Quarterly Report on Form 10-Q for the quarterly period ended March 30, 2021.</w:t>
      </w:r>
    </w:p>
    <w:p w:rsidR="00000000" w:rsidRDefault="003E235E">
      <w:pPr>
        <w:jc w:val="both"/>
        <w:rPr>
          <w:rFonts w:eastAsia="Times New Roman"/>
        </w:rPr>
      </w:pPr>
    </w:p>
    <w:p w:rsidR="00000000" w:rsidRDefault="003E235E">
      <w:pPr>
        <w:jc w:val="both"/>
        <w:rPr>
          <w:rFonts w:eastAsia="Times New Roman"/>
        </w:rPr>
      </w:pPr>
      <w:r>
        <w:rPr>
          <w:rFonts w:eastAsia="Times New Roman"/>
          <w:b/>
          <w:bCs/>
          <w:color w:val="000000"/>
          <w:sz w:val="20"/>
          <w:szCs w:val="20"/>
        </w:rPr>
        <w:t>Impact of COVID-19 Pandemic on Our Business</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shd w:val="clear" w:color="auto" w:fill="FFFFFF"/>
        </w:rPr>
        <w:t>The onset of the COVID-19 pandemic resulted in significant disruption to the restaurant industry and adversely affected our</w:t>
      </w:r>
      <w:r>
        <w:rPr>
          <w:rFonts w:eastAsia="Times New Roman"/>
          <w:color w:val="000000"/>
          <w:sz w:val="20"/>
          <w:szCs w:val="20"/>
          <w:shd w:val="clear" w:color="auto" w:fill="FFFFFF"/>
        </w:rPr>
        <w:t xml:space="preserve"> business. The greatest impact to our sales and overall financial results was during the initial stages of the pandemic, beginning the third week of March 2020 through the second quarter of 2020.</w:t>
      </w:r>
      <w:r>
        <w:rPr>
          <w:rFonts w:eastAsia="Times New Roman"/>
          <w:color w:val="000000"/>
          <w:shd w:val="clear" w:color="auto" w:fill="FFFFFF"/>
        </w:rPr>
        <w:t xml:space="preserve"> </w:t>
      </w:r>
      <w:r>
        <w:rPr>
          <w:rFonts w:eastAsia="Times New Roman"/>
          <w:color w:val="000000"/>
          <w:sz w:val="20"/>
          <w:szCs w:val="20"/>
          <w:shd w:val="clear" w:color="auto" w:fill="FFFFFF"/>
        </w:rPr>
        <w:t xml:space="preserve">During this period, we temporarily closed nearly all of our </w:t>
      </w:r>
      <w:r>
        <w:rPr>
          <w:rFonts w:eastAsia="Times New Roman"/>
          <w:color w:val="000000"/>
          <w:sz w:val="20"/>
          <w:szCs w:val="20"/>
          <w:shd w:val="clear" w:color="auto" w:fill="FFFFFF"/>
        </w:rPr>
        <w:t>dining rooms, driven by local government imposed restrictions in areas where we operate our restaurants and migrated to an almost completely off-premise model. Since the initial disruption, we have seen sequential improvement in our financial performance d</w:t>
      </w:r>
      <w:r>
        <w:rPr>
          <w:rFonts w:eastAsia="Times New Roman"/>
          <w:color w:val="000000"/>
          <w:sz w:val="20"/>
          <w:szCs w:val="20"/>
          <w:shd w:val="clear" w:color="auto" w:fill="FFFFFF"/>
        </w:rPr>
        <w:t xml:space="preserve">ue in part to our investments in our off-premise and digital channels. In 2021, we saw further improvement as vaccine availability was more widespread and social distancing restrictions were softened. </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The extent of the impact of the COVID-19 pandemic on</w:t>
      </w:r>
      <w:r>
        <w:rPr>
          <w:rFonts w:eastAsia="Times New Roman"/>
          <w:color w:val="000000"/>
          <w:sz w:val="20"/>
          <w:szCs w:val="20"/>
        </w:rPr>
        <w:t xml:space="preserve"> our operations and financial results, including the impact on labor and the cost and availability of products within our supplier network, depends on future developments and is highly uncertain due to the unknown duration and severity of the outbreak, inc</w:t>
      </w:r>
      <w:r>
        <w:rPr>
          <w:rFonts w:eastAsia="Times New Roman"/>
          <w:color w:val="000000"/>
          <w:sz w:val="20"/>
          <w:szCs w:val="20"/>
        </w:rPr>
        <w:t xml:space="preserve">luding the potential impact of the COVID-19 delta variant. The situation is changing rapidly and future impacts may materialize that are not yet known. </w:t>
      </w:r>
      <w:r>
        <w:rPr>
          <w:rFonts w:eastAsia="Times New Roman"/>
          <w:color w:val="000000"/>
          <w:sz w:val="20"/>
          <w:szCs w:val="20"/>
          <w:shd w:val="clear" w:color="auto" w:fill="FFFFFF"/>
        </w:rPr>
        <w:t>As of the date of this filing, substantially all of our restaurants continue to operate, with dining roo</w:t>
      </w:r>
      <w:r>
        <w:rPr>
          <w:rFonts w:eastAsia="Times New Roman"/>
          <w:color w:val="000000"/>
          <w:sz w:val="20"/>
          <w:szCs w:val="20"/>
          <w:shd w:val="clear" w:color="auto" w:fill="FFFFFF"/>
        </w:rPr>
        <w:t>ms open at varying capacities. We intend to continue to actively monitor the evolving situation and may take further actions that alter our business operations as may be required by federal, state or local authorities or that we determine are in the best i</w:t>
      </w:r>
      <w:r>
        <w:rPr>
          <w:rFonts w:eastAsia="Times New Roman"/>
          <w:color w:val="000000"/>
          <w:sz w:val="20"/>
          <w:szCs w:val="20"/>
          <w:shd w:val="clear" w:color="auto" w:fill="FFFFFF"/>
        </w:rPr>
        <w:t xml:space="preserve">nterests of our team members, customers, suppliers and shareholders. </w:t>
      </w:r>
    </w:p>
    <w:p w:rsidR="00000000" w:rsidRDefault="003E235E">
      <w:pPr>
        <w:jc w:val="both"/>
        <w:rPr>
          <w:rFonts w:eastAsia="Times New Roman"/>
        </w:rPr>
      </w:pPr>
    </w:p>
    <w:p w:rsidR="00000000" w:rsidRDefault="003E235E">
      <w:pPr>
        <w:jc w:val="center"/>
        <w:divId w:val="862866292"/>
        <w:rPr>
          <w:rFonts w:eastAsia="Times New Roman"/>
        </w:rPr>
      </w:pPr>
      <w:r>
        <w:rPr>
          <w:rFonts w:eastAsia="Times New Roman"/>
          <w:color w:val="000000"/>
          <w:sz w:val="20"/>
          <w:szCs w:val="20"/>
        </w:rPr>
        <w:t>14</w:t>
      </w:r>
    </w:p>
    <w:p w:rsidR="00000000" w:rsidRDefault="003E235E">
      <w:pPr>
        <w:rPr>
          <w:rFonts w:eastAsia="Times New Roman"/>
        </w:rPr>
      </w:pPr>
      <w:r>
        <w:rPr>
          <w:rFonts w:eastAsia="Times New Roman"/>
        </w:rPr>
        <w:pict>
          <v:rect id="_x0000_i1039" style="width:0;height:1.5pt" o:hralign="center" o:hrstd="t" o:hr="t" fillcolor="#a0a0a0" stroked="f"/>
        </w:pict>
      </w:r>
    </w:p>
    <w:p w:rsidR="00000000" w:rsidRDefault="003E235E">
      <w:pPr>
        <w:divId w:val="2091148891"/>
        <w:rPr>
          <w:rFonts w:eastAsia="Times New Roman"/>
        </w:rPr>
      </w:pPr>
      <w:hyperlink w:anchor="i48000f6fae8946f8b752541bba7287a8_10" w:history="1">
        <w:r>
          <w:rPr>
            <w:rStyle w:val="a3"/>
            <w:rFonts w:eastAsia="Times New Roman"/>
            <w:sz w:val="20"/>
            <w:szCs w:val="20"/>
          </w:rPr>
          <w:t>Table of Contents</w:t>
        </w:r>
      </w:hyperlink>
    </w:p>
    <w:p w:rsidR="00000000" w:rsidRDefault="003E235E">
      <w:pPr>
        <w:jc w:val="both"/>
        <w:rPr>
          <w:rFonts w:eastAsia="Times New Roman"/>
        </w:rPr>
      </w:pPr>
      <w:r>
        <w:rPr>
          <w:rFonts w:eastAsia="Times New Roman"/>
          <w:b/>
          <w:bCs/>
          <w:color w:val="000000"/>
          <w:sz w:val="20"/>
          <w:szCs w:val="20"/>
        </w:rPr>
        <w:t>Recent Trends, Risks and Uncertainties</w:t>
      </w:r>
    </w:p>
    <w:p w:rsidR="00000000" w:rsidRDefault="003E235E">
      <w:pPr>
        <w:jc w:val="both"/>
        <w:rPr>
          <w:rFonts w:eastAsia="Times New Roman"/>
        </w:rPr>
      </w:pPr>
    </w:p>
    <w:p w:rsidR="00000000" w:rsidRDefault="003E235E">
      <w:pPr>
        <w:jc w:val="both"/>
        <w:rPr>
          <w:rFonts w:eastAsia="Times New Roman"/>
        </w:rPr>
      </w:pPr>
      <w:r>
        <w:rPr>
          <w:rFonts w:eastAsia="Times New Roman"/>
          <w:i/>
          <w:iCs/>
          <w:color w:val="000000"/>
          <w:sz w:val="20"/>
          <w:szCs w:val="20"/>
        </w:rPr>
        <w:t>Revenue.</w:t>
      </w:r>
      <w:r>
        <w:rPr>
          <w:rFonts w:eastAsia="Times New Roman"/>
          <w:color w:val="000000"/>
          <w:sz w:val="20"/>
          <w:szCs w:val="20"/>
        </w:rPr>
        <w:t xml:space="preserve"> In the second qua</w:t>
      </w:r>
      <w:r>
        <w:rPr>
          <w:rFonts w:eastAsia="Times New Roman"/>
          <w:color w:val="000000"/>
          <w:sz w:val="20"/>
          <w:szCs w:val="20"/>
        </w:rPr>
        <w:t xml:space="preserve">rter of 2021, system-wide comparable restaurant sales increased 56.8%, comprised </w:t>
      </w:r>
      <w:r>
        <w:rPr>
          <w:rFonts w:eastAsia="Times New Roman"/>
          <w:color w:val="000000"/>
          <w:sz w:val="20"/>
          <w:szCs w:val="20"/>
          <w:shd w:val="clear" w:color="auto" w:fill="FFFFFF"/>
        </w:rPr>
        <w:t>of a 55.7% increase for company-owned restaurants and a 63.8% increase f</w:t>
      </w:r>
      <w:r>
        <w:rPr>
          <w:rFonts w:eastAsia="Times New Roman"/>
          <w:color w:val="000000"/>
          <w:sz w:val="20"/>
          <w:szCs w:val="20"/>
        </w:rPr>
        <w:t xml:space="preserve">or franchise restaurants. </w:t>
      </w:r>
      <w:r>
        <w:rPr>
          <w:rFonts w:eastAsia="Times New Roman"/>
          <w:color w:val="000000"/>
          <w:sz w:val="20"/>
          <w:szCs w:val="20"/>
          <w:shd w:val="clear" w:color="auto" w:fill="FFFFFF"/>
        </w:rPr>
        <w:t>Our comparable sales growth was benefited by a comparison to the second quart</w:t>
      </w:r>
      <w:r>
        <w:rPr>
          <w:rFonts w:eastAsia="Times New Roman"/>
          <w:color w:val="000000"/>
          <w:sz w:val="20"/>
          <w:szCs w:val="20"/>
          <w:shd w:val="clear" w:color="auto" w:fill="FFFFFF"/>
        </w:rPr>
        <w:t xml:space="preserve">er of 2020, a period when our business was particularly impacted by the COVID-19 pandemic. In addition, our average unit volumes are trending higher over 2020 and pre-COVID-19 pandemic levels in 2019. </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shd w:val="clear" w:color="auto" w:fill="FFFFFF"/>
        </w:rPr>
        <w:t>We also believe our comparable sales was aided by im</w:t>
      </w:r>
      <w:r>
        <w:rPr>
          <w:rFonts w:eastAsia="Times New Roman"/>
          <w:color w:val="000000"/>
          <w:sz w:val="20"/>
          <w:szCs w:val="20"/>
          <w:shd w:val="clear" w:color="auto" w:fill="FFFFFF"/>
        </w:rPr>
        <w:t>pressive digital growth, is evidence of our strong brand positioning and ability to meet the needs of today's consumer for great tasting food served conveniently where and when guests want it. However, our ability to retain positive comparable sales depend</w:t>
      </w:r>
      <w:r>
        <w:rPr>
          <w:rFonts w:eastAsia="Times New Roman"/>
          <w:color w:val="000000"/>
          <w:sz w:val="20"/>
          <w:szCs w:val="20"/>
          <w:shd w:val="clear" w:color="auto" w:fill="FFFFFF"/>
        </w:rPr>
        <w:t>s, among other reasons, on (i) the duration of the COVID-19 pandemic, (ii) limitations imposed by federal, state and local governments with respect to reduced seating capacity in our restaurants and other social distancing measures, (iii) our customers’ fu</w:t>
      </w:r>
      <w:r>
        <w:rPr>
          <w:rFonts w:eastAsia="Times New Roman"/>
          <w:color w:val="000000"/>
          <w:sz w:val="20"/>
          <w:szCs w:val="20"/>
          <w:shd w:val="clear" w:color="auto" w:fill="FFFFFF"/>
        </w:rPr>
        <w:t>ture willingness to eat at restaurants and (iv) macroeconomic conditions and the length of time required for the national and local economies to achieve economic recovery following the crisis. AUV, which normalizes for the impact of temporary restaurant cl</w:t>
      </w:r>
      <w:r>
        <w:rPr>
          <w:rFonts w:eastAsia="Times New Roman"/>
          <w:color w:val="000000"/>
          <w:sz w:val="20"/>
          <w:szCs w:val="20"/>
          <w:shd w:val="clear" w:color="auto" w:fill="FFFFFF"/>
        </w:rPr>
        <w:t xml:space="preserve">osures, increased year-over-year due to strong off-premise sales, including digital, and growth in dine-in sales as a result of dining rooms reopening. </w:t>
      </w:r>
    </w:p>
    <w:p w:rsidR="00000000" w:rsidRDefault="003E235E">
      <w:pPr>
        <w:divId w:val="639770155"/>
        <w:rPr>
          <w:rFonts w:eastAsia="Times New Roman"/>
        </w:rPr>
      </w:pPr>
    </w:p>
    <w:p w:rsidR="00000000" w:rsidRDefault="003E235E">
      <w:pPr>
        <w:jc w:val="both"/>
        <w:rPr>
          <w:rFonts w:eastAsia="Times New Roman"/>
        </w:rPr>
      </w:pPr>
      <w:r>
        <w:rPr>
          <w:rFonts w:eastAsia="Times New Roman"/>
          <w:color w:val="000000"/>
          <w:sz w:val="20"/>
          <w:szCs w:val="20"/>
          <w:shd w:val="clear" w:color="auto" w:fill="FFFFFF"/>
        </w:rPr>
        <w:t>Recent restaurant openings not in the Company’s comparable restaurant base, many of which offer order</w:t>
      </w:r>
      <w:r>
        <w:rPr>
          <w:rFonts w:eastAsia="Times New Roman"/>
          <w:color w:val="000000"/>
          <w:sz w:val="20"/>
          <w:szCs w:val="20"/>
          <w:shd w:val="clear" w:color="auto" w:fill="FFFFFF"/>
        </w:rPr>
        <w:t xml:space="preserve"> ahead drive-thru pick-up windows, continue to perform as a group at the highest sales level of any class of new restaurants in the Company’s history.</w:t>
      </w:r>
    </w:p>
    <w:p w:rsidR="00000000" w:rsidRDefault="003E235E">
      <w:pPr>
        <w:divId w:val="2018849586"/>
        <w:rPr>
          <w:rFonts w:eastAsia="Times New Roman"/>
        </w:rPr>
      </w:pPr>
    </w:p>
    <w:p w:rsidR="00000000" w:rsidRDefault="003E235E">
      <w:pPr>
        <w:jc w:val="both"/>
        <w:rPr>
          <w:rFonts w:eastAsia="Times New Roman"/>
        </w:rPr>
      </w:pPr>
      <w:r>
        <w:rPr>
          <w:rFonts w:eastAsia="Times New Roman"/>
          <w:i/>
          <w:iCs/>
          <w:color w:val="000000"/>
          <w:sz w:val="20"/>
          <w:szCs w:val="20"/>
        </w:rPr>
        <w:t>Co</w:t>
      </w:r>
      <w:r>
        <w:rPr>
          <w:rFonts w:eastAsia="Times New Roman"/>
          <w:i/>
          <w:iCs/>
          <w:color w:val="000000"/>
          <w:sz w:val="20"/>
          <w:szCs w:val="20"/>
          <w:shd w:val="clear" w:color="auto" w:fill="FFFFFF"/>
        </w:rPr>
        <w:t>st of Sales.</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As a result of the COVID-19 pandemic, we have and expect to continue to incur incremental costs of sales, including the use of additional packaging supplies to support the continued increase in to-go and off-premise orders. Additionally, we have seen a sho</w:t>
      </w:r>
      <w:r>
        <w:rPr>
          <w:rFonts w:eastAsia="Times New Roman"/>
          <w:color w:val="000000"/>
          <w:sz w:val="20"/>
          <w:szCs w:val="20"/>
          <w:shd w:val="clear" w:color="auto" w:fill="FFFFFF"/>
        </w:rPr>
        <w:t>rtage in labor at some of our food suppliers, which in some cases, has resulted in increased costs of food or transportation. Despite these market factors, we have continued to work with our suppliers for ongoing supply chain savings resulting in lower cos</w:t>
      </w:r>
      <w:r>
        <w:rPr>
          <w:rFonts w:eastAsia="Times New Roman"/>
          <w:color w:val="000000"/>
          <w:sz w:val="20"/>
          <w:szCs w:val="20"/>
          <w:shd w:val="clear" w:color="auto" w:fill="FFFFFF"/>
        </w:rPr>
        <w:t>t of sales. To date, there has been minimal disruption to cost of goods sold, including the supply of our ingredients, packaging or other sourced materials, though it is possible that more significant disruptions could occur if the COVID-19 pandemic and vo</w:t>
      </w:r>
      <w:r>
        <w:rPr>
          <w:rFonts w:eastAsia="Times New Roman"/>
          <w:color w:val="000000"/>
          <w:sz w:val="20"/>
          <w:szCs w:val="20"/>
          <w:shd w:val="clear" w:color="auto" w:fill="FFFFFF"/>
        </w:rPr>
        <w:t>latility in the labor markets continue. We are working closely with our distributors and contract manufacturers as the situation evolves. We intend to continue to actively monitor the situation, including the status of our supply chain, to determine the ap</w:t>
      </w:r>
      <w:r>
        <w:rPr>
          <w:rFonts w:eastAsia="Times New Roman"/>
          <w:color w:val="000000"/>
          <w:sz w:val="20"/>
          <w:szCs w:val="20"/>
          <w:shd w:val="clear" w:color="auto" w:fill="FFFFFF"/>
        </w:rPr>
        <w:t xml:space="preserve">propriate actions to minimize any supply chain interruptions. </w:t>
      </w:r>
    </w:p>
    <w:p w:rsidR="00000000" w:rsidRDefault="003E235E">
      <w:pPr>
        <w:jc w:val="both"/>
        <w:rPr>
          <w:rFonts w:eastAsia="Times New Roman"/>
        </w:rPr>
      </w:pPr>
    </w:p>
    <w:p w:rsidR="00000000" w:rsidRDefault="003E235E">
      <w:pPr>
        <w:jc w:val="both"/>
        <w:rPr>
          <w:rFonts w:eastAsia="Times New Roman"/>
        </w:rPr>
      </w:pPr>
      <w:r>
        <w:rPr>
          <w:rFonts w:eastAsia="Times New Roman"/>
          <w:i/>
          <w:iCs/>
          <w:color w:val="000000"/>
          <w:sz w:val="20"/>
          <w:szCs w:val="20"/>
          <w:shd w:val="clear" w:color="auto" w:fill="FFFFFF"/>
        </w:rPr>
        <w:t>Labor Costs.</w:t>
      </w:r>
      <w:r>
        <w:rPr>
          <w:rFonts w:eastAsia="Times New Roman"/>
          <w:color w:val="000000"/>
          <w:sz w:val="20"/>
          <w:szCs w:val="20"/>
          <w:shd w:val="clear" w:color="auto" w:fill="FFFFFF"/>
        </w:rPr>
        <w:t xml:space="preserve"> During the second quarter of 2021, we experienced a decline in labor availability in some of the markets where we operate, in addition to continued wage inflation within the indu</w:t>
      </w:r>
      <w:r>
        <w:rPr>
          <w:rFonts w:eastAsia="Times New Roman"/>
          <w:color w:val="000000"/>
          <w:sz w:val="20"/>
          <w:szCs w:val="20"/>
          <w:shd w:val="clear" w:color="auto" w:fill="FFFFFF"/>
        </w:rPr>
        <w:t>stry. We were able to mitigate the impact of these market factors through a continued focus on optimizing our hiring process and retaining existing employees. Additionally, our focus on labor efficiencies within the restaurant, including a modified labor m</w:t>
      </w:r>
      <w:r>
        <w:rPr>
          <w:rFonts w:eastAsia="Times New Roman"/>
          <w:color w:val="000000"/>
          <w:sz w:val="20"/>
          <w:szCs w:val="20"/>
          <w:shd w:val="clear" w:color="auto" w:fill="FFFFFF"/>
        </w:rPr>
        <w:t>odel to reduce the number of front of house hours and optimize food prep, has resulted in minimal disruption in our cost of labor. Some jurisdictions in which we operate have recently increased their minimum wage and other jurisdictions are considering sim</w:t>
      </w:r>
      <w:r>
        <w:rPr>
          <w:rFonts w:eastAsia="Times New Roman"/>
          <w:color w:val="000000"/>
          <w:sz w:val="20"/>
          <w:szCs w:val="20"/>
          <w:shd w:val="clear" w:color="auto" w:fill="FFFFFF"/>
        </w:rPr>
        <w:t xml:space="preserve">ilar actions. Significant additional government-imposed increases could materially affect our labor costs. </w:t>
      </w:r>
    </w:p>
    <w:p w:rsidR="00000000" w:rsidRDefault="003E235E">
      <w:pPr>
        <w:jc w:val="both"/>
        <w:rPr>
          <w:rFonts w:eastAsia="Times New Roman"/>
        </w:rPr>
      </w:pPr>
    </w:p>
    <w:p w:rsidR="00000000" w:rsidRDefault="003E235E">
      <w:pPr>
        <w:jc w:val="both"/>
        <w:rPr>
          <w:rFonts w:eastAsia="Times New Roman"/>
        </w:rPr>
      </w:pPr>
      <w:r>
        <w:rPr>
          <w:rFonts w:eastAsia="Times New Roman"/>
          <w:i/>
          <w:iCs/>
          <w:color w:val="000000"/>
          <w:sz w:val="20"/>
          <w:szCs w:val="20"/>
        </w:rPr>
        <w:t xml:space="preserve">Other Restaurant Operating Costs. </w:t>
      </w:r>
      <w:r>
        <w:rPr>
          <w:rFonts w:eastAsia="Times New Roman"/>
          <w:color w:val="000000"/>
          <w:sz w:val="20"/>
          <w:szCs w:val="20"/>
        </w:rPr>
        <w:t>We have and expect to continue to incur additional third-party delivery fees resulting from a significant expansion of our use of third-party delivery services due to the COVID-19 pandemic.</w:t>
      </w:r>
    </w:p>
    <w:p w:rsidR="00000000" w:rsidRDefault="003E235E">
      <w:pPr>
        <w:jc w:val="both"/>
        <w:rPr>
          <w:rFonts w:eastAsia="Times New Roman"/>
        </w:rPr>
      </w:pPr>
    </w:p>
    <w:p w:rsidR="00000000" w:rsidRDefault="003E235E">
      <w:pPr>
        <w:jc w:val="both"/>
        <w:rPr>
          <w:rFonts w:eastAsia="Times New Roman"/>
        </w:rPr>
      </w:pPr>
      <w:r>
        <w:rPr>
          <w:rFonts w:eastAsia="Times New Roman"/>
          <w:i/>
          <w:iCs/>
          <w:color w:val="000000"/>
          <w:sz w:val="20"/>
          <w:szCs w:val="20"/>
        </w:rPr>
        <w:t>Certain Restaurant Closures.</w:t>
      </w:r>
      <w:r>
        <w:rPr>
          <w:rFonts w:eastAsia="Times New Roman"/>
          <w:color w:val="000000"/>
          <w:sz w:val="20"/>
          <w:szCs w:val="20"/>
        </w:rPr>
        <w:t xml:space="preserve"> </w:t>
      </w:r>
      <w:r>
        <w:rPr>
          <w:rFonts w:eastAsia="Times New Roman"/>
          <w:color w:val="000000"/>
          <w:sz w:val="20"/>
          <w:szCs w:val="20"/>
          <w:shd w:val="clear" w:color="auto" w:fill="FFFFFF"/>
        </w:rPr>
        <w:t>We permanently closed six company-o</w:t>
      </w:r>
      <w:r>
        <w:rPr>
          <w:rFonts w:eastAsia="Times New Roman"/>
          <w:color w:val="000000"/>
          <w:sz w:val="20"/>
          <w:szCs w:val="20"/>
          <w:shd w:val="clear" w:color="auto" w:fill="FFFFFF"/>
        </w:rPr>
        <w:t>wned restaurants in the first two quarters of 2021, all of which occurred in the first quarter of 2021. W</w:t>
      </w:r>
      <w:r>
        <w:rPr>
          <w:rFonts w:eastAsia="Times New Roman"/>
          <w:color w:val="000000"/>
          <w:sz w:val="20"/>
          <w:szCs w:val="20"/>
        </w:rPr>
        <w:t>e currently do not anticipate a significant number of permanent restaurant closures in the foreseeable future; however, we may from time to time perman</w:t>
      </w:r>
      <w:r>
        <w:rPr>
          <w:rFonts w:eastAsia="Times New Roman"/>
          <w:color w:val="000000"/>
          <w:sz w:val="20"/>
          <w:szCs w:val="20"/>
        </w:rPr>
        <w:t>ently close certain restaurants, including permanent closures at, or near, the expiration of the leases for these restaurants.</w:t>
      </w:r>
    </w:p>
    <w:p w:rsidR="00000000" w:rsidRDefault="003E235E">
      <w:pPr>
        <w:jc w:val="both"/>
        <w:rPr>
          <w:rFonts w:eastAsia="Times New Roman"/>
        </w:rPr>
      </w:pPr>
    </w:p>
    <w:p w:rsidR="00000000" w:rsidRDefault="003E235E">
      <w:pPr>
        <w:jc w:val="both"/>
        <w:rPr>
          <w:rFonts w:eastAsia="Times New Roman"/>
        </w:rPr>
      </w:pPr>
      <w:r>
        <w:rPr>
          <w:rFonts w:eastAsia="Times New Roman"/>
          <w:i/>
          <w:iCs/>
          <w:color w:val="000000"/>
          <w:sz w:val="20"/>
          <w:szCs w:val="20"/>
        </w:rPr>
        <w:t>Restaurant Development.</w:t>
      </w:r>
      <w:r>
        <w:rPr>
          <w:rFonts w:eastAsia="Times New Roman"/>
          <w:color w:val="000000"/>
          <w:sz w:val="20"/>
          <w:szCs w:val="20"/>
        </w:rPr>
        <w:t xml:space="preserve"> In the first two quarters of 2021, we</w:t>
      </w:r>
      <w:r>
        <w:rPr>
          <w:rFonts w:eastAsia="Times New Roman"/>
          <w:color w:val="000000"/>
          <w:sz w:val="20"/>
          <w:szCs w:val="20"/>
          <w:shd w:val="clear" w:color="auto" w:fill="FFFFFF"/>
        </w:rPr>
        <w:t xml:space="preserve"> opened two new company-owned restaurants and one franchise restau</w:t>
      </w:r>
      <w:r>
        <w:rPr>
          <w:rFonts w:eastAsia="Times New Roman"/>
          <w:color w:val="000000"/>
          <w:sz w:val="20"/>
          <w:szCs w:val="20"/>
          <w:shd w:val="clear" w:color="auto" w:fill="FFFFFF"/>
        </w:rPr>
        <w:t>rant. As of June 29, 2021, we had 374 company-owned restaurants and 77 franchise restaurants in 29 states. Given the Company’s strong sales trends, as well as an anticipated increase in favorable real estate availability, we have incorporated increased uni</w:t>
      </w:r>
      <w:r>
        <w:rPr>
          <w:rFonts w:eastAsia="Times New Roman"/>
          <w:color w:val="000000"/>
          <w:sz w:val="20"/>
          <w:szCs w:val="20"/>
          <w:shd w:val="clear" w:color="auto" w:fill="FFFFFF"/>
        </w:rPr>
        <w:t>t development into our strategic growth plan for 2021 and beyond with a s</w:t>
      </w:r>
      <w:r>
        <w:rPr>
          <w:rFonts w:eastAsia="Times New Roman"/>
          <w:color w:val="000000"/>
          <w:sz w:val="20"/>
          <w:szCs w:val="20"/>
        </w:rPr>
        <w:t>ystem-wide unit growth target of at least 7% annually beginning in 2022, quickly reaching 10% annual growth on a path to at least 1,500 units.</w:t>
      </w:r>
    </w:p>
    <w:p w:rsidR="00000000" w:rsidRDefault="003E235E">
      <w:pPr>
        <w:jc w:val="both"/>
        <w:rPr>
          <w:rFonts w:eastAsia="Times New Roman"/>
        </w:rPr>
      </w:pPr>
    </w:p>
    <w:p w:rsidR="00000000" w:rsidRDefault="003E235E">
      <w:pPr>
        <w:jc w:val="both"/>
        <w:rPr>
          <w:rFonts w:eastAsia="Times New Roman"/>
        </w:rPr>
      </w:pPr>
      <w:r>
        <w:rPr>
          <w:rFonts w:eastAsia="Times New Roman"/>
          <w:b/>
          <w:bCs/>
          <w:color w:val="000000"/>
          <w:sz w:val="20"/>
          <w:szCs w:val="20"/>
        </w:rPr>
        <w:t>Key Measures We Use to Evaluate Our Pe</w:t>
      </w:r>
      <w:r>
        <w:rPr>
          <w:rFonts w:eastAsia="Times New Roman"/>
          <w:b/>
          <w:bCs/>
          <w:color w:val="000000"/>
          <w:sz w:val="20"/>
          <w:szCs w:val="20"/>
        </w:rPr>
        <w:t>rformance</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To evaluate the performance of our business, we utilize a variety of financial and performance measures. These key measures include revenue, average unit volume (“AUV”), comparable restaurant sales, restaurant contribution, restaurant contribut</w:t>
      </w:r>
      <w:r>
        <w:rPr>
          <w:rFonts w:eastAsia="Times New Roman"/>
          <w:color w:val="000000"/>
          <w:sz w:val="20"/>
          <w:szCs w:val="20"/>
        </w:rPr>
        <w:t>ion margin, EBITDA and adjusted EBITDA.</w:t>
      </w:r>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Revenue</w:t>
      </w:r>
    </w:p>
    <w:p w:rsidR="00000000" w:rsidRDefault="003E235E">
      <w:pPr>
        <w:jc w:val="center"/>
        <w:divId w:val="778139026"/>
        <w:rPr>
          <w:rFonts w:eastAsia="Times New Roman"/>
        </w:rPr>
      </w:pPr>
      <w:r>
        <w:rPr>
          <w:rFonts w:eastAsia="Times New Roman"/>
          <w:color w:val="000000"/>
          <w:sz w:val="20"/>
          <w:szCs w:val="20"/>
        </w:rPr>
        <w:t>15</w:t>
      </w:r>
    </w:p>
    <w:p w:rsidR="00000000" w:rsidRDefault="003E235E">
      <w:pPr>
        <w:rPr>
          <w:rFonts w:eastAsia="Times New Roman"/>
        </w:rPr>
      </w:pPr>
      <w:r>
        <w:rPr>
          <w:rFonts w:eastAsia="Times New Roman"/>
        </w:rPr>
        <w:pict>
          <v:rect id="_x0000_i1040" style="width:0;height:1.5pt" o:hralign="center" o:hrstd="t" o:hr="t" fillcolor="#a0a0a0" stroked="f"/>
        </w:pict>
      </w:r>
    </w:p>
    <w:p w:rsidR="00000000" w:rsidRDefault="003E235E">
      <w:pPr>
        <w:divId w:val="714046261"/>
        <w:rPr>
          <w:rFonts w:eastAsia="Times New Roman"/>
        </w:rPr>
      </w:pPr>
      <w:hyperlink w:anchor="i48000f6fae8946f8b752541bba7287a8_10" w:history="1">
        <w:r>
          <w:rPr>
            <w:rStyle w:val="a3"/>
            <w:rFonts w:eastAsia="Times New Roman"/>
            <w:sz w:val="20"/>
            <w:szCs w:val="20"/>
          </w:rPr>
          <w:t>Table of Contents</w:t>
        </w:r>
      </w:hyperlink>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Restaurant revenue represents sales of food and beverages in company-owned restaurants.</w:t>
      </w:r>
      <w:r>
        <w:rPr>
          <w:rFonts w:eastAsia="Times New Roman"/>
          <w:color w:val="000000"/>
          <w:sz w:val="20"/>
          <w:szCs w:val="20"/>
        </w:rPr>
        <w:t xml:space="preserve"> Several factors affect our restaurant revenue in any period, including the number of restaurants in operation and per-restaurant sales. Franchise royalties and fees represent royalty income and initial franchise fees. While we expect that the majority of </w:t>
      </w:r>
      <w:r>
        <w:rPr>
          <w:rFonts w:eastAsia="Times New Roman"/>
          <w:color w:val="000000"/>
          <w:sz w:val="20"/>
          <w:szCs w:val="20"/>
        </w:rPr>
        <w:t>our revenue and net income growth will be driven by company-owned restaurants, our franchise restaurants remain an important factor impacting our revenue and financial performance.</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 xml:space="preserve">Seasonal factors cause our revenue to fluctuate from quarter to quarter. </w:t>
      </w:r>
      <w:r>
        <w:rPr>
          <w:rFonts w:eastAsia="Times New Roman"/>
          <w:color w:val="000000"/>
          <w:sz w:val="20"/>
          <w:szCs w:val="20"/>
        </w:rPr>
        <w:t>Our revenue per restaurant is typically lower in the first and fourth quarters, due to reduced winter and holiday traffic, and is typically higher in the second and third quarters. As a result of these fact</w:t>
      </w:r>
      <w:r>
        <w:rPr>
          <w:rFonts w:eastAsia="Times New Roman"/>
          <w:color w:val="000000"/>
          <w:sz w:val="20"/>
          <w:szCs w:val="20"/>
          <w:shd w:val="clear" w:color="auto" w:fill="FFFFFF"/>
        </w:rPr>
        <w:t>ors, as well as the magnitude of the COVID-19 pand</w:t>
      </w:r>
      <w:r>
        <w:rPr>
          <w:rFonts w:eastAsia="Times New Roman"/>
          <w:color w:val="000000"/>
          <w:sz w:val="20"/>
          <w:szCs w:val="20"/>
          <w:shd w:val="clear" w:color="auto" w:fill="FFFFFF"/>
        </w:rPr>
        <w:t xml:space="preserve">emic on </w:t>
      </w:r>
      <w:r>
        <w:rPr>
          <w:rFonts w:eastAsia="Times New Roman"/>
          <w:color w:val="000000"/>
          <w:sz w:val="20"/>
          <w:szCs w:val="20"/>
        </w:rPr>
        <w:t xml:space="preserve">any given quarter, our quarterly operating results and comparable restaurant sales may fluctuate significantly. </w:t>
      </w:r>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Comparable Restaurant Sales</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Comparable restaurant sales refer to year-over-year sales comparisons for the comparable restaurant base. We define the comparable restaurant base to include restaurants open for at least 18 full periods. This measure highlights performance of existing res</w:t>
      </w:r>
      <w:r>
        <w:rPr>
          <w:rFonts w:eastAsia="Times New Roman"/>
          <w:color w:val="000000"/>
          <w:sz w:val="20"/>
          <w:szCs w:val="20"/>
        </w:rPr>
        <w:t>taurants, as the impact of new restaurant openings is excluded. Changes in comparable restaurant sales are generated by changes in traffic, which we calculate as the number of entrées sold, or changes in per-person spend, calculated as sales divided by tra</w:t>
      </w:r>
      <w:r>
        <w:rPr>
          <w:rFonts w:eastAsia="Times New Roman"/>
          <w:color w:val="000000"/>
          <w:sz w:val="20"/>
          <w:szCs w:val="20"/>
        </w:rPr>
        <w:t>ffic. Per-person spend can be influenced by changes in menu prices and the mix and number of items sold per person. For fiscal year 2020, restaurants that were temporarily closed or operating at reduced hours or dining capacity due to the COVID-19 pandemic</w:t>
      </w:r>
      <w:r>
        <w:rPr>
          <w:rFonts w:eastAsia="Times New Roman"/>
          <w:color w:val="000000"/>
          <w:sz w:val="20"/>
          <w:szCs w:val="20"/>
        </w:rPr>
        <w:t xml:space="preserve"> remained in comparable restaurant sales. </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Measuring our comparable restaurant sales allows us to evaluate the performance of our existing restaurant base. Various factors impact comparable restaurant sales, including:</w:t>
      </w:r>
    </w:p>
    <w:p w:rsidR="00000000" w:rsidRDefault="003E235E">
      <w:pPr>
        <w:jc w:val="both"/>
        <w:rPr>
          <w:rFonts w:eastAsia="Times New Roman"/>
        </w:rPr>
      </w:pPr>
    </w:p>
    <w:p w:rsidR="00000000" w:rsidRDefault="003E235E">
      <w:pPr>
        <w:ind w:hanging="720"/>
        <w:divId w:val="1960720169"/>
        <w:rPr>
          <w:rFonts w:eastAsia="Times New Roman"/>
        </w:rPr>
      </w:pPr>
      <w:r>
        <w:rPr>
          <w:rFonts w:eastAsia="Times New Roman"/>
          <w:color w:val="000000"/>
          <w:sz w:val="20"/>
          <w:szCs w:val="20"/>
        </w:rPr>
        <w:t>•consumer recognition of our bran</w:t>
      </w:r>
      <w:r>
        <w:rPr>
          <w:rFonts w:eastAsia="Times New Roman"/>
          <w:color w:val="000000"/>
          <w:sz w:val="20"/>
          <w:szCs w:val="20"/>
        </w:rPr>
        <w:t>d and our ability to respond to changing consumer preferences;</w:t>
      </w:r>
    </w:p>
    <w:p w:rsidR="00000000" w:rsidRDefault="003E235E">
      <w:pPr>
        <w:ind w:hanging="720"/>
        <w:divId w:val="815146209"/>
        <w:rPr>
          <w:rFonts w:eastAsia="Times New Roman"/>
        </w:rPr>
      </w:pPr>
    </w:p>
    <w:p w:rsidR="00000000" w:rsidRDefault="003E235E">
      <w:pPr>
        <w:ind w:hanging="720"/>
        <w:divId w:val="1751854665"/>
        <w:rPr>
          <w:rFonts w:eastAsia="Times New Roman"/>
        </w:rPr>
      </w:pPr>
      <w:r>
        <w:rPr>
          <w:rFonts w:eastAsia="Times New Roman"/>
          <w:color w:val="000000"/>
          <w:sz w:val="20"/>
          <w:szCs w:val="20"/>
        </w:rPr>
        <w:t>•overall economic trends, particularly those related to consumer spending;</w:t>
      </w:r>
    </w:p>
    <w:p w:rsidR="00000000" w:rsidRDefault="003E235E">
      <w:pPr>
        <w:ind w:hanging="720"/>
        <w:divId w:val="1188256313"/>
        <w:rPr>
          <w:rFonts w:eastAsia="Times New Roman"/>
        </w:rPr>
      </w:pPr>
    </w:p>
    <w:p w:rsidR="00000000" w:rsidRDefault="003E235E">
      <w:pPr>
        <w:ind w:hanging="720"/>
        <w:divId w:val="1392655116"/>
        <w:rPr>
          <w:rFonts w:eastAsia="Times New Roman"/>
        </w:rPr>
      </w:pPr>
      <w:r>
        <w:rPr>
          <w:rFonts w:eastAsia="Times New Roman"/>
          <w:color w:val="000000"/>
          <w:sz w:val="20"/>
          <w:szCs w:val="20"/>
        </w:rPr>
        <w:t>•</w:t>
      </w:r>
      <w:r>
        <w:rPr>
          <w:rFonts w:eastAsia="Times New Roman"/>
          <w:color w:val="000000"/>
          <w:sz w:val="20"/>
          <w:szCs w:val="20"/>
        </w:rPr>
        <w:t>our ability to operate restaurants effectively and efficiently to meet consumer expectations;</w:t>
      </w:r>
    </w:p>
    <w:p w:rsidR="00000000" w:rsidRDefault="003E235E">
      <w:pPr>
        <w:ind w:hanging="720"/>
        <w:divId w:val="1566449512"/>
        <w:rPr>
          <w:rFonts w:eastAsia="Times New Roman"/>
        </w:rPr>
      </w:pPr>
    </w:p>
    <w:p w:rsidR="00000000" w:rsidRDefault="003E235E">
      <w:pPr>
        <w:ind w:hanging="720"/>
        <w:divId w:val="1583685888"/>
        <w:rPr>
          <w:rFonts w:eastAsia="Times New Roman"/>
        </w:rPr>
      </w:pPr>
      <w:r>
        <w:rPr>
          <w:rFonts w:eastAsia="Times New Roman"/>
          <w:color w:val="000000"/>
          <w:sz w:val="20"/>
          <w:szCs w:val="20"/>
        </w:rPr>
        <w:t>•pricing;</w:t>
      </w:r>
    </w:p>
    <w:p w:rsidR="00000000" w:rsidRDefault="003E235E">
      <w:pPr>
        <w:ind w:hanging="720"/>
        <w:divId w:val="2144959774"/>
        <w:rPr>
          <w:rFonts w:eastAsia="Times New Roman"/>
        </w:rPr>
      </w:pPr>
    </w:p>
    <w:p w:rsidR="00000000" w:rsidRDefault="003E235E">
      <w:pPr>
        <w:ind w:hanging="720"/>
        <w:divId w:val="216670481"/>
        <w:rPr>
          <w:rFonts w:eastAsia="Times New Roman"/>
        </w:rPr>
      </w:pPr>
      <w:r>
        <w:rPr>
          <w:rFonts w:eastAsia="Times New Roman"/>
          <w:color w:val="000000"/>
          <w:sz w:val="20"/>
          <w:szCs w:val="20"/>
        </w:rPr>
        <w:t>•the number of restaurant transactions, per-person spend and average check amount;</w:t>
      </w:r>
    </w:p>
    <w:p w:rsidR="00000000" w:rsidRDefault="003E235E">
      <w:pPr>
        <w:ind w:hanging="720"/>
        <w:divId w:val="591012655"/>
        <w:rPr>
          <w:rFonts w:eastAsia="Times New Roman"/>
        </w:rPr>
      </w:pPr>
    </w:p>
    <w:p w:rsidR="00000000" w:rsidRDefault="003E235E">
      <w:pPr>
        <w:ind w:hanging="720"/>
        <w:divId w:val="1337224624"/>
        <w:rPr>
          <w:rFonts w:eastAsia="Times New Roman"/>
        </w:rPr>
      </w:pPr>
      <w:r>
        <w:rPr>
          <w:rFonts w:eastAsia="Times New Roman"/>
          <w:color w:val="000000"/>
          <w:sz w:val="20"/>
          <w:szCs w:val="20"/>
        </w:rPr>
        <w:t>•marketing and promotional efforts;</w:t>
      </w:r>
    </w:p>
    <w:p w:rsidR="00000000" w:rsidRDefault="003E235E">
      <w:pPr>
        <w:divId w:val="841816040"/>
        <w:rPr>
          <w:rFonts w:eastAsia="Times New Roman"/>
        </w:rPr>
      </w:pPr>
    </w:p>
    <w:p w:rsidR="00000000" w:rsidRDefault="003E235E">
      <w:pPr>
        <w:ind w:hanging="720"/>
        <w:divId w:val="543634978"/>
        <w:rPr>
          <w:rFonts w:eastAsia="Times New Roman"/>
        </w:rPr>
      </w:pPr>
      <w:r>
        <w:rPr>
          <w:rFonts w:eastAsia="Times New Roman"/>
          <w:color w:val="000000"/>
          <w:sz w:val="20"/>
          <w:szCs w:val="20"/>
        </w:rPr>
        <w:t>•abnormal weather pattern</w:t>
      </w:r>
      <w:r>
        <w:rPr>
          <w:rFonts w:eastAsia="Times New Roman"/>
          <w:color w:val="000000"/>
          <w:sz w:val="20"/>
          <w:szCs w:val="20"/>
        </w:rPr>
        <w:t>s;</w:t>
      </w:r>
    </w:p>
    <w:p w:rsidR="00000000" w:rsidRDefault="003E235E">
      <w:pPr>
        <w:divId w:val="1282029290"/>
        <w:rPr>
          <w:rFonts w:eastAsia="Times New Roman"/>
        </w:rPr>
      </w:pPr>
    </w:p>
    <w:p w:rsidR="00000000" w:rsidRDefault="003E235E">
      <w:pPr>
        <w:ind w:hanging="720"/>
        <w:divId w:val="1090077974"/>
        <w:rPr>
          <w:rFonts w:eastAsia="Times New Roman"/>
        </w:rPr>
      </w:pPr>
      <w:r>
        <w:rPr>
          <w:rFonts w:eastAsia="Times New Roman"/>
          <w:color w:val="000000"/>
          <w:sz w:val="20"/>
          <w:szCs w:val="20"/>
        </w:rPr>
        <w:t>•food safety and foodborne illness concerns;</w:t>
      </w:r>
    </w:p>
    <w:p w:rsidR="00000000" w:rsidRDefault="003E235E">
      <w:pPr>
        <w:divId w:val="28802033"/>
        <w:rPr>
          <w:rFonts w:eastAsia="Times New Roman"/>
        </w:rPr>
      </w:pPr>
    </w:p>
    <w:p w:rsidR="00000000" w:rsidRDefault="003E235E">
      <w:pPr>
        <w:ind w:hanging="720"/>
        <w:divId w:val="150677688"/>
        <w:rPr>
          <w:rFonts w:eastAsia="Times New Roman"/>
        </w:rPr>
      </w:pPr>
      <w:r>
        <w:rPr>
          <w:rFonts w:eastAsia="Times New Roman"/>
          <w:color w:val="000000"/>
          <w:sz w:val="20"/>
          <w:szCs w:val="20"/>
        </w:rPr>
        <w:t xml:space="preserve">•the impact of the COVID-19 pandemic; </w:t>
      </w:r>
    </w:p>
    <w:p w:rsidR="00000000" w:rsidRDefault="003E235E">
      <w:pPr>
        <w:divId w:val="1107702542"/>
        <w:rPr>
          <w:rFonts w:eastAsia="Times New Roman"/>
        </w:rPr>
      </w:pPr>
    </w:p>
    <w:p w:rsidR="00000000" w:rsidRDefault="003E235E">
      <w:pPr>
        <w:ind w:hanging="720"/>
        <w:divId w:val="838231328"/>
        <w:rPr>
          <w:rFonts w:eastAsia="Times New Roman"/>
        </w:rPr>
      </w:pPr>
      <w:r>
        <w:rPr>
          <w:rFonts w:eastAsia="Times New Roman"/>
          <w:color w:val="000000"/>
          <w:sz w:val="20"/>
          <w:szCs w:val="20"/>
        </w:rPr>
        <w:t>•local competition;</w:t>
      </w:r>
    </w:p>
    <w:p w:rsidR="00000000" w:rsidRDefault="003E235E">
      <w:pPr>
        <w:ind w:hanging="720"/>
        <w:divId w:val="509376229"/>
        <w:rPr>
          <w:rFonts w:eastAsia="Times New Roman"/>
        </w:rPr>
      </w:pPr>
    </w:p>
    <w:p w:rsidR="00000000" w:rsidRDefault="003E235E">
      <w:pPr>
        <w:ind w:hanging="720"/>
        <w:divId w:val="1767580697"/>
        <w:rPr>
          <w:rFonts w:eastAsia="Times New Roman"/>
        </w:rPr>
      </w:pPr>
      <w:r>
        <w:rPr>
          <w:rFonts w:eastAsia="Times New Roman"/>
          <w:color w:val="000000"/>
          <w:sz w:val="20"/>
          <w:szCs w:val="20"/>
        </w:rPr>
        <w:t>•trade area dynamics;</w:t>
      </w:r>
    </w:p>
    <w:p w:rsidR="00000000" w:rsidRDefault="003E235E">
      <w:pPr>
        <w:ind w:hanging="720"/>
        <w:divId w:val="2016153396"/>
        <w:rPr>
          <w:rFonts w:eastAsia="Times New Roman"/>
        </w:rPr>
      </w:pPr>
    </w:p>
    <w:p w:rsidR="00000000" w:rsidRDefault="003E235E">
      <w:pPr>
        <w:ind w:hanging="720"/>
        <w:divId w:val="1082219216"/>
        <w:rPr>
          <w:rFonts w:eastAsia="Times New Roman"/>
        </w:rPr>
      </w:pPr>
      <w:r>
        <w:rPr>
          <w:rFonts w:eastAsia="Times New Roman"/>
          <w:color w:val="000000"/>
          <w:sz w:val="20"/>
          <w:szCs w:val="20"/>
        </w:rPr>
        <w:t>•introduction of new and seasonal menu items and limited time offerings; and</w:t>
      </w:r>
    </w:p>
    <w:p w:rsidR="00000000" w:rsidRDefault="003E235E">
      <w:pPr>
        <w:ind w:hanging="720"/>
        <w:divId w:val="1868786491"/>
        <w:rPr>
          <w:rFonts w:eastAsia="Times New Roman"/>
        </w:rPr>
      </w:pPr>
    </w:p>
    <w:p w:rsidR="00000000" w:rsidRDefault="003E235E">
      <w:pPr>
        <w:ind w:hanging="720"/>
        <w:divId w:val="1785028704"/>
        <w:rPr>
          <w:rFonts w:eastAsia="Times New Roman"/>
        </w:rPr>
      </w:pPr>
      <w:r>
        <w:rPr>
          <w:rFonts w:eastAsia="Times New Roman"/>
          <w:color w:val="000000"/>
          <w:sz w:val="20"/>
          <w:szCs w:val="20"/>
        </w:rPr>
        <w:t>•opening new restaurants in the vicini</w:t>
      </w:r>
      <w:r>
        <w:rPr>
          <w:rFonts w:eastAsia="Times New Roman"/>
          <w:color w:val="000000"/>
          <w:sz w:val="20"/>
          <w:szCs w:val="20"/>
        </w:rPr>
        <w:t>ty of existing locations.</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Consistent with common industry practice, we present comparable restaurant sales on a calendar-adjusted basis that aligns current year sales weeks with comparable periods in the prior year, regardless of whether they belong to t</w:t>
      </w:r>
      <w:r>
        <w:rPr>
          <w:rFonts w:eastAsia="Times New Roman"/>
          <w:color w:val="000000"/>
          <w:sz w:val="20"/>
          <w:szCs w:val="20"/>
        </w:rPr>
        <w:t>he same fiscal period or not. Since opening new company-owned and franchise restaurants is a part of our long-term growth strategy and we anticipate new restaurants will be a component of our long-term revenue growth, comparable restaurant sales is only on</w:t>
      </w:r>
      <w:r>
        <w:rPr>
          <w:rFonts w:eastAsia="Times New Roman"/>
          <w:color w:val="000000"/>
          <w:sz w:val="20"/>
          <w:szCs w:val="20"/>
        </w:rPr>
        <w:t>e measure of how we evaluate our performance.</w:t>
      </w:r>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Average Unit Volume</w:t>
      </w:r>
    </w:p>
    <w:p w:rsidR="00000000" w:rsidRDefault="003E235E">
      <w:pPr>
        <w:jc w:val="both"/>
        <w:rPr>
          <w:rFonts w:eastAsia="Times New Roman"/>
        </w:rPr>
      </w:pPr>
    </w:p>
    <w:p w:rsidR="00000000" w:rsidRDefault="003E235E">
      <w:pPr>
        <w:jc w:val="center"/>
        <w:divId w:val="1558282190"/>
        <w:rPr>
          <w:rFonts w:eastAsia="Times New Roman"/>
        </w:rPr>
      </w:pPr>
      <w:r>
        <w:rPr>
          <w:rFonts w:eastAsia="Times New Roman"/>
          <w:color w:val="000000"/>
          <w:sz w:val="20"/>
          <w:szCs w:val="20"/>
        </w:rPr>
        <w:t>16</w:t>
      </w:r>
    </w:p>
    <w:p w:rsidR="00000000" w:rsidRDefault="003E235E">
      <w:pPr>
        <w:rPr>
          <w:rFonts w:eastAsia="Times New Roman"/>
        </w:rPr>
      </w:pPr>
      <w:r>
        <w:rPr>
          <w:rFonts w:eastAsia="Times New Roman"/>
        </w:rPr>
        <w:pict>
          <v:rect id="_x0000_i1041" style="width:0;height:1.5pt" o:hralign="center" o:hrstd="t" o:hr="t" fillcolor="#a0a0a0" stroked="f"/>
        </w:pict>
      </w:r>
    </w:p>
    <w:p w:rsidR="00000000" w:rsidRDefault="003E235E">
      <w:pPr>
        <w:divId w:val="1194922403"/>
        <w:rPr>
          <w:rFonts w:eastAsia="Times New Roman"/>
        </w:rPr>
      </w:pPr>
      <w:hyperlink w:anchor="i48000f6fae8946f8b752541bba7287a8_10" w:history="1">
        <w:r>
          <w:rPr>
            <w:rStyle w:val="a3"/>
            <w:rFonts w:eastAsia="Times New Roman"/>
            <w:sz w:val="20"/>
            <w:szCs w:val="20"/>
          </w:rPr>
          <w:t>Table of Contents</w:t>
        </w:r>
      </w:hyperlink>
    </w:p>
    <w:p w:rsidR="00000000" w:rsidRDefault="003E235E">
      <w:pPr>
        <w:jc w:val="both"/>
        <w:rPr>
          <w:rFonts w:eastAsia="Times New Roman"/>
        </w:rPr>
      </w:pPr>
      <w:r>
        <w:rPr>
          <w:rFonts w:eastAsia="Times New Roman"/>
          <w:color w:val="000000"/>
          <w:sz w:val="20"/>
          <w:szCs w:val="20"/>
        </w:rPr>
        <w:t>AUV consists of the average annualized sales of all restaurants for a given time period. AUV is calculated by dividing restaurant revenue by th</w:t>
      </w:r>
      <w:r>
        <w:rPr>
          <w:rFonts w:eastAsia="Times New Roman"/>
          <w:color w:val="000000"/>
          <w:sz w:val="20"/>
          <w:szCs w:val="20"/>
        </w:rPr>
        <w:t>e number of operating days within each time period and multiplying by the number of operating days we have in a typical year. This measurement allows management to assess changes in revenue patterns at our restaurants. In addition to the factors that impac</w:t>
      </w:r>
      <w:r>
        <w:rPr>
          <w:rFonts w:eastAsia="Times New Roman"/>
          <w:color w:val="000000"/>
          <w:sz w:val="20"/>
          <w:szCs w:val="20"/>
        </w:rPr>
        <w:t xml:space="preserve">t comparable restaurant sales, AUVs can be further impacted by effective real estate site selection and maturity and trends within new markets. </w:t>
      </w:r>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Restaurant Contribution and Restaurant Contribution Margin</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Restaurant contribution represents restaurant re</w:t>
      </w:r>
      <w:r>
        <w:rPr>
          <w:rFonts w:eastAsia="Times New Roman"/>
          <w:color w:val="000000"/>
          <w:sz w:val="20"/>
          <w:szCs w:val="20"/>
        </w:rPr>
        <w:t>venue less restaurant operating costs which are cost of sales, labor, occupancy and other restaurant operating costs. Restaurant contribution margin represents restaurant contribution as a percentage of restaurant revenue. We expect restaurant contribution</w:t>
      </w:r>
      <w:r>
        <w:rPr>
          <w:rFonts w:eastAsia="Times New Roman"/>
          <w:color w:val="000000"/>
          <w:sz w:val="20"/>
          <w:szCs w:val="20"/>
        </w:rPr>
        <w:t xml:space="preserve"> to increase in proportion to the number of new restaurants we open and our comparable restaurant sales growth. </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We believe that restaurant contribution and restaurant contribution margin are important tools for investors and other interested parties bec</w:t>
      </w:r>
      <w:r>
        <w:rPr>
          <w:rFonts w:eastAsia="Times New Roman"/>
          <w:color w:val="000000"/>
          <w:sz w:val="20"/>
          <w:szCs w:val="20"/>
        </w:rPr>
        <w:t>ause they are widely-used metrics within the restaurant industry to evaluate restaurant-level productivity, efficiency and performance. We also use restaurant contribution and restaurant contribution margin as metrics to evaluate the profitability of incre</w:t>
      </w:r>
      <w:r>
        <w:rPr>
          <w:rFonts w:eastAsia="Times New Roman"/>
          <w:color w:val="000000"/>
          <w:sz w:val="20"/>
          <w:szCs w:val="20"/>
        </w:rPr>
        <w:t xml:space="preserve">mental sales at our restaurants, restaurant performance across periods and restaurant financial performance compared with competitors. Restaurant contribution and restaurant contribution margin are supplemental measures of the operating performance of our </w:t>
      </w:r>
      <w:r>
        <w:rPr>
          <w:rFonts w:eastAsia="Times New Roman"/>
          <w:color w:val="000000"/>
          <w:sz w:val="20"/>
          <w:szCs w:val="20"/>
        </w:rPr>
        <w:t xml:space="preserve">restaurants and are not reflective of the underlying performance of our business because corporate-level expenses are excluded from these measures. </w:t>
      </w:r>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EBITDA and Adjusted EBITDA</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We define EBITDA as net income (loss) before interest expense, provision (be</w:t>
      </w:r>
      <w:r>
        <w:rPr>
          <w:rFonts w:eastAsia="Times New Roman"/>
          <w:color w:val="000000"/>
          <w:sz w:val="20"/>
          <w:szCs w:val="20"/>
        </w:rPr>
        <w:t>nefit) for income taxes and depreciation and amortization. We define adjusted EBITDA as net income (loss) before interest expense, provision (benefit) for income taxes, depreciation and amortization, restaurant impairments, closure costs and asset disposal</w:t>
      </w:r>
      <w:r>
        <w:rPr>
          <w:rFonts w:eastAsia="Times New Roman"/>
          <w:color w:val="000000"/>
          <w:sz w:val="20"/>
          <w:szCs w:val="20"/>
        </w:rPr>
        <w:t xml:space="preserve">s, certain litigation settlements, data breach assessments, non-recurring registration and related transaction costs, loss on extinguishment of debt, severance costs and stock-based compensation. </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 xml:space="preserve">We believe that EBITDA and adjusted EBITDA provide clear </w:t>
      </w:r>
      <w:r>
        <w:rPr>
          <w:rFonts w:eastAsia="Times New Roman"/>
          <w:color w:val="000000"/>
          <w:sz w:val="20"/>
          <w:szCs w:val="20"/>
        </w:rPr>
        <w:t xml:space="preserve">pictures of our operating results by eliminating certain non-recurring and non-cash expenses that may vary widely from period to period and are not reflective of the underlying business performance. </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The presentation of restaurant contribution, restauran</w:t>
      </w:r>
      <w:r>
        <w:rPr>
          <w:rFonts w:eastAsia="Times New Roman"/>
          <w:color w:val="000000"/>
          <w:sz w:val="20"/>
          <w:szCs w:val="20"/>
        </w:rPr>
        <w:t>t contribution margin, EBITDA and adjusted EBITDA is not intended to be considered in isolation or as a substitute for, or to be superior to, the financial information prepared and presented in accordance with accounting principles generally accepted in th</w:t>
      </w:r>
      <w:r>
        <w:rPr>
          <w:rFonts w:eastAsia="Times New Roman"/>
          <w:color w:val="000000"/>
          <w:sz w:val="20"/>
          <w:szCs w:val="20"/>
        </w:rPr>
        <w:t>e United States of America (“GAAP”). We use these non-GAAP financial measures for financial and operational decision making and as a means to evaluate period-to-period comparisons. We believe that they provide useful information to management and investors</w:t>
      </w:r>
      <w:r>
        <w:rPr>
          <w:rFonts w:eastAsia="Times New Roman"/>
          <w:color w:val="000000"/>
          <w:sz w:val="20"/>
          <w:szCs w:val="20"/>
        </w:rPr>
        <w:t xml:space="preserve"> about operating results, enhance the overall understanding of past financial performance and future prospects and allow for greater transparency with respect to key metrics used by management in its financial and operational decision making.</w:t>
      </w:r>
    </w:p>
    <w:p w:rsidR="00000000" w:rsidRDefault="003E235E">
      <w:pPr>
        <w:jc w:val="both"/>
        <w:rPr>
          <w:rFonts w:eastAsia="Times New Roman"/>
        </w:rPr>
      </w:pPr>
    </w:p>
    <w:p w:rsidR="00000000" w:rsidRDefault="003E235E">
      <w:pPr>
        <w:jc w:val="center"/>
        <w:divId w:val="581723324"/>
        <w:rPr>
          <w:rFonts w:eastAsia="Times New Roman"/>
        </w:rPr>
      </w:pPr>
      <w:r>
        <w:rPr>
          <w:rFonts w:eastAsia="Times New Roman"/>
          <w:color w:val="000000"/>
          <w:sz w:val="20"/>
          <w:szCs w:val="20"/>
        </w:rPr>
        <w:t>17</w:t>
      </w:r>
    </w:p>
    <w:p w:rsidR="00000000" w:rsidRDefault="003E235E">
      <w:pPr>
        <w:rPr>
          <w:rFonts w:eastAsia="Times New Roman"/>
        </w:rPr>
      </w:pPr>
      <w:r>
        <w:rPr>
          <w:rFonts w:eastAsia="Times New Roman"/>
        </w:rPr>
        <w:pict>
          <v:rect id="_x0000_i1042" style="width:0;height:1.5pt" o:hralign="center" o:hrstd="t" o:hr="t" fillcolor="#a0a0a0" stroked="f"/>
        </w:pict>
      </w:r>
    </w:p>
    <w:p w:rsidR="00000000" w:rsidRDefault="003E235E">
      <w:pPr>
        <w:divId w:val="1968269047"/>
        <w:rPr>
          <w:rFonts w:eastAsia="Times New Roman"/>
        </w:rPr>
      </w:pPr>
      <w:hyperlink w:anchor="i48000f6fae8946f8b752541bba7287a8_10" w:history="1">
        <w:r>
          <w:rPr>
            <w:rStyle w:val="a3"/>
            <w:rFonts w:eastAsia="Times New Roman"/>
            <w:sz w:val="20"/>
            <w:szCs w:val="20"/>
          </w:rPr>
          <w:t>Table of Contents</w:t>
        </w:r>
      </w:hyperlink>
    </w:p>
    <w:p w:rsidR="00000000" w:rsidRDefault="003E235E">
      <w:pPr>
        <w:jc w:val="both"/>
        <w:rPr>
          <w:rFonts w:eastAsia="Times New Roman"/>
        </w:rPr>
      </w:pPr>
      <w:r>
        <w:rPr>
          <w:rFonts w:eastAsia="Times New Roman"/>
          <w:b/>
          <w:bCs/>
          <w:color w:val="000000"/>
          <w:sz w:val="20"/>
          <w:szCs w:val="20"/>
        </w:rPr>
        <w:t>Results of Operations</w:t>
      </w:r>
    </w:p>
    <w:p w:rsidR="00000000" w:rsidRDefault="003E235E">
      <w:pPr>
        <w:jc w:val="both"/>
        <w:rPr>
          <w:rFonts w:eastAsia="Times New Roman"/>
        </w:rPr>
      </w:pPr>
    </w:p>
    <w:p w:rsidR="00000000" w:rsidRDefault="003E235E">
      <w:pPr>
        <w:jc w:val="both"/>
        <w:divId w:val="1875582870"/>
        <w:rPr>
          <w:rFonts w:eastAsia="Times New Roman"/>
        </w:rPr>
      </w:pPr>
      <w:r>
        <w:rPr>
          <w:rFonts w:eastAsia="Times New Roman"/>
          <w:color w:val="000000"/>
          <w:sz w:val="20"/>
          <w:szCs w:val="20"/>
        </w:rPr>
        <w:t>The following table presents a reconciliation of net income (loss) to EBITDA and adjusted EBITDA:</w:t>
      </w:r>
    </w:p>
    <w:tbl>
      <w:tblPr>
        <w:tblW w:w="5000" w:type="pct"/>
        <w:tblCellMar>
          <w:top w:w="15" w:type="dxa"/>
          <w:left w:w="15" w:type="dxa"/>
          <w:bottom w:w="15" w:type="dxa"/>
          <w:right w:w="15" w:type="dxa"/>
        </w:tblCellMar>
        <w:tblLook w:val="04A0" w:firstRow="1" w:lastRow="0" w:firstColumn="1" w:lastColumn="0" w:noHBand="0" w:noVBand="1"/>
      </w:tblPr>
      <w:tblGrid>
        <w:gridCol w:w="40"/>
        <w:gridCol w:w="3833"/>
        <w:gridCol w:w="39"/>
        <w:gridCol w:w="36"/>
        <w:gridCol w:w="36"/>
        <w:gridCol w:w="36"/>
        <w:gridCol w:w="120"/>
        <w:gridCol w:w="834"/>
        <w:gridCol w:w="36"/>
        <w:gridCol w:w="36"/>
        <w:gridCol w:w="36"/>
        <w:gridCol w:w="36"/>
        <w:gridCol w:w="120"/>
        <w:gridCol w:w="834"/>
        <w:gridCol w:w="36"/>
        <w:gridCol w:w="36"/>
        <w:gridCol w:w="36"/>
        <w:gridCol w:w="36"/>
        <w:gridCol w:w="120"/>
        <w:gridCol w:w="834"/>
        <w:gridCol w:w="36"/>
        <w:gridCol w:w="36"/>
        <w:gridCol w:w="36"/>
        <w:gridCol w:w="36"/>
        <w:gridCol w:w="120"/>
        <w:gridCol w:w="836"/>
        <w:gridCol w:w="36"/>
      </w:tblGrid>
      <w:tr w:rsidR="00000000">
        <w:trPr>
          <w:divId w:val="363135251"/>
        </w:trPr>
        <w:tc>
          <w:tcPr>
            <w:tcW w:w="50" w:type="pct"/>
            <w:vAlign w:val="center"/>
            <w:hideMark/>
          </w:tcPr>
          <w:p w:rsidR="00000000" w:rsidRDefault="003E235E">
            <w:pPr>
              <w:jc w:val="both"/>
              <w:rPr>
                <w:rFonts w:eastAsia="Times New Roman"/>
              </w:rPr>
            </w:pPr>
          </w:p>
        </w:tc>
        <w:tc>
          <w:tcPr>
            <w:tcW w:w="2342"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59"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59"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59"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59"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r>
      <w:tr w:rsidR="00000000">
        <w:trPr>
          <w:divId w:val="363135251"/>
        </w:trPr>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Two Fiscal Quarters Ended</w:t>
            </w:r>
          </w:p>
        </w:tc>
      </w:tr>
      <w:tr w:rsidR="00000000">
        <w:trPr>
          <w:divId w:val="363135251"/>
        </w:trPr>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2020</w:t>
            </w:r>
          </w:p>
        </w:tc>
      </w:tr>
      <w:tr w:rsidR="00000000">
        <w:trPr>
          <w:divId w:val="363135251"/>
        </w:trPr>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(in thousands, unaudited)</w:t>
            </w:r>
          </w:p>
        </w:tc>
      </w:tr>
      <w:tr w:rsidR="00000000">
        <w:trPr>
          <w:divId w:val="363135251"/>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5,683 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(13,478)</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3,706 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(19,313)</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363135251"/>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5,576 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5,397 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11,163 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10,732 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363135251"/>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Interest expense, net</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498 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920 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1,120 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1,888 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363135251"/>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Provision for income taxes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363135251"/>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EBITDA</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11,786 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(7,128)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16,008 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(6,647)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363135251"/>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ind w:hanging="180"/>
              <w:divId w:val="1190797890"/>
              <w:rPr>
                <w:rFonts w:eastAsia="Times New Roman"/>
              </w:rPr>
            </w:pPr>
            <w:r>
              <w:rPr>
                <w:rFonts w:eastAsia="Times New Roman"/>
                <w:color w:val="000000"/>
                <w:sz w:val="20"/>
                <w:szCs w:val="20"/>
              </w:rPr>
              <w:t>Restaurant impairments, closure costs and asset disposals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390 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2,558 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1,621 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3,614 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363135251"/>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Stock-based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1,611 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1,094 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2,413 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1,253 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363135251"/>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Severance costs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89 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89 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363135251"/>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ind w:hanging="180"/>
              <w:divId w:val="1407805294"/>
              <w:rPr>
                <w:rFonts w:eastAsia="Times New Roman"/>
              </w:rPr>
            </w:pPr>
            <w:r>
              <w:rPr>
                <w:rFonts w:eastAsia="Times New Roman"/>
                <w:color w:val="000000"/>
                <w:sz w:val="20"/>
                <w:szCs w:val="20"/>
              </w:rPr>
              <w:t>Fees and costs related to transactions and other acquisition/disposition costs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162 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rPr>
          <w:divId w:val="363135251"/>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Adjusted EBITDA</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13,787 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(3,314)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20,042 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(1,529)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bl>
    <w:p w:rsidR="00000000" w:rsidRDefault="003E235E">
      <w:pPr>
        <w:divId w:val="1232735200"/>
        <w:rPr>
          <w:rFonts w:eastAsia="Times New Roman"/>
        </w:rPr>
      </w:pPr>
      <w:r>
        <w:rPr>
          <w:rFonts w:eastAsia="Times New Roman"/>
          <w:color w:val="000000"/>
          <w:sz w:val="16"/>
          <w:szCs w:val="16"/>
        </w:rPr>
        <w:t>_____________________</w:t>
      </w:r>
    </w:p>
    <w:p w:rsidR="00000000" w:rsidRDefault="003E235E">
      <w:pPr>
        <w:ind w:hanging="720"/>
        <w:jc w:val="both"/>
        <w:rPr>
          <w:rFonts w:eastAsia="Times New Roman"/>
        </w:rPr>
      </w:pPr>
      <w:r>
        <w:rPr>
          <w:rFonts w:eastAsia="Times New Roman"/>
          <w:color w:val="000000"/>
          <w:sz w:val="16"/>
          <w:szCs w:val="16"/>
        </w:rPr>
        <w:t>(1)Restaurant impairments and closu</w:t>
      </w:r>
      <w:r>
        <w:rPr>
          <w:rFonts w:eastAsia="Times New Roman"/>
          <w:color w:val="000000"/>
          <w:sz w:val="16"/>
          <w:szCs w:val="16"/>
        </w:rPr>
        <w:t>re costs in all periods presented above include amounts related to restaurants previously impaired or closed. See Note 7, Restaurant Impairments, Closure Costs and Asset Disposals.</w:t>
      </w:r>
    </w:p>
    <w:p w:rsidR="00000000" w:rsidRDefault="003E235E">
      <w:pPr>
        <w:divId w:val="291328038"/>
        <w:rPr>
          <w:rFonts w:eastAsia="Times New Roman"/>
        </w:rPr>
      </w:pPr>
    </w:p>
    <w:p w:rsidR="00000000" w:rsidRDefault="003E235E">
      <w:pPr>
        <w:jc w:val="both"/>
        <w:divId w:val="1387142578"/>
        <w:rPr>
          <w:rFonts w:eastAsia="Times New Roman"/>
        </w:rPr>
      </w:pPr>
      <w:r>
        <w:rPr>
          <w:rFonts w:eastAsia="Times New Roman"/>
          <w:b/>
          <w:bCs/>
          <w:i/>
          <w:iCs/>
          <w:color w:val="000000"/>
          <w:sz w:val="20"/>
          <w:szCs w:val="20"/>
        </w:rPr>
        <w:t>Restaurant Openings, Closures and Relocations</w:t>
      </w:r>
    </w:p>
    <w:p w:rsidR="00000000" w:rsidRDefault="003E235E">
      <w:pPr>
        <w:jc w:val="both"/>
        <w:rPr>
          <w:rFonts w:eastAsia="Times New Roman"/>
        </w:rPr>
      </w:pPr>
    </w:p>
    <w:p w:rsidR="00000000" w:rsidRDefault="003E235E">
      <w:pPr>
        <w:jc w:val="both"/>
        <w:divId w:val="885335913"/>
        <w:rPr>
          <w:rFonts w:eastAsia="Times New Roman"/>
        </w:rPr>
      </w:pPr>
      <w:r>
        <w:rPr>
          <w:rFonts w:eastAsia="Times New Roman"/>
          <w:color w:val="000000"/>
          <w:sz w:val="20"/>
          <w:szCs w:val="20"/>
        </w:rPr>
        <w:t xml:space="preserve">The following table shows restaurants opened or closed during the periods indicated: </w:t>
      </w:r>
    </w:p>
    <w:tbl>
      <w:tblPr>
        <w:tblW w:w="4992" w:type="pct"/>
        <w:tblCellMar>
          <w:top w:w="15" w:type="dxa"/>
          <w:left w:w="15" w:type="dxa"/>
          <w:bottom w:w="15" w:type="dxa"/>
          <w:right w:w="15" w:type="dxa"/>
        </w:tblCellMar>
        <w:tblLook w:val="04A0" w:firstRow="1" w:lastRow="0" w:firstColumn="1" w:lastColumn="0" w:noHBand="0" w:noVBand="1"/>
      </w:tblPr>
      <w:tblGrid>
        <w:gridCol w:w="56"/>
        <w:gridCol w:w="3710"/>
        <w:gridCol w:w="37"/>
        <w:gridCol w:w="36"/>
        <w:gridCol w:w="36"/>
        <w:gridCol w:w="36"/>
        <w:gridCol w:w="38"/>
        <w:gridCol w:w="936"/>
        <w:gridCol w:w="38"/>
        <w:gridCol w:w="37"/>
        <w:gridCol w:w="37"/>
        <w:gridCol w:w="36"/>
        <w:gridCol w:w="37"/>
        <w:gridCol w:w="939"/>
        <w:gridCol w:w="37"/>
        <w:gridCol w:w="36"/>
        <w:gridCol w:w="36"/>
        <w:gridCol w:w="36"/>
        <w:gridCol w:w="38"/>
        <w:gridCol w:w="939"/>
        <w:gridCol w:w="37"/>
        <w:gridCol w:w="37"/>
        <w:gridCol w:w="36"/>
        <w:gridCol w:w="36"/>
        <w:gridCol w:w="38"/>
        <w:gridCol w:w="941"/>
        <w:gridCol w:w="37"/>
      </w:tblGrid>
      <w:tr w:rsidR="00000000">
        <w:tc>
          <w:tcPr>
            <w:tcW w:w="50" w:type="pct"/>
            <w:vAlign w:val="center"/>
            <w:hideMark/>
          </w:tcPr>
          <w:p w:rsidR="00000000" w:rsidRDefault="003E235E">
            <w:pPr>
              <w:jc w:val="both"/>
              <w:rPr>
                <w:rFonts w:eastAsia="Times New Roman"/>
              </w:rPr>
            </w:pPr>
          </w:p>
        </w:tc>
        <w:tc>
          <w:tcPr>
            <w:tcW w:w="2251"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1"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1"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1"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2"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Two Fiscal Quarters Ended</w:t>
            </w:r>
          </w:p>
        </w:tc>
      </w:tr>
      <w:tr w:rsidR="00000000">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2020</w:t>
            </w:r>
          </w:p>
        </w:tc>
      </w:tr>
      <w:tr w:rsidR="00000000">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b/>
                <w:bCs/>
                <w:color w:val="000000"/>
                <w:sz w:val="20"/>
                <w:szCs w:val="20"/>
              </w:rPr>
              <w:t>Company-Owned Restaurant Activity</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E235E">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Beginning of period</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372 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381 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378 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389 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Openings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Closures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divId w:val="1986665694"/>
              <w:rPr>
                <w:rFonts w:eastAsia="Times New Roman"/>
              </w:rPr>
            </w:pPr>
            <w:r>
              <w:rPr>
                <w:rFonts w:eastAsia="Times New Roman"/>
                <w:color w:val="000000"/>
                <w:sz w:val="20"/>
                <w:szCs w:val="20"/>
              </w:rPr>
              <w:t>Divestitures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Restaurants at end of period</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b/>
                <w:bCs/>
                <w:color w:val="000000"/>
                <w:sz w:val="20"/>
                <w:szCs w:val="20"/>
              </w:rPr>
              <w:t>Franchise Restaurant Activity</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Beginning of period</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68 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Openings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divId w:val="132871452"/>
              <w:rPr>
                <w:rFonts w:eastAsia="Times New Roman"/>
              </w:rPr>
            </w:pPr>
            <w:r>
              <w:rPr>
                <w:rFonts w:eastAsia="Times New Roman"/>
                <w:color w:val="000000"/>
                <w:sz w:val="20"/>
                <w:szCs w:val="20"/>
              </w:rPr>
              <w:t>Acquisitions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Closures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Restaurants at end of period</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Total restaurants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bl>
    <w:p w:rsidR="00000000" w:rsidRDefault="003E235E">
      <w:pPr>
        <w:ind w:hanging="450"/>
        <w:divId w:val="427700789"/>
        <w:rPr>
          <w:rFonts w:eastAsia="Times New Roman"/>
        </w:rPr>
      </w:pPr>
      <w:r>
        <w:rPr>
          <w:rFonts w:eastAsia="Times New Roman"/>
          <w:color w:val="000000"/>
          <w:sz w:val="16"/>
          <w:szCs w:val="16"/>
        </w:rPr>
        <w:t>_____________________________</w:t>
      </w:r>
    </w:p>
    <w:p w:rsidR="00000000" w:rsidRDefault="003E235E">
      <w:pPr>
        <w:ind w:hanging="720"/>
        <w:jc w:val="both"/>
        <w:rPr>
          <w:rFonts w:eastAsia="Times New Roman"/>
        </w:rPr>
      </w:pPr>
      <w:r>
        <w:rPr>
          <w:rFonts w:eastAsia="Times New Roman"/>
          <w:color w:val="000000"/>
          <w:sz w:val="16"/>
          <w:szCs w:val="16"/>
          <w:shd w:val="clear" w:color="auto" w:fill="FFFFFF"/>
        </w:rPr>
        <w:t xml:space="preserve">(1)Represents nine company-owned restaurants sold to a franchisee in 2020. </w:t>
      </w:r>
    </w:p>
    <w:p w:rsidR="00000000" w:rsidRDefault="003E235E">
      <w:pPr>
        <w:ind w:hanging="360"/>
        <w:jc w:val="both"/>
        <w:rPr>
          <w:rFonts w:eastAsia="Times New Roman"/>
        </w:rPr>
      </w:pPr>
    </w:p>
    <w:p w:rsidR="00000000" w:rsidRDefault="003E235E">
      <w:pPr>
        <w:divId w:val="876158981"/>
        <w:rPr>
          <w:rFonts w:eastAsia="Times New Roman"/>
        </w:rPr>
      </w:pPr>
    </w:p>
    <w:p w:rsidR="00000000" w:rsidRDefault="003E235E">
      <w:pPr>
        <w:jc w:val="center"/>
        <w:divId w:val="2104297149"/>
        <w:rPr>
          <w:rFonts w:eastAsia="Times New Roman"/>
        </w:rPr>
      </w:pPr>
      <w:r>
        <w:rPr>
          <w:rFonts w:eastAsia="Times New Roman"/>
          <w:color w:val="000000"/>
          <w:sz w:val="20"/>
          <w:szCs w:val="20"/>
        </w:rPr>
        <w:t>18</w:t>
      </w:r>
    </w:p>
    <w:p w:rsidR="00000000" w:rsidRDefault="003E235E">
      <w:pPr>
        <w:rPr>
          <w:rFonts w:eastAsia="Times New Roman"/>
        </w:rPr>
      </w:pPr>
      <w:r>
        <w:rPr>
          <w:rFonts w:eastAsia="Times New Roman"/>
        </w:rPr>
        <w:pict>
          <v:rect id="_x0000_i1043" style="width:0;height:1.5pt" o:hralign="center" o:hrstd="t" o:hr="t" fillcolor="#a0a0a0" stroked="f"/>
        </w:pict>
      </w:r>
    </w:p>
    <w:p w:rsidR="00000000" w:rsidRDefault="003E235E">
      <w:pPr>
        <w:divId w:val="408428697"/>
        <w:rPr>
          <w:rFonts w:eastAsia="Times New Roman"/>
        </w:rPr>
      </w:pPr>
      <w:hyperlink w:anchor="i48000f6fae8946f8b752541bba7287a8_10" w:history="1">
        <w:r>
          <w:rPr>
            <w:rStyle w:val="a3"/>
            <w:rFonts w:eastAsia="Times New Roman"/>
            <w:sz w:val="20"/>
            <w:szCs w:val="20"/>
          </w:rPr>
          <w:t>Table of Contents</w:t>
        </w:r>
      </w:hyperlink>
    </w:p>
    <w:p w:rsidR="00000000" w:rsidRDefault="003E235E">
      <w:pPr>
        <w:divId w:val="334303606"/>
        <w:rPr>
          <w:rFonts w:eastAsia="Times New Roman"/>
        </w:rPr>
      </w:pPr>
    </w:p>
    <w:p w:rsidR="00000000" w:rsidRDefault="003E235E">
      <w:pPr>
        <w:divId w:val="1965621893"/>
        <w:rPr>
          <w:rFonts w:eastAsia="Times New Roman"/>
        </w:rPr>
      </w:pPr>
      <w:r>
        <w:rPr>
          <w:rFonts w:eastAsia="Times New Roman"/>
          <w:b/>
          <w:bCs/>
          <w:i/>
          <w:iCs/>
          <w:color w:val="000000"/>
          <w:sz w:val="20"/>
          <w:szCs w:val="20"/>
        </w:rPr>
        <w:t>Statement of Operations as a Percentage of Revenue</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The following table summarizes key components of our results of operations for the periods indicated as a percentage of our total revenue, except for the components of restaurant operating costs, which are expressed as a percentage of restaurant revenue.</w:t>
      </w:r>
    </w:p>
    <w:tbl>
      <w:tblPr>
        <w:tblW w:w="4992" w:type="pct"/>
        <w:tblCellMar>
          <w:top w:w="15" w:type="dxa"/>
          <w:left w:w="15" w:type="dxa"/>
          <w:bottom w:w="15" w:type="dxa"/>
          <w:right w:w="15" w:type="dxa"/>
        </w:tblCellMar>
        <w:tblLook w:val="04A0" w:firstRow="1" w:lastRow="0" w:firstColumn="1" w:lastColumn="0" w:noHBand="0" w:noVBand="1"/>
      </w:tblPr>
      <w:tblGrid>
        <w:gridCol w:w="40"/>
        <w:gridCol w:w="3640"/>
        <w:gridCol w:w="38"/>
        <w:gridCol w:w="36"/>
        <w:gridCol w:w="36"/>
        <w:gridCol w:w="36"/>
        <w:gridCol w:w="42"/>
        <w:gridCol w:w="803"/>
        <w:gridCol w:w="188"/>
        <w:gridCol w:w="36"/>
        <w:gridCol w:w="36"/>
        <w:gridCol w:w="36"/>
        <w:gridCol w:w="42"/>
        <w:gridCol w:w="806"/>
        <w:gridCol w:w="188"/>
        <w:gridCol w:w="36"/>
        <w:gridCol w:w="36"/>
        <w:gridCol w:w="36"/>
        <w:gridCol w:w="42"/>
        <w:gridCol w:w="806"/>
        <w:gridCol w:w="188"/>
        <w:gridCol w:w="37"/>
        <w:gridCol w:w="36"/>
        <w:gridCol w:w="36"/>
        <w:gridCol w:w="42"/>
        <w:gridCol w:w="808"/>
        <w:gridCol w:w="187"/>
      </w:tblGrid>
      <w:tr w:rsidR="00000000">
        <w:trPr>
          <w:divId w:val="1405836159"/>
        </w:trPr>
        <w:tc>
          <w:tcPr>
            <w:tcW w:w="50" w:type="pct"/>
            <w:vAlign w:val="center"/>
            <w:hideMark/>
          </w:tcPr>
          <w:p w:rsidR="00000000" w:rsidRDefault="003E235E">
            <w:pPr>
              <w:jc w:val="both"/>
              <w:rPr>
                <w:rFonts w:eastAsia="Times New Roman"/>
              </w:rPr>
            </w:pPr>
          </w:p>
        </w:tc>
        <w:tc>
          <w:tcPr>
            <w:tcW w:w="2251"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1"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1"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1"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2"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r>
      <w:tr w:rsidR="00000000">
        <w:trPr>
          <w:divId w:val="1405836159"/>
        </w:trPr>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Two Fiscal Quarters Ended</w:t>
            </w:r>
          </w:p>
        </w:tc>
      </w:tr>
      <w:tr w:rsidR="00000000">
        <w:trPr>
          <w:divId w:val="1405836159"/>
        </w:trPr>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2020</w:t>
            </w:r>
          </w:p>
        </w:tc>
      </w:tr>
      <w:tr w:rsidR="00000000">
        <w:trPr>
          <w:divId w:val="1405836159"/>
        </w:trPr>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21"/>
            <w:tcBorders>
              <w:top w:val="single" w:sz="8" w:space="0" w:color="000000"/>
            </w:tcBorders>
            <w:shd w:val="clear" w:color="auto" w:fill="FFFFFF"/>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(unaudited)</w:t>
            </w:r>
          </w:p>
        </w:tc>
      </w:tr>
      <w:tr w:rsidR="00000000">
        <w:trPr>
          <w:divId w:val="1405836159"/>
        </w:trPr>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i/>
                <w:iCs/>
                <w:color w:val="000000"/>
                <w:sz w:val="20"/>
                <w:szCs w:val="20"/>
              </w:rPr>
              <w:t>Revenue:</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r>
      <w:tr w:rsidR="00000000">
        <w:trPr>
          <w:divId w:val="1405836159"/>
        </w:trPr>
        <w:tc>
          <w:tcPr>
            <w:tcW w:w="0" w:type="auto"/>
            <w:gridSpan w:val="3"/>
            <w:shd w:val="clear" w:color="auto" w:fill="CCEE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Restaurant revenue</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98.5 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99.8 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98.4 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99.0 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rPr>
          <w:divId w:val="1405836159"/>
        </w:trPr>
        <w:tc>
          <w:tcPr>
            <w:tcW w:w="0" w:type="auto"/>
            <w:gridSpan w:val="3"/>
            <w:shd w:val="clear" w:color="auto" w:fill="FFFF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Franchising royalties and fees, and other</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rPr>
          <w:divId w:val="1405836159"/>
        </w:trPr>
        <w:tc>
          <w:tcPr>
            <w:tcW w:w="0" w:type="auto"/>
            <w:gridSpan w:val="3"/>
            <w:shd w:val="clear" w:color="auto" w:fill="CCEEFF"/>
            <w:tcMar>
              <w:top w:w="30" w:type="dxa"/>
              <w:left w:w="51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rPr>
          <w:divId w:val="1405836159"/>
        </w:trPr>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i/>
                <w:iCs/>
                <w:color w:val="000000"/>
                <w:sz w:val="20"/>
                <w:szCs w:val="20"/>
              </w:rPr>
              <w:t>Costs and expenses: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r>
      <w:tr w:rsidR="00000000">
        <w:trPr>
          <w:divId w:val="1405836159"/>
        </w:trPr>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ind w:hanging="270"/>
              <w:divId w:val="799147736"/>
              <w:rPr>
                <w:rFonts w:eastAsia="Times New Roman"/>
              </w:rPr>
            </w:pPr>
            <w:r>
              <w:rPr>
                <w:rFonts w:eastAsia="Times New Roman"/>
                <w:color w:val="000000"/>
                <w:sz w:val="20"/>
                <w:szCs w:val="20"/>
              </w:rPr>
              <w:t xml:space="preserve">Restaurant operating costs (exclusive of depreciation and amortization shown separately below): </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ind w:hanging="27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r>
      <w:tr w:rsidR="00000000">
        <w:trPr>
          <w:divId w:val="1405836159"/>
        </w:trPr>
        <w:tc>
          <w:tcPr>
            <w:tcW w:w="0" w:type="auto"/>
            <w:gridSpan w:val="3"/>
            <w:shd w:val="clear" w:color="auto" w:fill="FFFFFF"/>
            <w:tcMar>
              <w:top w:w="30" w:type="dxa"/>
              <w:left w:w="51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Cost of sales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24.9 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25.0 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25.0 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25.3 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rPr>
          <w:divId w:val="1405836159"/>
        </w:trPr>
        <w:tc>
          <w:tcPr>
            <w:tcW w:w="0" w:type="auto"/>
            <w:gridSpan w:val="3"/>
            <w:shd w:val="clear" w:color="auto" w:fill="CCEEFF"/>
            <w:tcMar>
              <w:top w:w="30" w:type="dxa"/>
              <w:left w:w="51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Labor</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29.8 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33.9 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30.8 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34.3 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rPr>
          <w:divId w:val="1405836159"/>
        </w:trPr>
        <w:tc>
          <w:tcPr>
            <w:tcW w:w="0" w:type="auto"/>
            <w:gridSpan w:val="3"/>
            <w:shd w:val="clear" w:color="auto" w:fill="FFFFFF"/>
            <w:tcMar>
              <w:top w:w="30" w:type="dxa"/>
              <w:left w:w="51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Occupancy</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9.3 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14.6 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13.3 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rPr>
          <w:divId w:val="1405836159"/>
        </w:trPr>
        <w:tc>
          <w:tcPr>
            <w:tcW w:w="0" w:type="auto"/>
            <w:gridSpan w:val="3"/>
            <w:shd w:val="clear" w:color="auto" w:fill="CCEEFF"/>
            <w:tcMar>
              <w:top w:w="30" w:type="dxa"/>
              <w:left w:w="51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Other restaurant operating costs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17.0 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19.7 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17.8 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18.2 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rPr>
          <w:divId w:val="1405836159"/>
        </w:trPr>
        <w:tc>
          <w:tcPr>
            <w:tcW w:w="0" w:type="auto"/>
            <w:gridSpan w:val="3"/>
            <w:shd w:val="clear" w:color="auto" w:fill="FFFF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General and administrative</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10.3 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12.5 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10.2 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11.4 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rPr>
          <w:divId w:val="1405836159"/>
        </w:trPr>
        <w:tc>
          <w:tcPr>
            <w:tcW w:w="0" w:type="auto"/>
            <w:gridSpan w:val="3"/>
            <w:shd w:val="clear" w:color="auto" w:fill="CCEE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5.9 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rPr>
          <w:divId w:val="1405836159"/>
        </w:trPr>
        <w:tc>
          <w:tcPr>
            <w:tcW w:w="0" w:type="auto"/>
            <w:gridSpan w:val="3"/>
            <w:shd w:val="clear" w:color="auto" w:fill="FFFF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Pre-opening</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rPr>
          <w:divId w:val="1405836159"/>
        </w:trPr>
        <w:tc>
          <w:tcPr>
            <w:tcW w:w="0" w:type="auto"/>
            <w:gridSpan w:val="3"/>
            <w:shd w:val="clear" w:color="auto" w:fill="CCEE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Restaurant impairments, closure costs and asset disposals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0.7 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rPr>
          <w:divId w:val="1405836159"/>
        </w:trPr>
        <w:tc>
          <w:tcPr>
            <w:tcW w:w="0" w:type="auto"/>
            <w:gridSpan w:val="3"/>
            <w:shd w:val="clear" w:color="auto" w:fill="FFFFFF"/>
            <w:tcMar>
              <w:top w:w="30" w:type="dxa"/>
              <w:left w:w="51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Total costs and expenses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95.1 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115.6 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97.9 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109.6 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rPr>
          <w:divId w:val="1405836159"/>
        </w:trPr>
        <w:tc>
          <w:tcPr>
            <w:tcW w:w="0" w:type="auto"/>
            <w:gridSpan w:val="3"/>
            <w:shd w:val="clear" w:color="auto" w:fill="CCEE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Income (loss) from operations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(15.6)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rPr>
          <w:divId w:val="1405836159"/>
        </w:trPr>
        <w:tc>
          <w:tcPr>
            <w:tcW w:w="0" w:type="auto"/>
            <w:gridSpan w:val="3"/>
            <w:shd w:val="clear" w:color="auto" w:fill="FFFF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Interest expense, net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0.4 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0.5 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rPr>
          <w:divId w:val="1405836159"/>
        </w:trPr>
        <w:tc>
          <w:tcPr>
            <w:tcW w:w="0" w:type="auto"/>
            <w:gridSpan w:val="3"/>
            <w:shd w:val="clear" w:color="auto" w:fill="CCEE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Income (loss) before taxes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(16.8)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rPr>
          <w:divId w:val="1405836159"/>
        </w:trPr>
        <w:tc>
          <w:tcPr>
            <w:tcW w:w="0" w:type="auto"/>
            <w:gridSpan w:val="3"/>
            <w:shd w:val="clear" w:color="auto" w:fill="FFFF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Provision for income taxes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rPr>
          <w:divId w:val="1405836159"/>
        </w:trPr>
        <w:tc>
          <w:tcPr>
            <w:tcW w:w="0" w:type="auto"/>
            <w:gridSpan w:val="3"/>
            <w:shd w:val="clear" w:color="auto" w:fill="CCEE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(16.8)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(10.7)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bl>
    <w:p w:rsidR="00000000" w:rsidRDefault="003E235E">
      <w:pPr>
        <w:divId w:val="1037896284"/>
        <w:rPr>
          <w:rFonts w:eastAsia="Times New Roman"/>
        </w:rPr>
      </w:pPr>
    </w:p>
    <w:p w:rsidR="00000000" w:rsidRDefault="003E235E">
      <w:pPr>
        <w:jc w:val="center"/>
        <w:divId w:val="1813403612"/>
        <w:rPr>
          <w:rFonts w:eastAsia="Times New Roman"/>
        </w:rPr>
      </w:pPr>
      <w:r>
        <w:rPr>
          <w:rFonts w:eastAsia="Times New Roman"/>
          <w:color w:val="000000"/>
          <w:sz w:val="20"/>
          <w:szCs w:val="20"/>
        </w:rPr>
        <w:t>19</w:t>
      </w:r>
    </w:p>
    <w:p w:rsidR="00000000" w:rsidRDefault="003E235E">
      <w:pPr>
        <w:rPr>
          <w:rFonts w:eastAsia="Times New Roman"/>
        </w:rPr>
      </w:pPr>
      <w:r>
        <w:rPr>
          <w:rFonts w:eastAsia="Times New Roman"/>
        </w:rPr>
        <w:pict>
          <v:rect id="_x0000_i1044" style="width:0;height:1.5pt" o:hralign="center" o:hrstd="t" o:hr="t" fillcolor="#a0a0a0" stroked="f"/>
        </w:pict>
      </w:r>
    </w:p>
    <w:p w:rsidR="00000000" w:rsidRDefault="003E235E">
      <w:pPr>
        <w:divId w:val="1184825889"/>
        <w:rPr>
          <w:rFonts w:eastAsia="Times New Roman"/>
        </w:rPr>
      </w:pPr>
      <w:hyperlink w:anchor="i48000f6fae8946f8b752541bba7287a8_10" w:history="1">
        <w:r>
          <w:rPr>
            <w:rStyle w:val="a3"/>
            <w:rFonts w:eastAsia="Times New Roman"/>
            <w:sz w:val="20"/>
            <w:szCs w:val="20"/>
          </w:rPr>
          <w:t>Table of Contents</w:t>
        </w:r>
      </w:hyperlink>
    </w:p>
    <w:p w:rsidR="00000000" w:rsidRDefault="003E235E">
      <w:pPr>
        <w:jc w:val="both"/>
        <w:rPr>
          <w:rFonts w:eastAsia="Times New Roman"/>
        </w:rPr>
      </w:pPr>
      <w:r>
        <w:rPr>
          <w:rFonts w:eastAsia="Times New Roman"/>
          <w:b/>
          <w:bCs/>
          <w:color w:val="000000"/>
          <w:sz w:val="20"/>
          <w:szCs w:val="20"/>
        </w:rPr>
        <w:t xml:space="preserve">Second Quarter Ended June 29, 2021 Compared to Second Quarter Ended June 30, 2020 </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 xml:space="preserve">The table below presents our unaudited operating results for the second quarters of 2021 and 2020, and the related quarter-over-quarter changes. </w:t>
      </w:r>
    </w:p>
    <w:tbl>
      <w:tblPr>
        <w:tblW w:w="4992" w:type="pct"/>
        <w:tblCellMar>
          <w:top w:w="15" w:type="dxa"/>
          <w:left w:w="15" w:type="dxa"/>
          <w:bottom w:w="15" w:type="dxa"/>
          <w:right w:w="15" w:type="dxa"/>
        </w:tblCellMar>
        <w:tblLook w:val="04A0" w:firstRow="1" w:lastRow="0" w:firstColumn="1" w:lastColumn="0" w:noHBand="0" w:noVBand="1"/>
      </w:tblPr>
      <w:tblGrid>
        <w:gridCol w:w="41"/>
        <w:gridCol w:w="3609"/>
        <w:gridCol w:w="39"/>
        <w:gridCol w:w="36"/>
        <w:gridCol w:w="36"/>
        <w:gridCol w:w="36"/>
        <w:gridCol w:w="120"/>
        <w:gridCol w:w="802"/>
        <w:gridCol w:w="187"/>
        <w:gridCol w:w="36"/>
        <w:gridCol w:w="36"/>
        <w:gridCol w:w="36"/>
        <w:gridCol w:w="120"/>
        <w:gridCol w:w="804"/>
        <w:gridCol w:w="187"/>
        <w:gridCol w:w="36"/>
        <w:gridCol w:w="36"/>
        <w:gridCol w:w="36"/>
        <w:gridCol w:w="120"/>
        <w:gridCol w:w="804"/>
        <w:gridCol w:w="36"/>
        <w:gridCol w:w="36"/>
        <w:gridCol w:w="36"/>
        <w:gridCol w:w="36"/>
        <w:gridCol w:w="42"/>
        <w:gridCol w:w="763"/>
        <w:gridCol w:w="187"/>
      </w:tblGrid>
      <w:tr w:rsidR="00000000">
        <w:tc>
          <w:tcPr>
            <w:tcW w:w="50" w:type="pct"/>
            <w:vAlign w:val="center"/>
            <w:hideMark/>
          </w:tcPr>
          <w:p w:rsidR="00000000" w:rsidRDefault="003E235E">
            <w:pPr>
              <w:jc w:val="both"/>
              <w:rPr>
                <w:rFonts w:eastAsia="Times New Roman"/>
              </w:rPr>
            </w:pPr>
          </w:p>
        </w:tc>
        <w:tc>
          <w:tcPr>
            <w:tcW w:w="2251"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1"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1"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1"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2"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Increase / (Decrease)</w:t>
            </w:r>
          </w:p>
        </w:tc>
      </w:tr>
      <w:tr w:rsidR="00000000">
        <w:trPr>
          <w:trHeight w:val="160"/>
        </w:trPr>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2020</w:t>
            </w:r>
          </w:p>
        </w:tc>
        <w:tc>
          <w:tcPr>
            <w:tcW w:w="0" w:type="auto"/>
            <w:gridSpan w:val="3"/>
            <w:vMerge w:val="restart"/>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w:t>
            </w:r>
          </w:p>
        </w:tc>
      </w:tr>
      <w:tr w:rsidR="00000000">
        <w:trPr>
          <w:trHeight w:val="240"/>
        </w:trPr>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vMerge/>
            <w:tcBorders>
              <w:top w:val="single" w:sz="8" w:space="0" w:color="000000"/>
            </w:tcBorders>
            <w:vAlign w:val="center"/>
            <w:hideMark/>
          </w:tcPr>
          <w:p w:rsidR="00000000" w:rsidRDefault="003E235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3E235E">
            <w:pPr>
              <w:spacing w:after="100"/>
              <w:rPr>
                <w:rFonts w:eastAsia="Times New Roman"/>
              </w:rPr>
            </w:pPr>
          </w:p>
        </w:tc>
        <w:tc>
          <w:tcPr>
            <w:tcW w:w="0" w:type="auto"/>
            <w:gridSpan w:val="3"/>
            <w:vMerge/>
            <w:vAlign w:val="center"/>
            <w:hideMark/>
          </w:tcPr>
          <w:p w:rsidR="00000000" w:rsidRDefault="003E235E">
            <w:pPr>
              <w:spacing w:after="100"/>
              <w:rPr>
                <w:rFonts w:eastAsia="Times New Roman"/>
              </w:rPr>
            </w:pPr>
          </w:p>
        </w:tc>
        <w:tc>
          <w:tcPr>
            <w:tcW w:w="0" w:type="auto"/>
            <w:gridSpan w:val="3"/>
            <w:vMerge/>
            <w:tcBorders>
              <w:top w:val="single" w:sz="8" w:space="0" w:color="000000"/>
              <w:bottom w:val="single" w:sz="8" w:space="0" w:color="000000"/>
            </w:tcBorders>
            <w:vAlign w:val="center"/>
            <w:hideMark/>
          </w:tcPr>
          <w:p w:rsidR="00000000" w:rsidRDefault="003E235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3E235E">
            <w:pPr>
              <w:spacing w:after="100"/>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(in thousands, unaudited)</w:t>
            </w:r>
          </w:p>
        </w:tc>
      </w:tr>
      <w:tr w:rsidR="00000000">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i/>
                <w:iCs/>
                <w:color w:val="000000"/>
                <w:sz w:val="20"/>
                <w:szCs w:val="20"/>
              </w:rPr>
              <w:t>Revenue:</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Restaurant revenue</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123,715 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80,021 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43,694 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54.6 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Franchising royalties and fees, and other</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1,934 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136 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1,798 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125,649 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80,157 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45,492 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i/>
                <w:iCs/>
                <w:color w:val="000000"/>
                <w:sz w:val="20"/>
                <w:szCs w:val="20"/>
              </w:rPr>
              <w:t>Costs and expenses: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ind w:hanging="270"/>
              <w:divId w:val="580988792"/>
              <w:rPr>
                <w:rFonts w:eastAsia="Times New Roman"/>
              </w:rPr>
            </w:pPr>
            <w:r>
              <w:rPr>
                <w:rFonts w:eastAsia="Times New Roman"/>
                <w:color w:val="000000"/>
                <w:sz w:val="20"/>
                <w:szCs w:val="20"/>
              </w:rPr>
              <w:t>Restaurant operating costs (exclusive of depreciation and amortization shown separately below):</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ind w:hanging="27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Cost of sales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30,805 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20,020 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10,785 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53.9 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Labor</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36,926 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27,137 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9,789 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36.1 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Occupancy</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11,519 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11,676 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(157)</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Other restaurant operating costs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21,082 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15,789 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5,293 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33.5 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General and administrative</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12,978 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10,034 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2,944 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29.3 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5,576 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5,397 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179 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Pre-opening</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163 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71 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129.6 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Restaurant impairments, closure costs and asset disposals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390 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2,558 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(2,168)</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(84.8)</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Total costs and expenses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119,439 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92,682 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26,757 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Income (loss) from operations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6,210 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(12,525)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18,735 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c>
          <w:tcPr>
            <w:tcW w:w="0" w:type="auto"/>
            <w:gridSpan w:val="3"/>
            <w:vAlign w:val="center"/>
            <w:hideMark/>
          </w:tcPr>
          <w:p w:rsidR="00000000" w:rsidRDefault="003E235E">
            <w:pPr>
              <w:spacing w:after="100"/>
              <w:jc w:val="right"/>
              <w:rPr>
                <w:rFonts w:eastAsia="Times New Roman"/>
              </w:rPr>
            </w:pPr>
          </w:p>
        </w:tc>
        <w:tc>
          <w:tcPr>
            <w:tcW w:w="0" w:type="auto"/>
            <w:gridSpan w:val="3"/>
            <w:vAlign w:val="center"/>
            <w:hideMark/>
          </w:tcPr>
          <w:p w:rsidR="00000000" w:rsidRDefault="003E235E">
            <w:pPr>
              <w:spacing w:after="100"/>
              <w:rPr>
                <w:rFonts w:eastAsia="Times New Roman"/>
                <w:sz w:val="20"/>
                <w:szCs w:val="20"/>
              </w:rPr>
            </w:pPr>
          </w:p>
        </w:tc>
        <w:tc>
          <w:tcPr>
            <w:tcW w:w="0" w:type="auto"/>
            <w:gridSpan w:val="3"/>
            <w:vAlign w:val="center"/>
            <w:hideMark/>
          </w:tcPr>
          <w:p w:rsidR="00000000" w:rsidRDefault="003E235E">
            <w:pPr>
              <w:spacing w:after="100"/>
              <w:rPr>
                <w:rFonts w:eastAsia="Times New Roman"/>
                <w:sz w:val="20"/>
                <w:szCs w:val="20"/>
              </w:rPr>
            </w:pPr>
          </w:p>
        </w:tc>
        <w:tc>
          <w:tcPr>
            <w:tcW w:w="0" w:type="auto"/>
            <w:gridSpan w:val="3"/>
            <w:vAlign w:val="center"/>
            <w:hideMark/>
          </w:tcPr>
          <w:p w:rsidR="00000000" w:rsidRDefault="003E235E">
            <w:pPr>
              <w:spacing w:after="100"/>
              <w:rPr>
                <w:rFonts w:eastAsia="Times New Roman"/>
                <w:sz w:val="20"/>
                <w:szCs w:val="20"/>
              </w:rPr>
            </w:pPr>
          </w:p>
        </w:tc>
        <w:tc>
          <w:tcPr>
            <w:tcW w:w="0" w:type="auto"/>
            <w:gridSpan w:val="3"/>
            <w:vAlign w:val="center"/>
            <w:hideMark/>
          </w:tcPr>
          <w:p w:rsidR="00000000" w:rsidRDefault="003E235E">
            <w:pPr>
              <w:spacing w:after="100"/>
              <w:rPr>
                <w:rFonts w:eastAsia="Times New Roman"/>
                <w:sz w:val="20"/>
                <w:szCs w:val="20"/>
              </w:rPr>
            </w:pPr>
          </w:p>
        </w:tc>
        <w:tc>
          <w:tcPr>
            <w:tcW w:w="0" w:type="auto"/>
            <w:gridSpan w:val="3"/>
            <w:vAlign w:val="center"/>
            <w:hideMark/>
          </w:tcPr>
          <w:p w:rsidR="00000000" w:rsidRDefault="003E235E">
            <w:pPr>
              <w:spacing w:after="100"/>
              <w:rPr>
                <w:rFonts w:eastAsia="Times New Roman"/>
                <w:sz w:val="20"/>
                <w:szCs w:val="20"/>
              </w:rPr>
            </w:pPr>
          </w:p>
        </w:tc>
        <w:tc>
          <w:tcPr>
            <w:tcW w:w="0" w:type="auto"/>
            <w:gridSpan w:val="3"/>
            <w:vAlign w:val="center"/>
            <w:hideMark/>
          </w:tcPr>
          <w:p w:rsidR="00000000" w:rsidRDefault="003E235E">
            <w:pPr>
              <w:spacing w:after="100"/>
              <w:rPr>
                <w:rFonts w:eastAsia="Times New Roman"/>
                <w:sz w:val="20"/>
                <w:szCs w:val="20"/>
              </w:rPr>
            </w:pPr>
          </w:p>
        </w:tc>
        <w:tc>
          <w:tcPr>
            <w:tcW w:w="0" w:type="auto"/>
            <w:gridSpan w:val="3"/>
            <w:vAlign w:val="center"/>
            <w:hideMark/>
          </w:tcPr>
          <w:p w:rsidR="00000000" w:rsidRDefault="003E235E">
            <w:pPr>
              <w:spacing w:after="100"/>
              <w:rPr>
                <w:rFonts w:eastAsia="Times New Roman"/>
                <w:sz w:val="20"/>
                <w:szCs w:val="20"/>
              </w:rPr>
            </w:pPr>
          </w:p>
        </w:tc>
        <w:tc>
          <w:tcPr>
            <w:tcW w:w="0" w:type="auto"/>
            <w:gridSpan w:val="3"/>
            <w:vAlign w:val="center"/>
            <w:hideMark/>
          </w:tcPr>
          <w:p w:rsidR="00000000" w:rsidRDefault="003E235E">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Interest expense, net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498 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920 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(422)</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(45.9)</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Income (loss) before income taxes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5,712 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(13,445)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19,157 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Provision for income taxes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12.1 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5,683 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(13,478)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19,161 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Company-owned:</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Average unit volume</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1,350 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891 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459 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51.5 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Comparable restaurant sales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55.7 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(30.1)</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r>
    </w:tbl>
    <w:p w:rsidR="00000000" w:rsidRDefault="003E235E">
      <w:pPr>
        <w:divId w:val="476992352"/>
        <w:rPr>
          <w:rFonts w:eastAsia="Times New Roman"/>
        </w:rPr>
      </w:pPr>
      <w:r>
        <w:rPr>
          <w:rFonts w:eastAsia="Times New Roman"/>
          <w:color w:val="000000"/>
          <w:sz w:val="16"/>
          <w:szCs w:val="16"/>
        </w:rPr>
        <w:t>________________</w:t>
      </w:r>
    </w:p>
    <w:p w:rsidR="00000000" w:rsidRDefault="003E235E">
      <w:pPr>
        <w:ind w:hanging="1080"/>
        <w:divId w:val="606238103"/>
        <w:rPr>
          <w:rFonts w:eastAsia="Times New Roman"/>
        </w:rPr>
      </w:pPr>
      <w:r>
        <w:rPr>
          <w:rFonts w:eastAsia="Times New Roman"/>
          <w:color w:val="000000"/>
          <w:sz w:val="16"/>
          <w:szCs w:val="16"/>
        </w:rPr>
        <w:t>*Not meaningful.</w:t>
      </w:r>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Revenue</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Total revenue increased $45.5 million in the second quarter of 2021, or 56.8%, to $125.6 million, compared to $80.2 million in the second qu</w:t>
      </w:r>
      <w:r>
        <w:rPr>
          <w:rFonts w:eastAsia="Times New Roman"/>
          <w:color w:val="000000"/>
          <w:sz w:val="20"/>
          <w:szCs w:val="20"/>
          <w:shd w:val="clear" w:color="auto" w:fill="FFFFFF"/>
        </w:rPr>
        <w:t>arter of 2020. This increase was primarily due to sales growth in the comparable restaurant base. Franchise royaltie</w:t>
      </w:r>
      <w:r>
        <w:rPr>
          <w:rFonts w:eastAsia="Times New Roman"/>
          <w:color w:val="000000"/>
          <w:sz w:val="20"/>
          <w:szCs w:val="20"/>
          <w:shd w:val="clear" w:color="auto" w:fill="FFFFFF"/>
        </w:rPr>
        <w:t xml:space="preserve">s increased as a result of royalty relief during the second quarter of 2020. </w:t>
      </w:r>
      <w:r>
        <w:rPr>
          <w:rFonts w:eastAsia="Times New Roman"/>
          <w:color w:val="000000"/>
          <w:sz w:val="20"/>
          <w:szCs w:val="20"/>
        </w:rPr>
        <w:t>System-wide comparable restaurant sales increased</w:t>
      </w:r>
      <w:r>
        <w:rPr>
          <w:rFonts w:eastAsia="Times New Roman"/>
          <w:color w:val="000000"/>
          <w:sz w:val="20"/>
          <w:szCs w:val="20"/>
          <w:shd w:val="clear" w:color="auto" w:fill="FFFFFF"/>
        </w:rPr>
        <w:t xml:space="preserve"> 56.8%</w:t>
      </w:r>
      <w:r>
        <w:rPr>
          <w:rFonts w:eastAsia="Times New Roman"/>
          <w:color w:val="000000"/>
          <w:sz w:val="20"/>
          <w:szCs w:val="20"/>
        </w:rPr>
        <w:t xml:space="preserve"> in the second quarter of 2021 compared to the same period of 2020, comprised </w:t>
      </w:r>
      <w:r>
        <w:rPr>
          <w:rFonts w:eastAsia="Times New Roman"/>
          <w:color w:val="000000"/>
          <w:sz w:val="20"/>
          <w:szCs w:val="20"/>
          <w:shd w:val="clear" w:color="auto" w:fill="FFFFFF"/>
        </w:rPr>
        <w:t>of a 55.7% increase at company-owned restauran</w:t>
      </w:r>
      <w:r>
        <w:rPr>
          <w:rFonts w:eastAsia="Times New Roman"/>
          <w:color w:val="000000"/>
          <w:sz w:val="20"/>
          <w:szCs w:val="20"/>
          <w:shd w:val="clear" w:color="auto" w:fill="FFFFFF"/>
        </w:rPr>
        <w:t xml:space="preserve">ts and a 63.8% increase at franchise-owned restaurants. The comparable restaurant sales increase in the second quarter of </w:t>
      </w:r>
      <w:r>
        <w:rPr>
          <w:rFonts w:eastAsia="Times New Roman"/>
          <w:color w:val="000000"/>
          <w:sz w:val="20"/>
          <w:szCs w:val="20"/>
        </w:rPr>
        <w:t>2021</w:t>
      </w:r>
      <w:r>
        <w:rPr>
          <w:rFonts w:eastAsia="Times New Roman"/>
          <w:color w:val="000000"/>
          <w:sz w:val="20"/>
          <w:szCs w:val="20"/>
          <w:shd w:val="clear" w:color="auto" w:fill="FFFFFF"/>
        </w:rPr>
        <w:t xml:space="preserve"> was driven primarily by lapping the large decline in traffic in the second quarter of 2020 related to the impact of the COVID-19 </w:t>
      </w:r>
      <w:r>
        <w:rPr>
          <w:rFonts w:eastAsia="Times New Roman"/>
          <w:color w:val="000000"/>
          <w:sz w:val="20"/>
          <w:szCs w:val="20"/>
          <w:shd w:val="clear" w:color="auto" w:fill="FFFFFF"/>
        </w:rPr>
        <w:t>pandemic.</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shd w:val="clear" w:color="auto" w:fill="FFFFFF"/>
        </w:rPr>
        <w:t>The increase in revenue was also due to new restaurant openings and less temporary restaurant closures as compared to the same period in 2020 related to the impact of the COVID-19 pandemic, partially offset by permanent restaurant closures.</w:t>
      </w:r>
    </w:p>
    <w:p w:rsidR="00000000" w:rsidRDefault="003E235E">
      <w:pPr>
        <w:jc w:val="both"/>
        <w:rPr>
          <w:rFonts w:eastAsia="Times New Roman"/>
        </w:rPr>
      </w:pPr>
      <w:r>
        <w:rPr>
          <w:rFonts w:eastAsia="Times New Roman"/>
          <w:color w:val="000000"/>
          <w:sz w:val="20"/>
          <w:szCs w:val="20"/>
          <w:shd w:val="clear" w:color="auto" w:fill="FFFFFF"/>
        </w:rPr>
        <w:t>AUV</w:t>
      </w:r>
      <w:r>
        <w:rPr>
          <w:rFonts w:eastAsia="Times New Roman"/>
          <w:color w:val="000000"/>
          <w:sz w:val="20"/>
          <w:szCs w:val="20"/>
          <w:shd w:val="clear" w:color="auto" w:fill="FFFFFF"/>
        </w:rPr>
        <w:t xml:space="preserve">, which normalizes for the impact of temporary restaurant closures, increased year-over-year due to strong off-premise sales, including digital, and growth in dine-in sales as a result of dining rooms reopening. </w:t>
      </w:r>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Cost of Sales</w:t>
      </w:r>
    </w:p>
    <w:p w:rsidR="00000000" w:rsidRDefault="003E235E">
      <w:pPr>
        <w:jc w:val="both"/>
        <w:rPr>
          <w:rFonts w:eastAsia="Times New Roman"/>
        </w:rPr>
      </w:pPr>
    </w:p>
    <w:p w:rsidR="00000000" w:rsidRDefault="003E235E">
      <w:pPr>
        <w:jc w:val="center"/>
        <w:divId w:val="1206411757"/>
        <w:rPr>
          <w:rFonts w:eastAsia="Times New Roman"/>
        </w:rPr>
      </w:pPr>
      <w:r>
        <w:rPr>
          <w:rFonts w:eastAsia="Times New Roman"/>
          <w:color w:val="000000"/>
          <w:sz w:val="20"/>
          <w:szCs w:val="20"/>
        </w:rPr>
        <w:t>20</w:t>
      </w:r>
    </w:p>
    <w:p w:rsidR="00000000" w:rsidRDefault="003E235E">
      <w:pPr>
        <w:rPr>
          <w:rFonts w:eastAsia="Times New Roman"/>
        </w:rPr>
      </w:pPr>
      <w:r>
        <w:rPr>
          <w:rFonts w:eastAsia="Times New Roman"/>
        </w:rPr>
        <w:pict>
          <v:rect id="_x0000_i1045" style="width:0;height:1.5pt" o:hralign="center" o:hrstd="t" o:hr="t" fillcolor="#a0a0a0" stroked="f"/>
        </w:pict>
      </w:r>
    </w:p>
    <w:p w:rsidR="00000000" w:rsidRDefault="003E235E">
      <w:pPr>
        <w:divId w:val="440149378"/>
        <w:rPr>
          <w:rFonts w:eastAsia="Times New Roman"/>
        </w:rPr>
      </w:pPr>
      <w:hyperlink w:anchor="i48000f6fae8946f8b752541bba7287a8_10" w:history="1">
        <w:r>
          <w:rPr>
            <w:rStyle w:val="a3"/>
            <w:rFonts w:eastAsia="Times New Roman"/>
            <w:sz w:val="20"/>
            <w:szCs w:val="20"/>
          </w:rPr>
          <w:t>Table of Contents</w:t>
        </w:r>
      </w:hyperlink>
    </w:p>
    <w:p w:rsidR="00000000" w:rsidRDefault="003E235E">
      <w:pPr>
        <w:jc w:val="both"/>
        <w:rPr>
          <w:rFonts w:eastAsia="Times New Roman"/>
        </w:rPr>
      </w:pPr>
      <w:r>
        <w:rPr>
          <w:rFonts w:eastAsia="Times New Roman"/>
          <w:color w:val="000000"/>
          <w:sz w:val="20"/>
          <w:szCs w:val="20"/>
        </w:rPr>
        <w:t>Cost of sales increased by $10.8 million, or 53.9%, in the second quarter of 2021 compared to the same period of 2020,</w:t>
      </w:r>
      <w:r>
        <w:rPr>
          <w:rFonts w:eastAsia="Times New Roman"/>
          <w:color w:val="000000"/>
          <w:sz w:val="20"/>
          <w:szCs w:val="20"/>
          <w:shd w:val="clear" w:color="auto" w:fill="FFFFFF"/>
        </w:rPr>
        <w:t xml:space="preserve"> due primarily to the increase in restaurant re</w:t>
      </w:r>
      <w:r>
        <w:rPr>
          <w:rFonts w:eastAsia="Times New Roman"/>
          <w:color w:val="000000"/>
          <w:sz w:val="20"/>
          <w:szCs w:val="20"/>
          <w:shd w:val="clear" w:color="auto" w:fill="FFFFFF"/>
        </w:rPr>
        <w:t>venue. As a percentage of restaurant revenue, cost of sales decreased to 24.9% in the second quarter of 2021 compared to 25.0% in second quarter of 2020 primarily due to ongoing supply chain initiatives, increased menu pricing and lower discounting, partia</w:t>
      </w:r>
      <w:r>
        <w:rPr>
          <w:rFonts w:eastAsia="Times New Roman"/>
          <w:color w:val="000000"/>
          <w:sz w:val="20"/>
          <w:szCs w:val="20"/>
          <w:shd w:val="clear" w:color="auto" w:fill="FFFFFF"/>
        </w:rPr>
        <w:t>lly offset by higher packaging costs associated with the shift to increased off-premise sales in response to the COVID-19 pandemic.</w:t>
      </w:r>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Labor Costs</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Labor costs increased by $9.8 million, or 36.1%, in the second quarter of 2021 compared to the same period o</w:t>
      </w:r>
      <w:r>
        <w:rPr>
          <w:rFonts w:eastAsia="Times New Roman"/>
          <w:color w:val="000000"/>
          <w:sz w:val="20"/>
          <w:szCs w:val="20"/>
        </w:rPr>
        <w:t>f 2020, due primarily to the increase in restaurant revenue. As a perc</w:t>
      </w:r>
      <w:r>
        <w:rPr>
          <w:rFonts w:eastAsia="Times New Roman"/>
          <w:color w:val="000000"/>
          <w:sz w:val="20"/>
          <w:szCs w:val="20"/>
          <w:shd w:val="clear" w:color="auto" w:fill="FFFFFF"/>
        </w:rPr>
        <w:t>entage of restaurant revenue, labor costs decreased to 29.8% in the second quarter of 2021 from 33.9% in the second quarter of 2020 as a result of sales leverage on higher average unit v</w:t>
      </w:r>
      <w:r>
        <w:rPr>
          <w:rFonts w:eastAsia="Times New Roman"/>
          <w:color w:val="000000"/>
          <w:sz w:val="20"/>
          <w:szCs w:val="20"/>
          <w:shd w:val="clear" w:color="auto" w:fill="FFFFFF"/>
        </w:rPr>
        <w:t>olumes and labor initiatives, including modifying our labor model to reduce the number of front of house hours in our restaurants, partially offset by increases in incentive compensation due to improved results.</w:t>
      </w:r>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Occupancy Costs</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Occupancy costs decrease</w:t>
      </w:r>
      <w:r>
        <w:rPr>
          <w:rFonts w:eastAsia="Times New Roman"/>
          <w:color w:val="000000"/>
          <w:sz w:val="20"/>
          <w:szCs w:val="20"/>
        </w:rPr>
        <w:t>d by $0.2 million, or 1.3%</w:t>
      </w:r>
      <w:r>
        <w:rPr>
          <w:rFonts w:eastAsia="Times New Roman"/>
          <w:color w:val="000000"/>
          <w:sz w:val="20"/>
          <w:szCs w:val="20"/>
          <w:shd w:val="clear" w:color="auto" w:fill="FFFFFF"/>
        </w:rPr>
        <w:t>, in the second quarter of 2021 compared to the second quarter of 2020, primarily due to restaurants closed since the beginning of the second quarter of 2020. As a percentage of revenue, occupancy costs decreased to 9.3% in the se</w:t>
      </w:r>
      <w:r>
        <w:rPr>
          <w:rFonts w:eastAsia="Times New Roman"/>
          <w:color w:val="000000"/>
          <w:sz w:val="20"/>
          <w:szCs w:val="20"/>
          <w:shd w:val="clear" w:color="auto" w:fill="FFFFFF"/>
        </w:rPr>
        <w:t>cond quarter of 2021, compared to 14.6% in the second quarter of 2020 as a result of sales leverage.</w:t>
      </w:r>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Other Restaurant Operating Costs</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Other restaura</w:t>
      </w:r>
      <w:r>
        <w:rPr>
          <w:rFonts w:eastAsia="Times New Roman"/>
          <w:color w:val="000000"/>
          <w:sz w:val="20"/>
          <w:szCs w:val="20"/>
          <w:shd w:val="clear" w:color="auto" w:fill="FFFFFF"/>
        </w:rPr>
        <w:t xml:space="preserve">nt operating costs increased by $5.3 million, or 33.5%, in the second quarter of 2021 compared to the second quarter of 2020, due primarily to the growth in third-party delivery fees, in addition to increases in repairs and maintenance and utilities. As a </w:t>
      </w:r>
      <w:r>
        <w:rPr>
          <w:rFonts w:eastAsia="Times New Roman"/>
          <w:color w:val="000000"/>
          <w:sz w:val="20"/>
          <w:szCs w:val="20"/>
          <w:shd w:val="clear" w:color="auto" w:fill="FFFFFF"/>
        </w:rPr>
        <w:t>percentage of restaurant revenue, other restaurant operating costs decreased to 17.0% in the second quarter of 2021 compared to 19.7% in the second quarter of 2020, due primarily to sales leverage. Third-party delivery fees were 5.3% and 6.4% of total reve</w:t>
      </w:r>
      <w:r>
        <w:rPr>
          <w:rFonts w:eastAsia="Times New Roman"/>
          <w:color w:val="000000"/>
          <w:sz w:val="20"/>
          <w:szCs w:val="20"/>
          <w:shd w:val="clear" w:color="auto" w:fill="FFFFFF"/>
        </w:rPr>
        <w:t xml:space="preserve">nue for the second quarters of 2021 and 2020, respectively. </w:t>
      </w:r>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General and Administrative Expense</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General and administrative expense increased by $2.9 million, or 29.3% in the second quarter of 2021 compared to the second quarter of 2020, du</w:t>
      </w:r>
      <w:r>
        <w:rPr>
          <w:rFonts w:eastAsia="Times New Roman"/>
          <w:color w:val="000000"/>
          <w:sz w:val="20"/>
          <w:szCs w:val="20"/>
          <w:shd w:val="clear" w:color="auto" w:fill="FFFFFF"/>
        </w:rPr>
        <w:t>e primarily to increases in incentive compensation as well as investments to support our unit growth strategy. St</w:t>
      </w:r>
      <w:r>
        <w:rPr>
          <w:rFonts w:eastAsia="Times New Roman"/>
          <w:color w:val="000000"/>
          <w:sz w:val="20"/>
          <w:szCs w:val="20"/>
          <w:shd w:val="clear" w:color="auto" w:fill="FFFFFF"/>
        </w:rPr>
        <w:t>ock-based compensation increased due to higher performance-based compensation, due to significantly improved results. As a percentage of revenue, general and administrative expense decreased to 10.3% in the second quarter of 2021 from 12.5% in the second q</w:t>
      </w:r>
      <w:r>
        <w:rPr>
          <w:rFonts w:eastAsia="Times New Roman"/>
          <w:color w:val="000000"/>
          <w:sz w:val="20"/>
          <w:szCs w:val="20"/>
          <w:shd w:val="clear" w:color="auto" w:fill="FFFFFF"/>
        </w:rPr>
        <w:t>uarter of 2020, due primarily to the increase in revenue and efficiencies gained through our organizational review during the COVID pandemic.</w:t>
      </w:r>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Depreciation and Amortization</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 xml:space="preserve">Depreciation and amortization increased by $0.2 million, or 3.3%, in the second </w:t>
      </w:r>
      <w:r>
        <w:rPr>
          <w:rFonts w:eastAsia="Times New Roman"/>
          <w:color w:val="000000"/>
          <w:sz w:val="20"/>
          <w:szCs w:val="20"/>
        </w:rPr>
        <w:t xml:space="preserve">quarter of 2021 compared to the second quarter of 2020, due primarily </w:t>
      </w:r>
      <w:r>
        <w:rPr>
          <w:rFonts w:eastAsia="Times New Roman"/>
          <w:color w:val="000000"/>
          <w:sz w:val="20"/>
          <w:szCs w:val="20"/>
          <w:shd w:val="clear" w:color="auto" w:fill="FFFFFF"/>
        </w:rPr>
        <w:t xml:space="preserve">to new asset additions for restaurants opened since the second quarter of 2020. As a percentage of revenue, depreciation and amortization decreased to 4.4% in the second quarter of 2021 </w:t>
      </w:r>
      <w:r>
        <w:rPr>
          <w:rFonts w:eastAsia="Times New Roman"/>
          <w:color w:val="000000"/>
          <w:sz w:val="20"/>
          <w:szCs w:val="20"/>
          <w:shd w:val="clear" w:color="auto" w:fill="FFFFFF"/>
        </w:rPr>
        <w:t>from 6.7% in the second quarter of 2020, due primarily to the increase in revenue.</w:t>
      </w:r>
    </w:p>
    <w:p w:rsidR="00000000" w:rsidRDefault="003E235E">
      <w:pPr>
        <w:divId w:val="1669357522"/>
        <w:rPr>
          <w:rFonts w:eastAsia="Times New Roman"/>
        </w:rPr>
      </w:pPr>
    </w:p>
    <w:p w:rsidR="00000000" w:rsidRDefault="003E235E">
      <w:pPr>
        <w:jc w:val="both"/>
        <w:rPr>
          <w:rFonts w:eastAsia="Times New Roman"/>
        </w:rPr>
      </w:pPr>
      <w:r>
        <w:rPr>
          <w:rFonts w:eastAsia="Times New Roman"/>
          <w:b/>
          <w:bCs/>
          <w:i/>
          <w:iCs/>
          <w:color w:val="000000"/>
          <w:sz w:val="20"/>
          <w:szCs w:val="20"/>
        </w:rPr>
        <w:t>Restaurant Impairments, Closure Costs and Asset Disposals</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shd w:val="clear" w:color="auto" w:fill="FFFFFF"/>
        </w:rPr>
        <w:t xml:space="preserve">Restaurant impairments, closure costs and asset disposals decreased $2.2 million in the second quarter of 2021 </w:t>
      </w:r>
      <w:r>
        <w:rPr>
          <w:rFonts w:eastAsia="Times New Roman"/>
          <w:color w:val="000000"/>
          <w:sz w:val="20"/>
          <w:szCs w:val="20"/>
          <w:shd w:val="clear" w:color="auto" w:fill="FFFFFF"/>
        </w:rPr>
        <w:t xml:space="preserve">compared to the second quarter of 2020. </w:t>
      </w:r>
      <w:r>
        <w:rPr>
          <w:rFonts w:eastAsia="Times New Roman"/>
          <w:color w:val="000000"/>
          <w:sz w:val="20"/>
          <w:szCs w:val="20"/>
        </w:rPr>
        <w:t>There were n</w:t>
      </w:r>
      <w:r>
        <w:rPr>
          <w:rFonts w:eastAsia="Times New Roman"/>
          <w:color w:val="000000"/>
          <w:sz w:val="20"/>
          <w:szCs w:val="20"/>
          <w:shd w:val="clear" w:color="auto" w:fill="FFFFFF"/>
        </w:rPr>
        <w:t>o restaurant impairments in the second quarter of 2021 compared to five restaurant impairments in the same period of 2020. In addition, a gain on insurance proceeds from property damage amounting to $0.4 </w:t>
      </w:r>
      <w:r>
        <w:rPr>
          <w:rFonts w:eastAsia="Times New Roman"/>
          <w:color w:val="000000"/>
          <w:sz w:val="20"/>
          <w:szCs w:val="20"/>
          <w:shd w:val="clear" w:color="auto" w:fill="FFFFFF"/>
        </w:rPr>
        <w:t xml:space="preserve">million was recognized in the second quarter of 2021. </w:t>
      </w:r>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Interest Expense</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 xml:space="preserve">Interest expense decreased by $0.4 million in the second quarter of 2021 compared to the second quarter of 2020. </w:t>
      </w:r>
      <w:r>
        <w:rPr>
          <w:rFonts w:eastAsia="Times New Roman"/>
          <w:color w:val="000000"/>
          <w:sz w:val="20"/>
          <w:szCs w:val="20"/>
          <w:shd w:val="clear" w:color="auto" w:fill="FFFFFF"/>
        </w:rPr>
        <w:t xml:space="preserve">The decrease was due to lower average borrowings during the second </w:t>
      </w:r>
      <w:r>
        <w:rPr>
          <w:rFonts w:eastAsia="Times New Roman"/>
          <w:color w:val="000000"/>
          <w:sz w:val="20"/>
          <w:szCs w:val="20"/>
          <w:shd w:val="clear" w:color="auto" w:fill="FFFFFF"/>
        </w:rPr>
        <w:t xml:space="preserve">quarter of 2021 compared to the second quarter of 2020. </w:t>
      </w:r>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Provision for Income Taxes</w:t>
      </w:r>
    </w:p>
    <w:p w:rsidR="00000000" w:rsidRDefault="003E235E">
      <w:pPr>
        <w:jc w:val="both"/>
        <w:rPr>
          <w:rFonts w:eastAsia="Times New Roman"/>
        </w:rPr>
      </w:pPr>
    </w:p>
    <w:p w:rsidR="00000000" w:rsidRDefault="003E235E">
      <w:pPr>
        <w:jc w:val="center"/>
        <w:divId w:val="233439940"/>
        <w:rPr>
          <w:rFonts w:eastAsia="Times New Roman"/>
        </w:rPr>
      </w:pPr>
      <w:r>
        <w:rPr>
          <w:rFonts w:eastAsia="Times New Roman"/>
          <w:color w:val="000000"/>
          <w:sz w:val="20"/>
          <w:szCs w:val="20"/>
        </w:rPr>
        <w:t>21</w:t>
      </w:r>
    </w:p>
    <w:p w:rsidR="00000000" w:rsidRDefault="003E235E">
      <w:pPr>
        <w:rPr>
          <w:rFonts w:eastAsia="Times New Roman"/>
        </w:rPr>
      </w:pPr>
      <w:r>
        <w:rPr>
          <w:rFonts w:eastAsia="Times New Roman"/>
        </w:rPr>
        <w:pict>
          <v:rect id="_x0000_i1046" style="width:0;height:1.5pt" o:hralign="center" o:hrstd="t" o:hr="t" fillcolor="#a0a0a0" stroked="f"/>
        </w:pict>
      </w:r>
    </w:p>
    <w:p w:rsidR="00000000" w:rsidRDefault="003E235E">
      <w:pPr>
        <w:divId w:val="1419403035"/>
        <w:rPr>
          <w:rFonts w:eastAsia="Times New Roman"/>
        </w:rPr>
      </w:pPr>
      <w:hyperlink w:anchor="i48000f6fae8946f8b752541bba7287a8_10" w:history="1">
        <w:r>
          <w:rPr>
            <w:rStyle w:val="a3"/>
            <w:rFonts w:eastAsia="Times New Roman"/>
            <w:sz w:val="20"/>
            <w:szCs w:val="20"/>
          </w:rPr>
          <w:t>Table of Contents</w:t>
        </w:r>
      </w:hyperlink>
    </w:p>
    <w:p w:rsidR="00000000" w:rsidRDefault="003E235E">
      <w:pPr>
        <w:jc w:val="both"/>
        <w:rPr>
          <w:rFonts w:eastAsia="Times New Roman"/>
        </w:rPr>
      </w:pPr>
      <w:r>
        <w:rPr>
          <w:rFonts w:eastAsia="Times New Roman"/>
          <w:color w:val="000000"/>
          <w:sz w:val="20"/>
          <w:szCs w:val="20"/>
        </w:rPr>
        <w:t>The effective tax rate for the second quarter of 20</w:t>
      </w:r>
      <w:r>
        <w:rPr>
          <w:rFonts w:eastAsia="Times New Roman"/>
          <w:color w:val="000000"/>
          <w:sz w:val="20"/>
          <w:szCs w:val="20"/>
        </w:rPr>
        <w:t>21 and for the second quarter of 2020 reflect the impact of the previously recorded valuation allowance</w:t>
      </w:r>
      <w:r>
        <w:rPr>
          <w:rFonts w:eastAsia="Times New Roman"/>
          <w:color w:val="000000"/>
          <w:sz w:val="20"/>
          <w:szCs w:val="20"/>
          <w:shd w:val="clear" w:color="auto" w:fill="FFFFFF"/>
        </w:rPr>
        <w:t xml:space="preserve">. For the remainder of fiscal 2021, we do not anticipate material income tax expense or benefit as a result of the valuation allowance recorded. We will </w:t>
      </w:r>
      <w:r>
        <w:rPr>
          <w:rFonts w:eastAsia="Times New Roman"/>
          <w:color w:val="000000"/>
          <w:sz w:val="20"/>
          <w:szCs w:val="20"/>
          <w:shd w:val="clear" w:color="auto" w:fill="FFFFFF"/>
        </w:rPr>
        <w:t>maintain a valuation allowance against deferred tax assets until there is sufficient evidence to support a full or partial reversal. The reversal of a previously recorded valuation allowance will generally result in a benefit from income tax.</w:t>
      </w:r>
    </w:p>
    <w:p w:rsidR="00000000" w:rsidRDefault="003E235E">
      <w:pPr>
        <w:jc w:val="both"/>
        <w:rPr>
          <w:rFonts w:eastAsia="Times New Roman"/>
        </w:rPr>
      </w:pPr>
    </w:p>
    <w:p w:rsidR="00000000" w:rsidRDefault="003E235E">
      <w:pPr>
        <w:divId w:val="493447636"/>
        <w:rPr>
          <w:rFonts w:eastAsia="Times New Roman"/>
        </w:rPr>
      </w:pPr>
      <w:r>
        <w:rPr>
          <w:rFonts w:eastAsia="Times New Roman"/>
          <w:b/>
          <w:bCs/>
          <w:color w:val="000000"/>
          <w:sz w:val="20"/>
          <w:szCs w:val="20"/>
          <w:shd w:val="clear" w:color="auto" w:fill="FFFFFF"/>
        </w:rPr>
        <w:t>Two Quarter</w:t>
      </w:r>
      <w:r>
        <w:rPr>
          <w:rFonts w:eastAsia="Times New Roman"/>
          <w:b/>
          <w:bCs/>
          <w:color w:val="000000"/>
          <w:sz w:val="20"/>
          <w:szCs w:val="20"/>
          <w:shd w:val="clear" w:color="auto" w:fill="FFFFFF"/>
        </w:rPr>
        <w:t xml:space="preserve">s Ended June 29, 2021 Compared to Two Quarters Ended June 30, 2020 </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 xml:space="preserve">The table below presents our unaudited operating results for the first two quarters of 2021 and 2020, and the related period-over-period changes. </w:t>
      </w:r>
    </w:p>
    <w:tbl>
      <w:tblPr>
        <w:tblW w:w="4992" w:type="pct"/>
        <w:tblCellMar>
          <w:top w:w="15" w:type="dxa"/>
          <w:left w:w="15" w:type="dxa"/>
          <w:bottom w:w="15" w:type="dxa"/>
          <w:right w:w="15" w:type="dxa"/>
        </w:tblCellMar>
        <w:tblLook w:val="04A0" w:firstRow="1" w:lastRow="0" w:firstColumn="1" w:lastColumn="0" w:noHBand="0" w:noVBand="1"/>
      </w:tblPr>
      <w:tblGrid>
        <w:gridCol w:w="41"/>
        <w:gridCol w:w="3609"/>
        <w:gridCol w:w="39"/>
        <w:gridCol w:w="36"/>
        <w:gridCol w:w="36"/>
        <w:gridCol w:w="36"/>
        <w:gridCol w:w="120"/>
        <w:gridCol w:w="802"/>
        <w:gridCol w:w="187"/>
        <w:gridCol w:w="36"/>
        <w:gridCol w:w="36"/>
        <w:gridCol w:w="36"/>
        <w:gridCol w:w="120"/>
        <w:gridCol w:w="804"/>
        <w:gridCol w:w="187"/>
        <w:gridCol w:w="36"/>
        <w:gridCol w:w="36"/>
        <w:gridCol w:w="36"/>
        <w:gridCol w:w="120"/>
        <w:gridCol w:w="804"/>
        <w:gridCol w:w="36"/>
        <w:gridCol w:w="36"/>
        <w:gridCol w:w="36"/>
        <w:gridCol w:w="36"/>
        <w:gridCol w:w="42"/>
        <w:gridCol w:w="763"/>
        <w:gridCol w:w="187"/>
      </w:tblGrid>
      <w:tr w:rsidR="00000000">
        <w:tc>
          <w:tcPr>
            <w:tcW w:w="50" w:type="pct"/>
            <w:vAlign w:val="center"/>
            <w:hideMark/>
          </w:tcPr>
          <w:p w:rsidR="00000000" w:rsidRDefault="003E235E">
            <w:pPr>
              <w:jc w:val="both"/>
              <w:rPr>
                <w:rFonts w:eastAsia="Times New Roman"/>
              </w:rPr>
            </w:pPr>
          </w:p>
        </w:tc>
        <w:tc>
          <w:tcPr>
            <w:tcW w:w="2251"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1"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1"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1"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582"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Two Fiscal Quarters Ended</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Increase / (Decrease)</w:t>
            </w:r>
          </w:p>
        </w:tc>
      </w:tr>
      <w:tr w:rsidR="00000000">
        <w:trPr>
          <w:trHeight w:val="160"/>
        </w:trPr>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2020</w:t>
            </w:r>
          </w:p>
        </w:tc>
        <w:tc>
          <w:tcPr>
            <w:tcW w:w="0" w:type="auto"/>
            <w:gridSpan w:val="3"/>
            <w:vMerge w:val="restart"/>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w:t>
            </w:r>
          </w:p>
        </w:tc>
      </w:tr>
      <w:tr w:rsidR="00000000">
        <w:trPr>
          <w:trHeight w:val="240"/>
        </w:trPr>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vMerge/>
            <w:tcBorders>
              <w:top w:val="single" w:sz="8" w:space="0" w:color="000000"/>
            </w:tcBorders>
            <w:vAlign w:val="center"/>
            <w:hideMark/>
          </w:tcPr>
          <w:p w:rsidR="00000000" w:rsidRDefault="003E235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3E235E">
            <w:pPr>
              <w:spacing w:after="100"/>
              <w:rPr>
                <w:rFonts w:eastAsia="Times New Roman"/>
              </w:rPr>
            </w:pPr>
          </w:p>
        </w:tc>
        <w:tc>
          <w:tcPr>
            <w:tcW w:w="0" w:type="auto"/>
            <w:gridSpan w:val="3"/>
            <w:vMerge/>
            <w:vAlign w:val="center"/>
            <w:hideMark/>
          </w:tcPr>
          <w:p w:rsidR="00000000" w:rsidRDefault="003E235E">
            <w:pPr>
              <w:spacing w:after="100"/>
              <w:rPr>
                <w:rFonts w:eastAsia="Times New Roman"/>
              </w:rPr>
            </w:pPr>
          </w:p>
        </w:tc>
        <w:tc>
          <w:tcPr>
            <w:tcW w:w="0" w:type="auto"/>
            <w:gridSpan w:val="3"/>
            <w:vMerge/>
            <w:tcBorders>
              <w:top w:val="single" w:sz="8" w:space="0" w:color="000000"/>
              <w:bottom w:val="single" w:sz="8" w:space="0" w:color="000000"/>
            </w:tcBorders>
            <w:vAlign w:val="center"/>
            <w:hideMark/>
          </w:tcPr>
          <w:p w:rsidR="00000000" w:rsidRDefault="003E235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3E235E">
            <w:pPr>
              <w:spacing w:after="100"/>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(in thousands, except percentages)</w:t>
            </w:r>
          </w:p>
        </w:tc>
      </w:tr>
      <w:tr w:rsidR="00000000">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i/>
                <w:iCs/>
                <w:color w:val="000000"/>
                <w:sz w:val="20"/>
                <w:szCs w:val="20"/>
              </w:rPr>
              <w:t>Revenue:</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Restaurant revenue</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231,459 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178,737 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52,722 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29.5 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Franchising royalties and fees, and other</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3,767 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1,768 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1,999 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113.1 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235,226 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180,505 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54,721 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i/>
                <w:iCs/>
                <w:color w:val="000000"/>
                <w:sz w:val="20"/>
                <w:szCs w:val="20"/>
              </w:rPr>
              <w:t>Costs and expenses: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ind w:hanging="270"/>
              <w:divId w:val="161893854"/>
              <w:rPr>
                <w:rFonts w:eastAsia="Times New Roman"/>
              </w:rPr>
            </w:pPr>
            <w:r>
              <w:rPr>
                <w:rFonts w:eastAsia="Times New Roman"/>
                <w:color w:val="000000"/>
                <w:sz w:val="20"/>
                <w:szCs w:val="20"/>
              </w:rPr>
              <w:t>Restaurant operating costs (exclusive of depreciation and amortization shown separately below):</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ind w:hanging="27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w:t>
            </w: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Cost of sales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57,782 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45,224 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12,558 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27.8 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Labor</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71,232 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61,368 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9,864 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16.1 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Occupancy</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23,168 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23,736 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(568)</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(2.4)</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Other restaurant operating costs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41,287 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32,478 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8,809 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27.1 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 xml:space="preserve">General and administrative </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23,907 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20,588 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3,319 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16.1 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11,163 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10,732 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431 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Pre-opening</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221 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144 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77 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53.5 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Restaurant impairments, closure costs and asset disposals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1,621 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3,614 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(1,993)</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(55.1)</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Total costs and expenses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230,381 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197,884 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32,497 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Income (loss) from operations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4,845 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(17,379)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22,224 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Interest expense, net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1,120 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1,888 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(768)</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(40.7)</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Income (loss) before income taxes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3,725 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(19,267)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22,992 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Provision for income taxes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(27)</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(58.7)</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3,706 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(19,313)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23,019 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Company-owned:</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Average unit volumes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1,260 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966 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294 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30.4 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Comparable restaurant sales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29.8 </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(19.0)</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sz w:val="20"/>
                <w:szCs w:val="20"/>
              </w:rPr>
            </w:pPr>
          </w:p>
        </w:tc>
      </w:tr>
    </w:tbl>
    <w:p w:rsidR="00000000" w:rsidRDefault="003E235E">
      <w:pPr>
        <w:divId w:val="1297682806"/>
        <w:rPr>
          <w:rFonts w:eastAsia="Times New Roman"/>
        </w:rPr>
      </w:pPr>
      <w:r>
        <w:rPr>
          <w:rFonts w:eastAsia="Times New Roman"/>
          <w:color w:val="000000"/>
          <w:sz w:val="16"/>
          <w:szCs w:val="16"/>
        </w:rPr>
        <w:t>________________</w:t>
      </w:r>
    </w:p>
    <w:p w:rsidR="00000000" w:rsidRDefault="003E235E">
      <w:pPr>
        <w:ind w:hanging="1080"/>
        <w:divId w:val="1969357636"/>
        <w:rPr>
          <w:rFonts w:eastAsia="Times New Roman"/>
        </w:rPr>
      </w:pPr>
      <w:r>
        <w:rPr>
          <w:rFonts w:eastAsia="Times New Roman"/>
          <w:color w:val="000000"/>
          <w:sz w:val="16"/>
          <w:szCs w:val="16"/>
        </w:rPr>
        <w:t>*Not meaningful.</w:t>
      </w:r>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Revenue</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Total revenue increased by $54.7 million, or 30.3%, in the first two quarters of 2021, to $235.2 million compared to $180.5 million in the same period of 2020.</w:t>
      </w:r>
      <w:r>
        <w:rPr>
          <w:rFonts w:eastAsia="Times New Roman"/>
          <w:color w:val="000000"/>
          <w:sz w:val="20"/>
          <w:szCs w:val="20"/>
          <w:shd w:val="clear" w:color="auto" w:fill="FFFFFF"/>
        </w:rPr>
        <w:t xml:space="preserve"> This increase was primarily due to the increase in comparable restaurant sales and new restauran</w:t>
      </w:r>
      <w:r>
        <w:rPr>
          <w:rFonts w:eastAsia="Times New Roman"/>
          <w:color w:val="000000"/>
          <w:sz w:val="20"/>
          <w:szCs w:val="20"/>
          <w:shd w:val="clear" w:color="auto" w:fill="FFFFFF"/>
        </w:rPr>
        <w:t>t openings, as well as an increase in franchise royalties as a result of royalty relief during the second quarter of 2020.</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 xml:space="preserve">Comparable restaurant sales increased by 29.8% at company-owned restaurants, increased by 35.8% at franchise-owned restaurants and </w:t>
      </w:r>
      <w:r>
        <w:rPr>
          <w:rFonts w:eastAsia="Times New Roman"/>
          <w:color w:val="000000"/>
          <w:sz w:val="20"/>
          <w:szCs w:val="20"/>
        </w:rPr>
        <w:t>increased by 30.6% system-wide in the first two quarters of 2021. The comparable restaurant sales improvement in the firs</w:t>
      </w:r>
      <w:r>
        <w:rPr>
          <w:rFonts w:eastAsia="Times New Roman"/>
          <w:color w:val="000000"/>
          <w:sz w:val="20"/>
          <w:szCs w:val="20"/>
          <w:shd w:val="clear" w:color="auto" w:fill="FFFFFF"/>
        </w:rPr>
        <w:t xml:space="preserve">t two quarters of 2021 was primarily driven by lapping the impact of the COVID-19 pandemic, in addition to the </w:t>
      </w:r>
    </w:p>
    <w:p w:rsidR="00000000" w:rsidRDefault="003E235E">
      <w:pPr>
        <w:jc w:val="center"/>
        <w:divId w:val="1127091447"/>
        <w:rPr>
          <w:rFonts w:eastAsia="Times New Roman"/>
        </w:rPr>
      </w:pPr>
      <w:r>
        <w:rPr>
          <w:rFonts w:eastAsia="Times New Roman"/>
          <w:color w:val="000000"/>
          <w:sz w:val="20"/>
          <w:szCs w:val="20"/>
        </w:rPr>
        <w:t>22</w:t>
      </w:r>
    </w:p>
    <w:p w:rsidR="00000000" w:rsidRDefault="003E235E">
      <w:pPr>
        <w:rPr>
          <w:rFonts w:eastAsia="Times New Roman"/>
        </w:rPr>
      </w:pPr>
      <w:r>
        <w:rPr>
          <w:rFonts w:eastAsia="Times New Roman"/>
        </w:rPr>
        <w:pict>
          <v:rect id="_x0000_i1047" style="width:0;height:1.5pt" o:hralign="center" o:hrstd="t" o:hr="t" fillcolor="#a0a0a0" stroked="f"/>
        </w:pict>
      </w:r>
    </w:p>
    <w:p w:rsidR="00000000" w:rsidRDefault="003E235E">
      <w:pPr>
        <w:divId w:val="1415712196"/>
        <w:rPr>
          <w:rFonts w:eastAsia="Times New Roman"/>
        </w:rPr>
      </w:pPr>
      <w:hyperlink w:anchor="i48000f6fae8946f8b752541bba7287a8_10" w:history="1">
        <w:r>
          <w:rPr>
            <w:rStyle w:val="a3"/>
            <w:rFonts w:eastAsia="Times New Roman"/>
            <w:sz w:val="20"/>
            <w:szCs w:val="20"/>
          </w:rPr>
          <w:t>Table of Contents</w:t>
        </w:r>
      </w:hyperlink>
    </w:p>
    <w:p w:rsidR="00000000" w:rsidRDefault="003E235E">
      <w:pPr>
        <w:jc w:val="both"/>
        <w:rPr>
          <w:rFonts w:eastAsia="Times New Roman"/>
        </w:rPr>
      </w:pPr>
      <w:r>
        <w:rPr>
          <w:rFonts w:eastAsia="Times New Roman"/>
          <w:color w:val="000000"/>
          <w:sz w:val="20"/>
          <w:szCs w:val="20"/>
          <w:shd w:val="clear" w:color="auto" w:fill="FFFFFF"/>
        </w:rPr>
        <w:t>strength of the brand resonating with our guests through a focus on innovative food, digital capabilities, best-in-class off-premise and team m</w:t>
      </w:r>
      <w:r>
        <w:rPr>
          <w:rFonts w:eastAsia="Times New Roman"/>
          <w:color w:val="000000"/>
          <w:sz w:val="20"/>
          <w:szCs w:val="20"/>
          <w:shd w:val="clear" w:color="auto" w:fill="FFFFFF"/>
        </w:rPr>
        <w:t>ember culture.</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shd w:val="clear" w:color="auto" w:fill="FFFFFF"/>
        </w:rPr>
        <w:t xml:space="preserve">AUV, which normalizes for the impact of temporary restaurant closures, increased year-over-year due to strong off-premise sales, including digital, and growth in dine-in sales as a result of dining rooms reopening. </w:t>
      </w:r>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Cost of Sales</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shd w:val="clear" w:color="auto" w:fill="FFFFFF"/>
        </w:rPr>
        <w:t xml:space="preserve">Cost </w:t>
      </w:r>
      <w:r>
        <w:rPr>
          <w:rFonts w:eastAsia="Times New Roman"/>
          <w:color w:val="000000"/>
          <w:sz w:val="20"/>
          <w:szCs w:val="20"/>
          <w:shd w:val="clear" w:color="auto" w:fill="FFFFFF"/>
        </w:rPr>
        <w:t>of sales increased by $12.6 million, or 27.8%, in the first two quarters of 2021 compared to the same period of 2020, due primarily to the increase in restaurant sales. A</w:t>
      </w:r>
      <w:r>
        <w:rPr>
          <w:rFonts w:eastAsia="Times New Roman"/>
          <w:color w:val="000000"/>
          <w:sz w:val="20"/>
          <w:szCs w:val="20"/>
        </w:rPr>
        <w:t>s a percentage of restaurant revenue, cost of sal</w:t>
      </w:r>
      <w:r>
        <w:rPr>
          <w:rFonts w:eastAsia="Times New Roman"/>
          <w:color w:val="000000"/>
          <w:sz w:val="20"/>
          <w:szCs w:val="20"/>
          <w:shd w:val="clear" w:color="auto" w:fill="FFFFFF"/>
        </w:rPr>
        <w:t>es decreased to</w:t>
      </w:r>
      <w:r>
        <w:rPr>
          <w:rFonts w:eastAsia="Times New Roman"/>
          <w:color w:val="000000"/>
          <w:sz w:val="20"/>
          <w:szCs w:val="20"/>
        </w:rPr>
        <w:t xml:space="preserve"> 25.0% in the first tw</w:t>
      </w:r>
      <w:r>
        <w:rPr>
          <w:rFonts w:eastAsia="Times New Roman"/>
          <w:color w:val="000000"/>
          <w:sz w:val="20"/>
          <w:szCs w:val="20"/>
        </w:rPr>
        <w:t>o quarters of 2021 compared to 25.3% in the first two quarters of 2020, primarily</w:t>
      </w:r>
      <w:r>
        <w:rPr>
          <w:rFonts w:eastAsia="Times New Roman"/>
          <w:color w:val="000000"/>
          <w:sz w:val="20"/>
          <w:szCs w:val="20"/>
          <w:shd w:val="clear" w:color="auto" w:fill="FFFFFF"/>
        </w:rPr>
        <w:t xml:space="preserve"> due to increased menu pricing and cost saving initiatives partially offset by increases in certain commodity costs. </w:t>
      </w:r>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Labor Costs</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shd w:val="clear" w:color="auto" w:fill="FFFFFF"/>
        </w:rPr>
        <w:t>Labor costs increased by $9.9 million, or</w:t>
      </w:r>
      <w:r>
        <w:rPr>
          <w:rFonts w:eastAsia="Times New Roman"/>
          <w:color w:val="000000"/>
          <w:sz w:val="20"/>
          <w:szCs w:val="20"/>
          <w:shd w:val="clear" w:color="auto" w:fill="FFFFFF"/>
        </w:rPr>
        <w:t xml:space="preserve"> 16.1%, in the first two quarters of 2021 compared to the same period of 2020, due primarily to the increase in restaurant sales. As a percentage of restaurant revenue, labor costs decreased to 30.8% in the first two quarters of 2021 compared to 34.3% in t</w:t>
      </w:r>
      <w:r>
        <w:rPr>
          <w:rFonts w:eastAsia="Times New Roman"/>
          <w:color w:val="000000"/>
          <w:sz w:val="20"/>
          <w:szCs w:val="20"/>
          <w:shd w:val="clear" w:color="auto" w:fill="FFFFFF"/>
        </w:rPr>
        <w:t>he first two quarters of 2020. The decrease as a percentage of restaurant revenue was primarily due to increased revenue, partially offset by labor initiatives, including modifying our labor model to reduce the number of front of house hours in our restaur</w:t>
      </w:r>
      <w:r>
        <w:rPr>
          <w:rFonts w:eastAsia="Times New Roman"/>
          <w:color w:val="000000"/>
          <w:sz w:val="20"/>
          <w:szCs w:val="20"/>
          <w:shd w:val="clear" w:color="auto" w:fill="FFFFFF"/>
        </w:rPr>
        <w:t>ants.</w:t>
      </w:r>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Occupancy Costs</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 xml:space="preserve">Occupancy costs decreased </w:t>
      </w:r>
      <w:r>
        <w:rPr>
          <w:rFonts w:eastAsia="Times New Roman"/>
          <w:color w:val="000000"/>
          <w:sz w:val="20"/>
          <w:szCs w:val="20"/>
          <w:shd w:val="clear" w:color="auto" w:fill="FFFFFF"/>
        </w:rPr>
        <w:t>by $0.6 million, or 2.4%, in the first two quarters of 2021 compared to the first two quarters of 2020, due primarily to restaurants closed or impaired since the beginning of the second quarter of 2020. A</w:t>
      </w:r>
      <w:r>
        <w:rPr>
          <w:rFonts w:eastAsia="Times New Roman"/>
          <w:color w:val="000000"/>
          <w:sz w:val="20"/>
          <w:szCs w:val="20"/>
          <w:shd w:val="clear" w:color="auto" w:fill="FFFFFF"/>
        </w:rPr>
        <w:t>s</w:t>
      </w:r>
      <w:r>
        <w:rPr>
          <w:rFonts w:eastAsia="Times New Roman"/>
          <w:color w:val="000000"/>
          <w:sz w:val="20"/>
          <w:szCs w:val="20"/>
        </w:rPr>
        <w:t xml:space="preserve"> a percentage of revenue, occupancy costs</w:t>
      </w:r>
      <w:r>
        <w:rPr>
          <w:rFonts w:eastAsia="Times New Roman"/>
          <w:color w:val="000000"/>
          <w:sz w:val="20"/>
          <w:szCs w:val="20"/>
          <w:shd w:val="clear" w:color="auto" w:fill="FFFFFF"/>
        </w:rPr>
        <w:t xml:space="preserve"> decreased t</w:t>
      </w:r>
      <w:r>
        <w:rPr>
          <w:rFonts w:eastAsia="Times New Roman"/>
          <w:color w:val="000000"/>
          <w:sz w:val="20"/>
          <w:szCs w:val="20"/>
        </w:rPr>
        <w:t>o 10.0% in first two quarters of 2021, compared to 13.3% in the first two quarters</w:t>
      </w:r>
      <w:r>
        <w:rPr>
          <w:rFonts w:eastAsia="Times New Roman"/>
          <w:color w:val="000000"/>
          <w:sz w:val="20"/>
          <w:szCs w:val="20"/>
          <w:shd w:val="clear" w:color="auto" w:fill="FFFFFF"/>
        </w:rPr>
        <w:t xml:space="preserve"> of 2020, primarily due to sales leverage.</w:t>
      </w:r>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Other Restaurant Operating Costs</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Other restaurant operating costs increased by $8.8 million, or 27.1%, in the first two quarters of 2021 compared to the first two quarters of 2020.</w:t>
      </w:r>
      <w:r>
        <w:rPr>
          <w:rFonts w:eastAsia="Times New Roman"/>
          <w:color w:val="000000"/>
          <w:sz w:val="20"/>
          <w:szCs w:val="20"/>
          <w:shd w:val="clear" w:color="auto" w:fill="FFFFFF"/>
        </w:rPr>
        <w:t xml:space="preserve"> As a p</w:t>
      </w:r>
      <w:r>
        <w:rPr>
          <w:rFonts w:eastAsia="Times New Roman"/>
          <w:color w:val="000000"/>
          <w:sz w:val="20"/>
          <w:szCs w:val="20"/>
        </w:rPr>
        <w:t>ercentage of restaurant revenue, other restaurant operating cost</w:t>
      </w:r>
      <w:r>
        <w:rPr>
          <w:rFonts w:eastAsia="Times New Roman"/>
          <w:color w:val="000000"/>
          <w:sz w:val="20"/>
          <w:szCs w:val="20"/>
          <w:shd w:val="clear" w:color="auto" w:fill="FFFFFF"/>
        </w:rPr>
        <w:t>s decreased t</w:t>
      </w:r>
      <w:r>
        <w:rPr>
          <w:rFonts w:eastAsia="Times New Roman"/>
          <w:color w:val="000000"/>
          <w:sz w:val="20"/>
          <w:szCs w:val="20"/>
        </w:rPr>
        <w:t xml:space="preserve">o 17.8% in the first two </w:t>
      </w:r>
      <w:r>
        <w:rPr>
          <w:rFonts w:eastAsia="Times New Roman"/>
          <w:color w:val="000000"/>
          <w:sz w:val="20"/>
          <w:szCs w:val="20"/>
        </w:rPr>
        <w:t>quarters of 2021, compared to 18.2% in t</w:t>
      </w:r>
      <w:r>
        <w:rPr>
          <w:rFonts w:eastAsia="Times New Roman"/>
          <w:color w:val="000000"/>
          <w:sz w:val="20"/>
          <w:szCs w:val="20"/>
          <w:shd w:val="clear" w:color="auto" w:fill="FFFFFF"/>
        </w:rPr>
        <w:t>he first two quarters of 2020, due primarily to higher revenue partially offset by third-party delivery fees and increases in repairs and maintenance and utilities. Third-party delivery fees were 5.5% and 4.5% of tot</w:t>
      </w:r>
      <w:r>
        <w:rPr>
          <w:rFonts w:eastAsia="Times New Roman"/>
          <w:color w:val="000000"/>
          <w:sz w:val="20"/>
          <w:szCs w:val="20"/>
          <w:shd w:val="clear" w:color="auto" w:fill="FFFFFF"/>
        </w:rPr>
        <w:t xml:space="preserve">al revenue for the first two quarters of 2021 and 2020, respectively. </w:t>
      </w:r>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General and Administrative Expense</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General and administrative expense increased by $3.3 million, or 16.1%, in the first two quarters of 2021 compared to the first two quarters of 20</w:t>
      </w:r>
      <w:r>
        <w:rPr>
          <w:rFonts w:eastAsia="Times New Roman"/>
          <w:color w:val="000000"/>
          <w:sz w:val="20"/>
          <w:szCs w:val="20"/>
        </w:rPr>
        <w:t>20</w:t>
      </w:r>
      <w:r>
        <w:rPr>
          <w:rFonts w:eastAsia="Times New Roman"/>
          <w:color w:val="000000"/>
          <w:sz w:val="20"/>
          <w:szCs w:val="20"/>
          <w:shd w:val="clear" w:color="auto" w:fill="FFFFFF"/>
        </w:rPr>
        <w:t>, due primarily to increases in incentive compensation and stock-based compensation due to higher performance-based compensation, due to significantly improved results, partially offset by a decrease in third-party services and software maintenance. As a</w:t>
      </w:r>
      <w:r>
        <w:rPr>
          <w:rFonts w:eastAsia="Times New Roman"/>
          <w:color w:val="000000"/>
          <w:sz w:val="20"/>
          <w:szCs w:val="20"/>
          <w:shd w:val="clear" w:color="auto" w:fill="FFFFFF"/>
        </w:rPr>
        <w:t xml:space="preserve"> percentage of revenue, general and administrative expense decreased to</w:t>
      </w:r>
      <w:r>
        <w:rPr>
          <w:rFonts w:eastAsia="Times New Roman"/>
          <w:color w:val="000000"/>
          <w:sz w:val="20"/>
          <w:szCs w:val="20"/>
        </w:rPr>
        <w:t xml:space="preserve"> 10.2% in the first two quarters of 2021 compared to 11.4% in the first two quarters of 2020, primaril</w:t>
      </w:r>
      <w:r>
        <w:rPr>
          <w:rFonts w:eastAsia="Times New Roman"/>
          <w:color w:val="000000"/>
          <w:sz w:val="20"/>
          <w:szCs w:val="20"/>
          <w:shd w:val="clear" w:color="auto" w:fill="FFFFFF"/>
        </w:rPr>
        <w:t xml:space="preserve">y due to increase revenue. </w:t>
      </w:r>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Depreciation and Amortization</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Depreciation and amor</w:t>
      </w:r>
      <w:r>
        <w:rPr>
          <w:rFonts w:eastAsia="Times New Roman"/>
          <w:color w:val="000000"/>
          <w:sz w:val="20"/>
          <w:szCs w:val="20"/>
        </w:rPr>
        <w:t>tization increased by $0.4 million, or 4.0%, in the first two quarters of 2021 compared to the first two quarters of 2020,</w:t>
      </w:r>
      <w:r>
        <w:rPr>
          <w:rFonts w:eastAsia="Times New Roman"/>
          <w:color w:val="000000"/>
          <w:sz w:val="20"/>
          <w:szCs w:val="20"/>
          <w:shd w:val="clear" w:color="auto" w:fill="FFFFFF"/>
        </w:rPr>
        <w:t xml:space="preserve"> primarily due to new asset additions. A</w:t>
      </w:r>
      <w:r>
        <w:rPr>
          <w:rFonts w:eastAsia="Times New Roman"/>
          <w:color w:val="000000"/>
          <w:sz w:val="20"/>
          <w:szCs w:val="20"/>
        </w:rPr>
        <w:t>s a percentage of revenue, depreciation and amortization</w:t>
      </w:r>
      <w:r>
        <w:rPr>
          <w:rFonts w:eastAsia="Times New Roman"/>
          <w:color w:val="000000"/>
          <w:sz w:val="20"/>
          <w:szCs w:val="20"/>
          <w:shd w:val="clear" w:color="auto" w:fill="FFFFFF"/>
        </w:rPr>
        <w:t xml:space="preserve"> decreased to</w:t>
      </w:r>
      <w:r>
        <w:rPr>
          <w:rFonts w:eastAsia="Times New Roman"/>
          <w:color w:val="000000"/>
          <w:sz w:val="20"/>
          <w:szCs w:val="20"/>
        </w:rPr>
        <w:t xml:space="preserve"> 4.7% in the first two qu</w:t>
      </w:r>
      <w:r>
        <w:rPr>
          <w:rFonts w:eastAsia="Times New Roman"/>
          <w:color w:val="000000"/>
          <w:sz w:val="20"/>
          <w:szCs w:val="20"/>
        </w:rPr>
        <w:t>arters of 2021, compared to 5.9% in the first two quarters of 2020, due primarily to the increase in reve</w:t>
      </w:r>
      <w:r>
        <w:rPr>
          <w:rFonts w:eastAsia="Times New Roman"/>
          <w:color w:val="000000"/>
          <w:sz w:val="20"/>
          <w:szCs w:val="20"/>
          <w:shd w:val="clear" w:color="auto" w:fill="FFFFFF"/>
        </w:rPr>
        <w:t>nue.</w:t>
      </w:r>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Restaurant Impairments, Closure Costs and Asset Disposals</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Restaurant impairments, closure costs and asset disposals decreased by $2.0 million in the first two quarters of 2021 compared to the first two quarters of 2020</w:t>
      </w:r>
      <w:r>
        <w:rPr>
          <w:rFonts w:eastAsia="Times New Roman"/>
          <w:color w:val="000000"/>
          <w:sz w:val="20"/>
          <w:szCs w:val="20"/>
          <w:shd w:val="clear" w:color="auto" w:fill="FFFFFF"/>
        </w:rPr>
        <w:t>. The decrease was largely due to less impairment and closure costs during the first two quarter</w:t>
      </w:r>
      <w:r>
        <w:rPr>
          <w:rFonts w:eastAsia="Times New Roman"/>
          <w:color w:val="000000"/>
          <w:sz w:val="20"/>
          <w:szCs w:val="20"/>
          <w:shd w:val="clear" w:color="auto" w:fill="FFFFFF"/>
        </w:rPr>
        <w:t>s of 2021 as compared to the same period in 2020. There were no restaurant impairments in the first two quarters of 2021 compared to five restaurant impairments in the first two quarters of 2020.</w:t>
      </w:r>
    </w:p>
    <w:p w:rsidR="00000000" w:rsidRDefault="003E235E">
      <w:pPr>
        <w:jc w:val="center"/>
        <w:divId w:val="897790918"/>
        <w:rPr>
          <w:rFonts w:eastAsia="Times New Roman"/>
        </w:rPr>
      </w:pPr>
      <w:r>
        <w:rPr>
          <w:rFonts w:eastAsia="Times New Roman"/>
          <w:color w:val="000000"/>
          <w:sz w:val="20"/>
          <w:szCs w:val="20"/>
        </w:rPr>
        <w:t>23</w:t>
      </w:r>
    </w:p>
    <w:p w:rsidR="00000000" w:rsidRDefault="003E235E">
      <w:pPr>
        <w:rPr>
          <w:rFonts w:eastAsia="Times New Roman"/>
        </w:rPr>
      </w:pPr>
      <w:r>
        <w:rPr>
          <w:rFonts w:eastAsia="Times New Roman"/>
        </w:rPr>
        <w:pict>
          <v:rect id="_x0000_i1048" style="width:0;height:1.5pt" o:hralign="center" o:hrstd="t" o:hr="t" fillcolor="#a0a0a0" stroked="f"/>
        </w:pict>
      </w:r>
    </w:p>
    <w:p w:rsidR="00000000" w:rsidRDefault="003E235E">
      <w:pPr>
        <w:divId w:val="1501433455"/>
        <w:rPr>
          <w:rFonts w:eastAsia="Times New Roman"/>
        </w:rPr>
      </w:pPr>
      <w:hyperlink w:anchor="i48000f6fae8946f8b752541bba7287a8_10" w:history="1">
        <w:r>
          <w:rPr>
            <w:rStyle w:val="a3"/>
            <w:rFonts w:eastAsia="Times New Roman"/>
            <w:sz w:val="20"/>
            <w:szCs w:val="20"/>
          </w:rPr>
          <w:t>Table of Contents</w:t>
        </w:r>
      </w:hyperlink>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Interest Expense</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Interest expense decreased by $0.8 million in the first two quarters of 2021 compare</w:t>
      </w:r>
      <w:r>
        <w:rPr>
          <w:rFonts w:eastAsia="Times New Roman"/>
          <w:color w:val="000000"/>
          <w:sz w:val="20"/>
          <w:szCs w:val="20"/>
          <w:shd w:val="clear" w:color="auto" w:fill="FFFFFF"/>
        </w:rPr>
        <w:t>d to the same period of 2020. The decrease was mainly due to lower average borrowings in the f</w:t>
      </w:r>
      <w:r>
        <w:rPr>
          <w:rFonts w:eastAsia="Times New Roman"/>
          <w:color w:val="000000"/>
          <w:sz w:val="20"/>
          <w:szCs w:val="20"/>
          <w:shd w:val="clear" w:color="auto" w:fill="FFFFFF"/>
        </w:rPr>
        <w:t>irst two quarters of 2021 compare</w:t>
      </w:r>
      <w:r>
        <w:rPr>
          <w:rFonts w:eastAsia="Times New Roman"/>
          <w:color w:val="000000"/>
          <w:sz w:val="20"/>
          <w:szCs w:val="20"/>
        </w:rPr>
        <w:t>d to the first two quarters of 2020.</w:t>
      </w:r>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Provision for Income Taxes</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The effective tax rate for the first two quarters of 2021 and for the first two quarters of 2020 reflect the impact of the previously recorded valuation al</w:t>
      </w:r>
      <w:r>
        <w:rPr>
          <w:rFonts w:eastAsia="Times New Roman"/>
          <w:color w:val="000000"/>
          <w:sz w:val="20"/>
          <w:szCs w:val="20"/>
        </w:rPr>
        <w:t>lowance. For the remainder of fiscal 2021, we do not anticipate material income tax expense or benefit as a result of the valuation allowance recorded. We will maintain a valuation allowance against deferred tax assets until there is sufficient evidence to</w:t>
      </w:r>
      <w:r>
        <w:rPr>
          <w:rFonts w:eastAsia="Times New Roman"/>
          <w:color w:val="000000"/>
          <w:sz w:val="20"/>
          <w:szCs w:val="20"/>
        </w:rPr>
        <w:t xml:space="preserve"> support a full or partial reversal. The reversal of a previously recorded valuation allowance will generally result in a benefit from income tax.</w:t>
      </w:r>
    </w:p>
    <w:p w:rsidR="00000000" w:rsidRDefault="003E235E">
      <w:pPr>
        <w:jc w:val="both"/>
        <w:rPr>
          <w:rFonts w:eastAsia="Times New Roman"/>
        </w:rPr>
      </w:pPr>
    </w:p>
    <w:p w:rsidR="00000000" w:rsidRDefault="003E235E">
      <w:pPr>
        <w:jc w:val="both"/>
        <w:rPr>
          <w:rFonts w:eastAsia="Times New Roman"/>
        </w:rPr>
      </w:pPr>
      <w:r>
        <w:rPr>
          <w:rFonts w:eastAsia="Times New Roman"/>
          <w:b/>
          <w:bCs/>
          <w:color w:val="000000"/>
          <w:sz w:val="20"/>
          <w:szCs w:val="20"/>
        </w:rPr>
        <w:t>Liquidity and Capital Resources</w:t>
      </w:r>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Summary of Cash Flows</w:t>
      </w:r>
    </w:p>
    <w:p w:rsidR="00000000" w:rsidRDefault="003E235E">
      <w:pPr>
        <w:jc w:val="both"/>
        <w:divId w:val="1346394855"/>
        <w:rPr>
          <w:rFonts w:eastAsia="Times New Roman"/>
        </w:rPr>
      </w:pPr>
      <w:r>
        <w:rPr>
          <w:rFonts w:eastAsia="Times New Roman"/>
          <w:color w:val="000000"/>
          <w:sz w:val="20"/>
          <w:szCs w:val="20"/>
        </w:rPr>
        <w:t>As of June </w:t>
      </w:r>
      <w:r>
        <w:rPr>
          <w:rFonts w:eastAsia="Times New Roman"/>
          <w:color w:val="000000"/>
          <w:sz w:val="20"/>
          <w:szCs w:val="20"/>
        </w:rPr>
        <w:t xml:space="preserve">29, 2021, our cash and cash equivalents balance was $17.3 million and the amount available for future borrowings under our Second Amended Credit Facility was $57.0 million. </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We have historically used cash and our revolving credit facility to fund capital</w:t>
      </w:r>
      <w:r>
        <w:rPr>
          <w:rFonts w:eastAsia="Times New Roman"/>
          <w:color w:val="000000"/>
          <w:sz w:val="20"/>
          <w:szCs w:val="20"/>
        </w:rPr>
        <w:t xml:space="preserve"> expenditures for new restaurant openings, reinvest in our existing restaurants, invest in infrastructure and information technology and maintain working capital. Our working capital position benefits from the fact that we generally collect cash from sales</w:t>
      </w:r>
      <w:r>
        <w:rPr>
          <w:rFonts w:eastAsia="Times New Roman"/>
          <w:color w:val="000000"/>
          <w:sz w:val="20"/>
          <w:szCs w:val="20"/>
        </w:rPr>
        <w:t xml:space="preserve"> to customers the same day, or in the case of credit or debit card transactions, within several days of the related sale, and we typically have up to 30 days to pay our vendors. </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We believe that we will be in compliance with our debt covenants and have s</w:t>
      </w:r>
      <w:r>
        <w:rPr>
          <w:rFonts w:eastAsia="Times New Roman"/>
          <w:color w:val="000000"/>
          <w:sz w:val="20"/>
          <w:szCs w:val="20"/>
        </w:rPr>
        <w:t xml:space="preserve">ufficient sources of cash to meet our liquidity needs and capital resource requirements for the next twelve months, primarily through currently available cash and cash equivalents and cash flows from operations. </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 xml:space="preserve">Cash flows from operating, investing and </w:t>
      </w:r>
      <w:r>
        <w:rPr>
          <w:rFonts w:eastAsia="Times New Roman"/>
          <w:color w:val="000000"/>
          <w:sz w:val="20"/>
          <w:szCs w:val="20"/>
        </w:rPr>
        <w:t>financing activities are shown in the following table (in thousands):</w:t>
      </w:r>
    </w:p>
    <w:tbl>
      <w:tblPr>
        <w:tblW w:w="4985" w:type="pct"/>
        <w:tblCellMar>
          <w:top w:w="15" w:type="dxa"/>
          <w:left w:w="15" w:type="dxa"/>
          <w:bottom w:w="15" w:type="dxa"/>
          <w:right w:w="15" w:type="dxa"/>
        </w:tblCellMar>
        <w:tblLook w:val="04A0" w:firstRow="1" w:lastRow="0" w:firstColumn="1" w:lastColumn="0" w:noHBand="0" w:noVBand="1"/>
      </w:tblPr>
      <w:tblGrid>
        <w:gridCol w:w="38"/>
        <w:gridCol w:w="5112"/>
        <w:gridCol w:w="37"/>
        <w:gridCol w:w="36"/>
        <w:gridCol w:w="36"/>
        <w:gridCol w:w="36"/>
        <w:gridCol w:w="120"/>
        <w:gridCol w:w="1282"/>
        <w:gridCol w:w="36"/>
        <w:gridCol w:w="36"/>
        <w:gridCol w:w="36"/>
        <w:gridCol w:w="36"/>
        <w:gridCol w:w="120"/>
        <w:gridCol w:w="1284"/>
        <w:gridCol w:w="36"/>
      </w:tblGrid>
      <w:tr w:rsidR="00000000">
        <w:tc>
          <w:tcPr>
            <w:tcW w:w="50" w:type="pct"/>
            <w:vAlign w:val="center"/>
            <w:hideMark/>
          </w:tcPr>
          <w:p w:rsidR="00000000" w:rsidRDefault="003E235E">
            <w:pPr>
              <w:jc w:val="both"/>
              <w:rPr>
                <w:rFonts w:eastAsia="Times New Roman"/>
              </w:rPr>
            </w:pPr>
          </w:p>
        </w:tc>
        <w:tc>
          <w:tcPr>
            <w:tcW w:w="3112"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824"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26"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824"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Two Fiscal Quarters Ended</w:t>
            </w:r>
          </w:p>
        </w:tc>
      </w:tr>
      <w:tr w:rsidR="00000000">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2020</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23,246 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6,707 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Net cash used in investing activities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(7,476)</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(6,810)</w:t>
            </w:r>
          </w:p>
        </w:tc>
        <w:tc>
          <w:tcPr>
            <w:tcW w:w="0" w:type="auto"/>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Net cash (used in) provided by financing activities</w:t>
            </w: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(6,286)</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51,720 </w:t>
            </w:r>
          </w:p>
        </w:tc>
        <w:tc>
          <w:tcPr>
            <w:tcW w:w="0" w:type="auto"/>
            <w:shd w:val="clear" w:color="auto" w:fill="CCEEFF"/>
            <w:tcMar>
              <w:top w:w="30" w:type="dxa"/>
              <w:left w:w="0" w:type="dxa"/>
              <w:bottom w:w="30" w:type="dxa"/>
              <w:right w:w="20" w:type="dxa"/>
            </w:tcMar>
            <w:vAlign w:val="bottom"/>
            <w:hideMark/>
          </w:tcPr>
          <w:p w:rsidR="00000000" w:rsidRDefault="003E235E">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Net increase in 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9,484 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E235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E235E">
            <w:pPr>
              <w:spacing w:after="100"/>
              <w:jc w:val="right"/>
              <w:rPr>
                <w:rFonts w:eastAsia="Times New Roman"/>
              </w:rPr>
            </w:pPr>
            <w:r>
              <w:rPr>
                <w:rFonts w:eastAsia="Times New Roman"/>
                <w:color w:val="000000"/>
                <w:sz w:val="20"/>
                <w:szCs w:val="20"/>
              </w:rPr>
              <w:t>51,617 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E235E">
            <w:pPr>
              <w:spacing w:after="100"/>
              <w:jc w:val="right"/>
              <w:rPr>
                <w:rFonts w:eastAsia="Times New Roman"/>
              </w:rPr>
            </w:pPr>
          </w:p>
        </w:tc>
      </w:tr>
    </w:tbl>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O</w:t>
      </w:r>
      <w:r>
        <w:rPr>
          <w:rFonts w:eastAsia="Times New Roman"/>
          <w:b/>
          <w:bCs/>
          <w:i/>
          <w:iCs/>
          <w:color w:val="000000"/>
          <w:sz w:val="20"/>
          <w:szCs w:val="20"/>
        </w:rPr>
        <w:t>perating Activities</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shd w:val="clear" w:color="auto" w:fill="FFFFFF"/>
        </w:rPr>
        <w:t>Net cash provided by operating activities increased to $23.2 million in the first two quarters of 2021 from net cash provided by operating activities of $6.7 million in the first two quarters of 2020. The increase in operating cash fl</w:t>
      </w:r>
      <w:r>
        <w:rPr>
          <w:rFonts w:eastAsia="Times New Roman"/>
          <w:color w:val="000000"/>
          <w:sz w:val="20"/>
          <w:szCs w:val="20"/>
          <w:shd w:val="clear" w:color="auto" w:fill="FFFFFF"/>
        </w:rPr>
        <w:t>ows resulted primarily from an increased net income due to the recovery from the initial impacts of the COVID-19 pandemic during the first two quarters of 2021 as well as working capital changes during the first two quarters of 2021 compared to the prior p</w:t>
      </w:r>
      <w:r>
        <w:rPr>
          <w:rFonts w:eastAsia="Times New Roman"/>
          <w:color w:val="000000"/>
          <w:sz w:val="20"/>
          <w:szCs w:val="20"/>
          <w:shd w:val="clear" w:color="auto" w:fill="FFFFFF"/>
        </w:rPr>
        <w:t>eriod of 2020, adjusted for non-cash items such as depreciation and amortization, restaurant impairments, closure costs, asset disposals and stock-based compensation.</w:t>
      </w:r>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Investing Activities</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shd w:val="clear" w:color="auto" w:fill="FFFFFF"/>
        </w:rPr>
        <w:t>Net cash used in investing activities increased $0.7 million in the first two quarters of 2021 from $6.8 million in the first two quarters of 2020. This increase was primarily due to higher investments in new restaurant openings in the first two quarters o</w:t>
      </w:r>
      <w:r>
        <w:rPr>
          <w:rFonts w:eastAsia="Times New Roman"/>
          <w:color w:val="000000"/>
          <w:sz w:val="20"/>
          <w:szCs w:val="20"/>
          <w:shd w:val="clear" w:color="auto" w:fill="FFFFFF"/>
        </w:rPr>
        <w:t>f 2021 compared to 2020.</w:t>
      </w:r>
    </w:p>
    <w:p w:rsidR="00000000" w:rsidRDefault="003E235E">
      <w:pPr>
        <w:jc w:val="center"/>
        <w:divId w:val="1947469442"/>
        <w:rPr>
          <w:rFonts w:eastAsia="Times New Roman"/>
        </w:rPr>
      </w:pPr>
      <w:r>
        <w:rPr>
          <w:rFonts w:eastAsia="Times New Roman"/>
          <w:color w:val="000000"/>
          <w:sz w:val="20"/>
          <w:szCs w:val="20"/>
        </w:rPr>
        <w:t>24</w:t>
      </w:r>
    </w:p>
    <w:p w:rsidR="00000000" w:rsidRDefault="003E235E">
      <w:pPr>
        <w:rPr>
          <w:rFonts w:eastAsia="Times New Roman"/>
        </w:rPr>
      </w:pPr>
      <w:r>
        <w:rPr>
          <w:rFonts w:eastAsia="Times New Roman"/>
        </w:rPr>
        <w:pict>
          <v:rect id="_x0000_i1049" style="width:0;height:1.5pt" o:hralign="center" o:hrstd="t" o:hr="t" fillcolor="#a0a0a0" stroked="f"/>
        </w:pict>
      </w:r>
    </w:p>
    <w:p w:rsidR="00000000" w:rsidRDefault="003E235E">
      <w:pPr>
        <w:divId w:val="1252591962"/>
        <w:rPr>
          <w:rFonts w:eastAsia="Times New Roman"/>
        </w:rPr>
      </w:pPr>
      <w:hyperlink w:anchor="i48000f6fae8946f8b752541bba7287a8_10" w:history="1">
        <w:r>
          <w:rPr>
            <w:rStyle w:val="a3"/>
            <w:rFonts w:eastAsia="Times New Roman"/>
            <w:sz w:val="20"/>
            <w:szCs w:val="20"/>
          </w:rPr>
          <w:t>Table of Contents</w:t>
        </w:r>
      </w:hyperlink>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Financing Activities</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shd w:val="clear" w:color="auto" w:fill="FFFFFF"/>
        </w:rPr>
        <w:t>Net cash used in financing activities was $6.3 million in the first two quarters of 2021 related to repayments on our long-term debt and finance leases. The first two quarters of 2020 included precautionary draws on our revolving credit facility of $55.5 m</w:t>
      </w:r>
      <w:r>
        <w:rPr>
          <w:rFonts w:eastAsia="Times New Roman"/>
          <w:color w:val="000000"/>
          <w:sz w:val="20"/>
          <w:szCs w:val="20"/>
          <w:shd w:val="clear" w:color="auto" w:fill="FFFFFF"/>
        </w:rPr>
        <w:t>illion during the initial onset of the COVID-19 pandemic, partially offset by related debt issuance costs as well as payments on finance leases.</w:t>
      </w:r>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Capital Resources</w:t>
      </w:r>
    </w:p>
    <w:p w:rsidR="00000000" w:rsidRDefault="003E235E">
      <w:pPr>
        <w:jc w:val="both"/>
        <w:rPr>
          <w:rFonts w:eastAsia="Times New Roman"/>
        </w:rPr>
      </w:pPr>
    </w:p>
    <w:p w:rsidR="00000000" w:rsidRDefault="003E235E">
      <w:pPr>
        <w:jc w:val="both"/>
        <w:rPr>
          <w:rFonts w:eastAsia="Times New Roman"/>
        </w:rPr>
      </w:pPr>
      <w:r>
        <w:rPr>
          <w:rFonts w:eastAsia="Times New Roman"/>
          <w:i/>
          <w:iCs/>
          <w:color w:val="000000"/>
          <w:sz w:val="20"/>
          <w:szCs w:val="20"/>
        </w:rPr>
        <w:t xml:space="preserve">Future Capital Expenditure Requirements. </w:t>
      </w:r>
      <w:r>
        <w:rPr>
          <w:rFonts w:eastAsia="Times New Roman"/>
          <w:color w:val="000000"/>
          <w:sz w:val="20"/>
          <w:szCs w:val="20"/>
        </w:rPr>
        <w:t>Our capital expenditure requirements are primari</w:t>
      </w:r>
      <w:r>
        <w:rPr>
          <w:rFonts w:eastAsia="Times New Roman"/>
          <w:color w:val="000000"/>
          <w:sz w:val="20"/>
          <w:szCs w:val="20"/>
        </w:rPr>
        <w:t>ly dependent upon the pace of our real estate development program and resulting new restaurant openings, costs for maintenance and remodeling of our existing restaurants as well as information technology expenses and other general corporate capital expendi</w:t>
      </w:r>
      <w:r>
        <w:rPr>
          <w:rFonts w:eastAsia="Times New Roman"/>
          <w:color w:val="000000"/>
          <w:sz w:val="20"/>
          <w:szCs w:val="20"/>
        </w:rPr>
        <w:t xml:space="preserve">tures. </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We estimate capital expenditures will be approximat</w:t>
      </w:r>
      <w:r>
        <w:rPr>
          <w:rFonts w:eastAsia="Times New Roman"/>
          <w:color w:val="000000"/>
          <w:sz w:val="20"/>
          <w:szCs w:val="20"/>
          <w:shd w:val="clear" w:color="auto" w:fill="FFFFFF"/>
        </w:rPr>
        <w:t>ely $20.0 million to $24.0 million for fi</w:t>
      </w:r>
      <w:r>
        <w:rPr>
          <w:rFonts w:eastAsia="Times New Roman"/>
          <w:color w:val="000000"/>
          <w:sz w:val="20"/>
          <w:szCs w:val="20"/>
        </w:rPr>
        <w:t>scal year 2021, primarily for the opening of</w:t>
      </w:r>
      <w:r>
        <w:rPr>
          <w:rFonts w:eastAsia="Times New Roman"/>
          <w:color w:val="000000"/>
          <w:sz w:val="20"/>
          <w:szCs w:val="20"/>
          <w:shd w:val="clear" w:color="auto" w:fill="FFFFFF"/>
        </w:rPr>
        <w:t xml:space="preserve"> eight to eleven company-owned restaurants, kitchen equipment initiatives and restaurant maintenance capital. </w:t>
      </w:r>
      <w:r>
        <w:rPr>
          <w:rFonts w:eastAsia="Times New Roman"/>
          <w:color w:val="000000"/>
          <w:sz w:val="20"/>
          <w:szCs w:val="20"/>
          <w:shd w:val="clear" w:color="auto" w:fill="FFFFFF"/>
        </w:rPr>
        <w:t>W</w:t>
      </w:r>
      <w:r>
        <w:rPr>
          <w:rFonts w:eastAsia="Times New Roman"/>
          <w:color w:val="000000"/>
          <w:sz w:val="20"/>
          <w:szCs w:val="20"/>
        </w:rPr>
        <w:t xml:space="preserve">e expect such capital expenditures to be funded by currently available cash and cash equivalents, cash flows from operations and if necessary, undrawn capacity under our revolving credit line. </w:t>
      </w:r>
    </w:p>
    <w:p w:rsidR="00000000" w:rsidRDefault="003E235E">
      <w:pPr>
        <w:jc w:val="both"/>
        <w:rPr>
          <w:rFonts w:eastAsia="Times New Roman"/>
        </w:rPr>
      </w:pPr>
    </w:p>
    <w:p w:rsidR="00000000" w:rsidRDefault="003E235E">
      <w:pPr>
        <w:jc w:val="both"/>
        <w:rPr>
          <w:rFonts w:eastAsia="Times New Roman"/>
        </w:rPr>
      </w:pPr>
      <w:r>
        <w:rPr>
          <w:rFonts w:eastAsia="Times New Roman"/>
          <w:i/>
          <w:iCs/>
          <w:color w:val="000000"/>
          <w:sz w:val="20"/>
          <w:szCs w:val="20"/>
        </w:rPr>
        <w:t xml:space="preserve">Current Resources. </w:t>
      </w:r>
      <w:r>
        <w:rPr>
          <w:rFonts w:eastAsia="Times New Roman"/>
          <w:color w:val="000000"/>
          <w:sz w:val="20"/>
          <w:szCs w:val="20"/>
        </w:rPr>
        <w:t>Our operations have not historically req</w:t>
      </w:r>
      <w:r>
        <w:rPr>
          <w:rFonts w:eastAsia="Times New Roman"/>
          <w:color w:val="000000"/>
          <w:sz w:val="20"/>
          <w:szCs w:val="20"/>
        </w:rPr>
        <w:t>uired significant working capital and, like many restaurant companies, we operate with negative working capital. Restaurant sales are primarily paid for in cash or by credit or debit card, and restaurant operations do not require significant inventories or</w:t>
      </w:r>
      <w:r>
        <w:rPr>
          <w:rFonts w:eastAsia="Times New Roman"/>
          <w:color w:val="000000"/>
          <w:sz w:val="20"/>
          <w:szCs w:val="20"/>
        </w:rPr>
        <w:t xml:space="preserve"> receivables. In addition, we receive trade credit for the purchase of food, beverages and supplies, therefore reducing the need for incremental working capital to support growth.</w:t>
      </w:r>
    </w:p>
    <w:p w:rsidR="00000000" w:rsidRDefault="003E235E">
      <w:pPr>
        <w:jc w:val="both"/>
        <w:rPr>
          <w:rFonts w:eastAsia="Times New Roman"/>
        </w:rPr>
      </w:pPr>
    </w:p>
    <w:p w:rsidR="00000000" w:rsidRDefault="003E235E">
      <w:pPr>
        <w:jc w:val="both"/>
        <w:rPr>
          <w:rFonts w:eastAsia="Times New Roman"/>
        </w:rPr>
      </w:pPr>
      <w:r>
        <w:rPr>
          <w:rFonts w:eastAsia="Times New Roman"/>
          <w:i/>
          <w:iCs/>
          <w:color w:val="000000"/>
          <w:sz w:val="20"/>
          <w:szCs w:val="20"/>
        </w:rPr>
        <w:t>Liquidity</w:t>
      </w:r>
      <w:r>
        <w:rPr>
          <w:rFonts w:eastAsia="Times New Roman"/>
          <w:color w:val="000000"/>
          <w:sz w:val="20"/>
          <w:szCs w:val="20"/>
        </w:rPr>
        <w:t xml:space="preserve">. </w:t>
      </w:r>
      <w:r>
        <w:rPr>
          <w:rFonts w:eastAsia="Times New Roman"/>
          <w:color w:val="000000"/>
          <w:sz w:val="20"/>
          <w:szCs w:val="20"/>
          <w:shd w:val="clear" w:color="auto" w:fill="FFFFFF"/>
        </w:rPr>
        <w:t xml:space="preserve">As of </w:t>
      </w:r>
      <w:r>
        <w:rPr>
          <w:rFonts w:eastAsia="Times New Roman"/>
          <w:color w:val="000000"/>
          <w:sz w:val="20"/>
          <w:szCs w:val="20"/>
        </w:rPr>
        <w:t>June 29, 2021</w:t>
      </w:r>
      <w:r>
        <w:rPr>
          <w:rFonts w:eastAsia="Times New Roman"/>
          <w:color w:val="000000"/>
          <w:sz w:val="20"/>
          <w:szCs w:val="20"/>
          <w:shd w:val="clear" w:color="auto" w:fill="FFFFFF"/>
        </w:rPr>
        <w:t>, we had a cash balance of $17.3 million com</w:t>
      </w:r>
      <w:r>
        <w:rPr>
          <w:rFonts w:eastAsia="Times New Roman"/>
          <w:color w:val="000000"/>
          <w:sz w:val="20"/>
          <w:szCs w:val="20"/>
          <w:shd w:val="clear" w:color="auto" w:fill="FFFFFF"/>
        </w:rPr>
        <w:t xml:space="preserve">pared to $7.8 million as </w:t>
      </w:r>
      <w:r>
        <w:rPr>
          <w:rFonts w:eastAsia="Times New Roman"/>
          <w:color w:val="000000"/>
          <w:sz w:val="20"/>
          <w:szCs w:val="20"/>
        </w:rPr>
        <w:t>of December 29, 2020. We will continue to evaluate our cash on hand and expect to pay down a portion of our outstanding debt over the next two quarters. We believe that our current cash and cash equivalents, the expected cash flows</w:t>
      </w:r>
      <w:r>
        <w:rPr>
          <w:rFonts w:eastAsia="Times New Roman"/>
          <w:color w:val="000000"/>
          <w:sz w:val="20"/>
          <w:szCs w:val="20"/>
        </w:rPr>
        <w:t xml:space="preserve"> from company-owned restaurant operations, the expected franchise fees and royalties and available borrowings under the credit facility will be sufficient to fund our cash requirements for working capital needs and capital improvements and maintenance of e</w:t>
      </w:r>
      <w:r>
        <w:rPr>
          <w:rFonts w:eastAsia="Times New Roman"/>
          <w:color w:val="000000"/>
          <w:sz w:val="20"/>
          <w:szCs w:val="20"/>
        </w:rPr>
        <w:t xml:space="preserve">xisting restaurants for at least the next twelve months. </w:t>
      </w:r>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Credit Facility</w:t>
      </w:r>
    </w:p>
    <w:p w:rsidR="00000000" w:rsidRDefault="003E235E">
      <w:pPr>
        <w:jc w:val="both"/>
        <w:rPr>
          <w:rFonts w:eastAsia="Times New Roman"/>
        </w:rPr>
      </w:pPr>
    </w:p>
    <w:p w:rsidR="00000000" w:rsidRDefault="003E235E">
      <w:pPr>
        <w:jc w:val="both"/>
        <w:divId w:val="1303921140"/>
        <w:rPr>
          <w:rFonts w:eastAsia="Times New Roman"/>
        </w:rPr>
      </w:pPr>
      <w:r>
        <w:rPr>
          <w:rFonts w:eastAsia="Times New Roman"/>
          <w:color w:val="000000"/>
          <w:sz w:val="20"/>
          <w:szCs w:val="20"/>
        </w:rPr>
        <w:t>In November of 2019, we amended our 2018 Credit Facility by entering into that certain First Amendment to Credit Agreement (the “Amendment” and the 2018 Credit Facility, as amend</w:t>
      </w:r>
      <w:r>
        <w:rPr>
          <w:rFonts w:eastAsia="Times New Roman"/>
          <w:color w:val="000000"/>
          <w:sz w:val="20"/>
          <w:szCs w:val="20"/>
        </w:rPr>
        <w:t>ed, the “First Amended Credit Facility”). Among other things, the Amendment: (i) extended the maturity date to November 20, 2024; (ii) increased the revolving credit facility from $65.0 million to $75.0 million; (iii) delayed step downs of the Company’s le</w:t>
      </w:r>
      <w:r>
        <w:rPr>
          <w:rFonts w:eastAsia="Times New Roman"/>
          <w:color w:val="000000"/>
          <w:sz w:val="20"/>
          <w:szCs w:val="20"/>
        </w:rPr>
        <w:t>verage covenant; and (iv) increased the limit on capital expenditures to $37.0 million in 2020 and to $45.0 million in 2021 and each fiscal year thereafter. Upon execution of the First Amended Credit Facility, the Company repaid in full its outstanding ind</w:t>
      </w:r>
      <w:r>
        <w:rPr>
          <w:rFonts w:eastAsia="Times New Roman"/>
          <w:color w:val="000000"/>
          <w:sz w:val="20"/>
          <w:szCs w:val="20"/>
        </w:rPr>
        <w:t xml:space="preserve">ebtedness under its prior credit facility using funds drawn on the First Amended Credit Facility. Upon repayment, the prior credit facility and all related agreements were terminated. </w:t>
      </w:r>
    </w:p>
    <w:p w:rsidR="00000000" w:rsidRDefault="003E235E">
      <w:pPr>
        <w:jc w:val="both"/>
        <w:rPr>
          <w:rFonts w:eastAsia="Times New Roman"/>
        </w:rPr>
      </w:pPr>
      <w:r>
        <w:rPr>
          <w:rFonts w:eastAsia="Times New Roman"/>
          <w:color w:val="000000"/>
          <w:sz w:val="20"/>
          <w:szCs w:val="20"/>
        </w:rPr>
        <w:t xml:space="preserve">On June 16, 2020 (the “Effective Date”), the Company amended its First </w:t>
      </w:r>
      <w:r>
        <w:rPr>
          <w:rFonts w:eastAsia="Times New Roman"/>
          <w:color w:val="000000"/>
          <w:sz w:val="20"/>
          <w:szCs w:val="20"/>
        </w:rPr>
        <w:t>Amended Credit Facility by entering into the Second Amendment to the Credit Agreement (the “Second Amendment” and the First Amended Credit Facility, as amended, the “Second Amended Credit Facility”). Beginning on the Effective Date and through the third qu</w:t>
      </w:r>
      <w:r>
        <w:rPr>
          <w:rFonts w:eastAsia="Times New Roman"/>
          <w:color w:val="000000"/>
          <w:sz w:val="20"/>
          <w:szCs w:val="20"/>
        </w:rPr>
        <w:t>arter of 2021 (the “Amendment Period”), borrowings under the Second Amended Credit Facility, including the term loan facility, will bear interest at LIBOR plus 3.25% per annum. Following the Amendment Period, borrowings will bear interest at LIBOR plus a m</w:t>
      </w:r>
      <w:r>
        <w:rPr>
          <w:rFonts w:eastAsia="Times New Roman"/>
          <w:color w:val="000000"/>
          <w:sz w:val="20"/>
          <w:szCs w:val="20"/>
        </w:rPr>
        <w:t>argin of 2.00% to 3.00% per annum, based upon the consolidated total lease-adjusted leverage ratio. Among other things, the Second Amendment (i) waives the lease-adjusted leverage ratio and fixed charge ratio covenants through the first quarter of 2021; (i</w:t>
      </w:r>
      <w:r>
        <w:rPr>
          <w:rFonts w:eastAsia="Times New Roman"/>
          <w:color w:val="000000"/>
          <w:sz w:val="20"/>
          <w:szCs w:val="20"/>
        </w:rPr>
        <w:t>i) amends the Company’s lease-adjusted leverage ratio and fixed coverage ratio covenant thresholds beginning in the second quarter of 2021 through the third quarter of 2022 and the first quarter of 2022, respectively and (iii) limits capital expenditures t</w:t>
      </w:r>
      <w:r>
        <w:rPr>
          <w:rFonts w:eastAsia="Times New Roman"/>
          <w:color w:val="000000"/>
          <w:sz w:val="20"/>
          <w:szCs w:val="20"/>
        </w:rPr>
        <w:t>o $12.0 million in 2020, $12.0 million plus a liquidity-based performance basket up to an additional $12.0 million in 2021, $34.0 million in 2022, $37.0 million in 2023 and $45.0 million annually thereafter. As of the second quarter of 2021, the Company ha</w:t>
      </w:r>
      <w:r>
        <w:rPr>
          <w:rFonts w:eastAsia="Times New Roman"/>
          <w:color w:val="000000"/>
          <w:sz w:val="20"/>
          <w:szCs w:val="20"/>
        </w:rPr>
        <w:t>d full access to its $12.0 million performance basket, and for the remainder of 2021, the Company expects to have access to the full $24.0 million in capital expenditures which includes the $12.0 million performance basket.</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As of June 29, 2021, we had $3</w:t>
      </w:r>
      <w:r>
        <w:rPr>
          <w:rFonts w:eastAsia="Times New Roman"/>
          <w:color w:val="000000"/>
          <w:sz w:val="20"/>
          <w:szCs w:val="20"/>
        </w:rPr>
        <w:t xml:space="preserve">8.8 million of indebtedness (excluding $1.5 million of unamortized debt issuance costs) and $3.2 million of letters of credit outstanding under the Second Amended Credit Facility. The term loan requires principal </w:t>
      </w:r>
    </w:p>
    <w:p w:rsidR="00000000" w:rsidRDefault="003E235E">
      <w:pPr>
        <w:jc w:val="center"/>
        <w:divId w:val="1129281817"/>
        <w:rPr>
          <w:rFonts w:eastAsia="Times New Roman"/>
        </w:rPr>
      </w:pPr>
      <w:r>
        <w:rPr>
          <w:rFonts w:eastAsia="Times New Roman"/>
          <w:color w:val="000000"/>
          <w:sz w:val="20"/>
          <w:szCs w:val="20"/>
        </w:rPr>
        <w:t>25</w:t>
      </w:r>
    </w:p>
    <w:p w:rsidR="00000000" w:rsidRDefault="003E235E">
      <w:pPr>
        <w:rPr>
          <w:rFonts w:eastAsia="Times New Roman"/>
        </w:rPr>
      </w:pPr>
      <w:r>
        <w:rPr>
          <w:rFonts w:eastAsia="Times New Roman"/>
        </w:rPr>
        <w:pict>
          <v:rect id="_x0000_i1050" style="width:0;height:1.5pt" o:hralign="center" o:hrstd="t" o:hr="t" fillcolor="#a0a0a0" stroked="f"/>
        </w:pict>
      </w:r>
    </w:p>
    <w:p w:rsidR="00000000" w:rsidRDefault="003E235E">
      <w:pPr>
        <w:divId w:val="1427069363"/>
        <w:rPr>
          <w:rFonts w:eastAsia="Times New Roman"/>
        </w:rPr>
      </w:pPr>
      <w:hyperlink w:anchor="i48000f6fae8946f8b752541bba7287a8_10" w:history="1">
        <w:r>
          <w:rPr>
            <w:rStyle w:val="a3"/>
            <w:rFonts w:eastAsia="Times New Roman"/>
            <w:sz w:val="20"/>
            <w:szCs w:val="20"/>
          </w:rPr>
          <w:t>Table of Contents</w:t>
        </w:r>
      </w:hyperlink>
    </w:p>
    <w:p w:rsidR="00000000" w:rsidRDefault="003E235E">
      <w:pPr>
        <w:jc w:val="both"/>
        <w:rPr>
          <w:rFonts w:eastAsia="Times New Roman"/>
        </w:rPr>
      </w:pPr>
      <w:r>
        <w:rPr>
          <w:rFonts w:eastAsia="Times New Roman"/>
          <w:color w:val="000000"/>
          <w:sz w:val="20"/>
          <w:szCs w:val="20"/>
        </w:rPr>
        <w:t>payments of $187,500 per quarter through the third quarter of 2021, $375,000 per quarter through the third quarter of 2022, $531,250 per quarte</w:t>
      </w:r>
      <w:r>
        <w:rPr>
          <w:rFonts w:eastAsia="Times New Roman"/>
          <w:color w:val="000000"/>
          <w:sz w:val="20"/>
          <w:szCs w:val="20"/>
        </w:rPr>
        <w:t xml:space="preserve">r through the third quarter of 2023 and $625,000 per quarter thereafter through maturity. </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Our Second Amended Credit Facility is secured by a pledge of stock of substantially all of our subsidiaries and a lien on substantially all of our and our subsidia</w:t>
      </w:r>
      <w:r>
        <w:rPr>
          <w:rFonts w:eastAsia="Times New Roman"/>
          <w:color w:val="000000"/>
          <w:sz w:val="20"/>
          <w:szCs w:val="20"/>
        </w:rPr>
        <w:t>ries’ personal property assets.</w:t>
      </w:r>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Off-Balance Sheet Arrangements</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We had no off-balance sheet arrangements or obligations as of June 29, 2021.</w:t>
      </w:r>
    </w:p>
    <w:p w:rsidR="00000000" w:rsidRDefault="003E235E">
      <w:pPr>
        <w:jc w:val="both"/>
        <w:rPr>
          <w:rFonts w:eastAsia="Times New Roman"/>
        </w:rPr>
      </w:pPr>
    </w:p>
    <w:p w:rsidR="00000000" w:rsidRDefault="003E235E">
      <w:pPr>
        <w:jc w:val="both"/>
        <w:rPr>
          <w:rFonts w:eastAsia="Times New Roman"/>
        </w:rPr>
      </w:pPr>
      <w:r>
        <w:rPr>
          <w:rFonts w:eastAsia="Times New Roman"/>
          <w:b/>
          <w:bCs/>
          <w:color w:val="000000"/>
          <w:sz w:val="20"/>
          <w:szCs w:val="20"/>
        </w:rPr>
        <w:t>Critical Accounting Policies and Estimates</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 xml:space="preserve">Our condensed consolidated financial statements and accompanying notes are prepared in accordance with GAAP. Preparing consolidated financial statements requires us to make estimates and assumptions that affect the reported amounts of assets, liabilities, </w:t>
      </w:r>
      <w:r>
        <w:rPr>
          <w:rFonts w:eastAsia="Times New Roman"/>
          <w:color w:val="000000"/>
          <w:sz w:val="20"/>
          <w:szCs w:val="20"/>
        </w:rPr>
        <w:t xml:space="preserve">revenue and expenses. These estimates and assumptions are affected by the application of our accounting policies. Our significant accounting policies are described in our Annual Report on Form 10-K for the year ended December 29, 2020. Critical accounting </w:t>
      </w:r>
      <w:r>
        <w:rPr>
          <w:rFonts w:eastAsia="Times New Roman"/>
          <w:color w:val="000000"/>
          <w:sz w:val="20"/>
          <w:szCs w:val="20"/>
        </w:rPr>
        <w:t xml:space="preserve">estimates are those that require application of management’s most difficult, subjective or complex judgments, often as a result of matters that are inherently uncertain and may change in subsequent periods. While we apply our judgment based on assumptions </w:t>
      </w:r>
      <w:r>
        <w:rPr>
          <w:rFonts w:eastAsia="Times New Roman"/>
          <w:color w:val="000000"/>
          <w:sz w:val="20"/>
          <w:szCs w:val="20"/>
        </w:rPr>
        <w:t>believed to be reasonable under the circumstances, actual results could vary from these assumptions. It is possible that materially different amounts would be reported using different assumptions. Our critical accounting estimates are identified and descri</w:t>
      </w:r>
      <w:r>
        <w:rPr>
          <w:rFonts w:eastAsia="Times New Roman"/>
          <w:color w:val="000000"/>
          <w:sz w:val="20"/>
          <w:szCs w:val="20"/>
        </w:rPr>
        <w:t xml:space="preserve">bed in our annual consolidated financial statements and the related notes included in our Annual Report on Form 10-K for our fiscal year ended December 29, 2020. </w:t>
      </w:r>
    </w:p>
    <w:p w:rsidR="00000000" w:rsidRDefault="003E235E">
      <w:pPr>
        <w:jc w:val="both"/>
        <w:rPr>
          <w:rFonts w:eastAsia="Times New Roman"/>
        </w:rPr>
      </w:pPr>
    </w:p>
    <w:p w:rsidR="00000000" w:rsidRDefault="003E235E">
      <w:pPr>
        <w:divId w:val="1685478153"/>
        <w:rPr>
          <w:rFonts w:eastAsia="Times New Roman"/>
        </w:rPr>
      </w:pPr>
      <w:r>
        <w:rPr>
          <w:rFonts w:eastAsia="Times New Roman"/>
          <w:b/>
          <w:bCs/>
          <w:color w:val="000000"/>
          <w:sz w:val="20"/>
          <w:szCs w:val="20"/>
        </w:rPr>
        <w:t>Item 3. Quantitative and Qualitative Disclosures about Market Risk</w:t>
      </w:r>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Interest Rate Risk</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W</w:t>
      </w:r>
      <w:r>
        <w:rPr>
          <w:rFonts w:eastAsia="Times New Roman"/>
          <w:color w:val="000000"/>
          <w:sz w:val="20"/>
          <w:szCs w:val="20"/>
        </w:rPr>
        <w:t>e are exposed to market risk from changes in interest rates on debt. Our exposure to interest rate fluctuations is limited to our outstanding bank debt, which bears interest at variable rates. As of June 29, 2021, we had $38.8 million of outstanding borrow</w:t>
      </w:r>
      <w:r>
        <w:rPr>
          <w:rFonts w:eastAsia="Times New Roman"/>
          <w:color w:val="000000"/>
          <w:sz w:val="20"/>
          <w:szCs w:val="20"/>
        </w:rPr>
        <w:t>ings under our credit facility. An increase or decrease of 1.0% in the effective interest rate applied on these loans would have resulted in a pre-tax interest expe</w:t>
      </w:r>
      <w:r>
        <w:rPr>
          <w:rFonts w:eastAsia="Times New Roman"/>
          <w:color w:val="000000"/>
          <w:sz w:val="20"/>
          <w:szCs w:val="20"/>
          <w:shd w:val="clear" w:color="auto" w:fill="FFFFFF"/>
        </w:rPr>
        <w:t>nse fluctuation of approximately $0.4 million on an annualized basis. There is currently unc</w:t>
      </w:r>
      <w:r>
        <w:rPr>
          <w:rFonts w:eastAsia="Times New Roman"/>
          <w:color w:val="000000"/>
          <w:sz w:val="20"/>
          <w:szCs w:val="20"/>
          <w:shd w:val="clear" w:color="auto" w:fill="FFFFFF"/>
        </w:rPr>
        <w:t xml:space="preserve">ertainty around whether LIBOR will continue to exist after 2021. If LIBOR ceases to exist, our lenders have the ability to choose an alternative index and we cannot predict what alternative index would be negotiated with our lenders. </w:t>
      </w:r>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Commodity Price Ris</w:t>
      </w:r>
      <w:r>
        <w:rPr>
          <w:rFonts w:eastAsia="Times New Roman"/>
          <w:b/>
          <w:bCs/>
          <w:i/>
          <w:iCs/>
          <w:color w:val="000000"/>
          <w:sz w:val="20"/>
          <w:szCs w:val="20"/>
        </w:rPr>
        <w:t>k</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We purchase certain products that are affected by commodity prices and are, therefore, subject to price volatility caused by weather, market conditions and other factors which are not considered predictable or within our control. Although these product</w:t>
      </w:r>
      <w:r>
        <w:rPr>
          <w:rFonts w:eastAsia="Times New Roman"/>
          <w:color w:val="000000"/>
          <w:sz w:val="20"/>
          <w:szCs w:val="20"/>
        </w:rPr>
        <w:t>s are subject to changes in commodity prices, certain purchasing contracts or pricing arrangements contain risk management techniques designed to minimize price volatility. Typically, we use these types of purchasing techniques to control costs as an alter</w:t>
      </w:r>
      <w:r>
        <w:rPr>
          <w:rFonts w:eastAsia="Times New Roman"/>
          <w:color w:val="000000"/>
          <w:sz w:val="20"/>
          <w:szCs w:val="20"/>
        </w:rPr>
        <w:t xml:space="preserve">native to directly managing financial instruments to hedge commodity prices. In many cases, we believe we will be able to address material commodity cost increases by adjusting our menu pricing or changing our product delivery strategy. However, increases </w:t>
      </w:r>
      <w:r>
        <w:rPr>
          <w:rFonts w:eastAsia="Times New Roman"/>
          <w:color w:val="000000"/>
          <w:sz w:val="20"/>
          <w:szCs w:val="20"/>
        </w:rPr>
        <w:t>in commodity prices, without adjustments to our menu prices, have and could continue to increase restaurant operating costs as a percentage of restaurant revenue.</w:t>
      </w:r>
    </w:p>
    <w:p w:rsidR="00000000" w:rsidRDefault="003E235E">
      <w:pPr>
        <w:jc w:val="both"/>
        <w:rPr>
          <w:rFonts w:eastAsia="Times New Roman"/>
        </w:rPr>
      </w:pPr>
    </w:p>
    <w:p w:rsidR="00000000" w:rsidRDefault="003E235E">
      <w:pPr>
        <w:jc w:val="both"/>
        <w:rPr>
          <w:rFonts w:eastAsia="Times New Roman"/>
        </w:rPr>
      </w:pPr>
      <w:r>
        <w:rPr>
          <w:rFonts w:eastAsia="Times New Roman"/>
          <w:b/>
          <w:bCs/>
          <w:i/>
          <w:iCs/>
          <w:color w:val="000000"/>
          <w:sz w:val="20"/>
          <w:szCs w:val="20"/>
        </w:rPr>
        <w:t>Inflation</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The primary inflationary factors affecting our operations are food, labor costs</w:t>
      </w:r>
      <w:r>
        <w:rPr>
          <w:rFonts w:eastAsia="Times New Roman"/>
          <w:color w:val="000000"/>
          <w:sz w:val="20"/>
          <w:szCs w:val="20"/>
        </w:rPr>
        <w:t>, energy costs and materials used in the construction of new restaurants. Increases in the minimum wage requirements directly affect our labor costs. Many of our leases require us to pay taxes, maintenance, repairs, insurance and utilities, all of which ar</w:t>
      </w:r>
      <w:r>
        <w:rPr>
          <w:rFonts w:eastAsia="Times New Roman"/>
          <w:color w:val="000000"/>
          <w:sz w:val="20"/>
          <w:szCs w:val="20"/>
        </w:rPr>
        <w:t>e generally subject to inflationary increases. Finally, the cost of constructing our restaurants is subject to inflationary increases in the costs of labor and material. Over the past five years, inflation has not significantly affected our operating resul</w:t>
      </w:r>
      <w:r>
        <w:rPr>
          <w:rFonts w:eastAsia="Times New Roman"/>
          <w:color w:val="000000"/>
          <w:sz w:val="20"/>
          <w:szCs w:val="20"/>
        </w:rPr>
        <w:t>ts with the exception of increased wage inflation that affected our results fr</w:t>
      </w:r>
      <w:r>
        <w:rPr>
          <w:rFonts w:eastAsia="Times New Roman"/>
          <w:color w:val="000000"/>
          <w:sz w:val="20"/>
          <w:szCs w:val="20"/>
          <w:shd w:val="clear" w:color="auto" w:fill="FFFFFF"/>
        </w:rPr>
        <w:t>om 2016 through the first two quarters of 2021. We</w:t>
      </w:r>
      <w:r>
        <w:rPr>
          <w:rFonts w:eastAsia="Times New Roman"/>
          <w:color w:val="000000"/>
          <w:sz w:val="20"/>
          <w:szCs w:val="20"/>
        </w:rPr>
        <w:t xml:space="preserve"> expect wage inflation may continue to affect our results in the near future. </w:t>
      </w:r>
    </w:p>
    <w:p w:rsidR="00000000" w:rsidRDefault="003E235E">
      <w:pPr>
        <w:jc w:val="both"/>
        <w:rPr>
          <w:rFonts w:eastAsia="Times New Roman"/>
        </w:rPr>
      </w:pPr>
    </w:p>
    <w:p w:rsidR="00000000" w:rsidRDefault="003E235E">
      <w:pPr>
        <w:divId w:val="376976494"/>
        <w:rPr>
          <w:rFonts w:eastAsia="Times New Roman"/>
        </w:rPr>
      </w:pPr>
      <w:r>
        <w:rPr>
          <w:rFonts w:eastAsia="Times New Roman"/>
          <w:b/>
          <w:bCs/>
          <w:color w:val="000000"/>
          <w:sz w:val="20"/>
          <w:szCs w:val="20"/>
        </w:rPr>
        <w:t>Item 4. Controls and Procedures</w:t>
      </w:r>
    </w:p>
    <w:p w:rsidR="00000000" w:rsidRDefault="003E235E">
      <w:pPr>
        <w:jc w:val="both"/>
        <w:rPr>
          <w:rFonts w:eastAsia="Times New Roman"/>
        </w:rPr>
      </w:pPr>
    </w:p>
    <w:p w:rsidR="00000000" w:rsidRDefault="003E235E">
      <w:pPr>
        <w:jc w:val="center"/>
        <w:divId w:val="2050101412"/>
        <w:rPr>
          <w:rFonts w:eastAsia="Times New Roman"/>
        </w:rPr>
      </w:pPr>
      <w:r>
        <w:rPr>
          <w:rFonts w:eastAsia="Times New Roman"/>
          <w:color w:val="000000"/>
          <w:sz w:val="20"/>
          <w:szCs w:val="20"/>
        </w:rPr>
        <w:t>26</w:t>
      </w:r>
    </w:p>
    <w:p w:rsidR="00000000" w:rsidRDefault="003E235E">
      <w:pPr>
        <w:rPr>
          <w:rFonts w:eastAsia="Times New Roman"/>
        </w:rPr>
      </w:pPr>
      <w:r>
        <w:rPr>
          <w:rFonts w:eastAsia="Times New Roman"/>
        </w:rPr>
        <w:pict>
          <v:rect id="_x0000_i1051" style="width:0;height:1.5pt" o:hralign="center" o:hrstd="t" o:hr="t" fillcolor="#a0a0a0" stroked="f"/>
        </w:pict>
      </w:r>
    </w:p>
    <w:p w:rsidR="00000000" w:rsidRDefault="003E235E">
      <w:pPr>
        <w:divId w:val="1813212993"/>
        <w:rPr>
          <w:rFonts w:eastAsia="Times New Roman"/>
        </w:rPr>
      </w:pPr>
      <w:hyperlink w:anchor="i48000f6fae8946f8b752541bba7287a8_10" w:history="1">
        <w:r>
          <w:rPr>
            <w:rStyle w:val="a3"/>
            <w:rFonts w:eastAsia="Times New Roman"/>
            <w:sz w:val="20"/>
            <w:szCs w:val="20"/>
          </w:rPr>
          <w:t>Table of Contents</w:t>
        </w:r>
      </w:hyperlink>
    </w:p>
    <w:p w:rsidR="00000000" w:rsidRDefault="003E235E">
      <w:pPr>
        <w:jc w:val="both"/>
        <w:rPr>
          <w:rFonts w:eastAsia="Times New Roman"/>
        </w:rPr>
      </w:pPr>
      <w:r>
        <w:rPr>
          <w:rFonts w:eastAsia="Times New Roman"/>
          <w:color w:val="000000"/>
          <w:sz w:val="20"/>
          <w:szCs w:val="20"/>
        </w:rPr>
        <w:t>O</w:t>
      </w:r>
      <w:r>
        <w:rPr>
          <w:rFonts w:eastAsia="Times New Roman"/>
          <w:color w:val="000000"/>
          <w:sz w:val="20"/>
          <w:szCs w:val="20"/>
          <w:shd w:val="clear" w:color="auto" w:fill="FFFFFF"/>
        </w:rPr>
        <w:t>ur management carried out an evaluation, under the supervision and with the participation of our chief e</w:t>
      </w:r>
      <w:r>
        <w:rPr>
          <w:rFonts w:eastAsia="Times New Roman"/>
          <w:color w:val="000000"/>
          <w:sz w:val="20"/>
          <w:szCs w:val="20"/>
          <w:shd w:val="clear" w:color="auto" w:fill="FFFFFF"/>
        </w:rPr>
        <w:t>xecutive officer and chief financial officer, of the effectiven</w:t>
      </w:r>
      <w:r>
        <w:rPr>
          <w:rFonts w:eastAsia="Times New Roman"/>
          <w:color w:val="000000"/>
          <w:sz w:val="20"/>
          <w:szCs w:val="20"/>
        </w:rPr>
        <w:t>ess of the design and operation of our disclosure controls and procedures as of June 29, 2021, pursuant to Rule 13a-15 under the Exchange Act. In designing and evaluating the disclosure control</w:t>
      </w:r>
      <w:r>
        <w:rPr>
          <w:rFonts w:eastAsia="Times New Roman"/>
          <w:color w:val="000000"/>
          <w:sz w:val="20"/>
          <w:szCs w:val="20"/>
        </w:rPr>
        <w:t>s and procedures, management recognized that any controls and procedures, no matter how well designed and operated, can provide only reasonable assurance of achieving the desired control objectives. In addition, the design of disclosure controls and proced</w:t>
      </w:r>
      <w:r>
        <w:rPr>
          <w:rFonts w:eastAsia="Times New Roman"/>
          <w:color w:val="000000"/>
          <w:sz w:val="20"/>
          <w:szCs w:val="20"/>
        </w:rPr>
        <w:t>ures must reflect the fact that there are resource constraints and that management is required to apply its judgment in evaluating the benefits of possible controls and procedures relative to their costs.</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Based on that evaluation, our chief executive off</w:t>
      </w:r>
      <w:r>
        <w:rPr>
          <w:rFonts w:eastAsia="Times New Roman"/>
          <w:color w:val="000000"/>
          <w:sz w:val="20"/>
          <w:szCs w:val="20"/>
        </w:rPr>
        <w:t>icer and chief financial officer</w:t>
      </w:r>
      <w:r>
        <w:rPr>
          <w:rFonts w:eastAsia="Times New Roman"/>
          <w:color w:val="000000"/>
          <w:sz w:val="20"/>
          <w:szCs w:val="20"/>
          <w:shd w:val="clear" w:color="auto" w:fill="FFFFFF"/>
        </w:rPr>
        <w:t xml:space="preserve"> concluded</w:t>
      </w:r>
      <w:r>
        <w:rPr>
          <w:rFonts w:eastAsia="Times New Roman"/>
          <w:color w:val="000000"/>
          <w:sz w:val="20"/>
          <w:szCs w:val="20"/>
        </w:rPr>
        <w:t xml:space="preserve"> that our disclosure controls and procedures are effective to provide reasonable assurance that information we are required to disclose in reports that we file or submit under the Exchange Act is recorded, processe</w:t>
      </w:r>
      <w:r>
        <w:rPr>
          <w:rFonts w:eastAsia="Times New Roman"/>
          <w:color w:val="000000"/>
          <w:sz w:val="20"/>
          <w:szCs w:val="20"/>
        </w:rPr>
        <w:t>d, summarized and reported within the time periods specified in SEC rules and forms, and that such information is accumulated and communicated to our management, including our chief executive officer and chief financial officer, as appropriate, to allow ti</w:t>
      </w:r>
      <w:r>
        <w:rPr>
          <w:rFonts w:eastAsia="Times New Roman"/>
          <w:color w:val="000000"/>
          <w:sz w:val="20"/>
          <w:szCs w:val="20"/>
        </w:rPr>
        <w:t>mely decisions regarding required disclosure.</w:t>
      </w:r>
    </w:p>
    <w:p w:rsidR="00000000" w:rsidRDefault="003E235E">
      <w:pPr>
        <w:divId w:val="907036214"/>
        <w:rPr>
          <w:rFonts w:eastAsia="Times New Roman"/>
        </w:rPr>
      </w:pPr>
    </w:p>
    <w:p w:rsidR="00000000" w:rsidRDefault="003E235E">
      <w:pPr>
        <w:divId w:val="495923395"/>
        <w:rPr>
          <w:rFonts w:eastAsia="Times New Roman"/>
        </w:rPr>
      </w:pPr>
      <w:r>
        <w:rPr>
          <w:rFonts w:eastAsia="Times New Roman"/>
          <w:b/>
          <w:bCs/>
          <w:i/>
          <w:iCs/>
          <w:color w:val="000000"/>
          <w:sz w:val="20"/>
          <w:szCs w:val="20"/>
        </w:rPr>
        <w:t>Changes in Internal Control over Financial Reporting</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There have been no changes in our internal control over financial reporting (as defined in Rule 13a-15(f) of the Exchange Act) that occurred during our m</w:t>
      </w:r>
      <w:r>
        <w:rPr>
          <w:rFonts w:eastAsia="Times New Roman"/>
          <w:color w:val="000000"/>
          <w:sz w:val="20"/>
          <w:szCs w:val="20"/>
        </w:rPr>
        <w:t>ost recent fiscal quarter that have materially affected, or are reasonably likely to materially affect, our internal control over financial reporting.</w:t>
      </w:r>
    </w:p>
    <w:p w:rsidR="00000000" w:rsidRDefault="003E235E">
      <w:pPr>
        <w:divId w:val="975641541"/>
        <w:rPr>
          <w:rFonts w:eastAsia="Times New Roman"/>
        </w:rPr>
      </w:pPr>
    </w:p>
    <w:p w:rsidR="00000000" w:rsidRDefault="003E235E">
      <w:pPr>
        <w:jc w:val="center"/>
        <w:divId w:val="1795129290"/>
        <w:rPr>
          <w:rFonts w:eastAsia="Times New Roman"/>
        </w:rPr>
      </w:pPr>
      <w:r>
        <w:rPr>
          <w:rFonts w:eastAsia="Times New Roman"/>
          <w:color w:val="000000"/>
          <w:sz w:val="20"/>
          <w:szCs w:val="20"/>
        </w:rPr>
        <w:t>27</w:t>
      </w:r>
    </w:p>
    <w:p w:rsidR="00000000" w:rsidRDefault="003E235E">
      <w:pPr>
        <w:rPr>
          <w:rFonts w:eastAsia="Times New Roman"/>
        </w:rPr>
      </w:pPr>
      <w:r>
        <w:rPr>
          <w:rFonts w:eastAsia="Times New Roman"/>
        </w:rPr>
        <w:pict>
          <v:rect id="_x0000_i1052" style="width:0;height:1.5pt" o:hralign="center" o:hrstd="t" o:hr="t" fillcolor="#a0a0a0" stroked="f"/>
        </w:pict>
      </w:r>
    </w:p>
    <w:p w:rsidR="00000000" w:rsidRDefault="003E235E">
      <w:pPr>
        <w:divId w:val="635717987"/>
        <w:rPr>
          <w:rFonts w:eastAsia="Times New Roman"/>
        </w:rPr>
      </w:pPr>
      <w:hyperlink w:anchor="i48000f6fae8946f8b752541bba7287a8_10" w:history="1">
        <w:r>
          <w:rPr>
            <w:rStyle w:val="a3"/>
            <w:rFonts w:eastAsia="Times New Roman"/>
            <w:sz w:val="20"/>
            <w:szCs w:val="20"/>
          </w:rPr>
          <w:t>Table</w:t>
        </w:r>
        <w:r>
          <w:rPr>
            <w:rStyle w:val="a3"/>
            <w:rFonts w:eastAsia="Times New Roman"/>
            <w:sz w:val="20"/>
            <w:szCs w:val="20"/>
          </w:rPr>
          <w:t xml:space="preserve"> of Contents</w:t>
        </w:r>
      </w:hyperlink>
    </w:p>
    <w:p w:rsidR="00000000" w:rsidRDefault="003E235E">
      <w:pPr>
        <w:jc w:val="both"/>
        <w:rPr>
          <w:rFonts w:eastAsia="Times New Roman"/>
        </w:rPr>
      </w:pPr>
    </w:p>
    <w:p w:rsidR="00000000" w:rsidRDefault="003E235E">
      <w:pPr>
        <w:jc w:val="both"/>
        <w:rPr>
          <w:rFonts w:eastAsia="Times New Roman"/>
        </w:rPr>
      </w:pPr>
      <w:r>
        <w:rPr>
          <w:rFonts w:eastAsia="Times New Roman"/>
          <w:b/>
          <w:bCs/>
          <w:color w:val="000000"/>
          <w:sz w:val="20"/>
          <w:szCs w:val="20"/>
        </w:rPr>
        <w:t>PART II</w:t>
      </w:r>
    </w:p>
    <w:p w:rsidR="00000000" w:rsidRDefault="003E235E">
      <w:pPr>
        <w:divId w:val="1987541993"/>
        <w:rPr>
          <w:rFonts w:eastAsia="Times New Roman"/>
        </w:rPr>
      </w:pPr>
    </w:p>
    <w:p w:rsidR="00000000" w:rsidRDefault="003E235E">
      <w:pPr>
        <w:jc w:val="both"/>
        <w:rPr>
          <w:rFonts w:eastAsia="Times New Roman"/>
        </w:rPr>
      </w:pPr>
      <w:r>
        <w:rPr>
          <w:rFonts w:eastAsia="Times New Roman"/>
          <w:b/>
          <w:bCs/>
          <w:color w:val="000000"/>
          <w:sz w:val="20"/>
          <w:szCs w:val="20"/>
        </w:rPr>
        <w:t>Item 1. Legal Proceedings</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In the normal course of business, we are subject to other proceedings, lawsuits and claims. Such matters are subject to many uncertainties, and outcomes are not predictable with assurance. Consequently, we are unable to ascertain the ultimate aggregate amo</w:t>
      </w:r>
      <w:r>
        <w:rPr>
          <w:rFonts w:eastAsia="Times New Roman"/>
          <w:color w:val="000000"/>
          <w:sz w:val="20"/>
          <w:szCs w:val="20"/>
        </w:rPr>
        <w:t xml:space="preserve">unt of monetary liability or financial impact with respect to these matters as of June 29, 2021. These matters could affect the operating results of any one financial reporting period when resolved in future periods. We believe that an unfavorable outcome </w:t>
      </w:r>
      <w:r>
        <w:rPr>
          <w:rFonts w:eastAsia="Times New Roman"/>
          <w:color w:val="000000"/>
          <w:sz w:val="20"/>
          <w:szCs w:val="20"/>
        </w:rPr>
        <w:t xml:space="preserve">with respect to these matters is remote or a potential range of loss is not material to our consolidated financial statements. Significant increases in the number of these claims, or one or more successful claims that result in greater liabilities than we </w:t>
      </w:r>
      <w:r>
        <w:rPr>
          <w:rFonts w:eastAsia="Times New Roman"/>
          <w:color w:val="000000"/>
          <w:sz w:val="20"/>
          <w:szCs w:val="20"/>
        </w:rPr>
        <w:t>currently anticipate, could materially adversely affect our business, financial condition, results of operations or cash flows.</w:t>
      </w:r>
    </w:p>
    <w:p w:rsidR="00000000" w:rsidRDefault="003E235E">
      <w:pPr>
        <w:jc w:val="both"/>
        <w:rPr>
          <w:rFonts w:eastAsia="Times New Roman"/>
        </w:rPr>
      </w:pPr>
    </w:p>
    <w:p w:rsidR="00000000" w:rsidRDefault="003E235E">
      <w:pPr>
        <w:jc w:val="both"/>
        <w:rPr>
          <w:rFonts w:eastAsia="Times New Roman"/>
        </w:rPr>
      </w:pPr>
      <w:r>
        <w:rPr>
          <w:rFonts w:eastAsia="Times New Roman"/>
          <w:b/>
          <w:bCs/>
          <w:color w:val="000000"/>
          <w:sz w:val="20"/>
          <w:szCs w:val="20"/>
        </w:rPr>
        <w:t>Item 1A. Risk Factors</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A description of the risk factors associated with our business is contained in the “Risk Factors” sect</w:t>
      </w:r>
      <w:r>
        <w:rPr>
          <w:rFonts w:eastAsia="Times New Roman"/>
          <w:color w:val="000000"/>
          <w:sz w:val="20"/>
          <w:szCs w:val="20"/>
        </w:rPr>
        <w:t>ion of our</w:t>
      </w:r>
      <w:r>
        <w:rPr>
          <w:rFonts w:eastAsia="Times New Roman"/>
          <w:i/>
          <w:iCs/>
          <w:color w:val="000000"/>
          <w:sz w:val="20"/>
          <w:szCs w:val="20"/>
        </w:rPr>
        <w:t xml:space="preserve"> </w:t>
      </w:r>
      <w:r>
        <w:rPr>
          <w:rFonts w:eastAsia="Times New Roman"/>
          <w:color w:val="000000"/>
          <w:sz w:val="20"/>
          <w:szCs w:val="20"/>
        </w:rPr>
        <w:t>Annual Report on Form 10-K for our fiscal year ended December 29, 2020. There have been no material changes to our Risk Factors as previously reported in our Annual Report on Form 10-K for our fiscal year ended December 29, 2020</w:t>
      </w:r>
      <w:r>
        <w:rPr>
          <w:rFonts w:eastAsia="Times New Roman"/>
          <w:color w:val="000000"/>
          <w:sz w:val="20"/>
          <w:szCs w:val="20"/>
          <w:shd w:val="clear" w:color="auto" w:fill="FFFFFF"/>
        </w:rPr>
        <w:t>.</w:t>
      </w:r>
    </w:p>
    <w:p w:rsidR="00000000" w:rsidRDefault="003E235E">
      <w:pPr>
        <w:jc w:val="both"/>
        <w:rPr>
          <w:rFonts w:eastAsia="Times New Roman"/>
        </w:rPr>
      </w:pPr>
    </w:p>
    <w:p w:rsidR="00000000" w:rsidRDefault="003E235E">
      <w:pPr>
        <w:jc w:val="both"/>
        <w:rPr>
          <w:rFonts w:eastAsia="Times New Roman"/>
        </w:rPr>
      </w:pPr>
      <w:r>
        <w:rPr>
          <w:rFonts w:eastAsia="Times New Roman"/>
          <w:b/>
          <w:bCs/>
          <w:color w:val="000000"/>
          <w:sz w:val="20"/>
          <w:szCs w:val="20"/>
        </w:rPr>
        <w:t>Item 2. Unreg</w:t>
      </w:r>
      <w:r>
        <w:rPr>
          <w:rFonts w:eastAsia="Times New Roman"/>
          <w:b/>
          <w:bCs/>
          <w:color w:val="000000"/>
          <w:sz w:val="20"/>
          <w:szCs w:val="20"/>
        </w:rPr>
        <w:t>istered Sales of Equity Securities and Use of Proceeds</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None.</w:t>
      </w:r>
    </w:p>
    <w:p w:rsidR="00000000" w:rsidRDefault="003E235E">
      <w:pPr>
        <w:jc w:val="both"/>
        <w:rPr>
          <w:rFonts w:eastAsia="Times New Roman"/>
        </w:rPr>
      </w:pPr>
    </w:p>
    <w:p w:rsidR="00000000" w:rsidRDefault="003E235E">
      <w:pPr>
        <w:jc w:val="both"/>
        <w:rPr>
          <w:rFonts w:eastAsia="Times New Roman"/>
        </w:rPr>
      </w:pPr>
      <w:r>
        <w:rPr>
          <w:rFonts w:eastAsia="Times New Roman"/>
          <w:b/>
          <w:bCs/>
          <w:color w:val="000000"/>
          <w:sz w:val="20"/>
          <w:szCs w:val="20"/>
        </w:rPr>
        <w:t>Item 3. Defaults upon Senior Securities</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None.</w:t>
      </w:r>
    </w:p>
    <w:p w:rsidR="00000000" w:rsidRDefault="003E235E">
      <w:pPr>
        <w:jc w:val="both"/>
        <w:rPr>
          <w:rFonts w:eastAsia="Times New Roman"/>
        </w:rPr>
      </w:pPr>
    </w:p>
    <w:p w:rsidR="00000000" w:rsidRDefault="003E235E">
      <w:pPr>
        <w:jc w:val="both"/>
        <w:rPr>
          <w:rFonts w:eastAsia="Times New Roman"/>
        </w:rPr>
      </w:pPr>
      <w:r>
        <w:rPr>
          <w:rFonts w:eastAsia="Times New Roman"/>
          <w:b/>
          <w:bCs/>
          <w:color w:val="000000"/>
          <w:sz w:val="20"/>
          <w:szCs w:val="20"/>
        </w:rPr>
        <w:t>Item 4. Mine Safety Disclosures</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Not applicable.</w:t>
      </w:r>
    </w:p>
    <w:p w:rsidR="00000000" w:rsidRDefault="003E235E">
      <w:pPr>
        <w:jc w:val="both"/>
        <w:rPr>
          <w:rFonts w:eastAsia="Times New Roman"/>
        </w:rPr>
      </w:pPr>
    </w:p>
    <w:p w:rsidR="00000000" w:rsidRDefault="003E235E">
      <w:pPr>
        <w:jc w:val="both"/>
        <w:rPr>
          <w:rFonts w:eastAsia="Times New Roman"/>
        </w:rPr>
      </w:pPr>
      <w:r>
        <w:rPr>
          <w:rFonts w:eastAsia="Times New Roman"/>
          <w:b/>
          <w:bCs/>
          <w:color w:val="000000"/>
          <w:sz w:val="20"/>
          <w:szCs w:val="20"/>
        </w:rPr>
        <w:t>Item 5. Other Information</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 xml:space="preserve">None. </w:t>
      </w:r>
    </w:p>
    <w:p w:rsidR="00000000" w:rsidRDefault="003E235E">
      <w:pPr>
        <w:jc w:val="both"/>
        <w:rPr>
          <w:rFonts w:eastAsia="Times New Roman"/>
        </w:rPr>
      </w:pPr>
    </w:p>
    <w:p w:rsidR="00000000" w:rsidRDefault="003E235E">
      <w:pPr>
        <w:jc w:val="center"/>
        <w:divId w:val="876282594"/>
        <w:rPr>
          <w:rFonts w:eastAsia="Times New Roman"/>
        </w:rPr>
      </w:pPr>
      <w:r>
        <w:rPr>
          <w:rFonts w:eastAsia="Times New Roman"/>
          <w:color w:val="000000"/>
          <w:sz w:val="20"/>
          <w:szCs w:val="20"/>
        </w:rPr>
        <w:t>28</w:t>
      </w:r>
    </w:p>
    <w:p w:rsidR="00000000" w:rsidRDefault="003E235E">
      <w:pPr>
        <w:rPr>
          <w:rFonts w:eastAsia="Times New Roman"/>
        </w:rPr>
      </w:pPr>
      <w:r>
        <w:rPr>
          <w:rFonts w:eastAsia="Times New Roman"/>
        </w:rPr>
        <w:pict>
          <v:rect id="_x0000_i1053" style="width:0;height:1.5pt" o:hralign="center" o:hrstd="t" o:hr="t" fillcolor="#a0a0a0" stroked="f"/>
        </w:pict>
      </w:r>
    </w:p>
    <w:p w:rsidR="00000000" w:rsidRDefault="003E235E">
      <w:pPr>
        <w:divId w:val="610598957"/>
        <w:rPr>
          <w:rFonts w:eastAsia="Times New Roman"/>
        </w:rPr>
      </w:pPr>
      <w:hyperlink w:anchor="i48000f6fae8946f8b752541bba7287a8_10" w:history="1">
        <w:r>
          <w:rPr>
            <w:rStyle w:val="a3"/>
            <w:rFonts w:eastAsia="Times New Roman"/>
            <w:sz w:val="20"/>
            <w:szCs w:val="20"/>
          </w:rPr>
          <w:t>Table of Contents</w:t>
        </w:r>
      </w:hyperlink>
    </w:p>
    <w:p w:rsidR="00000000" w:rsidRDefault="003E235E">
      <w:pPr>
        <w:jc w:val="both"/>
        <w:rPr>
          <w:rFonts w:eastAsia="Times New Roman"/>
        </w:rPr>
      </w:pPr>
      <w:r>
        <w:rPr>
          <w:rFonts w:eastAsia="Times New Roman"/>
          <w:b/>
          <w:bCs/>
          <w:color w:val="000000"/>
          <w:sz w:val="20"/>
          <w:szCs w:val="20"/>
        </w:rPr>
        <w:t xml:space="preserve">Item 6. Exhibit Index </w:t>
      </w:r>
    </w:p>
    <w:tbl>
      <w:tblPr>
        <w:tblW w:w="4985" w:type="pct"/>
        <w:tblCellMar>
          <w:top w:w="15" w:type="dxa"/>
          <w:left w:w="15" w:type="dxa"/>
          <w:bottom w:w="15" w:type="dxa"/>
          <w:right w:w="15" w:type="dxa"/>
        </w:tblCellMar>
        <w:tblLook w:val="04A0" w:firstRow="1" w:lastRow="0" w:firstColumn="1" w:lastColumn="0" w:noHBand="0" w:noVBand="1"/>
      </w:tblPr>
      <w:tblGrid>
        <w:gridCol w:w="80"/>
        <w:gridCol w:w="703"/>
        <w:gridCol w:w="37"/>
        <w:gridCol w:w="36"/>
        <w:gridCol w:w="57"/>
        <w:gridCol w:w="36"/>
        <w:gridCol w:w="61"/>
        <w:gridCol w:w="7235"/>
        <w:gridCol w:w="36"/>
      </w:tblGrid>
      <w:tr w:rsidR="00000000">
        <w:tc>
          <w:tcPr>
            <w:tcW w:w="50" w:type="pct"/>
            <w:vAlign w:val="center"/>
            <w:hideMark/>
          </w:tcPr>
          <w:p w:rsidR="00000000" w:rsidRDefault="003E235E">
            <w:pPr>
              <w:jc w:val="both"/>
              <w:rPr>
                <w:rFonts w:eastAsia="Times New Roman"/>
              </w:rPr>
            </w:pPr>
          </w:p>
        </w:tc>
        <w:tc>
          <w:tcPr>
            <w:tcW w:w="443"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5"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c>
          <w:tcPr>
            <w:tcW w:w="50" w:type="pct"/>
            <w:vAlign w:val="center"/>
            <w:hideMark/>
          </w:tcPr>
          <w:p w:rsidR="00000000" w:rsidRDefault="003E235E">
            <w:pPr>
              <w:spacing w:after="100"/>
              <w:rPr>
                <w:rFonts w:eastAsia="Times New Roman"/>
                <w:sz w:val="20"/>
                <w:szCs w:val="20"/>
              </w:rPr>
            </w:pPr>
          </w:p>
        </w:tc>
        <w:tc>
          <w:tcPr>
            <w:tcW w:w="4380" w:type="pct"/>
            <w:vAlign w:val="center"/>
            <w:hideMark/>
          </w:tcPr>
          <w:p w:rsidR="00000000" w:rsidRDefault="003E235E">
            <w:pPr>
              <w:spacing w:after="100"/>
              <w:rPr>
                <w:rFonts w:eastAsia="Times New Roman"/>
                <w:sz w:val="20"/>
                <w:szCs w:val="20"/>
              </w:rPr>
            </w:pPr>
          </w:p>
        </w:tc>
        <w:tc>
          <w:tcPr>
            <w:tcW w:w="5" w:type="pct"/>
            <w:vAlign w:val="center"/>
            <w:hideMark/>
          </w:tcPr>
          <w:p w:rsidR="00000000" w:rsidRDefault="003E235E">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20"/>
                <w:szCs w:val="20"/>
              </w:rPr>
              <w:t>Exhibit Number</w:t>
            </w:r>
          </w:p>
        </w:tc>
        <w:tc>
          <w:tcPr>
            <w:tcW w:w="0" w:type="auto"/>
            <w:gridSpan w:val="3"/>
            <w:tcMar>
              <w:top w:w="0" w:type="dxa"/>
              <w:left w:w="20" w:type="dxa"/>
              <w:bottom w:w="0" w:type="dxa"/>
              <w:right w:w="20" w:type="dxa"/>
            </w:tcMar>
            <w:vAlign w:val="center"/>
            <w:hideMark/>
          </w:tcPr>
          <w:p w:rsidR="00000000" w:rsidRDefault="003E235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jc w:val="center"/>
              <w:rPr>
                <w:rFonts w:eastAsia="Times New Roman"/>
              </w:rPr>
            </w:pPr>
            <w:r>
              <w:rPr>
                <w:rFonts w:eastAsia="Times New Roman"/>
                <w:b/>
                <w:bCs/>
                <w:color w:val="000000"/>
                <w:sz w:val="20"/>
                <w:szCs w:val="20"/>
              </w:rPr>
              <w:t>Description of Exhibit</w:t>
            </w:r>
          </w:p>
        </w:tc>
      </w:tr>
      <w:tr w:rsidR="00000000">
        <w:tc>
          <w:tcPr>
            <w:tcW w:w="0" w:type="auto"/>
            <w:gridSpan w:val="2"/>
            <w:tcMar>
              <w:top w:w="30" w:type="dxa"/>
              <w:left w:w="20" w:type="dxa"/>
              <w:bottom w:w="30" w:type="dxa"/>
              <w:right w:w="0" w:type="dxa"/>
            </w:tcMar>
            <w:hideMark/>
          </w:tcPr>
          <w:p w:rsidR="00000000" w:rsidRDefault="003E235E">
            <w:pPr>
              <w:spacing w:after="100"/>
              <w:jc w:val="right"/>
              <w:rPr>
                <w:rFonts w:eastAsia="Times New Roman"/>
              </w:rPr>
            </w:pPr>
            <w:r>
              <w:rPr>
                <w:rFonts w:eastAsia="Times New Roman"/>
                <w:color w:val="000000"/>
                <w:sz w:val="20"/>
                <w:szCs w:val="20"/>
              </w:rPr>
              <w:t>10.1 </w:t>
            </w:r>
          </w:p>
        </w:tc>
        <w:tc>
          <w:tcPr>
            <w:tcW w:w="0" w:type="auto"/>
            <w:tcMar>
              <w:top w:w="30" w:type="dxa"/>
              <w:left w:w="0" w:type="dxa"/>
              <w:bottom w:w="30" w:type="dxa"/>
              <w:right w:w="20" w:type="dxa"/>
            </w:tcMar>
            <w:hideMark/>
          </w:tcPr>
          <w:p w:rsidR="00000000" w:rsidRDefault="003E235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3"/>
            <w:tcMar>
              <w:top w:w="30" w:type="dxa"/>
              <w:left w:w="20" w:type="dxa"/>
              <w:bottom w:w="30" w:type="dxa"/>
              <w:right w:w="20" w:type="dxa"/>
            </w:tcMar>
            <w:hideMark/>
          </w:tcPr>
          <w:p w:rsidR="00000000" w:rsidRDefault="003E235E">
            <w:pPr>
              <w:spacing w:after="100"/>
              <w:divId w:val="627518230"/>
              <w:rPr>
                <w:rFonts w:eastAsia="Times New Roman"/>
              </w:rPr>
            </w:pPr>
            <w:hyperlink r:id="rId4" w:history="1">
              <w:r>
                <w:rPr>
                  <w:rStyle w:val="a3"/>
                  <w:rFonts w:eastAsia="Times New Roman"/>
                  <w:sz w:val="20"/>
                  <w:szCs w:val="20"/>
                </w:rPr>
                <w:t>Employment Agreement, dated August 2, 2021, between Noodles &amp; Company and Kathy Lockhart</w:t>
              </w:r>
            </w:hyperlink>
          </w:p>
        </w:tc>
      </w:tr>
      <w:tr w:rsidR="00000000">
        <w:tc>
          <w:tcPr>
            <w:tcW w:w="0" w:type="auto"/>
            <w:gridSpan w:val="2"/>
            <w:tcMar>
              <w:top w:w="30" w:type="dxa"/>
              <w:left w:w="20" w:type="dxa"/>
              <w:bottom w:w="30" w:type="dxa"/>
              <w:right w:w="0" w:type="dxa"/>
            </w:tcMar>
            <w:hideMark/>
          </w:tcPr>
          <w:p w:rsidR="00000000" w:rsidRDefault="003E235E">
            <w:pPr>
              <w:spacing w:after="100"/>
              <w:jc w:val="right"/>
              <w:rPr>
                <w:rFonts w:eastAsia="Times New Roman"/>
              </w:rPr>
            </w:pPr>
            <w:r>
              <w:rPr>
                <w:rFonts w:eastAsia="Times New Roman"/>
                <w:color w:val="000000"/>
                <w:sz w:val="20"/>
                <w:szCs w:val="20"/>
              </w:rPr>
              <w:t>10.2 </w:t>
            </w:r>
          </w:p>
        </w:tc>
        <w:tc>
          <w:tcPr>
            <w:tcW w:w="0" w:type="auto"/>
            <w:tcMar>
              <w:top w:w="30" w:type="dxa"/>
              <w:left w:w="0" w:type="dxa"/>
              <w:bottom w:w="30" w:type="dxa"/>
              <w:right w:w="20" w:type="dxa"/>
            </w:tcMar>
            <w:hideMark/>
          </w:tcPr>
          <w:p w:rsidR="00000000" w:rsidRDefault="003E235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3"/>
            <w:tcMar>
              <w:top w:w="30" w:type="dxa"/>
              <w:left w:w="20" w:type="dxa"/>
              <w:bottom w:w="30" w:type="dxa"/>
              <w:right w:w="20" w:type="dxa"/>
            </w:tcMar>
            <w:hideMark/>
          </w:tcPr>
          <w:p w:rsidR="00000000" w:rsidRDefault="003E235E">
            <w:pPr>
              <w:spacing w:after="100"/>
              <w:divId w:val="2016640277"/>
              <w:rPr>
                <w:rFonts w:eastAsia="Times New Roman"/>
              </w:rPr>
            </w:pPr>
            <w:hyperlink r:id="rId5" w:history="1">
              <w:r>
                <w:rPr>
                  <w:rStyle w:val="a3"/>
                  <w:rFonts w:eastAsia="Times New Roman"/>
                  <w:sz w:val="20"/>
                  <w:szCs w:val="20"/>
                </w:rPr>
                <w:t>Employment Agreement, dated August 2, 2021, between Noodles &amp; Company and Sue Petersen</w:t>
              </w:r>
            </w:hyperlink>
          </w:p>
        </w:tc>
      </w:tr>
      <w:tr w:rsidR="00000000">
        <w:tc>
          <w:tcPr>
            <w:tcW w:w="0" w:type="auto"/>
            <w:gridSpan w:val="2"/>
            <w:tcMar>
              <w:top w:w="30" w:type="dxa"/>
              <w:left w:w="20" w:type="dxa"/>
              <w:bottom w:w="30" w:type="dxa"/>
              <w:right w:w="0" w:type="dxa"/>
            </w:tcMar>
            <w:hideMark/>
          </w:tcPr>
          <w:p w:rsidR="00000000" w:rsidRDefault="003E235E">
            <w:pPr>
              <w:spacing w:after="100"/>
              <w:jc w:val="right"/>
              <w:rPr>
                <w:rFonts w:eastAsia="Times New Roman"/>
              </w:rPr>
            </w:pPr>
            <w:r>
              <w:rPr>
                <w:rFonts w:eastAsia="Times New Roman"/>
                <w:color w:val="000000"/>
                <w:sz w:val="20"/>
                <w:szCs w:val="20"/>
              </w:rPr>
              <w:t>10.3 </w:t>
            </w:r>
          </w:p>
        </w:tc>
        <w:tc>
          <w:tcPr>
            <w:tcW w:w="0" w:type="auto"/>
            <w:tcMar>
              <w:top w:w="30" w:type="dxa"/>
              <w:left w:w="0" w:type="dxa"/>
              <w:bottom w:w="30" w:type="dxa"/>
              <w:right w:w="20" w:type="dxa"/>
            </w:tcMar>
            <w:hideMark/>
          </w:tcPr>
          <w:p w:rsidR="00000000" w:rsidRDefault="003E235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3"/>
            <w:tcMar>
              <w:top w:w="30" w:type="dxa"/>
              <w:left w:w="20" w:type="dxa"/>
              <w:bottom w:w="30" w:type="dxa"/>
              <w:right w:w="20" w:type="dxa"/>
            </w:tcMar>
            <w:hideMark/>
          </w:tcPr>
          <w:p w:rsidR="00000000" w:rsidRDefault="003E235E">
            <w:pPr>
              <w:spacing w:after="100"/>
              <w:divId w:val="1087263603"/>
              <w:rPr>
                <w:rFonts w:eastAsia="Times New Roman"/>
              </w:rPr>
            </w:pPr>
            <w:hyperlink r:id="rId6" w:history="1">
              <w:r>
                <w:rPr>
                  <w:rStyle w:val="a3"/>
                  <w:rFonts w:eastAsia="Times New Roman"/>
                  <w:sz w:val="20"/>
                  <w:szCs w:val="20"/>
                </w:rPr>
                <w:t>Employment Agreement, dated July 30, 2021, between Noodles &amp; Company and Corey Kline</w:t>
              </w:r>
            </w:hyperlink>
          </w:p>
        </w:tc>
      </w:tr>
      <w:tr w:rsidR="00000000">
        <w:tc>
          <w:tcPr>
            <w:tcW w:w="0" w:type="auto"/>
            <w:gridSpan w:val="2"/>
            <w:tcMar>
              <w:top w:w="30" w:type="dxa"/>
              <w:left w:w="20" w:type="dxa"/>
              <w:bottom w:w="30" w:type="dxa"/>
              <w:right w:w="0" w:type="dxa"/>
            </w:tcMar>
            <w:hideMark/>
          </w:tcPr>
          <w:p w:rsidR="00000000" w:rsidRDefault="003E235E">
            <w:pPr>
              <w:spacing w:after="100"/>
              <w:jc w:val="right"/>
              <w:rPr>
                <w:rFonts w:eastAsia="Times New Roman"/>
              </w:rPr>
            </w:pPr>
            <w:r>
              <w:rPr>
                <w:rFonts w:eastAsia="Times New Roman"/>
                <w:color w:val="000000"/>
                <w:sz w:val="20"/>
                <w:szCs w:val="20"/>
              </w:rPr>
              <w:t>31.1 </w:t>
            </w:r>
          </w:p>
        </w:tc>
        <w:tc>
          <w:tcPr>
            <w:tcW w:w="0" w:type="auto"/>
            <w:tcMar>
              <w:top w:w="30" w:type="dxa"/>
              <w:left w:w="0" w:type="dxa"/>
              <w:bottom w:w="30" w:type="dxa"/>
              <w:right w:w="20" w:type="dxa"/>
            </w:tcMar>
            <w:hideMark/>
          </w:tcPr>
          <w:p w:rsidR="00000000" w:rsidRDefault="003E235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3"/>
            <w:tcMar>
              <w:top w:w="30" w:type="dxa"/>
              <w:left w:w="20" w:type="dxa"/>
              <w:bottom w:w="30" w:type="dxa"/>
              <w:right w:w="20" w:type="dxa"/>
            </w:tcMar>
            <w:hideMark/>
          </w:tcPr>
          <w:p w:rsidR="00000000" w:rsidRDefault="003E235E">
            <w:pPr>
              <w:spacing w:after="100"/>
              <w:divId w:val="9110962"/>
              <w:rPr>
                <w:rFonts w:eastAsia="Times New Roman"/>
              </w:rPr>
            </w:pPr>
            <w:hyperlink r:id="rId7" w:history="1">
              <w:r>
                <w:rPr>
                  <w:rStyle w:val="a3"/>
                  <w:rFonts w:eastAsia="Times New Roman"/>
                  <w:sz w:val="20"/>
                  <w:szCs w:val="20"/>
                </w:rPr>
                <w:t>Certification of Principal Executive Officer pursuant to Section 302 of the Sarbanes-Oxley Act of 2002</w:t>
              </w:r>
            </w:hyperlink>
          </w:p>
        </w:tc>
      </w:tr>
      <w:tr w:rsidR="00000000">
        <w:tc>
          <w:tcPr>
            <w:tcW w:w="0" w:type="auto"/>
            <w:gridSpan w:val="2"/>
            <w:tcMar>
              <w:top w:w="30" w:type="dxa"/>
              <w:left w:w="20" w:type="dxa"/>
              <w:bottom w:w="30" w:type="dxa"/>
              <w:right w:w="0" w:type="dxa"/>
            </w:tcMar>
            <w:hideMark/>
          </w:tcPr>
          <w:p w:rsidR="00000000" w:rsidRDefault="003E235E">
            <w:pPr>
              <w:spacing w:after="100"/>
              <w:jc w:val="right"/>
              <w:rPr>
                <w:rFonts w:eastAsia="Times New Roman"/>
              </w:rPr>
            </w:pPr>
            <w:r>
              <w:rPr>
                <w:rFonts w:eastAsia="Times New Roman"/>
                <w:color w:val="000000"/>
                <w:sz w:val="20"/>
                <w:szCs w:val="20"/>
              </w:rPr>
              <w:t>31.2 </w:t>
            </w:r>
          </w:p>
        </w:tc>
        <w:tc>
          <w:tcPr>
            <w:tcW w:w="0" w:type="auto"/>
            <w:tcMar>
              <w:top w:w="30" w:type="dxa"/>
              <w:left w:w="0" w:type="dxa"/>
              <w:bottom w:w="30" w:type="dxa"/>
              <w:right w:w="20" w:type="dxa"/>
            </w:tcMar>
            <w:hideMark/>
          </w:tcPr>
          <w:p w:rsidR="00000000" w:rsidRDefault="003E235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3"/>
            <w:tcMar>
              <w:top w:w="30" w:type="dxa"/>
              <w:left w:w="20" w:type="dxa"/>
              <w:bottom w:w="30" w:type="dxa"/>
              <w:right w:w="20" w:type="dxa"/>
            </w:tcMar>
            <w:hideMark/>
          </w:tcPr>
          <w:p w:rsidR="00000000" w:rsidRDefault="003E235E">
            <w:pPr>
              <w:spacing w:after="100"/>
              <w:divId w:val="205261111"/>
              <w:rPr>
                <w:rFonts w:eastAsia="Times New Roman"/>
              </w:rPr>
            </w:pPr>
            <w:hyperlink r:id="rId8" w:history="1">
              <w:r>
                <w:rPr>
                  <w:rStyle w:val="a3"/>
                  <w:rFonts w:eastAsia="Times New Roman"/>
                  <w:sz w:val="20"/>
                  <w:szCs w:val="20"/>
                </w:rPr>
                <w:t>Certification of Principal Financial Officer pursuant to Sectio</w:t>
              </w:r>
              <w:r>
                <w:rPr>
                  <w:rStyle w:val="a3"/>
                  <w:rFonts w:eastAsia="Times New Roman"/>
                  <w:sz w:val="20"/>
                  <w:szCs w:val="20"/>
                </w:rPr>
                <w:t>n 302 of the Sarbanes-Oxley Act of 2002</w:t>
              </w:r>
            </w:hyperlink>
          </w:p>
        </w:tc>
      </w:tr>
      <w:tr w:rsidR="00000000">
        <w:tc>
          <w:tcPr>
            <w:tcW w:w="0" w:type="auto"/>
            <w:gridSpan w:val="2"/>
            <w:tcMar>
              <w:top w:w="30" w:type="dxa"/>
              <w:left w:w="20" w:type="dxa"/>
              <w:bottom w:w="30" w:type="dxa"/>
              <w:right w:w="0" w:type="dxa"/>
            </w:tcMar>
            <w:hideMark/>
          </w:tcPr>
          <w:p w:rsidR="00000000" w:rsidRDefault="003E235E">
            <w:pPr>
              <w:spacing w:after="100"/>
              <w:jc w:val="right"/>
              <w:rPr>
                <w:rFonts w:eastAsia="Times New Roman"/>
              </w:rPr>
            </w:pPr>
            <w:r>
              <w:rPr>
                <w:rFonts w:eastAsia="Times New Roman"/>
                <w:color w:val="000000"/>
                <w:sz w:val="20"/>
                <w:szCs w:val="20"/>
              </w:rPr>
              <w:t>32.1 </w:t>
            </w:r>
          </w:p>
        </w:tc>
        <w:tc>
          <w:tcPr>
            <w:tcW w:w="0" w:type="auto"/>
            <w:tcMar>
              <w:top w:w="30" w:type="dxa"/>
              <w:left w:w="0" w:type="dxa"/>
              <w:bottom w:w="30" w:type="dxa"/>
              <w:right w:w="20" w:type="dxa"/>
            </w:tcMar>
            <w:hideMark/>
          </w:tcPr>
          <w:p w:rsidR="00000000" w:rsidRDefault="003E235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3"/>
            <w:tcMar>
              <w:top w:w="30" w:type="dxa"/>
              <w:left w:w="20" w:type="dxa"/>
              <w:bottom w:w="30" w:type="dxa"/>
              <w:right w:w="20" w:type="dxa"/>
            </w:tcMar>
            <w:hideMark/>
          </w:tcPr>
          <w:p w:rsidR="00000000" w:rsidRDefault="003E235E">
            <w:pPr>
              <w:spacing w:after="100"/>
              <w:divId w:val="292443688"/>
              <w:rPr>
                <w:rFonts w:eastAsia="Times New Roman"/>
              </w:rPr>
            </w:pPr>
            <w:hyperlink r:id="rId9" w:history="1">
              <w:r>
                <w:rPr>
                  <w:rStyle w:val="a3"/>
                  <w:rFonts w:eastAsia="Times New Roman"/>
                  <w:sz w:val="20"/>
                  <w:szCs w:val="20"/>
                </w:rPr>
                <w:t>Certification of Principal Executive Officer and Principal Financial Officer pursuant to Section 906 of the Sarbanes-Oxley Act of 2002</w:t>
              </w:r>
            </w:hyperlink>
            <w:r>
              <w:rPr>
                <w:rFonts w:eastAsia="Times New Roman"/>
                <w:color w:val="000000"/>
                <w:sz w:val="20"/>
                <w:szCs w:val="20"/>
              </w:rPr>
              <w:t xml:space="preserve"> (furnished herewith)</w:t>
            </w:r>
          </w:p>
        </w:tc>
      </w:tr>
      <w:tr w:rsidR="00000000">
        <w:tc>
          <w:tcPr>
            <w:tcW w:w="0" w:type="auto"/>
            <w:gridSpan w:val="3"/>
            <w:tcMar>
              <w:top w:w="30" w:type="dxa"/>
              <w:left w:w="20" w:type="dxa"/>
              <w:bottom w:w="30" w:type="dxa"/>
              <w:right w:w="20" w:type="dxa"/>
            </w:tcMar>
            <w:hideMark/>
          </w:tcPr>
          <w:p w:rsidR="00000000" w:rsidRDefault="003E235E">
            <w:pPr>
              <w:spacing w:after="100"/>
              <w:jc w:val="right"/>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Inline XBRL Instance Document - the instance document does not appear in the Interac</w:t>
            </w:r>
            <w:r>
              <w:rPr>
                <w:rFonts w:eastAsia="Times New Roman"/>
                <w:color w:val="000000"/>
                <w:sz w:val="20"/>
                <w:szCs w:val="20"/>
              </w:rPr>
              <w:t>tive Data File because its XBRL tags are embedded within the Inline XBRL document</w:t>
            </w:r>
          </w:p>
        </w:tc>
      </w:tr>
      <w:tr w:rsidR="00000000">
        <w:tc>
          <w:tcPr>
            <w:tcW w:w="0" w:type="auto"/>
            <w:gridSpan w:val="3"/>
            <w:tcMar>
              <w:top w:w="30" w:type="dxa"/>
              <w:left w:w="20" w:type="dxa"/>
              <w:bottom w:w="30" w:type="dxa"/>
              <w:right w:w="20" w:type="dxa"/>
            </w:tcMar>
            <w:hideMark/>
          </w:tcPr>
          <w:p w:rsidR="00000000" w:rsidRDefault="003E235E">
            <w:pPr>
              <w:spacing w:after="100"/>
              <w:jc w:val="right"/>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Inline XBRL Taxonomy Extension Schema Document</w:t>
            </w:r>
          </w:p>
        </w:tc>
      </w:tr>
      <w:tr w:rsidR="00000000">
        <w:tc>
          <w:tcPr>
            <w:tcW w:w="0" w:type="auto"/>
            <w:gridSpan w:val="3"/>
            <w:tcMar>
              <w:top w:w="30" w:type="dxa"/>
              <w:left w:w="20" w:type="dxa"/>
              <w:bottom w:w="30" w:type="dxa"/>
              <w:right w:w="20" w:type="dxa"/>
            </w:tcMar>
            <w:hideMark/>
          </w:tcPr>
          <w:p w:rsidR="00000000" w:rsidRDefault="003E235E">
            <w:pPr>
              <w:spacing w:after="100"/>
              <w:jc w:val="right"/>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Inline XBRL Taxonomy Extension Calculation Linkbase Document</w:t>
            </w:r>
          </w:p>
        </w:tc>
      </w:tr>
      <w:tr w:rsidR="00000000">
        <w:tc>
          <w:tcPr>
            <w:tcW w:w="0" w:type="auto"/>
            <w:gridSpan w:val="3"/>
            <w:tcMar>
              <w:top w:w="30" w:type="dxa"/>
              <w:left w:w="20" w:type="dxa"/>
              <w:bottom w:w="30" w:type="dxa"/>
              <w:right w:w="20" w:type="dxa"/>
            </w:tcMar>
            <w:hideMark/>
          </w:tcPr>
          <w:p w:rsidR="00000000" w:rsidRDefault="003E235E">
            <w:pPr>
              <w:spacing w:after="100"/>
              <w:jc w:val="right"/>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Inline XBRL Taxonomy Extension Definition Linkbase Document</w:t>
            </w:r>
          </w:p>
        </w:tc>
      </w:tr>
      <w:tr w:rsidR="00000000">
        <w:tc>
          <w:tcPr>
            <w:tcW w:w="0" w:type="auto"/>
            <w:gridSpan w:val="3"/>
            <w:tcMar>
              <w:top w:w="30" w:type="dxa"/>
              <w:left w:w="20" w:type="dxa"/>
              <w:bottom w:w="30" w:type="dxa"/>
              <w:right w:w="20" w:type="dxa"/>
            </w:tcMar>
            <w:hideMark/>
          </w:tcPr>
          <w:p w:rsidR="00000000" w:rsidRDefault="003E235E">
            <w:pPr>
              <w:spacing w:after="100"/>
              <w:jc w:val="right"/>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Inline XBRL Taxonomy Extension Label Linkbase Document</w:t>
            </w:r>
          </w:p>
        </w:tc>
      </w:tr>
      <w:tr w:rsidR="00000000">
        <w:tc>
          <w:tcPr>
            <w:tcW w:w="0" w:type="auto"/>
            <w:gridSpan w:val="3"/>
            <w:tcMar>
              <w:top w:w="30" w:type="dxa"/>
              <w:left w:w="20" w:type="dxa"/>
              <w:bottom w:w="30" w:type="dxa"/>
              <w:right w:w="20" w:type="dxa"/>
            </w:tcMar>
            <w:hideMark/>
          </w:tcPr>
          <w:p w:rsidR="00000000" w:rsidRDefault="003E235E">
            <w:pPr>
              <w:spacing w:after="100"/>
              <w:jc w:val="right"/>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3E235E">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Inline XBRL Taxonomy Extension Presentation Linkbase Document</w:t>
            </w:r>
          </w:p>
        </w:tc>
      </w:tr>
      <w:tr w:rsidR="00000000">
        <w:tc>
          <w:tcPr>
            <w:tcW w:w="0" w:type="auto"/>
            <w:gridSpan w:val="2"/>
            <w:tcMar>
              <w:top w:w="30" w:type="dxa"/>
              <w:left w:w="20" w:type="dxa"/>
              <w:bottom w:w="30" w:type="dxa"/>
              <w:right w:w="0" w:type="dxa"/>
            </w:tcMar>
            <w:hideMark/>
          </w:tcPr>
          <w:p w:rsidR="00000000" w:rsidRDefault="003E235E">
            <w:pPr>
              <w:spacing w:after="100"/>
              <w:jc w:val="right"/>
              <w:rPr>
                <w:rFonts w:eastAsia="Times New Roman"/>
              </w:rPr>
            </w:pPr>
            <w:r>
              <w:rPr>
                <w:rFonts w:eastAsia="Times New Roman"/>
                <w:color w:val="000000"/>
                <w:sz w:val="20"/>
                <w:szCs w:val="20"/>
              </w:rPr>
              <w:t>104.0 </w:t>
            </w:r>
          </w:p>
        </w:tc>
        <w:tc>
          <w:tcPr>
            <w:tcW w:w="0" w:type="auto"/>
            <w:tcMar>
              <w:top w:w="30" w:type="dxa"/>
              <w:left w:w="0" w:type="dxa"/>
              <w:bottom w:w="30" w:type="dxa"/>
              <w:right w:w="20" w:type="dxa"/>
            </w:tcMar>
            <w:hideMark/>
          </w:tcPr>
          <w:p w:rsidR="00000000" w:rsidRDefault="003E235E">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E235E">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Cover Page Interactive Data File (formatted as Inline XBRL and contained in Exhibit 101)</w:t>
            </w:r>
          </w:p>
        </w:tc>
      </w:tr>
    </w:tbl>
    <w:p w:rsidR="00000000" w:rsidRDefault="003E235E">
      <w:pPr>
        <w:divId w:val="929506520"/>
        <w:rPr>
          <w:rFonts w:eastAsia="Times New Roman"/>
        </w:rPr>
      </w:pPr>
      <w:r>
        <w:rPr>
          <w:rFonts w:eastAsia="Times New Roman"/>
          <w:color w:val="000000"/>
          <w:sz w:val="20"/>
          <w:szCs w:val="20"/>
        </w:rPr>
        <w:t>__________________</w:t>
      </w:r>
    </w:p>
    <w:p w:rsidR="00000000" w:rsidRDefault="003E235E">
      <w:pPr>
        <w:divId w:val="356350698"/>
        <w:rPr>
          <w:rFonts w:eastAsia="Times New Roman"/>
        </w:rPr>
      </w:pPr>
      <w:r>
        <w:rPr>
          <w:rFonts w:eastAsia="Times New Roman"/>
          <w:color w:val="000000"/>
          <w:sz w:val="20"/>
          <w:szCs w:val="20"/>
        </w:rPr>
        <w:t>*Management contract or compensatory plan or arrangement.</w:t>
      </w:r>
    </w:p>
    <w:p w:rsidR="00000000" w:rsidRDefault="003E235E">
      <w:pPr>
        <w:jc w:val="center"/>
        <w:divId w:val="350112837"/>
        <w:rPr>
          <w:rFonts w:eastAsia="Times New Roman"/>
        </w:rPr>
      </w:pPr>
      <w:r>
        <w:rPr>
          <w:rFonts w:eastAsia="Times New Roman"/>
          <w:color w:val="000000"/>
          <w:sz w:val="20"/>
          <w:szCs w:val="20"/>
        </w:rPr>
        <w:t>29</w:t>
      </w:r>
    </w:p>
    <w:p w:rsidR="00000000" w:rsidRDefault="003E235E">
      <w:pPr>
        <w:rPr>
          <w:rFonts w:eastAsia="Times New Roman"/>
        </w:rPr>
      </w:pPr>
      <w:r>
        <w:rPr>
          <w:rFonts w:eastAsia="Times New Roman"/>
        </w:rPr>
        <w:pict>
          <v:rect id="_x0000_i1054" style="width:0;height:1.5pt" o:hralign="center" o:hrstd="t" o:hr="t" fillcolor="#a0a0a0" stroked="f"/>
        </w:pict>
      </w:r>
    </w:p>
    <w:p w:rsidR="00000000" w:rsidRDefault="003E235E">
      <w:pPr>
        <w:divId w:val="727459065"/>
        <w:rPr>
          <w:rFonts w:eastAsia="Times New Roman"/>
        </w:rPr>
      </w:pPr>
      <w:hyperlink w:anchor="i48000f6fae8946f8b752541bba7287a8_10" w:history="1">
        <w:r>
          <w:rPr>
            <w:rStyle w:val="a3"/>
            <w:rFonts w:eastAsia="Times New Roman"/>
            <w:sz w:val="20"/>
            <w:szCs w:val="20"/>
          </w:rPr>
          <w:t>Table of Contents</w:t>
        </w:r>
      </w:hyperlink>
    </w:p>
    <w:p w:rsidR="00000000" w:rsidRDefault="003E235E">
      <w:pPr>
        <w:jc w:val="center"/>
        <w:rPr>
          <w:rFonts w:eastAsia="Times New Roman"/>
        </w:rPr>
      </w:pPr>
      <w:r>
        <w:rPr>
          <w:rFonts w:eastAsia="Times New Roman"/>
          <w:b/>
          <w:bCs/>
          <w:color w:val="000000"/>
          <w:sz w:val="20"/>
          <w:szCs w:val="20"/>
        </w:rPr>
        <w:t>SIGNATURES</w:t>
      </w:r>
    </w:p>
    <w:p w:rsidR="00000000" w:rsidRDefault="003E235E">
      <w:pPr>
        <w:jc w:val="both"/>
        <w:rPr>
          <w:rFonts w:eastAsia="Times New Roman"/>
        </w:rPr>
      </w:pPr>
    </w:p>
    <w:p w:rsidR="00000000" w:rsidRDefault="003E235E">
      <w:pPr>
        <w:jc w:val="both"/>
        <w:rPr>
          <w:rFonts w:eastAsia="Times New Roman"/>
        </w:rPr>
      </w:pPr>
      <w:r>
        <w:rPr>
          <w:rFonts w:eastAsia="Times New Roman"/>
          <w:color w:val="000000"/>
          <w:sz w:val="20"/>
          <w:szCs w:val="20"/>
        </w:rPr>
        <w:t xml:space="preserve">Pursuant to the requirements of the Securities Act of 1934, the Registrant has duly caused this report to be signed on its behalf </w:t>
      </w:r>
      <w:r>
        <w:rPr>
          <w:rFonts w:eastAsia="Times New Roman"/>
          <w:color w:val="000000"/>
          <w:sz w:val="20"/>
          <w:szCs w:val="20"/>
        </w:rPr>
        <w:t>by the undersigned, thereunto duly authorized.</w:t>
      </w:r>
    </w:p>
    <w:p w:rsidR="00000000" w:rsidRDefault="003E235E">
      <w:pPr>
        <w:jc w:val="both"/>
        <w:rPr>
          <w:rFonts w:eastAsia="Times New Roman"/>
        </w:rPr>
      </w:pPr>
    </w:p>
    <w:tbl>
      <w:tblPr>
        <w:tblW w:w="10005" w:type="dxa"/>
        <w:tblCellMar>
          <w:top w:w="15" w:type="dxa"/>
          <w:left w:w="15" w:type="dxa"/>
          <w:bottom w:w="15" w:type="dxa"/>
          <w:right w:w="15" w:type="dxa"/>
        </w:tblCellMar>
        <w:tblLook w:val="04A0" w:firstRow="1" w:lastRow="0" w:firstColumn="1" w:lastColumn="0" w:noHBand="0" w:noVBand="1"/>
      </w:tblPr>
      <w:tblGrid>
        <w:gridCol w:w="36"/>
        <w:gridCol w:w="721"/>
        <w:gridCol w:w="36"/>
        <w:gridCol w:w="36"/>
        <w:gridCol w:w="9140"/>
        <w:gridCol w:w="36"/>
      </w:tblGrid>
      <w:tr w:rsidR="00000000">
        <w:tc>
          <w:tcPr>
            <w:tcW w:w="20" w:type="dxa"/>
            <w:vAlign w:val="center"/>
            <w:hideMark/>
          </w:tcPr>
          <w:p w:rsidR="00000000" w:rsidRDefault="003E235E">
            <w:pPr>
              <w:jc w:val="both"/>
              <w:rPr>
                <w:rFonts w:eastAsia="Times New Roman"/>
              </w:rPr>
            </w:pPr>
          </w:p>
        </w:tc>
        <w:tc>
          <w:tcPr>
            <w:tcW w:w="725" w:type="dxa"/>
            <w:vAlign w:val="center"/>
            <w:hideMark/>
          </w:tcPr>
          <w:p w:rsidR="00000000" w:rsidRDefault="003E235E">
            <w:pPr>
              <w:spacing w:after="100"/>
              <w:rPr>
                <w:rFonts w:eastAsia="Times New Roman"/>
                <w:sz w:val="20"/>
                <w:szCs w:val="20"/>
              </w:rPr>
            </w:pPr>
          </w:p>
        </w:tc>
        <w:tc>
          <w:tcPr>
            <w:tcW w:w="20" w:type="dxa"/>
            <w:vAlign w:val="center"/>
            <w:hideMark/>
          </w:tcPr>
          <w:p w:rsidR="00000000" w:rsidRDefault="003E235E">
            <w:pPr>
              <w:spacing w:after="100"/>
              <w:rPr>
                <w:rFonts w:eastAsia="Times New Roman"/>
                <w:sz w:val="20"/>
                <w:szCs w:val="20"/>
              </w:rPr>
            </w:pPr>
          </w:p>
        </w:tc>
        <w:tc>
          <w:tcPr>
            <w:tcW w:w="20" w:type="dxa"/>
            <w:vAlign w:val="center"/>
            <w:hideMark/>
          </w:tcPr>
          <w:p w:rsidR="00000000" w:rsidRDefault="003E235E">
            <w:pPr>
              <w:spacing w:after="100"/>
              <w:rPr>
                <w:rFonts w:eastAsia="Times New Roman"/>
                <w:sz w:val="20"/>
                <w:szCs w:val="20"/>
              </w:rPr>
            </w:pPr>
          </w:p>
        </w:tc>
        <w:tc>
          <w:tcPr>
            <w:tcW w:w="9200" w:type="dxa"/>
            <w:vAlign w:val="center"/>
            <w:hideMark/>
          </w:tcPr>
          <w:p w:rsidR="00000000" w:rsidRDefault="003E235E">
            <w:pPr>
              <w:spacing w:after="100"/>
              <w:rPr>
                <w:rFonts w:eastAsia="Times New Roman"/>
                <w:sz w:val="20"/>
                <w:szCs w:val="20"/>
              </w:rPr>
            </w:pPr>
          </w:p>
        </w:tc>
        <w:tc>
          <w:tcPr>
            <w:tcW w:w="20" w:type="dxa"/>
            <w:vAlign w:val="center"/>
            <w:hideMark/>
          </w:tcPr>
          <w:p w:rsidR="00000000" w:rsidRDefault="003E235E">
            <w:pPr>
              <w:spacing w:after="100"/>
              <w:rPr>
                <w:rFonts w:eastAsia="Times New Roman"/>
                <w:sz w:val="20"/>
                <w:szCs w:val="20"/>
              </w:rPr>
            </w:pPr>
          </w:p>
        </w:tc>
      </w:tr>
      <w:tr w:rsidR="00000000">
        <w:trPr>
          <w:trHeight w:val="300"/>
        </w:trPr>
        <w:tc>
          <w:tcPr>
            <w:tcW w:w="0" w:type="auto"/>
            <w:gridSpan w:val="6"/>
            <w:tcMar>
              <w:top w:w="30" w:type="dxa"/>
              <w:left w:w="20" w:type="dxa"/>
              <w:bottom w:w="30" w:type="dxa"/>
              <w:right w:w="20" w:type="dxa"/>
            </w:tcMar>
            <w:hideMark/>
          </w:tcPr>
          <w:p w:rsidR="00000000" w:rsidRDefault="003E235E">
            <w:pPr>
              <w:spacing w:after="100"/>
              <w:rPr>
                <w:rFonts w:eastAsia="Times New Roman"/>
              </w:rPr>
            </w:pPr>
            <w:r>
              <w:rPr>
                <w:rFonts w:eastAsia="Times New Roman"/>
                <w:b/>
                <w:bCs/>
                <w:color w:val="000000"/>
                <w:sz w:val="20"/>
                <w:szCs w:val="20"/>
              </w:rPr>
              <w:t>NOODLES &amp; COMPANY</w:t>
            </w:r>
          </w:p>
        </w:tc>
      </w:tr>
      <w:tr w:rsidR="00000000">
        <w:trPr>
          <w:trHeight w:val="300"/>
        </w:trPr>
        <w:tc>
          <w:tcPr>
            <w:tcW w:w="0" w:type="auto"/>
            <w:gridSpan w:val="3"/>
            <w:tcMar>
              <w:top w:w="30" w:type="dxa"/>
              <w:left w:w="20" w:type="dxa"/>
              <w:bottom w:w="30" w:type="dxa"/>
              <w:right w:w="20" w:type="dxa"/>
            </w:tcMar>
            <w:hideMark/>
          </w:tcPr>
          <w:p w:rsidR="00000000" w:rsidRDefault="003E235E">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/s/  CARL LUKACH</w:t>
            </w:r>
          </w:p>
        </w:tc>
      </w:tr>
      <w:tr w:rsidR="00000000">
        <w:trPr>
          <w:trHeight w:val="700"/>
        </w:trPr>
        <w:tc>
          <w:tcPr>
            <w:tcW w:w="0" w:type="auto"/>
            <w:gridSpan w:val="3"/>
            <w:tcMar>
              <w:top w:w="0" w:type="dxa"/>
              <w:left w:w="20" w:type="dxa"/>
              <w:bottom w:w="0" w:type="dxa"/>
              <w:right w:w="20" w:type="dxa"/>
            </w:tcMar>
            <w:vAlign w:val="center"/>
            <w:hideMark/>
          </w:tcPr>
          <w:p w:rsidR="00000000" w:rsidRDefault="003E235E">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3E235E">
            <w:pPr>
              <w:spacing w:after="100"/>
              <w:divId w:val="384068517"/>
              <w:rPr>
                <w:rFonts w:eastAsia="Times New Roman"/>
              </w:rPr>
            </w:pPr>
            <w:r>
              <w:rPr>
                <w:rFonts w:eastAsia="Times New Roman"/>
                <w:color w:val="000000"/>
                <w:sz w:val="20"/>
                <w:szCs w:val="20"/>
              </w:rPr>
              <w:t>Carl Lukach</w:t>
            </w:r>
          </w:p>
          <w:p w:rsidR="00000000" w:rsidRDefault="003E235E">
            <w:pPr>
              <w:spacing w:after="100"/>
              <w:divId w:val="830095962"/>
              <w:rPr>
                <w:rFonts w:eastAsia="Times New Roman"/>
              </w:rPr>
            </w:pPr>
            <w:r>
              <w:rPr>
                <w:rFonts w:eastAsia="Times New Roman"/>
                <w:i/>
                <w:iCs/>
                <w:color w:val="000000"/>
                <w:sz w:val="20"/>
                <w:szCs w:val="20"/>
              </w:rPr>
              <w:t>Chief Financial Officer (principal financial officer and duly authorized signatory for the registrant)</w:t>
            </w:r>
          </w:p>
        </w:tc>
      </w:tr>
      <w:tr w:rsidR="00000000">
        <w:trPr>
          <w:trHeight w:val="300"/>
        </w:trPr>
        <w:tc>
          <w:tcPr>
            <w:tcW w:w="0" w:type="auto"/>
            <w:gridSpan w:val="3"/>
            <w:tcMar>
              <w:top w:w="30" w:type="dxa"/>
              <w:left w:w="20" w:type="dxa"/>
              <w:bottom w:w="30" w:type="dxa"/>
              <w:right w:w="20" w:type="dxa"/>
            </w:tcMar>
            <w:hideMark/>
          </w:tcPr>
          <w:p w:rsidR="00000000" w:rsidRDefault="003E235E">
            <w:pPr>
              <w:spacing w:after="100"/>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vAlign w:val="bottom"/>
            <w:hideMark/>
          </w:tcPr>
          <w:p w:rsidR="00000000" w:rsidRDefault="003E235E">
            <w:pPr>
              <w:spacing w:after="100"/>
              <w:rPr>
                <w:rFonts w:eastAsia="Times New Roman"/>
              </w:rPr>
            </w:pPr>
            <w:r>
              <w:rPr>
                <w:rFonts w:eastAsia="Times New Roman"/>
                <w:color w:val="000000"/>
                <w:sz w:val="20"/>
                <w:szCs w:val="20"/>
              </w:rPr>
              <w:t>August 4, 2021</w:t>
            </w:r>
          </w:p>
        </w:tc>
      </w:tr>
    </w:tbl>
    <w:p w:rsidR="00000000" w:rsidRDefault="003E235E">
      <w:pPr>
        <w:divId w:val="444540304"/>
        <w:rPr>
          <w:rFonts w:eastAsia="Times New Roman"/>
        </w:rPr>
      </w:pPr>
    </w:p>
    <w:p w:rsidR="00000000" w:rsidRDefault="003E235E">
      <w:pPr>
        <w:jc w:val="center"/>
        <w:divId w:val="502820181"/>
        <w:rPr>
          <w:rFonts w:eastAsia="Times New Roman"/>
        </w:rPr>
      </w:pPr>
    </w:p>
    <w:p w:rsidR="003E235E" w:rsidRDefault="003E235E">
      <w:pPr>
        <w:jc w:val="center"/>
        <w:divId w:val="2132555845"/>
        <w:rPr>
          <w:rFonts w:eastAsia="Times New Roman"/>
        </w:rPr>
      </w:pPr>
      <w:r>
        <w:rPr>
          <w:rFonts w:eastAsia="Times New Roman"/>
          <w:color w:val="000000"/>
          <w:sz w:val="20"/>
          <w:szCs w:val="20"/>
        </w:rPr>
        <w:t>30</w:t>
      </w:r>
    </w:p>
    <w:sectPr w:rsidR="003E235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E235E"/>
    <w:rsid w:val="003E235E"/>
  </w:rsids>
  <m:mathPr>
    <m:mathFont m:val="Cambria Math"/>
    <m:brkBin m:val="before"/>
    <m:brkBinSub m:val="--"/>
    <m:smallFrac m:val="0"/>
    <m:dispDef/>
    <m:lMargin m:val="0"/>
    <m:rMargin m:val="0"/>
    <m:defJc m:val="centerGroup"/>
    <m:wrapIndent m:val="1440"/>
    <m:intLim m:val="subSup"/>
    <m:naryLim m:val="undOvr"/>
  </m:mathPr>
  <w:attachedSchema w:val="http://www.noodles.com/20210629"/>
  <w:attachedSchema w:val="http://www.xbrl.org/2003/instance"/>
  <w:attachedSchema w:val="http://xbrl.org/2006/xbrldi"/>
  <w:attachedSchema w:val="http://www.xbrl.org/2003/iso4217"/>
  <w:attachedSchema w:val="http://www.xbrl.org/inlineXBRL/transformation/2015-02-26"/>
  <w:attachedSchema w:val="http://www.xbrl.org/2013/inlineXBRL"/>
  <w:attachedSchema w:val="http://www.xbrl.org/2003/linkbase"/>
  <w:attachedSchema w:val="http://xbrl.sec.gov/dei/2021"/>
  <w:attachedSchema w:val="http://www.sec.gov/inlineXBRL/transformation/2015-08-31"/>
  <w:attachedSchema w:val="http://www.w3.org/1999/xlink"/>
  <w:attachedSchema w:val="http://fasb.org/srt/2021-01-31"/>
  <w:attachedSchema w:val="http://fasb.org/us-gaap/2021-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323">
      <w:marLeft w:val="0"/>
      <w:marRight w:val="0"/>
      <w:marTop w:val="0"/>
      <w:marBottom w:val="0"/>
      <w:divBdr>
        <w:top w:val="none" w:sz="0" w:space="0" w:color="auto"/>
        <w:left w:val="none" w:sz="0" w:space="0" w:color="auto"/>
        <w:bottom w:val="none" w:sz="0" w:space="0" w:color="auto"/>
        <w:right w:val="none" w:sz="0" w:space="0" w:color="auto"/>
      </w:divBdr>
      <w:divsChild>
        <w:div w:id="2050101412">
          <w:marLeft w:val="0"/>
          <w:marRight w:val="0"/>
          <w:marTop w:val="0"/>
          <w:marBottom w:val="0"/>
          <w:divBdr>
            <w:top w:val="none" w:sz="0" w:space="0" w:color="auto"/>
            <w:left w:val="none" w:sz="0" w:space="0" w:color="auto"/>
            <w:bottom w:val="none" w:sz="0" w:space="0" w:color="auto"/>
            <w:right w:val="none" w:sz="0" w:space="0" w:color="auto"/>
          </w:divBdr>
        </w:div>
      </w:divsChild>
    </w:div>
    <w:div w:id="9110962">
      <w:marLeft w:val="0"/>
      <w:marRight w:val="0"/>
      <w:marTop w:val="0"/>
      <w:marBottom w:val="0"/>
      <w:divBdr>
        <w:top w:val="none" w:sz="0" w:space="0" w:color="auto"/>
        <w:left w:val="none" w:sz="0" w:space="0" w:color="auto"/>
        <w:bottom w:val="none" w:sz="0" w:space="0" w:color="auto"/>
        <w:right w:val="none" w:sz="0" w:space="0" w:color="auto"/>
      </w:divBdr>
    </w:div>
    <w:div w:id="16121927">
      <w:marLeft w:val="0"/>
      <w:marRight w:val="0"/>
      <w:marTop w:val="0"/>
      <w:marBottom w:val="160"/>
      <w:divBdr>
        <w:top w:val="none" w:sz="0" w:space="0" w:color="auto"/>
        <w:left w:val="none" w:sz="0" w:space="0" w:color="auto"/>
        <w:bottom w:val="none" w:sz="0" w:space="0" w:color="auto"/>
        <w:right w:val="none" w:sz="0" w:space="0" w:color="auto"/>
      </w:divBdr>
    </w:div>
    <w:div w:id="19165453">
      <w:marLeft w:val="0"/>
      <w:marRight w:val="0"/>
      <w:marTop w:val="0"/>
      <w:marBottom w:val="0"/>
      <w:divBdr>
        <w:top w:val="none" w:sz="0" w:space="0" w:color="auto"/>
        <w:left w:val="none" w:sz="0" w:space="0" w:color="auto"/>
        <w:bottom w:val="none" w:sz="0" w:space="0" w:color="auto"/>
        <w:right w:val="none" w:sz="0" w:space="0" w:color="auto"/>
      </w:divBdr>
      <w:divsChild>
        <w:div w:id="2104297149">
          <w:marLeft w:val="0"/>
          <w:marRight w:val="0"/>
          <w:marTop w:val="0"/>
          <w:marBottom w:val="0"/>
          <w:divBdr>
            <w:top w:val="none" w:sz="0" w:space="0" w:color="auto"/>
            <w:left w:val="none" w:sz="0" w:space="0" w:color="auto"/>
            <w:bottom w:val="none" w:sz="0" w:space="0" w:color="auto"/>
            <w:right w:val="none" w:sz="0" w:space="0" w:color="auto"/>
          </w:divBdr>
        </w:div>
      </w:divsChild>
    </w:div>
    <w:div w:id="19622867">
      <w:marLeft w:val="0"/>
      <w:marRight w:val="0"/>
      <w:marTop w:val="0"/>
      <w:marBottom w:val="160"/>
      <w:divBdr>
        <w:top w:val="none" w:sz="0" w:space="0" w:color="auto"/>
        <w:left w:val="none" w:sz="0" w:space="0" w:color="auto"/>
        <w:bottom w:val="none" w:sz="0" w:space="0" w:color="auto"/>
        <w:right w:val="none" w:sz="0" w:space="0" w:color="auto"/>
      </w:divBdr>
    </w:div>
    <w:div w:id="28802033">
      <w:marLeft w:val="0"/>
      <w:marRight w:val="0"/>
      <w:marTop w:val="0"/>
      <w:marBottom w:val="0"/>
      <w:divBdr>
        <w:top w:val="none" w:sz="0" w:space="0" w:color="auto"/>
        <w:left w:val="none" w:sz="0" w:space="0" w:color="auto"/>
        <w:bottom w:val="none" w:sz="0" w:space="0" w:color="auto"/>
        <w:right w:val="none" w:sz="0" w:space="0" w:color="auto"/>
      </w:divBdr>
    </w:div>
    <w:div w:id="33041320">
      <w:marLeft w:val="0"/>
      <w:marRight w:val="0"/>
      <w:marTop w:val="240"/>
      <w:marBottom w:val="0"/>
      <w:divBdr>
        <w:top w:val="none" w:sz="0" w:space="0" w:color="auto"/>
        <w:left w:val="none" w:sz="0" w:space="0" w:color="auto"/>
        <w:bottom w:val="none" w:sz="0" w:space="0" w:color="auto"/>
        <w:right w:val="none" w:sz="0" w:space="0" w:color="auto"/>
      </w:divBdr>
    </w:div>
    <w:div w:id="80489093">
      <w:marLeft w:val="0"/>
      <w:marRight w:val="0"/>
      <w:marTop w:val="0"/>
      <w:marBottom w:val="0"/>
      <w:divBdr>
        <w:top w:val="none" w:sz="0" w:space="0" w:color="auto"/>
        <w:left w:val="none" w:sz="0" w:space="0" w:color="auto"/>
        <w:bottom w:val="none" w:sz="0" w:space="0" w:color="auto"/>
        <w:right w:val="none" w:sz="0" w:space="0" w:color="auto"/>
      </w:divBdr>
    </w:div>
    <w:div w:id="100533589">
      <w:marLeft w:val="0"/>
      <w:marRight w:val="0"/>
      <w:marTop w:val="0"/>
      <w:marBottom w:val="0"/>
      <w:divBdr>
        <w:top w:val="none" w:sz="0" w:space="0" w:color="auto"/>
        <w:left w:val="none" w:sz="0" w:space="0" w:color="auto"/>
        <w:bottom w:val="none" w:sz="0" w:space="0" w:color="auto"/>
        <w:right w:val="none" w:sz="0" w:space="0" w:color="auto"/>
      </w:divBdr>
    </w:div>
    <w:div w:id="123040947">
      <w:marLeft w:val="0"/>
      <w:marRight w:val="0"/>
      <w:marTop w:val="0"/>
      <w:marBottom w:val="0"/>
      <w:divBdr>
        <w:top w:val="none" w:sz="0" w:space="0" w:color="auto"/>
        <w:left w:val="none" w:sz="0" w:space="0" w:color="auto"/>
        <w:bottom w:val="none" w:sz="0" w:space="0" w:color="auto"/>
        <w:right w:val="none" w:sz="0" w:space="0" w:color="auto"/>
      </w:divBdr>
    </w:div>
    <w:div w:id="132871452">
      <w:marLeft w:val="0"/>
      <w:marRight w:val="0"/>
      <w:marTop w:val="0"/>
      <w:marBottom w:val="0"/>
      <w:divBdr>
        <w:top w:val="none" w:sz="0" w:space="0" w:color="auto"/>
        <w:left w:val="none" w:sz="0" w:space="0" w:color="auto"/>
        <w:bottom w:val="none" w:sz="0" w:space="0" w:color="auto"/>
        <w:right w:val="none" w:sz="0" w:space="0" w:color="auto"/>
      </w:divBdr>
    </w:div>
    <w:div w:id="136337338">
      <w:marLeft w:val="0"/>
      <w:marRight w:val="0"/>
      <w:marTop w:val="0"/>
      <w:marBottom w:val="0"/>
      <w:divBdr>
        <w:top w:val="none" w:sz="0" w:space="0" w:color="auto"/>
        <w:left w:val="none" w:sz="0" w:space="0" w:color="auto"/>
        <w:bottom w:val="none" w:sz="0" w:space="0" w:color="auto"/>
        <w:right w:val="none" w:sz="0" w:space="0" w:color="auto"/>
      </w:divBdr>
      <w:divsChild>
        <w:div w:id="848637288">
          <w:marLeft w:val="0"/>
          <w:marRight w:val="0"/>
          <w:marTop w:val="0"/>
          <w:marBottom w:val="0"/>
          <w:divBdr>
            <w:top w:val="none" w:sz="0" w:space="0" w:color="auto"/>
            <w:left w:val="none" w:sz="0" w:space="0" w:color="auto"/>
            <w:bottom w:val="none" w:sz="0" w:space="0" w:color="auto"/>
            <w:right w:val="none" w:sz="0" w:space="0" w:color="auto"/>
          </w:divBdr>
        </w:div>
      </w:divsChild>
    </w:div>
    <w:div w:id="140117439">
      <w:marLeft w:val="0"/>
      <w:marRight w:val="0"/>
      <w:marTop w:val="0"/>
      <w:marBottom w:val="0"/>
      <w:divBdr>
        <w:top w:val="none" w:sz="0" w:space="0" w:color="auto"/>
        <w:left w:val="none" w:sz="0" w:space="0" w:color="auto"/>
        <w:bottom w:val="none" w:sz="0" w:space="0" w:color="auto"/>
        <w:right w:val="none" w:sz="0" w:space="0" w:color="auto"/>
      </w:divBdr>
    </w:div>
    <w:div w:id="150677688">
      <w:marLeft w:val="0"/>
      <w:marRight w:val="0"/>
      <w:marTop w:val="0"/>
      <w:marBottom w:val="0"/>
      <w:divBdr>
        <w:top w:val="none" w:sz="0" w:space="0" w:color="auto"/>
        <w:left w:val="none" w:sz="0" w:space="0" w:color="auto"/>
        <w:bottom w:val="none" w:sz="0" w:space="0" w:color="auto"/>
        <w:right w:val="none" w:sz="0" w:space="0" w:color="auto"/>
      </w:divBdr>
    </w:div>
    <w:div w:id="161893854">
      <w:marLeft w:val="0"/>
      <w:marRight w:val="0"/>
      <w:marTop w:val="0"/>
      <w:marBottom w:val="0"/>
      <w:divBdr>
        <w:top w:val="none" w:sz="0" w:space="0" w:color="auto"/>
        <w:left w:val="none" w:sz="0" w:space="0" w:color="auto"/>
        <w:bottom w:val="none" w:sz="0" w:space="0" w:color="auto"/>
        <w:right w:val="none" w:sz="0" w:space="0" w:color="auto"/>
      </w:divBdr>
    </w:div>
    <w:div w:id="166797600">
      <w:marLeft w:val="0"/>
      <w:marRight w:val="0"/>
      <w:marTop w:val="0"/>
      <w:marBottom w:val="0"/>
      <w:divBdr>
        <w:top w:val="none" w:sz="0" w:space="0" w:color="auto"/>
        <w:left w:val="none" w:sz="0" w:space="0" w:color="auto"/>
        <w:bottom w:val="none" w:sz="0" w:space="0" w:color="auto"/>
        <w:right w:val="none" w:sz="0" w:space="0" w:color="auto"/>
      </w:divBdr>
      <w:divsChild>
        <w:div w:id="362754061">
          <w:marLeft w:val="0"/>
          <w:marRight w:val="0"/>
          <w:marTop w:val="0"/>
          <w:marBottom w:val="0"/>
          <w:divBdr>
            <w:top w:val="none" w:sz="0" w:space="0" w:color="auto"/>
            <w:left w:val="none" w:sz="0" w:space="0" w:color="auto"/>
            <w:bottom w:val="none" w:sz="0" w:space="0" w:color="auto"/>
            <w:right w:val="none" w:sz="0" w:space="0" w:color="auto"/>
          </w:divBdr>
        </w:div>
      </w:divsChild>
    </w:div>
    <w:div w:id="180510358">
      <w:marLeft w:val="0"/>
      <w:marRight w:val="0"/>
      <w:marTop w:val="0"/>
      <w:marBottom w:val="240"/>
      <w:divBdr>
        <w:top w:val="none" w:sz="0" w:space="0" w:color="auto"/>
        <w:left w:val="none" w:sz="0" w:space="0" w:color="auto"/>
        <w:bottom w:val="none" w:sz="0" w:space="0" w:color="auto"/>
        <w:right w:val="none" w:sz="0" w:space="0" w:color="auto"/>
      </w:divBdr>
    </w:div>
    <w:div w:id="201594078">
      <w:marLeft w:val="0"/>
      <w:marRight w:val="0"/>
      <w:marTop w:val="20"/>
      <w:marBottom w:val="0"/>
      <w:divBdr>
        <w:top w:val="none" w:sz="0" w:space="0" w:color="auto"/>
        <w:left w:val="none" w:sz="0" w:space="0" w:color="auto"/>
        <w:bottom w:val="none" w:sz="0" w:space="0" w:color="auto"/>
        <w:right w:val="none" w:sz="0" w:space="0" w:color="auto"/>
      </w:divBdr>
    </w:div>
    <w:div w:id="205261111">
      <w:marLeft w:val="0"/>
      <w:marRight w:val="0"/>
      <w:marTop w:val="0"/>
      <w:marBottom w:val="0"/>
      <w:divBdr>
        <w:top w:val="none" w:sz="0" w:space="0" w:color="auto"/>
        <w:left w:val="none" w:sz="0" w:space="0" w:color="auto"/>
        <w:bottom w:val="none" w:sz="0" w:space="0" w:color="auto"/>
        <w:right w:val="none" w:sz="0" w:space="0" w:color="auto"/>
      </w:divBdr>
    </w:div>
    <w:div w:id="215550270">
      <w:marLeft w:val="0"/>
      <w:marRight w:val="0"/>
      <w:marTop w:val="0"/>
      <w:marBottom w:val="60"/>
      <w:divBdr>
        <w:top w:val="none" w:sz="0" w:space="0" w:color="auto"/>
        <w:left w:val="none" w:sz="0" w:space="0" w:color="auto"/>
        <w:bottom w:val="none" w:sz="0" w:space="0" w:color="auto"/>
        <w:right w:val="none" w:sz="0" w:space="0" w:color="auto"/>
      </w:divBdr>
    </w:div>
    <w:div w:id="216670481">
      <w:marLeft w:val="0"/>
      <w:marRight w:val="0"/>
      <w:marTop w:val="0"/>
      <w:marBottom w:val="0"/>
      <w:divBdr>
        <w:top w:val="none" w:sz="0" w:space="0" w:color="auto"/>
        <w:left w:val="none" w:sz="0" w:space="0" w:color="auto"/>
        <w:bottom w:val="none" w:sz="0" w:space="0" w:color="auto"/>
        <w:right w:val="none" w:sz="0" w:space="0" w:color="auto"/>
      </w:divBdr>
    </w:div>
    <w:div w:id="225575533">
      <w:marLeft w:val="0"/>
      <w:marRight w:val="0"/>
      <w:marTop w:val="0"/>
      <w:marBottom w:val="0"/>
      <w:divBdr>
        <w:top w:val="none" w:sz="0" w:space="0" w:color="auto"/>
        <w:left w:val="none" w:sz="0" w:space="0" w:color="auto"/>
        <w:bottom w:val="none" w:sz="0" w:space="0" w:color="auto"/>
        <w:right w:val="none" w:sz="0" w:space="0" w:color="auto"/>
      </w:divBdr>
      <w:divsChild>
        <w:div w:id="778139026">
          <w:marLeft w:val="0"/>
          <w:marRight w:val="0"/>
          <w:marTop w:val="0"/>
          <w:marBottom w:val="0"/>
          <w:divBdr>
            <w:top w:val="none" w:sz="0" w:space="0" w:color="auto"/>
            <w:left w:val="none" w:sz="0" w:space="0" w:color="auto"/>
            <w:bottom w:val="none" w:sz="0" w:space="0" w:color="auto"/>
            <w:right w:val="none" w:sz="0" w:space="0" w:color="auto"/>
          </w:divBdr>
        </w:div>
      </w:divsChild>
    </w:div>
    <w:div w:id="236983549">
      <w:marLeft w:val="0"/>
      <w:marRight w:val="0"/>
      <w:marTop w:val="0"/>
      <w:marBottom w:val="0"/>
      <w:divBdr>
        <w:top w:val="none" w:sz="0" w:space="0" w:color="auto"/>
        <w:left w:val="none" w:sz="0" w:space="0" w:color="auto"/>
        <w:bottom w:val="none" w:sz="0" w:space="0" w:color="auto"/>
        <w:right w:val="none" w:sz="0" w:space="0" w:color="auto"/>
      </w:divBdr>
    </w:div>
    <w:div w:id="237253014">
      <w:marLeft w:val="0"/>
      <w:marRight w:val="0"/>
      <w:marTop w:val="0"/>
      <w:marBottom w:val="120"/>
      <w:divBdr>
        <w:top w:val="none" w:sz="0" w:space="0" w:color="auto"/>
        <w:left w:val="none" w:sz="0" w:space="0" w:color="auto"/>
        <w:bottom w:val="none" w:sz="0" w:space="0" w:color="auto"/>
        <w:right w:val="none" w:sz="0" w:space="0" w:color="auto"/>
      </w:divBdr>
    </w:div>
    <w:div w:id="279380698">
      <w:marLeft w:val="0"/>
      <w:marRight w:val="0"/>
      <w:marTop w:val="0"/>
      <w:marBottom w:val="0"/>
      <w:divBdr>
        <w:top w:val="none" w:sz="0" w:space="0" w:color="auto"/>
        <w:left w:val="none" w:sz="0" w:space="0" w:color="auto"/>
        <w:bottom w:val="none" w:sz="0" w:space="0" w:color="auto"/>
        <w:right w:val="none" w:sz="0" w:space="0" w:color="auto"/>
      </w:divBdr>
    </w:div>
    <w:div w:id="291328038">
      <w:marLeft w:val="0"/>
      <w:marRight w:val="0"/>
      <w:marTop w:val="0"/>
      <w:marBottom w:val="0"/>
      <w:divBdr>
        <w:top w:val="none" w:sz="0" w:space="0" w:color="auto"/>
        <w:left w:val="none" w:sz="0" w:space="0" w:color="auto"/>
        <w:bottom w:val="none" w:sz="0" w:space="0" w:color="auto"/>
        <w:right w:val="none" w:sz="0" w:space="0" w:color="auto"/>
      </w:divBdr>
    </w:div>
    <w:div w:id="292443688">
      <w:marLeft w:val="0"/>
      <w:marRight w:val="0"/>
      <w:marTop w:val="0"/>
      <w:marBottom w:val="0"/>
      <w:divBdr>
        <w:top w:val="none" w:sz="0" w:space="0" w:color="auto"/>
        <w:left w:val="none" w:sz="0" w:space="0" w:color="auto"/>
        <w:bottom w:val="none" w:sz="0" w:space="0" w:color="auto"/>
        <w:right w:val="none" w:sz="0" w:space="0" w:color="auto"/>
      </w:divBdr>
    </w:div>
    <w:div w:id="301615085">
      <w:marLeft w:val="0"/>
      <w:marRight w:val="0"/>
      <w:marTop w:val="0"/>
      <w:marBottom w:val="60"/>
      <w:divBdr>
        <w:top w:val="none" w:sz="0" w:space="0" w:color="auto"/>
        <w:left w:val="none" w:sz="0" w:space="0" w:color="auto"/>
        <w:bottom w:val="none" w:sz="0" w:space="0" w:color="auto"/>
        <w:right w:val="none" w:sz="0" w:space="0" w:color="auto"/>
      </w:divBdr>
    </w:div>
    <w:div w:id="308365401">
      <w:marLeft w:val="0"/>
      <w:marRight w:val="0"/>
      <w:marTop w:val="0"/>
      <w:marBottom w:val="0"/>
      <w:divBdr>
        <w:top w:val="none" w:sz="0" w:space="0" w:color="auto"/>
        <w:left w:val="none" w:sz="0" w:space="0" w:color="auto"/>
        <w:bottom w:val="none" w:sz="0" w:space="0" w:color="auto"/>
        <w:right w:val="none" w:sz="0" w:space="0" w:color="auto"/>
      </w:divBdr>
    </w:div>
    <w:div w:id="316765732">
      <w:marLeft w:val="0"/>
      <w:marRight w:val="0"/>
      <w:marTop w:val="0"/>
      <w:marBottom w:val="0"/>
      <w:divBdr>
        <w:top w:val="none" w:sz="0" w:space="0" w:color="auto"/>
        <w:left w:val="none" w:sz="0" w:space="0" w:color="auto"/>
        <w:bottom w:val="none" w:sz="0" w:space="0" w:color="auto"/>
        <w:right w:val="none" w:sz="0" w:space="0" w:color="auto"/>
      </w:divBdr>
    </w:div>
    <w:div w:id="318929332">
      <w:marLeft w:val="0"/>
      <w:marRight w:val="0"/>
      <w:marTop w:val="0"/>
      <w:marBottom w:val="0"/>
      <w:divBdr>
        <w:top w:val="none" w:sz="0" w:space="0" w:color="auto"/>
        <w:left w:val="none" w:sz="0" w:space="0" w:color="auto"/>
        <w:bottom w:val="none" w:sz="0" w:space="0" w:color="auto"/>
        <w:right w:val="none" w:sz="0" w:space="0" w:color="auto"/>
      </w:divBdr>
    </w:div>
    <w:div w:id="319192383">
      <w:marLeft w:val="0"/>
      <w:marRight w:val="0"/>
      <w:marTop w:val="0"/>
      <w:marBottom w:val="60"/>
      <w:divBdr>
        <w:top w:val="none" w:sz="0" w:space="0" w:color="auto"/>
        <w:left w:val="none" w:sz="0" w:space="0" w:color="auto"/>
        <w:bottom w:val="none" w:sz="0" w:space="0" w:color="auto"/>
        <w:right w:val="none" w:sz="0" w:space="0" w:color="auto"/>
      </w:divBdr>
    </w:div>
    <w:div w:id="330910785">
      <w:marLeft w:val="0"/>
      <w:marRight w:val="0"/>
      <w:marTop w:val="160"/>
      <w:marBottom w:val="0"/>
      <w:divBdr>
        <w:top w:val="none" w:sz="0" w:space="0" w:color="auto"/>
        <w:left w:val="none" w:sz="0" w:space="0" w:color="auto"/>
        <w:bottom w:val="none" w:sz="0" w:space="0" w:color="auto"/>
        <w:right w:val="none" w:sz="0" w:space="0" w:color="auto"/>
      </w:divBdr>
    </w:div>
    <w:div w:id="334303606">
      <w:marLeft w:val="0"/>
      <w:marRight w:val="0"/>
      <w:marTop w:val="0"/>
      <w:marBottom w:val="0"/>
      <w:divBdr>
        <w:top w:val="none" w:sz="0" w:space="0" w:color="auto"/>
        <w:left w:val="none" w:sz="0" w:space="0" w:color="auto"/>
        <w:bottom w:val="none" w:sz="0" w:space="0" w:color="auto"/>
        <w:right w:val="none" w:sz="0" w:space="0" w:color="auto"/>
      </w:divBdr>
    </w:div>
    <w:div w:id="346713656">
      <w:marLeft w:val="0"/>
      <w:marRight w:val="0"/>
      <w:marTop w:val="100"/>
      <w:marBottom w:val="0"/>
      <w:divBdr>
        <w:top w:val="none" w:sz="0" w:space="0" w:color="auto"/>
        <w:left w:val="none" w:sz="0" w:space="0" w:color="auto"/>
        <w:bottom w:val="none" w:sz="0" w:space="0" w:color="auto"/>
        <w:right w:val="none" w:sz="0" w:space="0" w:color="auto"/>
      </w:divBdr>
    </w:div>
    <w:div w:id="356350698">
      <w:marLeft w:val="0"/>
      <w:marRight w:val="0"/>
      <w:marTop w:val="0"/>
      <w:marBottom w:val="0"/>
      <w:divBdr>
        <w:top w:val="none" w:sz="0" w:space="0" w:color="auto"/>
        <w:left w:val="none" w:sz="0" w:space="0" w:color="auto"/>
        <w:bottom w:val="none" w:sz="0" w:space="0" w:color="auto"/>
        <w:right w:val="none" w:sz="0" w:space="0" w:color="auto"/>
      </w:divBdr>
    </w:div>
    <w:div w:id="360785797">
      <w:marLeft w:val="0"/>
      <w:marRight w:val="0"/>
      <w:marTop w:val="0"/>
      <w:marBottom w:val="0"/>
      <w:divBdr>
        <w:top w:val="none" w:sz="0" w:space="0" w:color="auto"/>
        <w:left w:val="none" w:sz="0" w:space="0" w:color="auto"/>
        <w:bottom w:val="none" w:sz="0" w:space="0" w:color="auto"/>
        <w:right w:val="none" w:sz="0" w:space="0" w:color="auto"/>
      </w:divBdr>
      <w:divsChild>
        <w:div w:id="1194922403">
          <w:marLeft w:val="0"/>
          <w:marRight w:val="0"/>
          <w:marTop w:val="160"/>
          <w:marBottom w:val="160"/>
          <w:divBdr>
            <w:top w:val="none" w:sz="0" w:space="0" w:color="auto"/>
            <w:left w:val="none" w:sz="0" w:space="0" w:color="auto"/>
            <w:bottom w:val="none" w:sz="0" w:space="0" w:color="auto"/>
            <w:right w:val="none" w:sz="0" w:space="0" w:color="auto"/>
          </w:divBdr>
        </w:div>
      </w:divsChild>
    </w:div>
    <w:div w:id="363135251">
      <w:marLeft w:val="0"/>
      <w:marRight w:val="0"/>
      <w:marTop w:val="100"/>
      <w:marBottom w:val="0"/>
      <w:divBdr>
        <w:top w:val="none" w:sz="0" w:space="0" w:color="auto"/>
        <w:left w:val="none" w:sz="0" w:space="0" w:color="auto"/>
        <w:bottom w:val="none" w:sz="0" w:space="0" w:color="auto"/>
        <w:right w:val="none" w:sz="0" w:space="0" w:color="auto"/>
      </w:divBdr>
      <w:divsChild>
        <w:div w:id="1190797890">
          <w:marLeft w:val="0"/>
          <w:marRight w:val="0"/>
          <w:marTop w:val="0"/>
          <w:marBottom w:val="0"/>
          <w:divBdr>
            <w:top w:val="none" w:sz="0" w:space="0" w:color="auto"/>
            <w:left w:val="none" w:sz="0" w:space="0" w:color="auto"/>
            <w:bottom w:val="none" w:sz="0" w:space="0" w:color="auto"/>
            <w:right w:val="none" w:sz="0" w:space="0" w:color="auto"/>
          </w:divBdr>
        </w:div>
        <w:div w:id="1407805294">
          <w:marLeft w:val="0"/>
          <w:marRight w:val="0"/>
          <w:marTop w:val="0"/>
          <w:marBottom w:val="0"/>
          <w:divBdr>
            <w:top w:val="none" w:sz="0" w:space="0" w:color="auto"/>
            <w:left w:val="none" w:sz="0" w:space="0" w:color="auto"/>
            <w:bottom w:val="none" w:sz="0" w:space="0" w:color="auto"/>
            <w:right w:val="none" w:sz="0" w:space="0" w:color="auto"/>
          </w:divBdr>
        </w:div>
      </w:divsChild>
    </w:div>
    <w:div w:id="366301387">
      <w:marLeft w:val="0"/>
      <w:marRight w:val="0"/>
      <w:marTop w:val="0"/>
      <w:marBottom w:val="0"/>
      <w:divBdr>
        <w:top w:val="none" w:sz="0" w:space="0" w:color="auto"/>
        <w:left w:val="none" w:sz="0" w:space="0" w:color="auto"/>
        <w:bottom w:val="none" w:sz="0" w:space="0" w:color="auto"/>
        <w:right w:val="none" w:sz="0" w:space="0" w:color="auto"/>
      </w:divBdr>
      <w:divsChild>
        <w:div w:id="350112837">
          <w:marLeft w:val="0"/>
          <w:marRight w:val="0"/>
          <w:marTop w:val="0"/>
          <w:marBottom w:val="0"/>
          <w:divBdr>
            <w:top w:val="none" w:sz="0" w:space="0" w:color="auto"/>
            <w:left w:val="none" w:sz="0" w:space="0" w:color="auto"/>
            <w:bottom w:val="none" w:sz="0" w:space="0" w:color="auto"/>
            <w:right w:val="none" w:sz="0" w:space="0" w:color="auto"/>
          </w:divBdr>
        </w:div>
      </w:divsChild>
    </w:div>
    <w:div w:id="376976494">
      <w:marLeft w:val="0"/>
      <w:marRight w:val="0"/>
      <w:marTop w:val="0"/>
      <w:marBottom w:val="0"/>
      <w:divBdr>
        <w:top w:val="none" w:sz="0" w:space="0" w:color="auto"/>
        <w:left w:val="none" w:sz="0" w:space="0" w:color="auto"/>
        <w:bottom w:val="none" w:sz="0" w:space="0" w:color="auto"/>
        <w:right w:val="none" w:sz="0" w:space="0" w:color="auto"/>
      </w:divBdr>
    </w:div>
    <w:div w:id="384068517">
      <w:marLeft w:val="0"/>
      <w:marRight w:val="0"/>
      <w:marTop w:val="0"/>
      <w:marBottom w:val="0"/>
      <w:divBdr>
        <w:top w:val="none" w:sz="0" w:space="0" w:color="auto"/>
        <w:left w:val="none" w:sz="0" w:space="0" w:color="auto"/>
        <w:bottom w:val="none" w:sz="0" w:space="0" w:color="auto"/>
        <w:right w:val="none" w:sz="0" w:space="0" w:color="auto"/>
      </w:divBdr>
    </w:div>
    <w:div w:id="387267621">
      <w:marLeft w:val="0"/>
      <w:marRight w:val="0"/>
      <w:marTop w:val="100"/>
      <w:marBottom w:val="0"/>
      <w:divBdr>
        <w:top w:val="none" w:sz="0" w:space="0" w:color="auto"/>
        <w:left w:val="none" w:sz="0" w:space="0" w:color="auto"/>
        <w:bottom w:val="none" w:sz="0" w:space="0" w:color="auto"/>
        <w:right w:val="none" w:sz="0" w:space="0" w:color="auto"/>
      </w:divBdr>
    </w:div>
    <w:div w:id="398359965">
      <w:marLeft w:val="0"/>
      <w:marRight w:val="0"/>
      <w:marTop w:val="0"/>
      <w:marBottom w:val="0"/>
      <w:divBdr>
        <w:top w:val="none" w:sz="0" w:space="0" w:color="auto"/>
        <w:left w:val="none" w:sz="0" w:space="0" w:color="auto"/>
        <w:bottom w:val="none" w:sz="0" w:space="0" w:color="auto"/>
        <w:right w:val="none" w:sz="0" w:space="0" w:color="auto"/>
      </w:divBdr>
    </w:div>
    <w:div w:id="407045378">
      <w:marLeft w:val="0"/>
      <w:marRight w:val="0"/>
      <w:marTop w:val="0"/>
      <w:marBottom w:val="0"/>
      <w:divBdr>
        <w:top w:val="none" w:sz="0" w:space="0" w:color="auto"/>
        <w:left w:val="none" w:sz="0" w:space="0" w:color="auto"/>
        <w:bottom w:val="none" w:sz="0" w:space="0" w:color="auto"/>
        <w:right w:val="none" w:sz="0" w:space="0" w:color="auto"/>
      </w:divBdr>
    </w:div>
    <w:div w:id="421688303">
      <w:marLeft w:val="0"/>
      <w:marRight w:val="0"/>
      <w:marTop w:val="0"/>
      <w:marBottom w:val="100"/>
      <w:divBdr>
        <w:top w:val="none" w:sz="0" w:space="0" w:color="auto"/>
        <w:left w:val="none" w:sz="0" w:space="0" w:color="auto"/>
        <w:bottom w:val="none" w:sz="0" w:space="0" w:color="auto"/>
        <w:right w:val="none" w:sz="0" w:space="0" w:color="auto"/>
      </w:divBdr>
    </w:div>
    <w:div w:id="425350579">
      <w:marLeft w:val="0"/>
      <w:marRight w:val="0"/>
      <w:marTop w:val="0"/>
      <w:marBottom w:val="0"/>
      <w:divBdr>
        <w:top w:val="none" w:sz="0" w:space="0" w:color="auto"/>
        <w:left w:val="none" w:sz="0" w:space="0" w:color="auto"/>
        <w:bottom w:val="none" w:sz="0" w:space="0" w:color="auto"/>
        <w:right w:val="none" w:sz="0" w:space="0" w:color="auto"/>
      </w:divBdr>
    </w:div>
    <w:div w:id="427700789">
      <w:marLeft w:val="0"/>
      <w:marRight w:val="0"/>
      <w:marTop w:val="0"/>
      <w:marBottom w:val="0"/>
      <w:divBdr>
        <w:top w:val="none" w:sz="0" w:space="0" w:color="auto"/>
        <w:left w:val="none" w:sz="0" w:space="0" w:color="auto"/>
        <w:bottom w:val="none" w:sz="0" w:space="0" w:color="auto"/>
        <w:right w:val="none" w:sz="0" w:space="0" w:color="auto"/>
      </w:divBdr>
    </w:div>
    <w:div w:id="439954518">
      <w:marLeft w:val="0"/>
      <w:marRight w:val="0"/>
      <w:marTop w:val="0"/>
      <w:marBottom w:val="0"/>
      <w:divBdr>
        <w:top w:val="none" w:sz="0" w:space="0" w:color="auto"/>
        <w:left w:val="none" w:sz="0" w:space="0" w:color="auto"/>
        <w:bottom w:val="none" w:sz="0" w:space="0" w:color="auto"/>
        <w:right w:val="none" w:sz="0" w:space="0" w:color="auto"/>
      </w:divBdr>
    </w:div>
    <w:div w:id="444540304">
      <w:marLeft w:val="0"/>
      <w:marRight w:val="0"/>
      <w:marTop w:val="0"/>
      <w:marBottom w:val="0"/>
      <w:divBdr>
        <w:top w:val="none" w:sz="0" w:space="0" w:color="auto"/>
        <w:left w:val="none" w:sz="0" w:space="0" w:color="auto"/>
        <w:bottom w:val="none" w:sz="0" w:space="0" w:color="auto"/>
        <w:right w:val="none" w:sz="0" w:space="0" w:color="auto"/>
      </w:divBdr>
    </w:div>
    <w:div w:id="447503724">
      <w:marLeft w:val="0"/>
      <w:marRight w:val="0"/>
      <w:marTop w:val="0"/>
      <w:marBottom w:val="0"/>
      <w:divBdr>
        <w:top w:val="none" w:sz="0" w:space="0" w:color="auto"/>
        <w:left w:val="none" w:sz="0" w:space="0" w:color="auto"/>
        <w:bottom w:val="none" w:sz="0" w:space="0" w:color="auto"/>
        <w:right w:val="none" w:sz="0" w:space="0" w:color="auto"/>
      </w:divBdr>
      <w:divsChild>
        <w:div w:id="1888103554">
          <w:marLeft w:val="0"/>
          <w:marRight w:val="0"/>
          <w:marTop w:val="0"/>
          <w:marBottom w:val="0"/>
          <w:divBdr>
            <w:top w:val="none" w:sz="0" w:space="0" w:color="auto"/>
            <w:left w:val="none" w:sz="0" w:space="0" w:color="auto"/>
            <w:bottom w:val="none" w:sz="0" w:space="0" w:color="auto"/>
            <w:right w:val="none" w:sz="0" w:space="0" w:color="auto"/>
          </w:divBdr>
        </w:div>
      </w:divsChild>
    </w:div>
    <w:div w:id="447697737">
      <w:marLeft w:val="0"/>
      <w:marRight w:val="0"/>
      <w:marTop w:val="0"/>
      <w:marBottom w:val="0"/>
      <w:divBdr>
        <w:top w:val="none" w:sz="0" w:space="0" w:color="auto"/>
        <w:left w:val="none" w:sz="0" w:space="0" w:color="auto"/>
        <w:bottom w:val="none" w:sz="0" w:space="0" w:color="auto"/>
        <w:right w:val="none" w:sz="0" w:space="0" w:color="auto"/>
      </w:divBdr>
      <w:divsChild>
        <w:div w:id="1795129290">
          <w:marLeft w:val="0"/>
          <w:marRight w:val="0"/>
          <w:marTop w:val="0"/>
          <w:marBottom w:val="0"/>
          <w:divBdr>
            <w:top w:val="none" w:sz="0" w:space="0" w:color="auto"/>
            <w:left w:val="none" w:sz="0" w:space="0" w:color="auto"/>
            <w:bottom w:val="none" w:sz="0" w:space="0" w:color="auto"/>
            <w:right w:val="none" w:sz="0" w:space="0" w:color="auto"/>
          </w:divBdr>
        </w:div>
      </w:divsChild>
    </w:div>
    <w:div w:id="447701615">
      <w:marLeft w:val="0"/>
      <w:marRight w:val="0"/>
      <w:marTop w:val="0"/>
      <w:marBottom w:val="0"/>
      <w:divBdr>
        <w:top w:val="none" w:sz="0" w:space="0" w:color="auto"/>
        <w:left w:val="none" w:sz="0" w:space="0" w:color="auto"/>
        <w:bottom w:val="none" w:sz="0" w:space="0" w:color="auto"/>
        <w:right w:val="none" w:sz="0" w:space="0" w:color="auto"/>
      </w:divBdr>
    </w:div>
    <w:div w:id="454256841">
      <w:marLeft w:val="0"/>
      <w:marRight w:val="0"/>
      <w:marTop w:val="0"/>
      <w:marBottom w:val="0"/>
      <w:divBdr>
        <w:top w:val="none" w:sz="0" w:space="0" w:color="auto"/>
        <w:left w:val="none" w:sz="0" w:space="0" w:color="auto"/>
        <w:bottom w:val="none" w:sz="0" w:space="0" w:color="auto"/>
        <w:right w:val="none" w:sz="0" w:space="0" w:color="auto"/>
      </w:divBdr>
      <w:divsChild>
        <w:div w:id="408428697">
          <w:marLeft w:val="0"/>
          <w:marRight w:val="0"/>
          <w:marTop w:val="160"/>
          <w:marBottom w:val="160"/>
          <w:divBdr>
            <w:top w:val="none" w:sz="0" w:space="0" w:color="auto"/>
            <w:left w:val="none" w:sz="0" w:space="0" w:color="auto"/>
            <w:bottom w:val="none" w:sz="0" w:space="0" w:color="auto"/>
            <w:right w:val="none" w:sz="0" w:space="0" w:color="auto"/>
          </w:divBdr>
        </w:div>
      </w:divsChild>
    </w:div>
    <w:div w:id="476992352">
      <w:marLeft w:val="0"/>
      <w:marRight w:val="0"/>
      <w:marTop w:val="0"/>
      <w:marBottom w:val="0"/>
      <w:divBdr>
        <w:top w:val="none" w:sz="0" w:space="0" w:color="auto"/>
        <w:left w:val="none" w:sz="0" w:space="0" w:color="auto"/>
        <w:bottom w:val="none" w:sz="0" w:space="0" w:color="auto"/>
        <w:right w:val="none" w:sz="0" w:space="0" w:color="auto"/>
      </w:divBdr>
    </w:div>
    <w:div w:id="486434223">
      <w:marLeft w:val="0"/>
      <w:marRight w:val="0"/>
      <w:marTop w:val="0"/>
      <w:marBottom w:val="0"/>
      <w:divBdr>
        <w:top w:val="none" w:sz="0" w:space="0" w:color="auto"/>
        <w:left w:val="none" w:sz="0" w:space="0" w:color="auto"/>
        <w:bottom w:val="none" w:sz="0" w:space="0" w:color="auto"/>
        <w:right w:val="none" w:sz="0" w:space="0" w:color="auto"/>
      </w:divBdr>
      <w:divsChild>
        <w:div w:id="176241075">
          <w:marLeft w:val="0"/>
          <w:marRight w:val="0"/>
          <w:marTop w:val="0"/>
          <w:marBottom w:val="0"/>
          <w:divBdr>
            <w:top w:val="none" w:sz="0" w:space="0" w:color="auto"/>
            <w:left w:val="none" w:sz="0" w:space="0" w:color="auto"/>
            <w:bottom w:val="none" w:sz="0" w:space="0" w:color="auto"/>
            <w:right w:val="none" w:sz="0" w:space="0" w:color="auto"/>
          </w:divBdr>
        </w:div>
      </w:divsChild>
    </w:div>
    <w:div w:id="493447636">
      <w:marLeft w:val="0"/>
      <w:marRight w:val="0"/>
      <w:marTop w:val="0"/>
      <w:marBottom w:val="0"/>
      <w:divBdr>
        <w:top w:val="none" w:sz="0" w:space="0" w:color="auto"/>
        <w:left w:val="none" w:sz="0" w:space="0" w:color="auto"/>
        <w:bottom w:val="none" w:sz="0" w:space="0" w:color="auto"/>
        <w:right w:val="none" w:sz="0" w:space="0" w:color="auto"/>
      </w:divBdr>
    </w:div>
    <w:div w:id="495923395">
      <w:marLeft w:val="0"/>
      <w:marRight w:val="0"/>
      <w:marTop w:val="0"/>
      <w:marBottom w:val="0"/>
      <w:divBdr>
        <w:top w:val="none" w:sz="0" w:space="0" w:color="auto"/>
        <w:left w:val="none" w:sz="0" w:space="0" w:color="auto"/>
        <w:bottom w:val="none" w:sz="0" w:space="0" w:color="auto"/>
        <w:right w:val="none" w:sz="0" w:space="0" w:color="auto"/>
      </w:divBdr>
    </w:div>
    <w:div w:id="500968919">
      <w:marLeft w:val="0"/>
      <w:marRight w:val="0"/>
      <w:marTop w:val="0"/>
      <w:marBottom w:val="0"/>
      <w:divBdr>
        <w:top w:val="none" w:sz="0" w:space="0" w:color="auto"/>
        <w:left w:val="none" w:sz="0" w:space="0" w:color="auto"/>
        <w:bottom w:val="none" w:sz="0" w:space="0" w:color="auto"/>
        <w:right w:val="none" w:sz="0" w:space="0" w:color="auto"/>
      </w:divBdr>
    </w:div>
    <w:div w:id="502820181">
      <w:marLeft w:val="0"/>
      <w:marRight w:val="0"/>
      <w:marTop w:val="160"/>
      <w:marBottom w:val="160"/>
      <w:divBdr>
        <w:top w:val="none" w:sz="0" w:space="0" w:color="auto"/>
        <w:left w:val="none" w:sz="0" w:space="0" w:color="auto"/>
        <w:bottom w:val="none" w:sz="0" w:space="0" w:color="auto"/>
        <w:right w:val="none" w:sz="0" w:space="0" w:color="auto"/>
      </w:divBdr>
    </w:div>
    <w:div w:id="504129292">
      <w:marLeft w:val="0"/>
      <w:marRight w:val="0"/>
      <w:marTop w:val="0"/>
      <w:marBottom w:val="0"/>
      <w:divBdr>
        <w:top w:val="none" w:sz="0" w:space="0" w:color="auto"/>
        <w:left w:val="none" w:sz="0" w:space="0" w:color="auto"/>
        <w:bottom w:val="none" w:sz="0" w:space="0" w:color="auto"/>
        <w:right w:val="none" w:sz="0" w:space="0" w:color="auto"/>
      </w:divBdr>
      <w:divsChild>
        <w:div w:id="839927537">
          <w:marLeft w:val="0"/>
          <w:marRight w:val="0"/>
          <w:marTop w:val="160"/>
          <w:marBottom w:val="160"/>
          <w:divBdr>
            <w:top w:val="none" w:sz="0" w:space="0" w:color="auto"/>
            <w:left w:val="none" w:sz="0" w:space="0" w:color="auto"/>
            <w:bottom w:val="none" w:sz="0" w:space="0" w:color="auto"/>
            <w:right w:val="none" w:sz="0" w:space="0" w:color="auto"/>
          </w:divBdr>
        </w:div>
      </w:divsChild>
    </w:div>
    <w:div w:id="509376229">
      <w:marLeft w:val="0"/>
      <w:marRight w:val="0"/>
      <w:marTop w:val="0"/>
      <w:marBottom w:val="0"/>
      <w:divBdr>
        <w:top w:val="none" w:sz="0" w:space="0" w:color="auto"/>
        <w:left w:val="none" w:sz="0" w:space="0" w:color="auto"/>
        <w:bottom w:val="none" w:sz="0" w:space="0" w:color="auto"/>
        <w:right w:val="none" w:sz="0" w:space="0" w:color="auto"/>
      </w:divBdr>
    </w:div>
    <w:div w:id="510491111">
      <w:marLeft w:val="0"/>
      <w:marRight w:val="0"/>
      <w:marTop w:val="0"/>
      <w:marBottom w:val="0"/>
      <w:divBdr>
        <w:top w:val="none" w:sz="0" w:space="0" w:color="auto"/>
        <w:left w:val="none" w:sz="0" w:space="0" w:color="auto"/>
        <w:bottom w:val="none" w:sz="0" w:space="0" w:color="auto"/>
        <w:right w:val="none" w:sz="0" w:space="0" w:color="auto"/>
      </w:divBdr>
    </w:div>
    <w:div w:id="527722602">
      <w:marLeft w:val="0"/>
      <w:marRight w:val="0"/>
      <w:marTop w:val="0"/>
      <w:marBottom w:val="0"/>
      <w:divBdr>
        <w:top w:val="none" w:sz="0" w:space="0" w:color="auto"/>
        <w:left w:val="none" w:sz="0" w:space="0" w:color="auto"/>
        <w:bottom w:val="none" w:sz="0" w:space="0" w:color="auto"/>
        <w:right w:val="none" w:sz="0" w:space="0" w:color="auto"/>
      </w:divBdr>
      <w:divsChild>
        <w:div w:id="326176092">
          <w:marLeft w:val="0"/>
          <w:marRight w:val="0"/>
          <w:marTop w:val="160"/>
          <w:marBottom w:val="160"/>
          <w:divBdr>
            <w:top w:val="none" w:sz="0" w:space="0" w:color="auto"/>
            <w:left w:val="none" w:sz="0" w:space="0" w:color="auto"/>
            <w:bottom w:val="none" w:sz="0" w:space="0" w:color="auto"/>
            <w:right w:val="none" w:sz="0" w:space="0" w:color="auto"/>
          </w:divBdr>
        </w:div>
      </w:divsChild>
    </w:div>
    <w:div w:id="543634978">
      <w:marLeft w:val="0"/>
      <w:marRight w:val="0"/>
      <w:marTop w:val="0"/>
      <w:marBottom w:val="0"/>
      <w:divBdr>
        <w:top w:val="none" w:sz="0" w:space="0" w:color="auto"/>
        <w:left w:val="none" w:sz="0" w:space="0" w:color="auto"/>
        <w:bottom w:val="none" w:sz="0" w:space="0" w:color="auto"/>
        <w:right w:val="none" w:sz="0" w:space="0" w:color="auto"/>
      </w:divBdr>
    </w:div>
    <w:div w:id="550112814">
      <w:marLeft w:val="0"/>
      <w:marRight w:val="0"/>
      <w:marTop w:val="100"/>
      <w:marBottom w:val="0"/>
      <w:divBdr>
        <w:top w:val="none" w:sz="0" w:space="0" w:color="auto"/>
        <w:left w:val="none" w:sz="0" w:space="0" w:color="auto"/>
        <w:bottom w:val="none" w:sz="0" w:space="0" w:color="auto"/>
        <w:right w:val="none" w:sz="0" w:space="0" w:color="auto"/>
      </w:divBdr>
      <w:divsChild>
        <w:div w:id="166940435">
          <w:marLeft w:val="0"/>
          <w:marRight w:val="0"/>
          <w:marTop w:val="0"/>
          <w:marBottom w:val="0"/>
          <w:divBdr>
            <w:top w:val="none" w:sz="0" w:space="0" w:color="auto"/>
            <w:left w:val="none" w:sz="0" w:space="0" w:color="auto"/>
            <w:bottom w:val="none" w:sz="0" w:space="0" w:color="auto"/>
            <w:right w:val="none" w:sz="0" w:space="0" w:color="auto"/>
          </w:divBdr>
        </w:div>
        <w:div w:id="453066267">
          <w:marLeft w:val="0"/>
          <w:marRight w:val="0"/>
          <w:marTop w:val="0"/>
          <w:marBottom w:val="0"/>
          <w:divBdr>
            <w:top w:val="none" w:sz="0" w:space="0" w:color="auto"/>
            <w:left w:val="none" w:sz="0" w:space="0" w:color="auto"/>
            <w:bottom w:val="none" w:sz="0" w:space="0" w:color="auto"/>
            <w:right w:val="none" w:sz="0" w:space="0" w:color="auto"/>
          </w:divBdr>
        </w:div>
        <w:div w:id="512426554">
          <w:marLeft w:val="0"/>
          <w:marRight w:val="0"/>
          <w:marTop w:val="0"/>
          <w:marBottom w:val="0"/>
          <w:divBdr>
            <w:top w:val="none" w:sz="0" w:space="0" w:color="auto"/>
            <w:left w:val="none" w:sz="0" w:space="0" w:color="auto"/>
            <w:bottom w:val="none" w:sz="0" w:space="0" w:color="auto"/>
            <w:right w:val="none" w:sz="0" w:space="0" w:color="auto"/>
          </w:divBdr>
        </w:div>
      </w:divsChild>
    </w:div>
    <w:div w:id="550850165">
      <w:marLeft w:val="0"/>
      <w:marRight w:val="0"/>
      <w:marTop w:val="0"/>
      <w:marBottom w:val="0"/>
      <w:divBdr>
        <w:top w:val="none" w:sz="0" w:space="0" w:color="auto"/>
        <w:left w:val="none" w:sz="0" w:space="0" w:color="auto"/>
        <w:bottom w:val="none" w:sz="0" w:space="0" w:color="auto"/>
        <w:right w:val="none" w:sz="0" w:space="0" w:color="auto"/>
      </w:divBdr>
      <w:divsChild>
        <w:div w:id="581723324">
          <w:marLeft w:val="0"/>
          <w:marRight w:val="0"/>
          <w:marTop w:val="0"/>
          <w:marBottom w:val="0"/>
          <w:divBdr>
            <w:top w:val="none" w:sz="0" w:space="0" w:color="auto"/>
            <w:left w:val="none" w:sz="0" w:space="0" w:color="auto"/>
            <w:bottom w:val="none" w:sz="0" w:space="0" w:color="auto"/>
            <w:right w:val="none" w:sz="0" w:space="0" w:color="auto"/>
          </w:divBdr>
        </w:div>
      </w:divsChild>
    </w:div>
    <w:div w:id="568614356">
      <w:marLeft w:val="0"/>
      <w:marRight w:val="0"/>
      <w:marTop w:val="0"/>
      <w:marBottom w:val="0"/>
      <w:divBdr>
        <w:top w:val="none" w:sz="0" w:space="0" w:color="auto"/>
        <w:left w:val="none" w:sz="0" w:space="0" w:color="auto"/>
        <w:bottom w:val="none" w:sz="0" w:space="0" w:color="auto"/>
        <w:right w:val="none" w:sz="0" w:space="0" w:color="auto"/>
      </w:divBdr>
      <w:divsChild>
        <w:div w:id="1415712196">
          <w:marLeft w:val="0"/>
          <w:marRight w:val="0"/>
          <w:marTop w:val="160"/>
          <w:marBottom w:val="160"/>
          <w:divBdr>
            <w:top w:val="none" w:sz="0" w:space="0" w:color="auto"/>
            <w:left w:val="none" w:sz="0" w:space="0" w:color="auto"/>
            <w:bottom w:val="none" w:sz="0" w:space="0" w:color="auto"/>
            <w:right w:val="none" w:sz="0" w:space="0" w:color="auto"/>
          </w:divBdr>
        </w:div>
      </w:divsChild>
    </w:div>
    <w:div w:id="571963459">
      <w:marLeft w:val="0"/>
      <w:marRight w:val="0"/>
      <w:marTop w:val="0"/>
      <w:marBottom w:val="0"/>
      <w:divBdr>
        <w:top w:val="none" w:sz="0" w:space="0" w:color="auto"/>
        <w:left w:val="none" w:sz="0" w:space="0" w:color="auto"/>
        <w:bottom w:val="none" w:sz="0" w:space="0" w:color="auto"/>
        <w:right w:val="none" w:sz="0" w:space="0" w:color="auto"/>
      </w:divBdr>
    </w:div>
    <w:div w:id="572812255">
      <w:marLeft w:val="0"/>
      <w:marRight w:val="0"/>
      <w:marTop w:val="0"/>
      <w:marBottom w:val="0"/>
      <w:divBdr>
        <w:top w:val="none" w:sz="0" w:space="0" w:color="auto"/>
        <w:left w:val="none" w:sz="0" w:space="0" w:color="auto"/>
        <w:bottom w:val="none" w:sz="0" w:space="0" w:color="auto"/>
        <w:right w:val="none" w:sz="0" w:space="0" w:color="auto"/>
      </w:divBdr>
      <w:divsChild>
        <w:div w:id="1456174182">
          <w:marLeft w:val="0"/>
          <w:marRight w:val="0"/>
          <w:marTop w:val="160"/>
          <w:marBottom w:val="160"/>
          <w:divBdr>
            <w:top w:val="none" w:sz="0" w:space="0" w:color="auto"/>
            <w:left w:val="none" w:sz="0" w:space="0" w:color="auto"/>
            <w:bottom w:val="none" w:sz="0" w:space="0" w:color="auto"/>
            <w:right w:val="none" w:sz="0" w:space="0" w:color="auto"/>
          </w:divBdr>
        </w:div>
      </w:divsChild>
    </w:div>
    <w:div w:id="580259552">
      <w:marLeft w:val="0"/>
      <w:marRight w:val="0"/>
      <w:marTop w:val="0"/>
      <w:marBottom w:val="0"/>
      <w:divBdr>
        <w:top w:val="none" w:sz="0" w:space="0" w:color="auto"/>
        <w:left w:val="none" w:sz="0" w:space="0" w:color="auto"/>
        <w:bottom w:val="none" w:sz="0" w:space="0" w:color="auto"/>
        <w:right w:val="none" w:sz="0" w:space="0" w:color="auto"/>
      </w:divBdr>
    </w:div>
    <w:div w:id="580988792">
      <w:marLeft w:val="0"/>
      <w:marRight w:val="0"/>
      <w:marTop w:val="0"/>
      <w:marBottom w:val="0"/>
      <w:divBdr>
        <w:top w:val="none" w:sz="0" w:space="0" w:color="auto"/>
        <w:left w:val="none" w:sz="0" w:space="0" w:color="auto"/>
        <w:bottom w:val="none" w:sz="0" w:space="0" w:color="auto"/>
        <w:right w:val="none" w:sz="0" w:space="0" w:color="auto"/>
      </w:divBdr>
    </w:div>
    <w:div w:id="591012655">
      <w:marLeft w:val="0"/>
      <w:marRight w:val="0"/>
      <w:marTop w:val="0"/>
      <w:marBottom w:val="0"/>
      <w:divBdr>
        <w:top w:val="none" w:sz="0" w:space="0" w:color="auto"/>
        <w:left w:val="none" w:sz="0" w:space="0" w:color="auto"/>
        <w:bottom w:val="none" w:sz="0" w:space="0" w:color="auto"/>
        <w:right w:val="none" w:sz="0" w:space="0" w:color="auto"/>
      </w:divBdr>
    </w:div>
    <w:div w:id="597520396">
      <w:marLeft w:val="0"/>
      <w:marRight w:val="0"/>
      <w:marTop w:val="0"/>
      <w:marBottom w:val="160"/>
      <w:divBdr>
        <w:top w:val="none" w:sz="0" w:space="0" w:color="auto"/>
        <w:left w:val="none" w:sz="0" w:space="0" w:color="auto"/>
        <w:bottom w:val="none" w:sz="0" w:space="0" w:color="auto"/>
        <w:right w:val="none" w:sz="0" w:space="0" w:color="auto"/>
      </w:divBdr>
    </w:div>
    <w:div w:id="606238103">
      <w:marLeft w:val="0"/>
      <w:marRight w:val="0"/>
      <w:marTop w:val="0"/>
      <w:marBottom w:val="0"/>
      <w:divBdr>
        <w:top w:val="none" w:sz="0" w:space="0" w:color="auto"/>
        <w:left w:val="none" w:sz="0" w:space="0" w:color="auto"/>
        <w:bottom w:val="none" w:sz="0" w:space="0" w:color="auto"/>
        <w:right w:val="none" w:sz="0" w:space="0" w:color="auto"/>
      </w:divBdr>
    </w:div>
    <w:div w:id="627518230">
      <w:marLeft w:val="0"/>
      <w:marRight w:val="0"/>
      <w:marTop w:val="0"/>
      <w:marBottom w:val="0"/>
      <w:divBdr>
        <w:top w:val="none" w:sz="0" w:space="0" w:color="auto"/>
        <w:left w:val="none" w:sz="0" w:space="0" w:color="auto"/>
        <w:bottom w:val="none" w:sz="0" w:space="0" w:color="auto"/>
        <w:right w:val="none" w:sz="0" w:space="0" w:color="auto"/>
      </w:divBdr>
    </w:div>
    <w:div w:id="639770155">
      <w:marLeft w:val="0"/>
      <w:marRight w:val="0"/>
      <w:marTop w:val="0"/>
      <w:marBottom w:val="0"/>
      <w:divBdr>
        <w:top w:val="none" w:sz="0" w:space="0" w:color="auto"/>
        <w:left w:val="none" w:sz="0" w:space="0" w:color="auto"/>
        <w:bottom w:val="none" w:sz="0" w:space="0" w:color="auto"/>
        <w:right w:val="none" w:sz="0" w:space="0" w:color="auto"/>
      </w:divBdr>
    </w:div>
    <w:div w:id="646782055">
      <w:marLeft w:val="0"/>
      <w:marRight w:val="0"/>
      <w:marTop w:val="0"/>
      <w:marBottom w:val="0"/>
      <w:divBdr>
        <w:top w:val="none" w:sz="0" w:space="0" w:color="auto"/>
        <w:left w:val="none" w:sz="0" w:space="0" w:color="auto"/>
        <w:bottom w:val="none" w:sz="0" w:space="0" w:color="auto"/>
        <w:right w:val="none" w:sz="0" w:space="0" w:color="auto"/>
      </w:divBdr>
    </w:div>
    <w:div w:id="651952203">
      <w:marLeft w:val="0"/>
      <w:marRight w:val="0"/>
      <w:marTop w:val="0"/>
      <w:marBottom w:val="0"/>
      <w:divBdr>
        <w:top w:val="none" w:sz="0" w:space="0" w:color="auto"/>
        <w:left w:val="none" w:sz="0" w:space="0" w:color="auto"/>
        <w:bottom w:val="none" w:sz="0" w:space="0" w:color="auto"/>
        <w:right w:val="none" w:sz="0" w:space="0" w:color="auto"/>
      </w:divBdr>
    </w:div>
    <w:div w:id="653485390">
      <w:marLeft w:val="0"/>
      <w:marRight w:val="0"/>
      <w:marTop w:val="0"/>
      <w:marBottom w:val="0"/>
      <w:divBdr>
        <w:top w:val="none" w:sz="0" w:space="0" w:color="auto"/>
        <w:left w:val="none" w:sz="0" w:space="0" w:color="auto"/>
        <w:bottom w:val="none" w:sz="0" w:space="0" w:color="auto"/>
        <w:right w:val="none" w:sz="0" w:space="0" w:color="auto"/>
      </w:divBdr>
      <w:divsChild>
        <w:div w:id="1379165058">
          <w:marLeft w:val="0"/>
          <w:marRight w:val="0"/>
          <w:marTop w:val="160"/>
          <w:marBottom w:val="160"/>
          <w:divBdr>
            <w:top w:val="none" w:sz="0" w:space="0" w:color="auto"/>
            <w:left w:val="none" w:sz="0" w:space="0" w:color="auto"/>
            <w:bottom w:val="none" w:sz="0" w:space="0" w:color="auto"/>
            <w:right w:val="none" w:sz="0" w:space="0" w:color="auto"/>
          </w:divBdr>
        </w:div>
      </w:divsChild>
    </w:div>
    <w:div w:id="675620352">
      <w:marLeft w:val="0"/>
      <w:marRight w:val="0"/>
      <w:marTop w:val="0"/>
      <w:marBottom w:val="0"/>
      <w:divBdr>
        <w:top w:val="none" w:sz="0" w:space="0" w:color="auto"/>
        <w:left w:val="none" w:sz="0" w:space="0" w:color="auto"/>
        <w:bottom w:val="none" w:sz="0" w:space="0" w:color="auto"/>
        <w:right w:val="none" w:sz="0" w:space="0" w:color="auto"/>
      </w:divBdr>
      <w:divsChild>
        <w:div w:id="1792891744">
          <w:marLeft w:val="0"/>
          <w:marRight w:val="0"/>
          <w:marTop w:val="0"/>
          <w:marBottom w:val="0"/>
          <w:divBdr>
            <w:top w:val="none" w:sz="0" w:space="0" w:color="auto"/>
            <w:left w:val="none" w:sz="0" w:space="0" w:color="auto"/>
            <w:bottom w:val="none" w:sz="0" w:space="0" w:color="auto"/>
            <w:right w:val="none" w:sz="0" w:space="0" w:color="auto"/>
          </w:divBdr>
        </w:div>
      </w:divsChild>
    </w:div>
    <w:div w:id="679312431">
      <w:marLeft w:val="0"/>
      <w:marRight w:val="0"/>
      <w:marTop w:val="0"/>
      <w:marBottom w:val="0"/>
      <w:divBdr>
        <w:top w:val="none" w:sz="0" w:space="0" w:color="auto"/>
        <w:left w:val="none" w:sz="0" w:space="0" w:color="auto"/>
        <w:bottom w:val="none" w:sz="0" w:space="0" w:color="auto"/>
        <w:right w:val="none" w:sz="0" w:space="0" w:color="auto"/>
      </w:divBdr>
    </w:div>
    <w:div w:id="687145275">
      <w:marLeft w:val="0"/>
      <w:marRight w:val="0"/>
      <w:marTop w:val="0"/>
      <w:marBottom w:val="0"/>
      <w:divBdr>
        <w:top w:val="none" w:sz="0" w:space="0" w:color="auto"/>
        <w:left w:val="none" w:sz="0" w:space="0" w:color="auto"/>
        <w:bottom w:val="none" w:sz="0" w:space="0" w:color="auto"/>
        <w:right w:val="none" w:sz="0" w:space="0" w:color="auto"/>
      </w:divBdr>
    </w:div>
    <w:div w:id="694577964">
      <w:marLeft w:val="0"/>
      <w:marRight w:val="0"/>
      <w:marTop w:val="0"/>
      <w:marBottom w:val="0"/>
      <w:divBdr>
        <w:top w:val="none" w:sz="0" w:space="0" w:color="auto"/>
        <w:left w:val="none" w:sz="0" w:space="0" w:color="auto"/>
        <w:bottom w:val="none" w:sz="0" w:space="0" w:color="auto"/>
        <w:right w:val="none" w:sz="0" w:space="0" w:color="auto"/>
      </w:divBdr>
      <w:divsChild>
        <w:div w:id="1184825889">
          <w:marLeft w:val="0"/>
          <w:marRight w:val="0"/>
          <w:marTop w:val="160"/>
          <w:marBottom w:val="160"/>
          <w:divBdr>
            <w:top w:val="none" w:sz="0" w:space="0" w:color="auto"/>
            <w:left w:val="none" w:sz="0" w:space="0" w:color="auto"/>
            <w:bottom w:val="none" w:sz="0" w:space="0" w:color="auto"/>
            <w:right w:val="none" w:sz="0" w:space="0" w:color="auto"/>
          </w:divBdr>
        </w:div>
      </w:divsChild>
    </w:div>
    <w:div w:id="714623433">
      <w:marLeft w:val="0"/>
      <w:marRight w:val="0"/>
      <w:marTop w:val="0"/>
      <w:marBottom w:val="0"/>
      <w:divBdr>
        <w:top w:val="none" w:sz="0" w:space="0" w:color="auto"/>
        <w:left w:val="none" w:sz="0" w:space="0" w:color="auto"/>
        <w:bottom w:val="none" w:sz="0" w:space="0" w:color="auto"/>
        <w:right w:val="none" w:sz="0" w:space="0" w:color="auto"/>
      </w:divBdr>
      <w:divsChild>
        <w:div w:id="233439940">
          <w:marLeft w:val="0"/>
          <w:marRight w:val="0"/>
          <w:marTop w:val="0"/>
          <w:marBottom w:val="0"/>
          <w:divBdr>
            <w:top w:val="none" w:sz="0" w:space="0" w:color="auto"/>
            <w:left w:val="none" w:sz="0" w:space="0" w:color="auto"/>
            <w:bottom w:val="none" w:sz="0" w:space="0" w:color="auto"/>
            <w:right w:val="none" w:sz="0" w:space="0" w:color="auto"/>
          </w:divBdr>
        </w:div>
      </w:divsChild>
    </w:div>
    <w:div w:id="715155189">
      <w:marLeft w:val="0"/>
      <w:marRight w:val="0"/>
      <w:marTop w:val="240"/>
      <w:marBottom w:val="160"/>
      <w:divBdr>
        <w:top w:val="none" w:sz="0" w:space="0" w:color="auto"/>
        <w:left w:val="none" w:sz="0" w:space="0" w:color="auto"/>
        <w:bottom w:val="none" w:sz="0" w:space="0" w:color="auto"/>
        <w:right w:val="none" w:sz="0" w:space="0" w:color="auto"/>
      </w:divBdr>
    </w:div>
    <w:div w:id="722412987">
      <w:marLeft w:val="0"/>
      <w:marRight w:val="0"/>
      <w:marTop w:val="160"/>
      <w:marBottom w:val="0"/>
      <w:divBdr>
        <w:top w:val="none" w:sz="0" w:space="0" w:color="auto"/>
        <w:left w:val="none" w:sz="0" w:space="0" w:color="auto"/>
        <w:bottom w:val="none" w:sz="0" w:space="0" w:color="auto"/>
        <w:right w:val="none" w:sz="0" w:space="0" w:color="auto"/>
      </w:divBdr>
    </w:div>
    <w:div w:id="742800841">
      <w:marLeft w:val="0"/>
      <w:marRight w:val="0"/>
      <w:marTop w:val="0"/>
      <w:marBottom w:val="0"/>
      <w:divBdr>
        <w:top w:val="none" w:sz="0" w:space="0" w:color="auto"/>
        <w:left w:val="none" w:sz="0" w:space="0" w:color="auto"/>
        <w:bottom w:val="none" w:sz="0" w:space="0" w:color="auto"/>
        <w:right w:val="none" w:sz="0" w:space="0" w:color="auto"/>
      </w:divBdr>
      <w:divsChild>
        <w:div w:id="214782446">
          <w:marLeft w:val="0"/>
          <w:marRight w:val="0"/>
          <w:marTop w:val="0"/>
          <w:marBottom w:val="0"/>
          <w:divBdr>
            <w:top w:val="none" w:sz="0" w:space="0" w:color="auto"/>
            <w:left w:val="none" w:sz="0" w:space="0" w:color="auto"/>
            <w:bottom w:val="none" w:sz="0" w:space="0" w:color="auto"/>
            <w:right w:val="none" w:sz="0" w:space="0" w:color="auto"/>
          </w:divBdr>
        </w:div>
      </w:divsChild>
    </w:div>
    <w:div w:id="755901741">
      <w:marLeft w:val="0"/>
      <w:marRight w:val="0"/>
      <w:marTop w:val="0"/>
      <w:marBottom w:val="0"/>
      <w:divBdr>
        <w:top w:val="none" w:sz="0" w:space="0" w:color="auto"/>
        <w:left w:val="none" w:sz="0" w:space="0" w:color="auto"/>
        <w:bottom w:val="none" w:sz="0" w:space="0" w:color="auto"/>
        <w:right w:val="none" w:sz="0" w:space="0" w:color="auto"/>
      </w:divBdr>
    </w:div>
    <w:div w:id="760301777">
      <w:marLeft w:val="0"/>
      <w:marRight w:val="0"/>
      <w:marTop w:val="0"/>
      <w:marBottom w:val="0"/>
      <w:divBdr>
        <w:top w:val="none" w:sz="0" w:space="0" w:color="auto"/>
        <w:left w:val="none" w:sz="0" w:space="0" w:color="auto"/>
        <w:bottom w:val="none" w:sz="0" w:space="0" w:color="auto"/>
        <w:right w:val="none" w:sz="0" w:space="0" w:color="auto"/>
      </w:divBdr>
    </w:div>
    <w:div w:id="765351135">
      <w:marLeft w:val="0"/>
      <w:marRight w:val="0"/>
      <w:marTop w:val="60"/>
      <w:marBottom w:val="0"/>
      <w:divBdr>
        <w:top w:val="none" w:sz="0" w:space="0" w:color="auto"/>
        <w:left w:val="none" w:sz="0" w:space="0" w:color="auto"/>
        <w:bottom w:val="none" w:sz="0" w:space="0" w:color="auto"/>
        <w:right w:val="none" w:sz="0" w:space="0" w:color="auto"/>
      </w:divBdr>
    </w:div>
    <w:div w:id="781657163">
      <w:marLeft w:val="0"/>
      <w:marRight w:val="0"/>
      <w:marTop w:val="0"/>
      <w:marBottom w:val="60"/>
      <w:divBdr>
        <w:top w:val="none" w:sz="0" w:space="0" w:color="auto"/>
        <w:left w:val="none" w:sz="0" w:space="0" w:color="auto"/>
        <w:bottom w:val="none" w:sz="0" w:space="0" w:color="auto"/>
        <w:right w:val="none" w:sz="0" w:space="0" w:color="auto"/>
      </w:divBdr>
    </w:div>
    <w:div w:id="791174371">
      <w:marLeft w:val="0"/>
      <w:marRight w:val="0"/>
      <w:marTop w:val="120"/>
      <w:marBottom w:val="60"/>
      <w:divBdr>
        <w:top w:val="none" w:sz="0" w:space="0" w:color="auto"/>
        <w:left w:val="none" w:sz="0" w:space="0" w:color="auto"/>
        <w:bottom w:val="none" w:sz="0" w:space="0" w:color="auto"/>
        <w:right w:val="none" w:sz="0" w:space="0" w:color="auto"/>
      </w:divBdr>
    </w:div>
    <w:div w:id="815146209">
      <w:marLeft w:val="0"/>
      <w:marRight w:val="0"/>
      <w:marTop w:val="0"/>
      <w:marBottom w:val="0"/>
      <w:divBdr>
        <w:top w:val="none" w:sz="0" w:space="0" w:color="auto"/>
        <w:left w:val="none" w:sz="0" w:space="0" w:color="auto"/>
        <w:bottom w:val="none" w:sz="0" w:space="0" w:color="auto"/>
        <w:right w:val="none" w:sz="0" w:space="0" w:color="auto"/>
      </w:divBdr>
    </w:div>
    <w:div w:id="830095962">
      <w:marLeft w:val="0"/>
      <w:marRight w:val="0"/>
      <w:marTop w:val="0"/>
      <w:marBottom w:val="0"/>
      <w:divBdr>
        <w:top w:val="none" w:sz="0" w:space="0" w:color="auto"/>
        <w:left w:val="none" w:sz="0" w:space="0" w:color="auto"/>
        <w:bottom w:val="none" w:sz="0" w:space="0" w:color="auto"/>
        <w:right w:val="none" w:sz="0" w:space="0" w:color="auto"/>
      </w:divBdr>
    </w:div>
    <w:div w:id="833226367">
      <w:marLeft w:val="0"/>
      <w:marRight w:val="0"/>
      <w:marTop w:val="0"/>
      <w:marBottom w:val="0"/>
      <w:divBdr>
        <w:top w:val="none" w:sz="0" w:space="0" w:color="auto"/>
        <w:left w:val="none" w:sz="0" w:space="0" w:color="auto"/>
        <w:bottom w:val="none" w:sz="0" w:space="0" w:color="auto"/>
        <w:right w:val="none" w:sz="0" w:space="0" w:color="auto"/>
      </w:divBdr>
      <w:divsChild>
        <w:div w:id="1947469442">
          <w:marLeft w:val="0"/>
          <w:marRight w:val="0"/>
          <w:marTop w:val="0"/>
          <w:marBottom w:val="0"/>
          <w:divBdr>
            <w:top w:val="none" w:sz="0" w:space="0" w:color="auto"/>
            <w:left w:val="none" w:sz="0" w:space="0" w:color="auto"/>
            <w:bottom w:val="none" w:sz="0" w:space="0" w:color="auto"/>
            <w:right w:val="none" w:sz="0" w:space="0" w:color="auto"/>
          </w:divBdr>
        </w:div>
      </w:divsChild>
    </w:div>
    <w:div w:id="838231328">
      <w:marLeft w:val="0"/>
      <w:marRight w:val="0"/>
      <w:marTop w:val="0"/>
      <w:marBottom w:val="0"/>
      <w:divBdr>
        <w:top w:val="none" w:sz="0" w:space="0" w:color="auto"/>
        <w:left w:val="none" w:sz="0" w:space="0" w:color="auto"/>
        <w:bottom w:val="none" w:sz="0" w:space="0" w:color="auto"/>
        <w:right w:val="none" w:sz="0" w:space="0" w:color="auto"/>
      </w:divBdr>
    </w:div>
    <w:div w:id="841242335">
      <w:marLeft w:val="0"/>
      <w:marRight w:val="0"/>
      <w:marTop w:val="0"/>
      <w:marBottom w:val="60"/>
      <w:divBdr>
        <w:top w:val="none" w:sz="0" w:space="0" w:color="auto"/>
        <w:left w:val="none" w:sz="0" w:space="0" w:color="auto"/>
        <w:bottom w:val="none" w:sz="0" w:space="0" w:color="auto"/>
        <w:right w:val="none" w:sz="0" w:space="0" w:color="auto"/>
      </w:divBdr>
    </w:div>
    <w:div w:id="841816040">
      <w:marLeft w:val="0"/>
      <w:marRight w:val="0"/>
      <w:marTop w:val="0"/>
      <w:marBottom w:val="0"/>
      <w:divBdr>
        <w:top w:val="none" w:sz="0" w:space="0" w:color="auto"/>
        <w:left w:val="none" w:sz="0" w:space="0" w:color="auto"/>
        <w:bottom w:val="none" w:sz="0" w:space="0" w:color="auto"/>
        <w:right w:val="none" w:sz="0" w:space="0" w:color="auto"/>
      </w:divBdr>
    </w:div>
    <w:div w:id="853417628">
      <w:marLeft w:val="0"/>
      <w:marRight w:val="0"/>
      <w:marTop w:val="0"/>
      <w:marBottom w:val="0"/>
      <w:divBdr>
        <w:top w:val="none" w:sz="0" w:space="0" w:color="auto"/>
        <w:left w:val="none" w:sz="0" w:space="0" w:color="auto"/>
        <w:bottom w:val="none" w:sz="0" w:space="0" w:color="auto"/>
        <w:right w:val="none" w:sz="0" w:space="0" w:color="auto"/>
      </w:divBdr>
    </w:div>
    <w:div w:id="853962444">
      <w:marLeft w:val="0"/>
      <w:marRight w:val="0"/>
      <w:marTop w:val="0"/>
      <w:marBottom w:val="0"/>
      <w:divBdr>
        <w:top w:val="none" w:sz="0" w:space="0" w:color="auto"/>
        <w:left w:val="none" w:sz="0" w:space="0" w:color="auto"/>
        <w:bottom w:val="none" w:sz="0" w:space="0" w:color="auto"/>
        <w:right w:val="none" w:sz="0" w:space="0" w:color="auto"/>
      </w:divBdr>
    </w:div>
    <w:div w:id="854617482">
      <w:marLeft w:val="0"/>
      <w:marRight w:val="0"/>
      <w:marTop w:val="0"/>
      <w:marBottom w:val="60"/>
      <w:divBdr>
        <w:top w:val="none" w:sz="0" w:space="0" w:color="auto"/>
        <w:left w:val="none" w:sz="0" w:space="0" w:color="auto"/>
        <w:bottom w:val="none" w:sz="0" w:space="0" w:color="auto"/>
        <w:right w:val="none" w:sz="0" w:space="0" w:color="auto"/>
      </w:divBdr>
    </w:div>
    <w:div w:id="862282165">
      <w:marLeft w:val="0"/>
      <w:marRight w:val="0"/>
      <w:marTop w:val="0"/>
      <w:marBottom w:val="0"/>
      <w:divBdr>
        <w:top w:val="none" w:sz="0" w:space="0" w:color="auto"/>
        <w:left w:val="none" w:sz="0" w:space="0" w:color="auto"/>
        <w:bottom w:val="none" w:sz="0" w:space="0" w:color="auto"/>
        <w:right w:val="none" w:sz="0" w:space="0" w:color="auto"/>
      </w:divBdr>
      <w:divsChild>
        <w:div w:id="862866292">
          <w:marLeft w:val="0"/>
          <w:marRight w:val="0"/>
          <w:marTop w:val="0"/>
          <w:marBottom w:val="0"/>
          <w:divBdr>
            <w:top w:val="none" w:sz="0" w:space="0" w:color="auto"/>
            <w:left w:val="none" w:sz="0" w:space="0" w:color="auto"/>
            <w:bottom w:val="none" w:sz="0" w:space="0" w:color="auto"/>
            <w:right w:val="none" w:sz="0" w:space="0" w:color="auto"/>
          </w:divBdr>
        </w:div>
      </w:divsChild>
    </w:div>
    <w:div w:id="864051511">
      <w:marLeft w:val="0"/>
      <w:marRight w:val="0"/>
      <w:marTop w:val="0"/>
      <w:marBottom w:val="0"/>
      <w:divBdr>
        <w:top w:val="none" w:sz="0" w:space="0" w:color="auto"/>
        <w:left w:val="none" w:sz="0" w:space="0" w:color="auto"/>
        <w:bottom w:val="none" w:sz="0" w:space="0" w:color="auto"/>
        <w:right w:val="none" w:sz="0" w:space="0" w:color="auto"/>
      </w:divBdr>
      <w:divsChild>
        <w:div w:id="876282594">
          <w:marLeft w:val="0"/>
          <w:marRight w:val="0"/>
          <w:marTop w:val="0"/>
          <w:marBottom w:val="0"/>
          <w:divBdr>
            <w:top w:val="none" w:sz="0" w:space="0" w:color="auto"/>
            <w:left w:val="none" w:sz="0" w:space="0" w:color="auto"/>
            <w:bottom w:val="none" w:sz="0" w:space="0" w:color="auto"/>
            <w:right w:val="none" w:sz="0" w:space="0" w:color="auto"/>
          </w:divBdr>
        </w:div>
      </w:divsChild>
    </w:div>
    <w:div w:id="869538186">
      <w:marLeft w:val="0"/>
      <w:marRight w:val="0"/>
      <w:marTop w:val="0"/>
      <w:marBottom w:val="0"/>
      <w:divBdr>
        <w:top w:val="none" w:sz="0" w:space="0" w:color="auto"/>
        <w:left w:val="none" w:sz="0" w:space="0" w:color="auto"/>
        <w:bottom w:val="none" w:sz="0" w:space="0" w:color="auto"/>
        <w:right w:val="none" w:sz="0" w:space="0" w:color="auto"/>
      </w:divBdr>
      <w:divsChild>
        <w:div w:id="513156313">
          <w:marLeft w:val="0"/>
          <w:marRight w:val="0"/>
          <w:marTop w:val="0"/>
          <w:marBottom w:val="0"/>
          <w:divBdr>
            <w:top w:val="none" w:sz="0" w:space="0" w:color="auto"/>
            <w:left w:val="none" w:sz="0" w:space="0" w:color="auto"/>
            <w:bottom w:val="none" w:sz="0" w:space="0" w:color="auto"/>
            <w:right w:val="none" w:sz="0" w:space="0" w:color="auto"/>
          </w:divBdr>
        </w:div>
      </w:divsChild>
    </w:div>
    <w:div w:id="869998276">
      <w:marLeft w:val="0"/>
      <w:marRight w:val="0"/>
      <w:marTop w:val="0"/>
      <w:marBottom w:val="0"/>
      <w:divBdr>
        <w:top w:val="none" w:sz="0" w:space="0" w:color="auto"/>
        <w:left w:val="none" w:sz="0" w:space="0" w:color="auto"/>
        <w:bottom w:val="none" w:sz="0" w:space="0" w:color="auto"/>
        <w:right w:val="none" w:sz="0" w:space="0" w:color="auto"/>
      </w:divBdr>
    </w:div>
    <w:div w:id="876158981">
      <w:marLeft w:val="0"/>
      <w:marRight w:val="0"/>
      <w:marTop w:val="0"/>
      <w:marBottom w:val="0"/>
      <w:divBdr>
        <w:top w:val="none" w:sz="0" w:space="0" w:color="auto"/>
        <w:left w:val="none" w:sz="0" w:space="0" w:color="auto"/>
        <w:bottom w:val="none" w:sz="0" w:space="0" w:color="auto"/>
        <w:right w:val="none" w:sz="0" w:space="0" w:color="auto"/>
      </w:divBdr>
    </w:div>
    <w:div w:id="885335913">
      <w:marLeft w:val="0"/>
      <w:marRight w:val="0"/>
      <w:marTop w:val="0"/>
      <w:marBottom w:val="120"/>
      <w:divBdr>
        <w:top w:val="none" w:sz="0" w:space="0" w:color="auto"/>
        <w:left w:val="none" w:sz="0" w:space="0" w:color="auto"/>
        <w:bottom w:val="none" w:sz="0" w:space="0" w:color="auto"/>
        <w:right w:val="none" w:sz="0" w:space="0" w:color="auto"/>
      </w:divBdr>
    </w:div>
    <w:div w:id="893200742">
      <w:marLeft w:val="0"/>
      <w:marRight w:val="0"/>
      <w:marTop w:val="0"/>
      <w:marBottom w:val="0"/>
      <w:divBdr>
        <w:top w:val="none" w:sz="0" w:space="0" w:color="auto"/>
        <w:left w:val="none" w:sz="0" w:space="0" w:color="auto"/>
        <w:bottom w:val="none" w:sz="0" w:space="0" w:color="auto"/>
        <w:right w:val="none" w:sz="0" w:space="0" w:color="auto"/>
      </w:divBdr>
    </w:div>
    <w:div w:id="907036214">
      <w:marLeft w:val="0"/>
      <w:marRight w:val="0"/>
      <w:marTop w:val="0"/>
      <w:marBottom w:val="0"/>
      <w:divBdr>
        <w:top w:val="none" w:sz="0" w:space="0" w:color="auto"/>
        <w:left w:val="none" w:sz="0" w:space="0" w:color="auto"/>
        <w:bottom w:val="none" w:sz="0" w:space="0" w:color="auto"/>
        <w:right w:val="none" w:sz="0" w:space="0" w:color="auto"/>
      </w:divBdr>
    </w:div>
    <w:div w:id="907229479">
      <w:marLeft w:val="0"/>
      <w:marRight w:val="0"/>
      <w:marTop w:val="240"/>
      <w:marBottom w:val="0"/>
      <w:divBdr>
        <w:top w:val="none" w:sz="0" w:space="0" w:color="auto"/>
        <w:left w:val="none" w:sz="0" w:space="0" w:color="auto"/>
        <w:bottom w:val="none" w:sz="0" w:space="0" w:color="auto"/>
        <w:right w:val="none" w:sz="0" w:space="0" w:color="auto"/>
      </w:divBdr>
    </w:div>
    <w:div w:id="908463178">
      <w:marLeft w:val="0"/>
      <w:marRight w:val="0"/>
      <w:marTop w:val="0"/>
      <w:marBottom w:val="0"/>
      <w:divBdr>
        <w:top w:val="none" w:sz="0" w:space="0" w:color="auto"/>
        <w:left w:val="none" w:sz="0" w:space="0" w:color="auto"/>
        <w:bottom w:val="none" w:sz="0" w:space="0" w:color="auto"/>
        <w:right w:val="none" w:sz="0" w:space="0" w:color="auto"/>
      </w:divBdr>
    </w:div>
    <w:div w:id="916717968">
      <w:marLeft w:val="0"/>
      <w:marRight w:val="0"/>
      <w:marTop w:val="0"/>
      <w:marBottom w:val="0"/>
      <w:divBdr>
        <w:top w:val="none" w:sz="0" w:space="0" w:color="auto"/>
        <w:left w:val="none" w:sz="0" w:space="0" w:color="auto"/>
        <w:bottom w:val="none" w:sz="0" w:space="0" w:color="auto"/>
        <w:right w:val="none" w:sz="0" w:space="0" w:color="auto"/>
      </w:divBdr>
    </w:div>
    <w:div w:id="928126553">
      <w:marLeft w:val="0"/>
      <w:marRight w:val="0"/>
      <w:marTop w:val="100"/>
      <w:marBottom w:val="0"/>
      <w:divBdr>
        <w:top w:val="none" w:sz="0" w:space="0" w:color="auto"/>
        <w:left w:val="none" w:sz="0" w:space="0" w:color="auto"/>
        <w:bottom w:val="none" w:sz="0" w:space="0" w:color="auto"/>
        <w:right w:val="none" w:sz="0" w:space="0" w:color="auto"/>
      </w:divBdr>
    </w:div>
    <w:div w:id="929506520">
      <w:marLeft w:val="0"/>
      <w:marRight w:val="0"/>
      <w:marTop w:val="0"/>
      <w:marBottom w:val="0"/>
      <w:divBdr>
        <w:top w:val="none" w:sz="0" w:space="0" w:color="auto"/>
        <w:left w:val="none" w:sz="0" w:space="0" w:color="auto"/>
        <w:bottom w:val="none" w:sz="0" w:space="0" w:color="auto"/>
        <w:right w:val="none" w:sz="0" w:space="0" w:color="auto"/>
      </w:divBdr>
    </w:div>
    <w:div w:id="937522277">
      <w:marLeft w:val="0"/>
      <w:marRight w:val="0"/>
      <w:marTop w:val="0"/>
      <w:marBottom w:val="0"/>
      <w:divBdr>
        <w:top w:val="none" w:sz="0" w:space="0" w:color="auto"/>
        <w:left w:val="none" w:sz="0" w:space="0" w:color="auto"/>
        <w:bottom w:val="none" w:sz="0" w:space="0" w:color="auto"/>
        <w:right w:val="none" w:sz="0" w:space="0" w:color="auto"/>
      </w:divBdr>
    </w:div>
    <w:div w:id="969554497">
      <w:marLeft w:val="0"/>
      <w:marRight w:val="0"/>
      <w:marTop w:val="0"/>
      <w:marBottom w:val="0"/>
      <w:divBdr>
        <w:top w:val="none" w:sz="0" w:space="0" w:color="auto"/>
        <w:left w:val="none" w:sz="0" w:space="0" w:color="auto"/>
        <w:bottom w:val="none" w:sz="0" w:space="0" w:color="auto"/>
        <w:right w:val="none" w:sz="0" w:space="0" w:color="auto"/>
      </w:divBdr>
    </w:div>
    <w:div w:id="975641541">
      <w:marLeft w:val="0"/>
      <w:marRight w:val="0"/>
      <w:marTop w:val="0"/>
      <w:marBottom w:val="0"/>
      <w:divBdr>
        <w:top w:val="none" w:sz="0" w:space="0" w:color="auto"/>
        <w:left w:val="none" w:sz="0" w:space="0" w:color="auto"/>
        <w:bottom w:val="none" w:sz="0" w:space="0" w:color="auto"/>
        <w:right w:val="none" w:sz="0" w:space="0" w:color="auto"/>
      </w:divBdr>
    </w:div>
    <w:div w:id="978917566">
      <w:marLeft w:val="0"/>
      <w:marRight w:val="0"/>
      <w:marTop w:val="0"/>
      <w:marBottom w:val="0"/>
      <w:divBdr>
        <w:top w:val="none" w:sz="0" w:space="0" w:color="auto"/>
        <w:left w:val="none" w:sz="0" w:space="0" w:color="auto"/>
        <w:bottom w:val="none" w:sz="0" w:space="0" w:color="auto"/>
        <w:right w:val="none" w:sz="0" w:space="0" w:color="auto"/>
      </w:divBdr>
    </w:div>
    <w:div w:id="989559506">
      <w:marLeft w:val="0"/>
      <w:marRight w:val="0"/>
      <w:marTop w:val="0"/>
      <w:marBottom w:val="0"/>
      <w:divBdr>
        <w:top w:val="none" w:sz="0" w:space="0" w:color="auto"/>
        <w:left w:val="none" w:sz="0" w:space="0" w:color="auto"/>
        <w:bottom w:val="none" w:sz="0" w:space="0" w:color="auto"/>
        <w:right w:val="none" w:sz="0" w:space="0" w:color="auto"/>
      </w:divBdr>
    </w:div>
    <w:div w:id="1015500855">
      <w:marLeft w:val="0"/>
      <w:marRight w:val="0"/>
      <w:marTop w:val="0"/>
      <w:marBottom w:val="0"/>
      <w:divBdr>
        <w:top w:val="none" w:sz="0" w:space="0" w:color="auto"/>
        <w:left w:val="none" w:sz="0" w:space="0" w:color="auto"/>
        <w:bottom w:val="none" w:sz="0" w:space="0" w:color="auto"/>
        <w:right w:val="none" w:sz="0" w:space="0" w:color="auto"/>
      </w:divBdr>
    </w:div>
    <w:div w:id="1018505180">
      <w:marLeft w:val="0"/>
      <w:marRight w:val="0"/>
      <w:marTop w:val="0"/>
      <w:marBottom w:val="0"/>
      <w:divBdr>
        <w:top w:val="none" w:sz="0" w:space="0" w:color="auto"/>
        <w:left w:val="none" w:sz="0" w:space="0" w:color="auto"/>
        <w:bottom w:val="none" w:sz="0" w:space="0" w:color="auto"/>
        <w:right w:val="none" w:sz="0" w:space="0" w:color="auto"/>
      </w:divBdr>
    </w:div>
    <w:div w:id="1026105166">
      <w:marLeft w:val="0"/>
      <w:marRight w:val="0"/>
      <w:marTop w:val="0"/>
      <w:marBottom w:val="0"/>
      <w:divBdr>
        <w:top w:val="none" w:sz="0" w:space="0" w:color="auto"/>
        <w:left w:val="none" w:sz="0" w:space="0" w:color="auto"/>
        <w:bottom w:val="none" w:sz="0" w:space="0" w:color="auto"/>
        <w:right w:val="none" w:sz="0" w:space="0" w:color="auto"/>
      </w:divBdr>
    </w:div>
    <w:div w:id="1036352308">
      <w:marLeft w:val="0"/>
      <w:marRight w:val="0"/>
      <w:marTop w:val="0"/>
      <w:marBottom w:val="0"/>
      <w:divBdr>
        <w:top w:val="none" w:sz="0" w:space="0" w:color="auto"/>
        <w:left w:val="none" w:sz="0" w:space="0" w:color="auto"/>
        <w:bottom w:val="none" w:sz="0" w:space="0" w:color="auto"/>
        <w:right w:val="none" w:sz="0" w:space="0" w:color="auto"/>
      </w:divBdr>
    </w:div>
    <w:div w:id="1037896284">
      <w:marLeft w:val="0"/>
      <w:marRight w:val="0"/>
      <w:marTop w:val="0"/>
      <w:marBottom w:val="0"/>
      <w:divBdr>
        <w:top w:val="none" w:sz="0" w:space="0" w:color="auto"/>
        <w:left w:val="none" w:sz="0" w:space="0" w:color="auto"/>
        <w:bottom w:val="none" w:sz="0" w:space="0" w:color="auto"/>
        <w:right w:val="none" w:sz="0" w:space="0" w:color="auto"/>
      </w:divBdr>
    </w:div>
    <w:div w:id="1041977431">
      <w:marLeft w:val="0"/>
      <w:marRight w:val="0"/>
      <w:marTop w:val="0"/>
      <w:marBottom w:val="0"/>
      <w:divBdr>
        <w:top w:val="none" w:sz="0" w:space="0" w:color="auto"/>
        <w:left w:val="none" w:sz="0" w:space="0" w:color="auto"/>
        <w:bottom w:val="none" w:sz="0" w:space="0" w:color="auto"/>
        <w:right w:val="none" w:sz="0" w:space="0" w:color="auto"/>
      </w:divBdr>
    </w:div>
    <w:div w:id="1043022896">
      <w:marLeft w:val="0"/>
      <w:marRight w:val="0"/>
      <w:marTop w:val="0"/>
      <w:marBottom w:val="0"/>
      <w:divBdr>
        <w:top w:val="none" w:sz="0" w:space="0" w:color="auto"/>
        <w:left w:val="none" w:sz="0" w:space="0" w:color="auto"/>
        <w:bottom w:val="none" w:sz="0" w:space="0" w:color="auto"/>
        <w:right w:val="none" w:sz="0" w:space="0" w:color="auto"/>
      </w:divBdr>
    </w:div>
    <w:div w:id="1045443786">
      <w:marLeft w:val="0"/>
      <w:marRight w:val="0"/>
      <w:marTop w:val="0"/>
      <w:marBottom w:val="0"/>
      <w:divBdr>
        <w:top w:val="none" w:sz="0" w:space="0" w:color="auto"/>
        <w:left w:val="none" w:sz="0" w:space="0" w:color="auto"/>
        <w:bottom w:val="none" w:sz="0" w:space="0" w:color="auto"/>
        <w:right w:val="none" w:sz="0" w:space="0" w:color="auto"/>
      </w:divBdr>
    </w:div>
    <w:div w:id="1050542939">
      <w:marLeft w:val="0"/>
      <w:marRight w:val="0"/>
      <w:marTop w:val="0"/>
      <w:marBottom w:val="0"/>
      <w:divBdr>
        <w:top w:val="none" w:sz="0" w:space="0" w:color="auto"/>
        <w:left w:val="none" w:sz="0" w:space="0" w:color="auto"/>
        <w:bottom w:val="none" w:sz="0" w:space="0" w:color="auto"/>
        <w:right w:val="none" w:sz="0" w:space="0" w:color="auto"/>
      </w:divBdr>
      <w:divsChild>
        <w:div w:id="1558282190">
          <w:marLeft w:val="0"/>
          <w:marRight w:val="0"/>
          <w:marTop w:val="0"/>
          <w:marBottom w:val="0"/>
          <w:divBdr>
            <w:top w:val="none" w:sz="0" w:space="0" w:color="auto"/>
            <w:left w:val="none" w:sz="0" w:space="0" w:color="auto"/>
            <w:bottom w:val="none" w:sz="0" w:space="0" w:color="auto"/>
            <w:right w:val="none" w:sz="0" w:space="0" w:color="auto"/>
          </w:divBdr>
        </w:div>
      </w:divsChild>
    </w:div>
    <w:div w:id="1067193896">
      <w:marLeft w:val="0"/>
      <w:marRight w:val="0"/>
      <w:marTop w:val="0"/>
      <w:marBottom w:val="0"/>
      <w:divBdr>
        <w:top w:val="none" w:sz="0" w:space="0" w:color="auto"/>
        <w:left w:val="none" w:sz="0" w:space="0" w:color="auto"/>
        <w:bottom w:val="none" w:sz="0" w:space="0" w:color="auto"/>
        <w:right w:val="none" w:sz="0" w:space="0" w:color="auto"/>
      </w:divBdr>
      <w:divsChild>
        <w:div w:id="1419403035">
          <w:marLeft w:val="0"/>
          <w:marRight w:val="0"/>
          <w:marTop w:val="160"/>
          <w:marBottom w:val="160"/>
          <w:divBdr>
            <w:top w:val="none" w:sz="0" w:space="0" w:color="auto"/>
            <w:left w:val="none" w:sz="0" w:space="0" w:color="auto"/>
            <w:bottom w:val="none" w:sz="0" w:space="0" w:color="auto"/>
            <w:right w:val="none" w:sz="0" w:space="0" w:color="auto"/>
          </w:divBdr>
        </w:div>
      </w:divsChild>
    </w:div>
    <w:div w:id="1068116083">
      <w:marLeft w:val="0"/>
      <w:marRight w:val="0"/>
      <w:marTop w:val="0"/>
      <w:marBottom w:val="0"/>
      <w:divBdr>
        <w:top w:val="none" w:sz="0" w:space="0" w:color="auto"/>
        <w:left w:val="none" w:sz="0" w:space="0" w:color="auto"/>
        <w:bottom w:val="none" w:sz="0" w:space="0" w:color="auto"/>
        <w:right w:val="none" w:sz="0" w:space="0" w:color="auto"/>
      </w:divBdr>
    </w:div>
    <w:div w:id="1068385203">
      <w:marLeft w:val="0"/>
      <w:marRight w:val="0"/>
      <w:marTop w:val="0"/>
      <w:marBottom w:val="0"/>
      <w:divBdr>
        <w:top w:val="none" w:sz="0" w:space="0" w:color="auto"/>
        <w:left w:val="none" w:sz="0" w:space="0" w:color="auto"/>
        <w:bottom w:val="none" w:sz="0" w:space="0" w:color="auto"/>
        <w:right w:val="none" w:sz="0" w:space="0" w:color="auto"/>
      </w:divBdr>
    </w:div>
    <w:div w:id="1074623548">
      <w:marLeft w:val="0"/>
      <w:marRight w:val="0"/>
      <w:marTop w:val="0"/>
      <w:marBottom w:val="0"/>
      <w:divBdr>
        <w:top w:val="none" w:sz="0" w:space="0" w:color="auto"/>
        <w:left w:val="none" w:sz="0" w:space="0" w:color="auto"/>
        <w:bottom w:val="none" w:sz="0" w:space="0" w:color="auto"/>
        <w:right w:val="none" w:sz="0" w:space="0" w:color="auto"/>
      </w:divBdr>
      <w:divsChild>
        <w:div w:id="1035423898">
          <w:marLeft w:val="0"/>
          <w:marRight w:val="0"/>
          <w:marTop w:val="0"/>
          <w:marBottom w:val="0"/>
          <w:divBdr>
            <w:top w:val="none" w:sz="0" w:space="0" w:color="auto"/>
            <w:left w:val="none" w:sz="0" w:space="0" w:color="auto"/>
            <w:bottom w:val="none" w:sz="0" w:space="0" w:color="auto"/>
            <w:right w:val="none" w:sz="0" w:space="0" w:color="auto"/>
          </w:divBdr>
        </w:div>
      </w:divsChild>
    </w:div>
    <w:div w:id="1082219216">
      <w:marLeft w:val="0"/>
      <w:marRight w:val="0"/>
      <w:marTop w:val="0"/>
      <w:marBottom w:val="0"/>
      <w:divBdr>
        <w:top w:val="none" w:sz="0" w:space="0" w:color="auto"/>
        <w:left w:val="none" w:sz="0" w:space="0" w:color="auto"/>
        <w:bottom w:val="none" w:sz="0" w:space="0" w:color="auto"/>
        <w:right w:val="none" w:sz="0" w:space="0" w:color="auto"/>
      </w:divBdr>
    </w:div>
    <w:div w:id="1086340064">
      <w:marLeft w:val="0"/>
      <w:marRight w:val="0"/>
      <w:marTop w:val="0"/>
      <w:marBottom w:val="0"/>
      <w:divBdr>
        <w:top w:val="none" w:sz="0" w:space="0" w:color="auto"/>
        <w:left w:val="none" w:sz="0" w:space="0" w:color="auto"/>
        <w:bottom w:val="none" w:sz="0" w:space="0" w:color="auto"/>
        <w:right w:val="none" w:sz="0" w:space="0" w:color="auto"/>
      </w:divBdr>
    </w:div>
    <w:div w:id="1087263603">
      <w:marLeft w:val="0"/>
      <w:marRight w:val="0"/>
      <w:marTop w:val="0"/>
      <w:marBottom w:val="0"/>
      <w:divBdr>
        <w:top w:val="none" w:sz="0" w:space="0" w:color="auto"/>
        <w:left w:val="none" w:sz="0" w:space="0" w:color="auto"/>
        <w:bottom w:val="none" w:sz="0" w:space="0" w:color="auto"/>
        <w:right w:val="none" w:sz="0" w:space="0" w:color="auto"/>
      </w:divBdr>
    </w:div>
    <w:div w:id="1090077974">
      <w:marLeft w:val="0"/>
      <w:marRight w:val="0"/>
      <w:marTop w:val="0"/>
      <w:marBottom w:val="0"/>
      <w:divBdr>
        <w:top w:val="none" w:sz="0" w:space="0" w:color="auto"/>
        <w:left w:val="none" w:sz="0" w:space="0" w:color="auto"/>
        <w:bottom w:val="none" w:sz="0" w:space="0" w:color="auto"/>
        <w:right w:val="none" w:sz="0" w:space="0" w:color="auto"/>
      </w:divBdr>
    </w:div>
    <w:div w:id="1096095068">
      <w:marLeft w:val="0"/>
      <w:marRight w:val="0"/>
      <w:marTop w:val="0"/>
      <w:marBottom w:val="60"/>
      <w:divBdr>
        <w:top w:val="none" w:sz="0" w:space="0" w:color="auto"/>
        <w:left w:val="none" w:sz="0" w:space="0" w:color="auto"/>
        <w:bottom w:val="none" w:sz="0" w:space="0" w:color="auto"/>
        <w:right w:val="none" w:sz="0" w:space="0" w:color="auto"/>
      </w:divBdr>
    </w:div>
    <w:div w:id="1097291999">
      <w:marLeft w:val="0"/>
      <w:marRight w:val="0"/>
      <w:marTop w:val="100"/>
      <w:marBottom w:val="0"/>
      <w:divBdr>
        <w:top w:val="none" w:sz="0" w:space="0" w:color="auto"/>
        <w:left w:val="none" w:sz="0" w:space="0" w:color="auto"/>
        <w:bottom w:val="none" w:sz="0" w:space="0" w:color="auto"/>
        <w:right w:val="none" w:sz="0" w:space="0" w:color="auto"/>
      </w:divBdr>
    </w:div>
    <w:div w:id="1107702542">
      <w:marLeft w:val="0"/>
      <w:marRight w:val="0"/>
      <w:marTop w:val="0"/>
      <w:marBottom w:val="0"/>
      <w:divBdr>
        <w:top w:val="none" w:sz="0" w:space="0" w:color="auto"/>
        <w:left w:val="none" w:sz="0" w:space="0" w:color="auto"/>
        <w:bottom w:val="none" w:sz="0" w:space="0" w:color="auto"/>
        <w:right w:val="none" w:sz="0" w:space="0" w:color="auto"/>
      </w:divBdr>
    </w:div>
    <w:div w:id="1109929500">
      <w:marLeft w:val="0"/>
      <w:marRight w:val="0"/>
      <w:marTop w:val="0"/>
      <w:marBottom w:val="0"/>
      <w:divBdr>
        <w:top w:val="none" w:sz="0" w:space="0" w:color="auto"/>
        <w:left w:val="none" w:sz="0" w:space="0" w:color="auto"/>
        <w:bottom w:val="none" w:sz="0" w:space="0" w:color="auto"/>
        <w:right w:val="none" w:sz="0" w:space="0" w:color="auto"/>
      </w:divBdr>
    </w:div>
    <w:div w:id="1110472133">
      <w:marLeft w:val="0"/>
      <w:marRight w:val="0"/>
      <w:marTop w:val="0"/>
      <w:marBottom w:val="60"/>
      <w:divBdr>
        <w:top w:val="none" w:sz="0" w:space="0" w:color="auto"/>
        <w:left w:val="none" w:sz="0" w:space="0" w:color="auto"/>
        <w:bottom w:val="none" w:sz="0" w:space="0" w:color="auto"/>
        <w:right w:val="none" w:sz="0" w:space="0" w:color="auto"/>
      </w:divBdr>
    </w:div>
    <w:div w:id="1116870082">
      <w:marLeft w:val="0"/>
      <w:marRight w:val="0"/>
      <w:marTop w:val="0"/>
      <w:marBottom w:val="0"/>
      <w:divBdr>
        <w:top w:val="none" w:sz="0" w:space="0" w:color="auto"/>
        <w:left w:val="none" w:sz="0" w:space="0" w:color="auto"/>
        <w:bottom w:val="none" w:sz="0" w:space="0" w:color="auto"/>
        <w:right w:val="none" w:sz="0" w:space="0" w:color="auto"/>
      </w:divBdr>
      <w:divsChild>
        <w:div w:id="1501433455">
          <w:marLeft w:val="0"/>
          <w:marRight w:val="0"/>
          <w:marTop w:val="160"/>
          <w:marBottom w:val="160"/>
          <w:divBdr>
            <w:top w:val="none" w:sz="0" w:space="0" w:color="auto"/>
            <w:left w:val="none" w:sz="0" w:space="0" w:color="auto"/>
            <w:bottom w:val="none" w:sz="0" w:space="0" w:color="auto"/>
            <w:right w:val="none" w:sz="0" w:space="0" w:color="auto"/>
          </w:divBdr>
        </w:div>
      </w:divsChild>
    </w:div>
    <w:div w:id="1135411599">
      <w:marLeft w:val="0"/>
      <w:marRight w:val="0"/>
      <w:marTop w:val="0"/>
      <w:marBottom w:val="0"/>
      <w:divBdr>
        <w:top w:val="none" w:sz="0" w:space="0" w:color="auto"/>
        <w:left w:val="none" w:sz="0" w:space="0" w:color="auto"/>
        <w:bottom w:val="none" w:sz="0" w:space="0" w:color="auto"/>
        <w:right w:val="none" w:sz="0" w:space="0" w:color="auto"/>
      </w:divBdr>
    </w:div>
    <w:div w:id="1142501229">
      <w:marLeft w:val="0"/>
      <w:marRight w:val="0"/>
      <w:marTop w:val="0"/>
      <w:marBottom w:val="0"/>
      <w:divBdr>
        <w:top w:val="none" w:sz="0" w:space="0" w:color="auto"/>
        <w:left w:val="none" w:sz="0" w:space="0" w:color="auto"/>
        <w:bottom w:val="none" w:sz="0" w:space="0" w:color="auto"/>
        <w:right w:val="none" w:sz="0" w:space="0" w:color="auto"/>
      </w:divBdr>
      <w:divsChild>
        <w:div w:id="1378550279">
          <w:marLeft w:val="0"/>
          <w:marRight w:val="0"/>
          <w:marTop w:val="0"/>
          <w:marBottom w:val="0"/>
          <w:divBdr>
            <w:top w:val="none" w:sz="0" w:space="0" w:color="auto"/>
            <w:left w:val="none" w:sz="0" w:space="0" w:color="auto"/>
            <w:bottom w:val="none" w:sz="0" w:space="0" w:color="auto"/>
            <w:right w:val="none" w:sz="0" w:space="0" w:color="auto"/>
          </w:divBdr>
        </w:div>
      </w:divsChild>
    </w:div>
    <w:div w:id="1147672202">
      <w:marLeft w:val="0"/>
      <w:marRight w:val="0"/>
      <w:marTop w:val="0"/>
      <w:marBottom w:val="0"/>
      <w:divBdr>
        <w:top w:val="none" w:sz="0" w:space="0" w:color="auto"/>
        <w:left w:val="none" w:sz="0" w:space="0" w:color="auto"/>
        <w:bottom w:val="none" w:sz="0" w:space="0" w:color="auto"/>
        <w:right w:val="none" w:sz="0" w:space="0" w:color="auto"/>
      </w:divBdr>
      <w:divsChild>
        <w:div w:id="1813403612">
          <w:marLeft w:val="0"/>
          <w:marRight w:val="0"/>
          <w:marTop w:val="0"/>
          <w:marBottom w:val="0"/>
          <w:divBdr>
            <w:top w:val="none" w:sz="0" w:space="0" w:color="auto"/>
            <w:left w:val="none" w:sz="0" w:space="0" w:color="auto"/>
            <w:bottom w:val="none" w:sz="0" w:space="0" w:color="auto"/>
            <w:right w:val="none" w:sz="0" w:space="0" w:color="auto"/>
          </w:divBdr>
        </w:div>
      </w:divsChild>
    </w:div>
    <w:div w:id="1149056141">
      <w:marLeft w:val="0"/>
      <w:marRight w:val="0"/>
      <w:marTop w:val="180"/>
      <w:marBottom w:val="0"/>
      <w:divBdr>
        <w:top w:val="none" w:sz="0" w:space="0" w:color="auto"/>
        <w:left w:val="none" w:sz="0" w:space="0" w:color="auto"/>
        <w:bottom w:val="none" w:sz="0" w:space="0" w:color="auto"/>
        <w:right w:val="none" w:sz="0" w:space="0" w:color="auto"/>
      </w:divBdr>
    </w:div>
    <w:div w:id="1167552339">
      <w:marLeft w:val="0"/>
      <w:marRight w:val="0"/>
      <w:marTop w:val="0"/>
      <w:marBottom w:val="0"/>
      <w:divBdr>
        <w:top w:val="none" w:sz="0" w:space="0" w:color="auto"/>
        <w:left w:val="none" w:sz="0" w:space="0" w:color="auto"/>
        <w:bottom w:val="none" w:sz="0" w:space="0" w:color="auto"/>
        <w:right w:val="none" w:sz="0" w:space="0" w:color="auto"/>
      </w:divBdr>
      <w:divsChild>
        <w:div w:id="897790918">
          <w:marLeft w:val="0"/>
          <w:marRight w:val="0"/>
          <w:marTop w:val="0"/>
          <w:marBottom w:val="0"/>
          <w:divBdr>
            <w:top w:val="none" w:sz="0" w:space="0" w:color="auto"/>
            <w:left w:val="none" w:sz="0" w:space="0" w:color="auto"/>
            <w:bottom w:val="none" w:sz="0" w:space="0" w:color="auto"/>
            <w:right w:val="none" w:sz="0" w:space="0" w:color="auto"/>
          </w:divBdr>
        </w:div>
      </w:divsChild>
    </w:div>
    <w:div w:id="1168472921">
      <w:marLeft w:val="0"/>
      <w:marRight w:val="0"/>
      <w:marTop w:val="0"/>
      <w:marBottom w:val="0"/>
      <w:divBdr>
        <w:top w:val="none" w:sz="0" w:space="0" w:color="auto"/>
        <w:left w:val="none" w:sz="0" w:space="0" w:color="auto"/>
        <w:bottom w:val="none" w:sz="0" w:space="0" w:color="auto"/>
        <w:right w:val="none" w:sz="0" w:space="0" w:color="auto"/>
      </w:divBdr>
      <w:divsChild>
        <w:div w:id="2132555845">
          <w:marLeft w:val="0"/>
          <w:marRight w:val="0"/>
          <w:marTop w:val="0"/>
          <w:marBottom w:val="0"/>
          <w:divBdr>
            <w:top w:val="none" w:sz="0" w:space="0" w:color="auto"/>
            <w:left w:val="none" w:sz="0" w:space="0" w:color="auto"/>
            <w:bottom w:val="none" w:sz="0" w:space="0" w:color="auto"/>
            <w:right w:val="none" w:sz="0" w:space="0" w:color="auto"/>
          </w:divBdr>
        </w:div>
      </w:divsChild>
    </w:div>
    <w:div w:id="1179999738">
      <w:marLeft w:val="0"/>
      <w:marRight w:val="0"/>
      <w:marTop w:val="0"/>
      <w:marBottom w:val="0"/>
      <w:divBdr>
        <w:top w:val="none" w:sz="0" w:space="0" w:color="auto"/>
        <w:left w:val="none" w:sz="0" w:space="0" w:color="auto"/>
        <w:bottom w:val="none" w:sz="0" w:space="0" w:color="auto"/>
        <w:right w:val="none" w:sz="0" w:space="0" w:color="auto"/>
      </w:divBdr>
      <w:divsChild>
        <w:div w:id="1968269047">
          <w:marLeft w:val="0"/>
          <w:marRight w:val="0"/>
          <w:marTop w:val="160"/>
          <w:marBottom w:val="160"/>
          <w:divBdr>
            <w:top w:val="none" w:sz="0" w:space="0" w:color="auto"/>
            <w:left w:val="none" w:sz="0" w:space="0" w:color="auto"/>
            <w:bottom w:val="none" w:sz="0" w:space="0" w:color="auto"/>
            <w:right w:val="none" w:sz="0" w:space="0" w:color="auto"/>
          </w:divBdr>
        </w:div>
      </w:divsChild>
    </w:div>
    <w:div w:id="1180269169">
      <w:marLeft w:val="0"/>
      <w:marRight w:val="0"/>
      <w:marTop w:val="0"/>
      <w:marBottom w:val="60"/>
      <w:divBdr>
        <w:top w:val="none" w:sz="0" w:space="0" w:color="auto"/>
        <w:left w:val="none" w:sz="0" w:space="0" w:color="auto"/>
        <w:bottom w:val="none" w:sz="0" w:space="0" w:color="auto"/>
        <w:right w:val="none" w:sz="0" w:space="0" w:color="auto"/>
      </w:divBdr>
    </w:div>
    <w:div w:id="1188256313">
      <w:marLeft w:val="0"/>
      <w:marRight w:val="0"/>
      <w:marTop w:val="0"/>
      <w:marBottom w:val="0"/>
      <w:divBdr>
        <w:top w:val="none" w:sz="0" w:space="0" w:color="auto"/>
        <w:left w:val="none" w:sz="0" w:space="0" w:color="auto"/>
        <w:bottom w:val="none" w:sz="0" w:space="0" w:color="auto"/>
        <w:right w:val="none" w:sz="0" w:space="0" w:color="auto"/>
      </w:divBdr>
    </w:div>
    <w:div w:id="1195001528">
      <w:marLeft w:val="0"/>
      <w:marRight w:val="0"/>
      <w:marTop w:val="0"/>
      <w:marBottom w:val="60"/>
      <w:divBdr>
        <w:top w:val="none" w:sz="0" w:space="0" w:color="auto"/>
        <w:left w:val="none" w:sz="0" w:space="0" w:color="auto"/>
        <w:bottom w:val="none" w:sz="0" w:space="0" w:color="auto"/>
        <w:right w:val="none" w:sz="0" w:space="0" w:color="auto"/>
      </w:divBdr>
    </w:div>
    <w:div w:id="1196117897">
      <w:marLeft w:val="0"/>
      <w:marRight w:val="0"/>
      <w:marTop w:val="0"/>
      <w:marBottom w:val="0"/>
      <w:divBdr>
        <w:top w:val="none" w:sz="0" w:space="0" w:color="auto"/>
        <w:left w:val="none" w:sz="0" w:space="0" w:color="auto"/>
        <w:bottom w:val="none" w:sz="0" w:space="0" w:color="auto"/>
        <w:right w:val="none" w:sz="0" w:space="0" w:color="auto"/>
      </w:divBdr>
      <w:divsChild>
        <w:div w:id="1252591962">
          <w:marLeft w:val="0"/>
          <w:marRight w:val="0"/>
          <w:marTop w:val="160"/>
          <w:marBottom w:val="160"/>
          <w:divBdr>
            <w:top w:val="none" w:sz="0" w:space="0" w:color="auto"/>
            <w:left w:val="none" w:sz="0" w:space="0" w:color="auto"/>
            <w:bottom w:val="none" w:sz="0" w:space="0" w:color="auto"/>
            <w:right w:val="none" w:sz="0" w:space="0" w:color="auto"/>
          </w:divBdr>
        </w:div>
      </w:divsChild>
    </w:div>
    <w:div w:id="1200702737">
      <w:marLeft w:val="0"/>
      <w:marRight w:val="0"/>
      <w:marTop w:val="0"/>
      <w:marBottom w:val="0"/>
      <w:divBdr>
        <w:top w:val="none" w:sz="0" w:space="0" w:color="auto"/>
        <w:left w:val="none" w:sz="0" w:space="0" w:color="auto"/>
        <w:bottom w:val="none" w:sz="0" w:space="0" w:color="auto"/>
        <w:right w:val="none" w:sz="0" w:space="0" w:color="auto"/>
      </w:divBdr>
      <w:divsChild>
        <w:div w:id="1813212993">
          <w:marLeft w:val="0"/>
          <w:marRight w:val="0"/>
          <w:marTop w:val="160"/>
          <w:marBottom w:val="160"/>
          <w:divBdr>
            <w:top w:val="none" w:sz="0" w:space="0" w:color="auto"/>
            <w:left w:val="none" w:sz="0" w:space="0" w:color="auto"/>
            <w:bottom w:val="none" w:sz="0" w:space="0" w:color="auto"/>
            <w:right w:val="none" w:sz="0" w:space="0" w:color="auto"/>
          </w:divBdr>
        </w:div>
      </w:divsChild>
    </w:div>
    <w:div w:id="1203202710">
      <w:marLeft w:val="0"/>
      <w:marRight w:val="0"/>
      <w:marTop w:val="0"/>
      <w:marBottom w:val="0"/>
      <w:divBdr>
        <w:top w:val="none" w:sz="0" w:space="0" w:color="auto"/>
        <w:left w:val="none" w:sz="0" w:space="0" w:color="auto"/>
        <w:bottom w:val="none" w:sz="0" w:space="0" w:color="auto"/>
        <w:right w:val="none" w:sz="0" w:space="0" w:color="auto"/>
      </w:divBdr>
      <w:divsChild>
        <w:div w:id="610598957">
          <w:marLeft w:val="0"/>
          <w:marRight w:val="0"/>
          <w:marTop w:val="160"/>
          <w:marBottom w:val="160"/>
          <w:divBdr>
            <w:top w:val="none" w:sz="0" w:space="0" w:color="auto"/>
            <w:left w:val="none" w:sz="0" w:space="0" w:color="auto"/>
            <w:bottom w:val="none" w:sz="0" w:space="0" w:color="auto"/>
            <w:right w:val="none" w:sz="0" w:space="0" w:color="auto"/>
          </w:divBdr>
        </w:div>
      </w:divsChild>
    </w:div>
    <w:div w:id="1208108615">
      <w:marLeft w:val="0"/>
      <w:marRight w:val="0"/>
      <w:marTop w:val="0"/>
      <w:marBottom w:val="0"/>
      <w:divBdr>
        <w:top w:val="none" w:sz="0" w:space="0" w:color="auto"/>
        <w:left w:val="none" w:sz="0" w:space="0" w:color="auto"/>
        <w:bottom w:val="none" w:sz="0" w:space="0" w:color="auto"/>
        <w:right w:val="none" w:sz="0" w:space="0" w:color="auto"/>
      </w:divBdr>
    </w:div>
    <w:div w:id="1208954042">
      <w:marLeft w:val="0"/>
      <w:marRight w:val="0"/>
      <w:marTop w:val="0"/>
      <w:marBottom w:val="0"/>
      <w:divBdr>
        <w:top w:val="none" w:sz="0" w:space="0" w:color="auto"/>
        <w:left w:val="none" w:sz="0" w:space="0" w:color="auto"/>
        <w:bottom w:val="none" w:sz="0" w:space="0" w:color="auto"/>
        <w:right w:val="none" w:sz="0" w:space="0" w:color="auto"/>
      </w:divBdr>
    </w:div>
    <w:div w:id="1217010157">
      <w:marLeft w:val="0"/>
      <w:marRight w:val="0"/>
      <w:marTop w:val="0"/>
      <w:marBottom w:val="0"/>
      <w:divBdr>
        <w:top w:val="none" w:sz="0" w:space="0" w:color="auto"/>
        <w:left w:val="none" w:sz="0" w:space="0" w:color="auto"/>
        <w:bottom w:val="none" w:sz="0" w:space="0" w:color="auto"/>
        <w:right w:val="none" w:sz="0" w:space="0" w:color="auto"/>
      </w:divBdr>
      <w:divsChild>
        <w:div w:id="1960843401">
          <w:marLeft w:val="0"/>
          <w:marRight w:val="0"/>
          <w:marTop w:val="0"/>
          <w:marBottom w:val="0"/>
          <w:divBdr>
            <w:top w:val="none" w:sz="0" w:space="0" w:color="auto"/>
            <w:left w:val="none" w:sz="0" w:space="0" w:color="auto"/>
            <w:bottom w:val="none" w:sz="0" w:space="0" w:color="auto"/>
            <w:right w:val="none" w:sz="0" w:space="0" w:color="auto"/>
          </w:divBdr>
        </w:div>
      </w:divsChild>
    </w:div>
    <w:div w:id="1227569354">
      <w:marLeft w:val="0"/>
      <w:marRight w:val="0"/>
      <w:marTop w:val="0"/>
      <w:marBottom w:val="0"/>
      <w:divBdr>
        <w:top w:val="none" w:sz="0" w:space="0" w:color="auto"/>
        <w:left w:val="none" w:sz="0" w:space="0" w:color="auto"/>
        <w:bottom w:val="none" w:sz="0" w:space="0" w:color="auto"/>
        <w:right w:val="none" w:sz="0" w:space="0" w:color="auto"/>
      </w:divBdr>
    </w:div>
    <w:div w:id="1232735200">
      <w:marLeft w:val="0"/>
      <w:marRight w:val="0"/>
      <w:marTop w:val="0"/>
      <w:marBottom w:val="0"/>
      <w:divBdr>
        <w:top w:val="none" w:sz="0" w:space="0" w:color="auto"/>
        <w:left w:val="none" w:sz="0" w:space="0" w:color="auto"/>
        <w:bottom w:val="none" w:sz="0" w:space="0" w:color="auto"/>
        <w:right w:val="none" w:sz="0" w:space="0" w:color="auto"/>
      </w:divBdr>
    </w:div>
    <w:div w:id="1239557590">
      <w:marLeft w:val="0"/>
      <w:marRight w:val="0"/>
      <w:marTop w:val="0"/>
      <w:marBottom w:val="0"/>
      <w:divBdr>
        <w:top w:val="none" w:sz="0" w:space="0" w:color="auto"/>
        <w:left w:val="none" w:sz="0" w:space="0" w:color="auto"/>
        <w:bottom w:val="none" w:sz="0" w:space="0" w:color="auto"/>
        <w:right w:val="none" w:sz="0" w:space="0" w:color="auto"/>
      </w:divBdr>
      <w:divsChild>
        <w:div w:id="532690493">
          <w:marLeft w:val="0"/>
          <w:marRight w:val="0"/>
          <w:marTop w:val="160"/>
          <w:marBottom w:val="160"/>
          <w:divBdr>
            <w:top w:val="none" w:sz="0" w:space="0" w:color="auto"/>
            <w:left w:val="none" w:sz="0" w:space="0" w:color="auto"/>
            <w:bottom w:val="none" w:sz="0" w:space="0" w:color="auto"/>
            <w:right w:val="none" w:sz="0" w:space="0" w:color="auto"/>
          </w:divBdr>
        </w:div>
      </w:divsChild>
    </w:div>
    <w:div w:id="1271475756">
      <w:marLeft w:val="0"/>
      <w:marRight w:val="0"/>
      <w:marTop w:val="100"/>
      <w:marBottom w:val="0"/>
      <w:divBdr>
        <w:top w:val="none" w:sz="0" w:space="0" w:color="auto"/>
        <w:left w:val="none" w:sz="0" w:space="0" w:color="auto"/>
        <w:bottom w:val="none" w:sz="0" w:space="0" w:color="auto"/>
        <w:right w:val="none" w:sz="0" w:space="0" w:color="auto"/>
      </w:divBdr>
    </w:div>
    <w:div w:id="1282029290">
      <w:marLeft w:val="0"/>
      <w:marRight w:val="0"/>
      <w:marTop w:val="0"/>
      <w:marBottom w:val="0"/>
      <w:divBdr>
        <w:top w:val="none" w:sz="0" w:space="0" w:color="auto"/>
        <w:left w:val="none" w:sz="0" w:space="0" w:color="auto"/>
        <w:bottom w:val="none" w:sz="0" w:space="0" w:color="auto"/>
        <w:right w:val="none" w:sz="0" w:space="0" w:color="auto"/>
      </w:divBdr>
    </w:div>
    <w:div w:id="1297682806">
      <w:marLeft w:val="0"/>
      <w:marRight w:val="0"/>
      <w:marTop w:val="0"/>
      <w:marBottom w:val="0"/>
      <w:divBdr>
        <w:top w:val="none" w:sz="0" w:space="0" w:color="auto"/>
        <w:left w:val="none" w:sz="0" w:space="0" w:color="auto"/>
        <w:bottom w:val="none" w:sz="0" w:space="0" w:color="auto"/>
        <w:right w:val="none" w:sz="0" w:space="0" w:color="auto"/>
      </w:divBdr>
    </w:div>
    <w:div w:id="1300959445">
      <w:marLeft w:val="0"/>
      <w:marRight w:val="0"/>
      <w:marTop w:val="0"/>
      <w:marBottom w:val="0"/>
      <w:divBdr>
        <w:top w:val="none" w:sz="0" w:space="0" w:color="auto"/>
        <w:left w:val="none" w:sz="0" w:space="0" w:color="auto"/>
        <w:bottom w:val="none" w:sz="0" w:space="0" w:color="auto"/>
        <w:right w:val="none" w:sz="0" w:space="0" w:color="auto"/>
      </w:divBdr>
    </w:div>
    <w:div w:id="1303921140">
      <w:marLeft w:val="0"/>
      <w:marRight w:val="0"/>
      <w:marTop w:val="0"/>
      <w:marBottom w:val="240"/>
      <w:divBdr>
        <w:top w:val="none" w:sz="0" w:space="0" w:color="auto"/>
        <w:left w:val="none" w:sz="0" w:space="0" w:color="auto"/>
        <w:bottom w:val="none" w:sz="0" w:space="0" w:color="auto"/>
        <w:right w:val="none" w:sz="0" w:space="0" w:color="auto"/>
      </w:divBdr>
    </w:div>
    <w:div w:id="1305889305">
      <w:marLeft w:val="0"/>
      <w:marRight w:val="0"/>
      <w:marTop w:val="0"/>
      <w:marBottom w:val="0"/>
      <w:divBdr>
        <w:top w:val="none" w:sz="0" w:space="0" w:color="auto"/>
        <w:left w:val="none" w:sz="0" w:space="0" w:color="auto"/>
        <w:bottom w:val="none" w:sz="0" w:space="0" w:color="auto"/>
        <w:right w:val="none" w:sz="0" w:space="0" w:color="auto"/>
      </w:divBdr>
      <w:divsChild>
        <w:div w:id="454060625">
          <w:marLeft w:val="0"/>
          <w:marRight w:val="0"/>
          <w:marTop w:val="0"/>
          <w:marBottom w:val="0"/>
          <w:divBdr>
            <w:top w:val="none" w:sz="0" w:space="0" w:color="auto"/>
            <w:left w:val="none" w:sz="0" w:space="0" w:color="auto"/>
            <w:bottom w:val="none" w:sz="0" w:space="0" w:color="auto"/>
            <w:right w:val="none" w:sz="0" w:space="0" w:color="auto"/>
          </w:divBdr>
        </w:div>
      </w:divsChild>
    </w:div>
    <w:div w:id="1310213532">
      <w:marLeft w:val="0"/>
      <w:marRight w:val="0"/>
      <w:marTop w:val="0"/>
      <w:marBottom w:val="0"/>
      <w:divBdr>
        <w:top w:val="none" w:sz="0" w:space="0" w:color="auto"/>
        <w:left w:val="none" w:sz="0" w:space="0" w:color="auto"/>
        <w:bottom w:val="none" w:sz="0" w:space="0" w:color="auto"/>
        <w:right w:val="none" w:sz="0" w:space="0" w:color="auto"/>
      </w:divBdr>
      <w:divsChild>
        <w:div w:id="1835028654">
          <w:marLeft w:val="0"/>
          <w:marRight w:val="0"/>
          <w:marTop w:val="160"/>
          <w:marBottom w:val="160"/>
          <w:divBdr>
            <w:top w:val="none" w:sz="0" w:space="0" w:color="auto"/>
            <w:left w:val="none" w:sz="0" w:space="0" w:color="auto"/>
            <w:bottom w:val="none" w:sz="0" w:space="0" w:color="auto"/>
            <w:right w:val="none" w:sz="0" w:space="0" w:color="auto"/>
          </w:divBdr>
        </w:div>
      </w:divsChild>
    </w:div>
    <w:div w:id="1310861122">
      <w:marLeft w:val="0"/>
      <w:marRight w:val="0"/>
      <w:marTop w:val="0"/>
      <w:marBottom w:val="0"/>
      <w:divBdr>
        <w:top w:val="none" w:sz="0" w:space="0" w:color="auto"/>
        <w:left w:val="none" w:sz="0" w:space="0" w:color="auto"/>
        <w:bottom w:val="none" w:sz="0" w:space="0" w:color="auto"/>
        <w:right w:val="none" w:sz="0" w:space="0" w:color="auto"/>
      </w:divBdr>
    </w:div>
    <w:div w:id="1315377044">
      <w:marLeft w:val="0"/>
      <w:marRight w:val="0"/>
      <w:marTop w:val="0"/>
      <w:marBottom w:val="0"/>
      <w:divBdr>
        <w:top w:val="none" w:sz="0" w:space="0" w:color="auto"/>
        <w:left w:val="none" w:sz="0" w:space="0" w:color="auto"/>
        <w:bottom w:val="none" w:sz="0" w:space="0" w:color="auto"/>
        <w:right w:val="none" w:sz="0" w:space="0" w:color="auto"/>
      </w:divBdr>
    </w:div>
    <w:div w:id="1327587027">
      <w:marLeft w:val="0"/>
      <w:marRight w:val="0"/>
      <w:marTop w:val="0"/>
      <w:marBottom w:val="0"/>
      <w:divBdr>
        <w:top w:val="none" w:sz="0" w:space="0" w:color="auto"/>
        <w:left w:val="none" w:sz="0" w:space="0" w:color="auto"/>
        <w:bottom w:val="none" w:sz="0" w:space="0" w:color="auto"/>
        <w:right w:val="none" w:sz="0" w:space="0" w:color="auto"/>
      </w:divBdr>
      <w:divsChild>
        <w:div w:id="714046261">
          <w:marLeft w:val="0"/>
          <w:marRight w:val="0"/>
          <w:marTop w:val="160"/>
          <w:marBottom w:val="160"/>
          <w:divBdr>
            <w:top w:val="none" w:sz="0" w:space="0" w:color="auto"/>
            <w:left w:val="none" w:sz="0" w:space="0" w:color="auto"/>
            <w:bottom w:val="none" w:sz="0" w:space="0" w:color="auto"/>
            <w:right w:val="none" w:sz="0" w:space="0" w:color="auto"/>
          </w:divBdr>
        </w:div>
      </w:divsChild>
    </w:div>
    <w:div w:id="1335260132">
      <w:marLeft w:val="0"/>
      <w:marRight w:val="0"/>
      <w:marTop w:val="0"/>
      <w:marBottom w:val="0"/>
      <w:divBdr>
        <w:top w:val="none" w:sz="0" w:space="0" w:color="auto"/>
        <w:left w:val="none" w:sz="0" w:space="0" w:color="auto"/>
        <w:bottom w:val="none" w:sz="0" w:space="0" w:color="auto"/>
        <w:right w:val="none" w:sz="0" w:space="0" w:color="auto"/>
      </w:divBdr>
    </w:div>
    <w:div w:id="1336226559">
      <w:marLeft w:val="0"/>
      <w:marRight w:val="0"/>
      <w:marTop w:val="0"/>
      <w:marBottom w:val="0"/>
      <w:divBdr>
        <w:top w:val="none" w:sz="0" w:space="0" w:color="auto"/>
        <w:left w:val="none" w:sz="0" w:space="0" w:color="auto"/>
        <w:bottom w:val="none" w:sz="0" w:space="0" w:color="auto"/>
        <w:right w:val="none" w:sz="0" w:space="0" w:color="auto"/>
      </w:divBdr>
      <w:divsChild>
        <w:div w:id="1874419337">
          <w:marLeft w:val="0"/>
          <w:marRight w:val="0"/>
          <w:marTop w:val="160"/>
          <w:marBottom w:val="160"/>
          <w:divBdr>
            <w:top w:val="none" w:sz="0" w:space="0" w:color="auto"/>
            <w:left w:val="none" w:sz="0" w:space="0" w:color="auto"/>
            <w:bottom w:val="none" w:sz="0" w:space="0" w:color="auto"/>
            <w:right w:val="none" w:sz="0" w:space="0" w:color="auto"/>
          </w:divBdr>
        </w:div>
      </w:divsChild>
    </w:div>
    <w:div w:id="1337224624">
      <w:marLeft w:val="0"/>
      <w:marRight w:val="0"/>
      <w:marTop w:val="0"/>
      <w:marBottom w:val="0"/>
      <w:divBdr>
        <w:top w:val="none" w:sz="0" w:space="0" w:color="auto"/>
        <w:left w:val="none" w:sz="0" w:space="0" w:color="auto"/>
        <w:bottom w:val="none" w:sz="0" w:space="0" w:color="auto"/>
        <w:right w:val="none" w:sz="0" w:space="0" w:color="auto"/>
      </w:divBdr>
    </w:div>
    <w:div w:id="1346394855">
      <w:marLeft w:val="0"/>
      <w:marRight w:val="0"/>
      <w:marTop w:val="240"/>
      <w:marBottom w:val="0"/>
      <w:divBdr>
        <w:top w:val="none" w:sz="0" w:space="0" w:color="auto"/>
        <w:left w:val="none" w:sz="0" w:space="0" w:color="auto"/>
        <w:bottom w:val="none" w:sz="0" w:space="0" w:color="auto"/>
        <w:right w:val="none" w:sz="0" w:space="0" w:color="auto"/>
      </w:divBdr>
    </w:div>
    <w:div w:id="1362322455">
      <w:marLeft w:val="0"/>
      <w:marRight w:val="0"/>
      <w:marTop w:val="0"/>
      <w:marBottom w:val="0"/>
      <w:divBdr>
        <w:top w:val="none" w:sz="0" w:space="0" w:color="auto"/>
        <w:left w:val="none" w:sz="0" w:space="0" w:color="auto"/>
        <w:bottom w:val="none" w:sz="0" w:space="0" w:color="auto"/>
        <w:right w:val="none" w:sz="0" w:space="0" w:color="auto"/>
      </w:divBdr>
    </w:div>
    <w:div w:id="1365792585">
      <w:marLeft w:val="0"/>
      <w:marRight w:val="0"/>
      <w:marTop w:val="0"/>
      <w:marBottom w:val="0"/>
      <w:divBdr>
        <w:top w:val="none" w:sz="0" w:space="0" w:color="auto"/>
        <w:left w:val="none" w:sz="0" w:space="0" w:color="auto"/>
        <w:bottom w:val="none" w:sz="0" w:space="0" w:color="auto"/>
        <w:right w:val="none" w:sz="0" w:space="0" w:color="auto"/>
      </w:divBdr>
      <w:divsChild>
        <w:div w:id="301814228">
          <w:marLeft w:val="0"/>
          <w:marRight w:val="0"/>
          <w:marTop w:val="0"/>
          <w:marBottom w:val="0"/>
          <w:divBdr>
            <w:top w:val="none" w:sz="0" w:space="0" w:color="auto"/>
            <w:left w:val="none" w:sz="0" w:space="0" w:color="auto"/>
            <w:bottom w:val="none" w:sz="0" w:space="0" w:color="auto"/>
            <w:right w:val="none" w:sz="0" w:space="0" w:color="auto"/>
          </w:divBdr>
        </w:div>
      </w:divsChild>
    </w:div>
    <w:div w:id="1387142578">
      <w:marLeft w:val="0"/>
      <w:marRight w:val="0"/>
      <w:marTop w:val="120"/>
      <w:marBottom w:val="0"/>
      <w:divBdr>
        <w:top w:val="none" w:sz="0" w:space="0" w:color="auto"/>
        <w:left w:val="none" w:sz="0" w:space="0" w:color="auto"/>
        <w:bottom w:val="none" w:sz="0" w:space="0" w:color="auto"/>
        <w:right w:val="none" w:sz="0" w:space="0" w:color="auto"/>
      </w:divBdr>
    </w:div>
    <w:div w:id="1392655116">
      <w:marLeft w:val="0"/>
      <w:marRight w:val="0"/>
      <w:marTop w:val="0"/>
      <w:marBottom w:val="0"/>
      <w:divBdr>
        <w:top w:val="none" w:sz="0" w:space="0" w:color="auto"/>
        <w:left w:val="none" w:sz="0" w:space="0" w:color="auto"/>
        <w:bottom w:val="none" w:sz="0" w:space="0" w:color="auto"/>
        <w:right w:val="none" w:sz="0" w:space="0" w:color="auto"/>
      </w:divBdr>
    </w:div>
    <w:div w:id="1405836159">
      <w:marLeft w:val="0"/>
      <w:marRight w:val="0"/>
      <w:marTop w:val="100"/>
      <w:marBottom w:val="0"/>
      <w:divBdr>
        <w:top w:val="none" w:sz="0" w:space="0" w:color="auto"/>
        <w:left w:val="none" w:sz="0" w:space="0" w:color="auto"/>
        <w:bottom w:val="none" w:sz="0" w:space="0" w:color="auto"/>
        <w:right w:val="none" w:sz="0" w:space="0" w:color="auto"/>
      </w:divBdr>
      <w:divsChild>
        <w:div w:id="799147736">
          <w:marLeft w:val="0"/>
          <w:marRight w:val="0"/>
          <w:marTop w:val="0"/>
          <w:marBottom w:val="0"/>
          <w:divBdr>
            <w:top w:val="none" w:sz="0" w:space="0" w:color="auto"/>
            <w:left w:val="none" w:sz="0" w:space="0" w:color="auto"/>
            <w:bottom w:val="none" w:sz="0" w:space="0" w:color="auto"/>
            <w:right w:val="none" w:sz="0" w:space="0" w:color="auto"/>
          </w:divBdr>
        </w:div>
      </w:divsChild>
    </w:div>
    <w:div w:id="1410541531">
      <w:marLeft w:val="0"/>
      <w:marRight w:val="0"/>
      <w:marTop w:val="100"/>
      <w:marBottom w:val="0"/>
      <w:divBdr>
        <w:top w:val="none" w:sz="0" w:space="0" w:color="auto"/>
        <w:left w:val="none" w:sz="0" w:space="0" w:color="auto"/>
        <w:bottom w:val="none" w:sz="0" w:space="0" w:color="auto"/>
        <w:right w:val="none" w:sz="0" w:space="0" w:color="auto"/>
      </w:divBdr>
    </w:div>
    <w:div w:id="1423255706">
      <w:marLeft w:val="0"/>
      <w:marRight w:val="0"/>
      <w:marTop w:val="0"/>
      <w:marBottom w:val="0"/>
      <w:divBdr>
        <w:top w:val="none" w:sz="0" w:space="0" w:color="auto"/>
        <w:left w:val="none" w:sz="0" w:space="0" w:color="auto"/>
        <w:bottom w:val="none" w:sz="0" w:space="0" w:color="auto"/>
        <w:right w:val="none" w:sz="0" w:space="0" w:color="auto"/>
      </w:divBdr>
      <w:divsChild>
        <w:div w:id="1872648510">
          <w:marLeft w:val="0"/>
          <w:marRight w:val="0"/>
          <w:marTop w:val="160"/>
          <w:marBottom w:val="160"/>
          <w:divBdr>
            <w:top w:val="none" w:sz="0" w:space="0" w:color="auto"/>
            <w:left w:val="none" w:sz="0" w:space="0" w:color="auto"/>
            <w:bottom w:val="none" w:sz="0" w:space="0" w:color="auto"/>
            <w:right w:val="none" w:sz="0" w:space="0" w:color="auto"/>
          </w:divBdr>
        </w:div>
      </w:divsChild>
    </w:div>
    <w:div w:id="1438259494">
      <w:marLeft w:val="0"/>
      <w:marRight w:val="0"/>
      <w:marTop w:val="0"/>
      <w:marBottom w:val="0"/>
      <w:divBdr>
        <w:top w:val="none" w:sz="0" w:space="0" w:color="auto"/>
        <w:left w:val="none" w:sz="0" w:space="0" w:color="auto"/>
        <w:bottom w:val="none" w:sz="0" w:space="0" w:color="auto"/>
        <w:right w:val="none" w:sz="0" w:space="0" w:color="auto"/>
      </w:divBdr>
      <w:divsChild>
        <w:div w:id="1427069363">
          <w:marLeft w:val="0"/>
          <w:marRight w:val="0"/>
          <w:marTop w:val="160"/>
          <w:marBottom w:val="160"/>
          <w:divBdr>
            <w:top w:val="none" w:sz="0" w:space="0" w:color="auto"/>
            <w:left w:val="none" w:sz="0" w:space="0" w:color="auto"/>
            <w:bottom w:val="none" w:sz="0" w:space="0" w:color="auto"/>
            <w:right w:val="none" w:sz="0" w:space="0" w:color="auto"/>
          </w:divBdr>
        </w:div>
      </w:divsChild>
    </w:div>
    <w:div w:id="1439376030">
      <w:marLeft w:val="0"/>
      <w:marRight w:val="0"/>
      <w:marTop w:val="0"/>
      <w:marBottom w:val="0"/>
      <w:divBdr>
        <w:top w:val="none" w:sz="0" w:space="0" w:color="auto"/>
        <w:left w:val="none" w:sz="0" w:space="0" w:color="auto"/>
        <w:bottom w:val="none" w:sz="0" w:space="0" w:color="auto"/>
        <w:right w:val="none" w:sz="0" w:space="0" w:color="auto"/>
      </w:divBdr>
      <w:divsChild>
        <w:div w:id="1206411757">
          <w:marLeft w:val="0"/>
          <w:marRight w:val="0"/>
          <w:marTop w:val="0"/>
          <w:marBottom w:val="0"/>
          <w:divBdr>
            <w:top w:val="none" w:sz="0" w:space="0" w:color="auto"/>
            <w:left w:val="none" w:sz="0" w:space="0" w:color="auto"/>
            <w:bottom w:val="none" w:sz="0" w:space="0" w:color="auto"/>
            <w:right w:val="none" w:sz="0" w:space="0" w:color="auto"/>
          </w:divBdr>
        </w:div>
      </w:divsChild>
    </w:div>
    <w:div w:id="1455294200">
      <w:marLeft w:val="0"/>
      <w:marRight w:val="0"/>
      <w:marTop w:val="0"/>
      <w:marBottom w:val="0"/>
      <w:divBdr>
        <w:top w:val="none" w:sz="0" w:space="0" w:color="auto"/>
        <w:left w:val="none" w:sz="0" w:space="0" w:color="auto"/>
        <w:bottom w:val="none" w:sz="0" w:space="0" w:color="auto"/>
        <w:right w:val="none" w:sz="0" w:space="0" w:color="auto"/>
      </w:divBdr>
      <w:divsChild>
        <w:div w:id="1003165319">
          <w:marLeft w:val="0"/>
          <w:marRight w:val="0"/>
          <w:marTop w:val="0"/>
          <w:marBottom w:val="0"/>
          <w:divBdr>
            <w:top w:val="none" w:sz="0" w:space="0" w:color="auto"/>
            <w:left w:val="none" w:sz="0" w:space="0" w:color="auto"/>
            <w:bottom w:val="none" w:sz="0" w:space="0" w:color="auto"/>
            <w:right w:val="none" w:sz="0" w:space="0" w:color="auto"/>
          </w:divBdr>
        </w:div>
      </w:divsChild>
    </w:div>
    <w:div w:id="1468468269">
      <w:marLeft w:val="0"/>
      <w:marRight w:val="0"/>
      <w:marTop w:val="0"/>
      <w:marBottom w:val="0"/>
      <w:divBdr>
        <w:top w:val="none" w:sz="0" w:space="0" w:color="auto"/>
        <w:left w:val="none" w:sz="0" w:space="0" w:color="auto"/>
        <w:bottom w:val="none" w:sz="0" w:space="0" w:color="auto"/>
        <w:right w:val="none" w:sz="0" w:space="0" w:color="auto"/>
      </w:divBdr>
    </w:div>
    <w:div w:id="1494881476">
      <w:marLeft w:val="0"/>
      <w:marRight w:val="0"/>
      <w:marTop w:val="120"/>
      <w:marBottom w:val="0"/>
      <w:divBdr>
        <w:top w:val="none" w:sz="0" w:space="0" w:color="auto"/>
        <w:left w:val="none" w:sz="0" w:space="0" w:color="auto"/>
        <w:bottom w:val="none" w:sz="0" w:space="0" w:color="auto"/>
        <w:right w:val="none" w:sz="0" w:space="0" w:color="auto"/>
      </w:divBdr>
    </w:div>
    <w:div w:id="1495216784">
      <w:marLeft w:val="0"/>
      <w:marRight w:val="0"/>
      <w:marTop w:val="0"/>
      <w:marBottom w:val="0"/>
      <w:divBdr>
        <w:top w:val="none" w:sz="0" w:space="0" w:color="auto"/>
        <w:left w:val="none" w:sz="0" w:space="0" w:color="auto"/>
        <w:bottom w:val="none" w:sz="0" w:space="0" w:color="auto"/>
        <w:right w:val="none" w:sz="0" w:space="0" w:color="auto"/>
      </w:divBdr>
    </w:div>
    <w:div w:id="1495686967">
      <w:marLeft w:val="0"/>
      <w:marRight w:val="0"/>
      <w:marTop w:val="0"/>
      <w:marBottom w:val="0"/>
      <w:divBdr>
        <w:top w:val="none" w:sz="0" w:space="0" w:color="auto"/>
        <w:left w:val="none" w:sz="0" w:space="0" w:color="auto"/>
        <w:bottom w:val="none" w:sz="0" w:space="0" w:color="auto"/>
        <w:right w:val="none" w:sz="0" w:space="0" w:color="auto"/>
      </w:divBdr>
      <w:divsChild>
        <w:div w:id="1368679633">
          <w:marLeft w:val="0"/>
          <w:marRight w:val="0"/>
          <w:marTop w:val="160"/>
          <w:marBottom w:val="160"/>
          <w:divBdr>
            <w:top w:val="none" w:sz="0" w:space="0" w:color="auto"/>
            <w:left w:val="none" w:sz="0" w:space="0" w:color="auto"/>
            <w:bottom w:val="none" w:sz="0" w:space="0" w:color="auto"/>
            <w:right w:val="none" w:sz="0" w:space="0" w:color="auto"/>
          </w:divBdr>
        </w:div>
      </w:divsChild>
    </w:div>
    <w:div w:id="1527937683">
      <w:marLeft w:val="0"/>
      <w:marRight w:val="0"/>
      <w:marTop w:val="0"/>
      <w:marBottom w:val="60"/>
      <w:divBdr>
        <w:top w:val="none" w:sz="0" w:space="0" w:color="auto"/>
        <w:left w:val="none" w:sz="0" w:space="0" w:color="auto"/>
        <w:bottom w:val="none" w:sz="0" w:space="0" w:color="auto"/>
        <w:right w:val="none" w:sz="0" w:space="0" w:color="auto"/>
      </w:divBdr>
    </w:div>
    <w:div w:id="1538852042">
      <w:marLeft w:val="0"/>
      <w:marRight w:val="0"/>
      <w:marTop w:val="0"/>
      <w:marBottom w:val="0"/>
      <w:divBdr>
        <w:top w:val="none" w:sz="0" w:space="0" w:color="auto"/>
        <w:left w:val="none" w:sz="0" w:space="0" w:color="auto"/>
        <w:bottom w:val="none" w:sz="0" w:space="0" w:color="auto"/>
        <w:right w:val="none" w:sz="0" w:space="0" w:color="auto"/>
      </w:divBdr>
    </w:div>
    <w:div w:id="1543859594">
      <w:marLeft w:val="0"/>
      <w:marRight w:val="0"/>
      <w:marTop w:val="0"/>
      <w:marBottom w:val="0"/>
      <w:divBdr>
        <w:top w:val="none" w:sz="0" w:space="0" w:color="auto"/>
        <w:left w:val="none" w:sz="0" w:space="0" w:color="auto"/>
        <w:bottom w:val="none" w:sz="0" w:space="0" w:color="auto"/>
        <w:right w:val="none" w:sz="0" w:space="0" w:color="auto"/>
      </w:divBdr>
      <w:divsChild>
        <w:div w:id="357774182">
          <w:marLeft w:val="0"/>
          <w:marRight w:val="0"/>
          <w:marTop w:val="0"/>
          <w:marBottom w:val="0"/>
          <w:divBdr>
            <w:top w:val="none" w:sz="0" w:space="0" w:color="auto"/>
            <w:left w:val="none" w:sz="0" w:space="0" w:color="auto"/>
            <w:bottom w:val="none" w:sz="0" w:space="0" w:color="auto"/>
            <w:right w:val="none" w:sz="0" w:space="0" w:color="auto"/>
          </w:divBdr>
        </w:div>
      </w:divsChild>
    </w:div>
    <w:div w:id="1558709217">
      <w:marLeft w:val="0"/>
      <w:marRight w:val="0"/>
      <w:marTop w:val="0"/>
      <w:marBottom w:val="0"/>
      <w:divBdr>
        <w:top w:val="none" w:sz="0" w:space="0" w:color="auto"/>
        <w:left w:val="none" w:sz="0" w:space="0" w:color="auto"/>
        <w:bottom w:val="none" w:sz="0" w:space="0" w:color="auto"/>
        <w:right w:val="none" w:sz="0" w:space="0" w:color="auto"/>
      </w:divBdr>
      <w:divsChild>
        <w:div w:id="1129281817">
          <w:marLeft w:val="0"/>
          <w:marRight w:val="0"/>
          <w:marTop w:val="0"/>
          <w:marBottom w:val="0"/>
          <w:divBdr>
            <w:top w:val="none" w:sz="0" w:space="0" w:color="auto"/>
            <w:left w:val="none" w:sz="0" w:space="0" w:color="auto"/>
            <w:bottom w:val="none" w:sz="0" w:space="0" w:color="auto"/>
            <w:right w:val="none" w:sz="0" w:space="0" w:color="auto"/>
          </w:divBdr>
        </w:div>
      </w:divsChild>
    </w:div>
    <w:div w:id="1560941411">
      <w:marLeft w:val="0"/>
      <w:marRight w:val="0"/>
      <w:marTop w:val="240"/>
      <w:marBottom w:val="160"/>
      <w:divBdr>
        <w:top w:val="none" w:sz="0" w:space="0" w:color="auto"/>
        <w:left w:val="none" w:sz="0" w:space="0" w:color="auto"/>
        <w:bottom w:val="none" w:sz="0" w:space="0" w:color="auto"/>
        <w:right w:val="none" w:sz="0" w:space="0" w:color="auto"/>
      </w:divBdr>
    </w:div>
    <w:div w:id="1566449512">
      <w:marLeft w:val="0"/>
      <w:marRight w:val="0"/>
      <w:marTop w:val="0"/>
      <w:marBottom w:val="0"/>
      <w:divBdr>
        <w:top w:val="none" w:sz="0" w:space="0" w:color="auto"/>
        <w:left w:val="none" w:sz="0" w:space="0" w:color="auto"/>
        <w:bottom w:val="none" w:sz="0" w:space="0" w:color="auto"/>
        <w:right w:val="none" w:sz="0" w:space="0" w:color="auto"/>
      </w:divBdr>
    </w:div>
    <w:div w:id="1583685888">
      <w:marLeft w:val="0"/>
      <w:marRight w:val="0"/>
      <w:marTop w:val="0"/>
      <w:marBottom w:val="0"/>
      <w:divBdr>
        <w:top w:val="none" w:sz="0" w:space="0" w:color="auto"/>
        <w:left w:val="none" w:sz="0" w:space="0" w:color="auto"/>
        <w:bottom w:val="none" w:sz="0" w:space="0" w:color="auto"/>
        <w:right w:val="none" w:sz="0" w:space="0" w:color="auto"/>
      </w:divBdr>
    </w:div>
    <w:div w:id="1583950082">
      <w:marLeft w:val="0"/>
      <w:marRight w:val="0"/>
      <w:marTop w:val="240"/>
      <w:marBottom w:val="160"/>
      <w:divBdr>
        <w:top w:val="none" w:sz="0" w:space="0" w:color="auto"/>
        <w:left w:val="none" w:sz="0" w:space="0" w:color="auto"/>
        <w:bottom w:val="none" w:sz="0" w:space="0" w:color="auto"/>
        <w:right w:val="none" w:sz="0" w:space="0" w:color="auto"/>
      </w:divBdr>
    </w:div>
    <w:div w:id="1584295001">
      <w:marLeft w:val="0"/>
      <w:marRight w:val="0"/>
      <w:marTop w:val="240"/>
      <w:marBottom w:val="0"/>
      <w:divBdr>
        <w:top w:val="none" w:sz="0" w:space="0" w:color="auto"/>
        <w:left w:val="none" w:sz="0" w:space="0" w:color="auto"/>
        <w:bottom w:val="none" w:sz="0" w:space="0" w:color="auto"/>
        <w:right w:val="none" w:sz="0" w:space="0" w:color="auto"/>
      </w:divBdr>
    </w:div>
    <w:div w:id="1591088414">
      <w:marLeft w:val="0"/>
      <w:marRight w:val="0"/>
      <w:marTop w:val="0"/>
      <w:marBottom w:val="0"/>
      <w:divBdr>
        <w:top w:val="none" w:sz="0" w:space="0" w:color="auto"/>
        <w:left w:val="none" w:sz="0" w:space="0" w:color="auto"/>
        <w:bottom w:val="none" w:sz="0" w:space="0" w:color="auto"/>
        <w:right w:val="none" w:sz="0" w:space="0" w:color="auto"/>
      </w:divBdr>
      <w:divsChild>
        <w:div w:id="2091148891">
          <w:marLeft w:val="0"/>
          <w:marRight w:val="0"/>
          <w:marTop w:val="160"/>
          <w:marBottom w:val="160"/>
          <w:divBdr>
            <w:top w:val="none" w:sz="0" w:space="0" w:color="auto"/>
            <w:left w:val="none" w:sz="0" w:space="0" w:color="auto"/>
            <w:bottom w:val="none" w:sz="0" w:space="0" w:color="auto"/>
            <w:right w:val="none" w:sz="0" w:space="0" w:color="auto"/>
          </w:divBdr>
        </w:div>
      </w:divsChild>
    </w:div>
    <w:div w:id="1606884857">
      <w:marLeft w:val="0"/>
      <w:marRight w:val="0"/>
      <w:marTop w:val="0"/>
      <w:marBottom w:val="0"/>
      <w:divBdr>
        <w:top w:val="none" w:sz="0" w:space="0" w:color="auto"/>
        <w:left w:val="none" w:sz="0" w:space="0" w:color="auto"/>
        <w:bottom w:val="none" w:sz="0" w:space="0" w:color="auto"/>
        <w:right w:val="none" w:sz="0" w:space="0" w:color="auto"/>
      </w:divBdr>
    </w:div>
    <w:div w:id="1610426069">
      <w:marLeft w:val="0"/>
      <w:marRight w:val="0"/>
      <w:marTop w:val="0"/>
      <w:marBottom w:val="0"/>
      <w:divBdr>
        <w:top w:val="none" w:sz="0" w:space="0" w:color="auto"/>
        <w:left w:val="none" w:sz="0" w:space="0" w:color="auto"/>
        <w:bottom w:val="none" w:sz="0" w:space="0" w:color="auto"/>
        <w:right w:val="none" w:sz="0" w:space="0" w:color="auto"/>
      </w:divBdr>
      <w:divsChild>
        <w:div w:id="260182817">
          <w:marLeft w:val="0"/>
          <w:marRight w:val="0"/>
          <w:marTop w:val="160"/>
          <w:marBottom w:val="160"/>
          <w:divBdr>
            <w:top w:val="none" w:sz="0" w:space="0" w:color="auto"/>
            <w:left w:val="none" w:sz="0" w:space="0" w:color="auto"/>
            <w:bottom w:val="none" w:sz="0" w:space="0" w:color="auto"/>
            <w:right w:val="none" w:sz="0" w:space="0" w:color="auto"/>
          </w:divBdr>
        </w:div>
      </w:divsChild>
    </w:div>
    <w:div w:id="1629356185">
      <w:marLeft w:val="0"/>
      <w:marRight w:val="0"/>
      <w:marTop w:val="240"/>
      <w:marBottom w:val="100"/>
      <w:divBdr>
        <w:top w:val="none" w:sz="0" w:space="0" w:color="auto"/>
        <w:left w:val="none" w:sz="0" w:space="0" w:color="auto"/>
        <w:bottom w:val="none" w:sz="0" w:space="0" w:color="auto"/>
        <w:right w:val="none" w:sz="0" w:space="0" w:color="auto"/>
      </w:divBdr>
    </w:div>
    <w:div w:id="1651472019">
      <w:marLeft w:val="0"/>
      <w:marRight w:val="0"/>
      <w:marTop w:val="0"/>
      <w:marBottom w:val="0"/>
      <w:divBdr>
        <w:top w:val="none" w:sz="0" w:space="0" w:color="auto"/>
        <w:left w:val="none" w:sz="0" w:space="0" w:color="auto"/>
        <w:bottom w:val="none" w:sz="0" w:space="0" w:color="auto"/>
        <w:right w:val="none" w:sz="0" w:space="0" w:color="auto"/>
      </w:divBdr>
      <w:divsChild>
        <w:div w:id="90275618">
          <w:marLeft w:val="0"/>
          <w:marRight w:val="0"/>
          <w:marTop w:val="160"/>
          <w:marBottom w:val="160"/>
          <w:divBdr>
            <w:top w:val="none" w:sz="0" w:space="0" w:color="auto"/>
            <w:left w:val="none" w:sz="0" w:space="0" w:color="auto"/>
            <w:bottom w:val="none" w:sz="0" w:space="0" w:color="auto"/>
            <w:right w:val="none" w:sz="0" w:space="0" w:color="auto"/>
          </w:divBdr>
        </w:div>
      </w:divsChild>
    </w:div>
    <w:div w:id="1659453600">
      <w:marLeft w:val="0"/>
      <w:marRight w:val="0"/>
      <w:marTop w:val="0"/>
      <w:marBottom w:val="0"/>
      <w:divBdr>
        <w:top w:val="none" w:sz="0" w:space="0" w:color="auto"/>
        <w:left w:val="none" w:sz="0" w:space="0" w:color="auto"/>
        <w:bottom w:val="none" w:sz="0" w:space="0" w:color="auto"/>
        <w:right w:val="none" w:sz="0" w:space="0" w:color="auto"/>
      </w:divBdr>
    </w:div>
    <w:div w:id="1669357522">
      <w:marLeft w:val="0"/>
      <w:marRight w:val="0"/>
      <w:marTop w:val="0"/>
      <w:marBottom w:val="0"/>
      <w:divBdr>
        <w:top w:val="none" w:sz="0" w:space="0" w:color="auto"/>
        <w:left w:val="none" w:sz="0" w:space="0" w:color="auto"/>
        <w:bottom w:val="none" w:sz="0" w:space="0" w:color="auto"/>
        <w:right w:val="none" w:sz="0" w:space="0" w:color="auto"/>
      </w:divBdr>
    </w:div>
    <w:div w:id="1670131088">
      <w:marLeft w:val="0"/>
      <w:marRight w:val="0"/>
      <w:marTop w:val="100"/>
      <w:marBottom w:val="0"/>
      <w:divBdr>
        <w:top w:val="none" w:sz="0" w:space="0" w:color="auto"/>
        <w:left w:val="none" w:sz="0" w:space="0" w:color="auto"/>
        <w:bottom w:val="none" w:sz="0" w:space="0" w:color="auto"/>
        <w:right w:val="none" w:sz="0" w:space="0" w:color="auto"/>
      </w:divBdr>
    </w:div>
    <w:div w:id="1671787095">
      <w:marLeft w:val="0"/>
      <w:marRight w:val="0"/>
      <w:marTop w:val="100"/>
      <w:marBottom w:val="60"/>
      <w:divBdr>
        <w:top w:val="none" w:sz="0" w:space="0" w:color="auto"/>
        <w:left w:val="none" w:sz="0" w:space="0" w:color="auto"/>
        <w:bottom w:val="none" w:sz="0" w:space="0" w:color="auto"/>
        <w:right w:val="none" w:sz="0" w:space="0" w:color="auto"/>
      </w:divBdr>
    </w:div>
    <w:div w:id="1685478153">
      <w:marLeft w:val="0"/>
      <w:marRight w:val="0"/>
      <w:marTop w:val="0"/>
      <w:marBottom w:val="0"/>
      <w:divBdr>
        <w:top w:val="none" w:sz="0" w:space="0" w:color="auto"/>
        <w:left w:val="none" w:sz="0" w:space="0" w:color="auto"/>
        <w:bottom w:val="none" w:sz="0" w:space="0" w:color="auto"/>
        <w:right w:val="none" w:sz="0" w:space="0" w:color="auto"/>
      </w:divBdr>
    </w:div>
    <w:div w:id="1694765139">
      <w:marLeft w:val="0"/>
      <w:marRight w:val="0"/>
      <w:marTop w:val="100"/>
      <w:marBottom w:val="0"/>
      <w:divBdr>
        <w:top w:val="none" w:sz="0" w:space="0" w:color="auto"/>
        <w:left w:val="none" w:sz="0" w:space="0" w:color="auto"/>
        <w:bottom w:val="none" w:sz="0" w:space="0" w:color="auto"/>
        <w:right w:val="none" w:sz="0" w:space="0" w:color="auto"/>
      </w:divBdr>
    </w:div>
    <w:div w:id="1695494525">
      <w:marLeft w:val="0"/>
      <w:marRight w:val="0"/>
      <w:marTop w:val="0"/>
      <w:marBottom w:val="60"/>
      <w:divBdr>
        <w:top w:val="none" w:sz="0" w:space="0" w:color="auto"/>
        <w:left w:val="none" w:sz="0" w:space="0" w:color="auto"/>
        <w:bottom w:val="none" w:sz="0" w:space="0" w:color="auto"/>
        <w:right w:val="none" w:sz="0" w:space="0" w:color="auto"/>
      </w:divBdr>
    </w:div>
    <w:div w:id="1700278056">
      <w:marLeft w:val="0"/>
      <w:marRight w:val="0"/>
      <w:marTop w:val="0"/>
      <w:marBottom w:val="0"/>
      <w:divBdr>
        <w:top w:val="none" w:sz="0" w:space="0" w:color="auto"/>
        <w:left w:val="none" w:sz="0" w:space="0" w:color="auto"/>
        <w:bottom w:val="none" w:sz="0" w:space="0" w:color="auto"/>
        <w:right w:val="none" w:sz="0" w:space="0" w:color="auto"/>
      </w:divBdr>
      <w:divsChild>
        <w:div w:id="1695766160">
          <w:marLeft w:val="0"/>
          <w:marRight w:val="0"/>
          <w:marTop w:val="160"/>
          <w:marBottom w:val="160"/>
          <w:divBdr>
            <w:top w:val="none" w:sz="0" w:space="0" w:color="auto"/>
            <w:left w:val="none" w:sz="0" w:space="0" w:color="auto"/>
            <w:bottom w:val="none" w:sz="0" w:space="0" w:color="auto"/>
            <w:right w:val="none" w:sz="0" w:space="0" w:color="auto"/>
          </w:divBdr>
        </w:div>
      </w:divsChild>
    </w:div>
    <w:div w:id="1716615963">
      <w:marLeft w:val="0"/>
      <w:marRight w:val="0"/>
      <w:marTop w:val="0"/>
      <w:marBottom w:val="60"/>
      <w:divBdr>
        <w:top w:val="none" w:sz="0" w:space="0" w:color="auto"/>
        <w:left w:val="none" w:sz="0" w:space="0" w:color="auto"/>
        <w:bottom w:val="none" w:sz="0" w:space="0" w:color="auto"/>
        <w:right w:val="none" w:sz="0" w:space="0" w:color="auto"/>
      </w:divBdr>
    </w:div>
    <w:div w:id="1751854665">
      <w:marLeft w:val="0"/>
      <w:marRight w:val="0"/>
      <w:marTop w:val="0"/>
      <w:marBottom w:val="0"/>
      <w:divBdr>
        <w:top w:val="none" w:sz="0" w:space="0" w:color="auto"/>
        <w:left w:val="none" w:sz="0" w:space="0" w:color="auto"/>
        <w:bottom w:val="none" w:sz="0" w:space="0" w:color="auto"/>
        <w:right w:val="none" w:sz="0" w:space="0" w:color="auto"/>
      </w:divBdr>
    </w:div>
    <w:div w:id="1752309448">
      <w:marLeft w:val="0"/>
      <w:marRight w:val="0"/>
      <w:marTop w:val="240"/>
      <w:marBottom w:val="160"/>
      <w:divBdr>
        <w:top w:val="none" w:sz="0" w:space="0" w:color="auto"/>
        <w:left w:val="none" w:sz="0" w:space="0" w:color="auto"/>
        <w:bottom w:val="none" w:sz="0" w:space="0" w:color="auto"/>
        <w:right w:val="none" w:sz="0" w:space="0" w:color="auto"/>
      </w:divBdr>
    </w:div>
    <w:div w:id="1765416773">
      <w:marLeft w:val="0"/>
      <w:marRight w:val="0"/>
      <w:marTop w:val="0"/>
      <w:marBottom w:val="0"/>
      <w:divBdr>
        <w:top w:val="none" w:sz="0" w:space="0" w:color="auto"/>
        <w:left w:val="none" w:sz="0" w:space="0" w:color="auto"/>
        <w:bottom w:val="none" w:sz="0" w:space="0" w:color="auto"/>
        <w:right w:val="none" w:sz="0" w:space="0" w:color="auto"/>
      </w:divBdr>
    </w:div>
    <w:div w:id="1767580697">
      <w:marLeft w:val="0"/>
      <w:marRight w:val="0"/>
      <w:marTop w:val="0"/>
      <w:marBottom w:val="0"/>
      <w:divBdr>
        <w:top w:val="none" w:sz="0" w:space="0" w:color="auto"/>
        <w:left w:val="none" w:sz="0" w:space="0" w:color="auto"/>
        <w:bottom w:val="none" w:sz="0" w:space="0" w:color="auto"/>
        <w:right w:val="none" w:sz="0" w:space="0" w:color="auto"/>
      </w:divBdr>
    </w:div>
    <w:div w:id="1775251671">
      <w:marLeft w:val="0"/>
      <w:marRight w:val="0"/>
      <w:marTop w:val="0"/>
      <w:marBottom w:val="0"/>
      <w:divBdr>
        <w:top w:val="none" w:sz="0" w:space="0" w:color="auto"/>
        <w:left w:val="none" w:sz="0" w:space="0" w:color="auto"/>
        <w:bottom w:val="none" w:sz="0" w:space="0" w:color="auto"/>
        <w:right w:val="none" w:sz="0" w:space="0" w:color="auto"/>
      </w:divBdr>
    </w:div>
    <w:div w:id="1777599012">
      <w:marLeft w:val="0"/>
      <w:marRight w:val="0"/>
      <w:marTop w:val="0"/>
      <w:marBottom w:val="160"/>
      <w:divBdr>
        <w:top w:val="none" w:sz="0" w:space="0" w:color="auto"/>
        <w:left w:val="none" w:sz="0" w:space="0" w:color="auto"/>
        <w:bottom w:val="none" w:sz="0" w:space="0" w:color="auto"/>
        <w:right w:val="none" w:sz="0" w:space="0" w:color="auto"/>
      </w:divBdr>
    </w:div>
    <w:div w:id="1785028704">
      <w:marLeft w:val="0"/>
      <w:marRight w:val="0"/>
      <w:marTop w:val="0"/>
      <w:marBottom w:val="0"/>
      <w:divBdr>
        <w:top w:val="none" w:sz="0" w:space="0" w:color="auto"/>
        <w:left w:val="none" w:sz="0" w:space="0" w:color="auto"/>
        <w:bottom w:val="none" w:sz="0" w:space="0" w:color="auto"/>
        <w:right w:val="none" w:sz="0" w:space="0" w:color="auto"/>
      </w:divBdr>
    </w:div>
    <w:div w:id="1790199470">
      <w:marLeft w:val="0"/>
      <w:marRight w:val="0"/>
      <w:marTop w:val="0"/>
      <w:marBottom w:val="0"/>
      <w:divBdr>
        <w:top w:val="none" w:sz="0" w:space="0" w:color="auto"/>
        <w:left w:val="none" w:sz="0" w:space="0" w:color="auto"/>
        <w:bottom w:val="none" w:sz="0" w:space="0" w:color="auto"/>
        <w:right w:val="none" w:sz="0" w:space="0" w:color="auto"/>
      </w:divBdr>
    </w:div>
    <w:div w:id="1793866532">
      <w:marLeft w:val="0"/>
      <w:marRight w:val="0"/>
      <w:marTop w:val="80"/>
      <w:marBottom w:val="0"/>
      <w:divBdr>
        <w:top w:val="none" w:sz="0" w:space="0" w:color="auto"/>
        <w:left w:val="none" w:sz="0" w:space="0" w:color="auto"/>
        <w:bottom w:val="none" w:sz="0" w:space="0" w:color="auto"/>
        <w:right w:val="none" w:sz="0" w:space="0" w:color="auto"/>
      </w:divBdr>
    </w:div>
    <w:div w:id="1796438009">
      <w:marLeft w:val="0"/>
      <w:marRight w:val="0"/>
      <w:marTop w:val="0"/>
      <w:marBottom w:val="0"/>
      <w:divBdr>
        <w:top w:val="none" w:sz="0" w:space="0" w:color="auto"/>
        <w:left w:val="none" w:sz="0" w:space="0" w:color="auto"/>
        <w:bottom w:val="none" w:sz="0" w:space="0" w:color="auto"/>
        <w:right w:val="none" w:sz="0" w:space="0" w:color="auto"/>
      </w:divBdr>
    </w:div>
    <w:div w:id="1801067461">
      <w:marLeft w:val="0"/>
      <w:marRight w:val="0"/>
      <w:marTop w:val="100"/>
      <w:marBottom w:val="0"/>
      <w:divBdr>
        <w:top w:val="none" w:sz="0" w:space="0" w:color="auto"/>
        <w:left w:val="none" w:sz="0" w:space="0" w:color="auto"/>
        <w:bottom w:val="none" w:sz="0" w:space="0" w:color="auto"/>
        <w:right w:val="none" w:sz="0" w:space="0" w:color="auto"/>
      </w:divBdr>
    </w:div>
    <w:div w:id="1805535784">
      <w:marLeft w:val="0"/>
      <w:marRight w:val="0"/>
      <w:marTop w:val="0"/>
      <w:marBottom w:val="60"/>
      <w:divBdr>
        <w:top w:val="none" w:sz="0" w:space="0" w:color="auto"/>
        <w:left w:val="none" w:sz="0" w:space="0" w:color="auto"/>
        <w:bottom w:val="none" w:sz="0" w:space="0" w:color="auto"/>
        <w:right w:val="none" w:sz="0" w:space="0" w:color="auto"/>
      </w:divBdr>
    </w:div>
    <w:div w:id="1822886173">
      <w:marLeft w:val="0"/>
      <w:marRight w:val="0"/>
      <w:marTop w:val="0"/>
      <w:marBottom w:val="60"/>
      <w:divBdr>
        <w:top w:val="none" w:sz="0" w:space="0" w:color="auto"/>
        <w:left w:val="none" w:sz="0" w:space="0" w:color="auto"/>
        <w:bottom w:val="none" w:sz="0" w:space="0" w:color="auto"/>
        <w:right w:val="none" w:sz="0" w:space="0" w:color="auto"/>
      </w:divBdr>
    </w:div>
    <w:div w:id="1837842004">
      <w:marLeft w:val="0"/>
      <w:marRight w:val="0"/>
      <w:marTop w:val="0"/>
      <w:marBottom w:val="0"/>
      <w:divBdr>
        <w:top w:val="none" w:sz="0" w:space="0" w:color="auto"/>
        <w:left w:val="none" w:sz="0" w:space="0" w:color="auto"/>
        <w:bottom w:val="none" w:sz="0" w:space="0" w:color="auto"/>
        <w:right w:val="none" w:sz="0" w:space="0" w:color="auto"/>
      </w:divBdr>
      <w:divsChild>
        <w:div w:id="1345206028">
          <w:marLeft w:val="0"/>
          <w:marRight w:val="0"/>
          <w:marTop w:val="0"/>
          <w:marBottom w:val="0"/>
          <w:divBdr>
            <w:top w:val="none" w:sz="0" w:space="0" w:color="auto"/>
            <w:left w:val="none" w:sz="0" w:space="0" w:color="auto"/>
            <w:bottom w:val="none" w:sz="0" w:space="0" w:color="auto"/>
            <w:right w:val="none" w:sz="0" w:space="0" w:color="auto"/>
          </w:divBdr>
        </w:div>
      </w:divsChild>
    </w:div>
    <w:div w:id="1841384543">
      <w:marLeft w:val="0"/>
      <w:marRight w:val="0"/>
      <w:marTop w:val="0"/>
      <w:marBottom w:val="0"/>
      <w:divBdr>
        <w:top w:val="none" w:sz="0" w:space="0" w:color="auto"/>
        <w:left w:val="none" w:sz="0" w:space="0" w:color="auto"/>
        <w:bottom w:val="none" w:sz="0" w:space="0" w:color="auto"/>
        <w:right w:val="none" w:sz="0" w:space="0" w:color="auto"/>
      </w:divBdr>
    </w:div>
    <w:div w:id="1868786491">
      <w:marLeft w:val="0"/>
      <w:marRight w:val="0"/>
      <w:marTop w:val="0"/>
      <w:marBottom w:val="0"/>
      <w:divBdr>
        <w:top w:val="none" w:sz="0" w:space="0" w:color="auto"/>
        <w:left w:val="none" w:sz="0" w:space="0" w:color="auto"/>
        <w:bottom w:val="none" w:sz="0" w:space="0" w:color="auto"/>
        <w:right w:val="none" w:sz="0" w:space="0" w:color="auto"/>
      </w:divBdr>
    </w:div>
    <w:div w:id="1875582870">
      <w:marLeft w:val="0"/>
      <w:marRight w:val="0"/>
      <w:marTop w:val="0"/>
      <w:marBottom w:val="180"/>
      <w:divBdr>
        <w:top w:val="none" w:sz="0" w:space="0" w:color="auto"/>
        <w:left w:val="none" w:sz="0" w:space="0" w:color="auto"/>
        <w:bottom w:val="none" w:sz="0" w:space="0" w:color="auto"/>
        <w:right w:val="none" w:sz="0" w:space="0" w:color="auto"/>
      </w:divBdr>
    </w:div>
    <w:div w:id="1926721272">
      <w:marLeft w:val="0"/>
      <w:marRight w:val="0"/>
      <w:marTop w:val="180"/>
      <w:marBottom w:val="0"/>
      <w:divBdr>
        <w:top w:val="none" w:sz="0" w:space="0" w:color="auto"/>
        <w:left w:val="none" w:sz="0" w:space="0" w:color="auto"/>
        <w:bottom w:val="none" w:sz="0" w:space="0" w:color="auto"/>
        <w:right w:val="none" w:sz="0" w:space="0" w:color="auto"/>
      </w:divBdr>
    </w:div>
    <w:div w:id="1933195765">
      <w:marLeft w:val="0"/>
      <w:marRight w:val="0"/>
      <w:marTop w:val="0"/>
      <w:marBottom w:val="0"/>
      <w:divBdr>
        <w:top w:val="none" w:sz="0" w:space="0" w:color="auto"/>
        <w:left w:val="none" w:sz="0" w:space="0" w:color="auto"/>
        <w:bottom w:val="none" w:sz="0" w:space="0" w:color="auto"/>
        <w:right w:val="none" w:sz="0" w:space="0" w:color="auto"/>
      </w:divBdr>
    </w:div>
    <w:div w:id="1935170239">
      <w:marLeft w:val="0"/>
      <w:marRight w:val="0"/>
      <w:marTop w:val="100"/>
      <w:marBottom w:val="0"/>
      <w:divBdr>
        <w:top w:val="none" w:sz="0" w:space="0" w:color="auto"/>
        <w:left w:val="none" w:sz="0" w:space="0" w:color="auto"/>
        <w:bottom w:val="none" w:sz="0" w:space="0" w:color="auto"/>
        <w:right w:val="none" w:sz="0" w:space="0" w:color="auto"/>
      </w:divBdr>
    </w:div>
    <w:div w:id="1937978373">
      <w:marLeft w:val="0"/>
      <w:marRight w:val="0"/>
      <w:marTop w:val="0"/>
      <w:marBottom w:val="0"/>
      <w:divBdr>
        <w:top w:val="none" w:sz="0" w:space="0" w:color="auto"/>
        <w:left w:val="none" w:sz="0" w:space="0" w:color="auto"/>
        <w:bottom w:val="none" w:sz="0" w:space="0" w:color="auto"/>
        <w:right w:val="none" w:sz="0" w:space="0" w:color="auto"/>
      </w:divBdr>
      <w:divsChild>
        <w:div w:id="1496187480">
          <w:marLeft w:val="0"/>
          <w:marRight w:val="0"/>
          <w:marTop w:val="160"/>
          <w:marBottom w:val="160"/>
          <w:divBdr>
            <w:top w:val="none" w:sz="0" w:space="0" w:color="auto"/>
            <w:left w:val="none" w:sz="0" w:space="0" w:color="auto"/>
            <w:bottom w:val="none" w:sz="0" w:space="0" w:color="auto"/>
            <w:right w:val="none" w:sz="0" w:space="0" w:color="auto"/>
          </w:divBdr>
        </w:div>
      </w:divsChild>
    </w:div>
    <w:div w:id="1940025171">
      <w:marLeft w:val="0"/>
      <w:marRight w:val="0"/>
      <w:marTop w:val="240"/>
      <w:marBottom w:val="240"/>
      <w:divBdr>
        <w:top w:val="none" w:sz="0" w:space="0" w:color="auto"/>
        <w:left w:val="none" w:sz="0" w:space="0" w:color="auto"/>
        <w:bottom w:val="none" w:sz="0" w:space="0" w:color="auto"/>
        <w:right w:val="none" w:sz="0" w:space="0" w:color="auto"/>
      </w:divBdr>
    </w:div>
    <w:div w:id="1960720169">
      <w:marLeft w:val="0"/>
      <w:marRight w:val="0"/>
      <w:marTop w:val="0"/>
      <w:marBottom w:val="0"/>
      <w:divBdr>
        <w:top w:val="none" w:sz="0" w:space="0" w:color="auto"/>
        <w:left w:val="none" w:sz="0" w:space="0" w:color="auto"/>
        <w:bottom w:val="none" w:sz="0" w:space="0" w:color="auto"/>
        <w:right w:val="none" w:sz="0" w:space="0" w:color="auto"/>
      </w:divBdr>
    </w:div>
    <w:div w:id="1965621893">
      <w:marLeft w:val="0"/>
      <w:marRight w:val="0"/>
      <w:marTop w:val="0"/>
      <w:marBottom w:val="0"/>
      <w:divBdr>
        <w:top w:val="none" w:sz="0" w:space="0" w:color="auto"/>
        <w:left w:val="none" w:sz="0" w:space="0" w:color="auto"/>
        <w:bottom w:val="none" w:sz="0" w:space="0" w:color="auto"/>
        <w:right w:val="none" w:sz="0" w:space="0" w:color="auto"/>
      </w:divBdr>
    </w:div>
    <w:div w:id="1969357636">
      <w:marLeft w:val="0"/>
      <w:marRight w:val="0"/>
      <w:marTop w:val="0"/>
      <w:marBottom w:val="0"/>
      <w:divBdr>
        <w:top w:val="none" w:sz="0" w:space="0" w:color="auto"/>
        <w:left w:val="none" w:sz="0" w:space="0" w:color="auto"/>
        <w:bottom w:val="none" w:sz="0" w:space="0" w:color="auto"/>
        <w:right w:val="none" w:sz="0" w:space="0" w:color="auto"/>
      </w:divBdr>
    </w:div>
    <w:div w:id="1972593561">
      <w:marLeft w:val="0"/>
      <w:marRight w:val="0"/>
      <w:marTop w:val="0"/>
      <w:marBottom w:val="0"/>
      <w:divBdr>
        <w:top w:val="none" w:sz="0" w:space="0" w:color="auto"/>
        <w:left w:val="none" w:sz="0" w:space="0" w:color="auto"/>
        <w:bottom w:val="none" w:sz="0" w:space="0" w:color="auto"/>
        <w:right w:val="none" w:sz="0" w:space="0" w:color="auto"/>
      </w:divBdr>
    </w:div>
    <w:div w:id="1980182055">
      <w:marLeft w:val="0"/>
      <w:marRight w:val="0"/>
      <w:marTop w:val="0"/>
      <w:marBottom w:val="0"/>
      <w:divBdr>
        <w:top w:val="none" w:sz="0" w:space="0" w:color="auto"/>
        <w:left w:val="none" w:sz="0" w:space="0" w:color="auto"/>
        <w:bottom w:val="none" w:sz="0" w:space="0" w:color="auto"/>
        <w:right w:val="none" w:sz="0" w:space="0" w:color="auto"/>
      </w:divBdr>
    </w:div>
    <w:div w:id="1984188054">
      <w:marLeft w:val="0"/>
      <w:marRight w:val="0"/>
      <w:marTop w:val="0"/>
      <w:marBottom w:val="0"/>
      <w:divBdr>
        <w:top w:val="none" w:sz="0" w:space="0" w:color="auto"/>
        <w:left w:val="none" w:sz="0" w:space="0" w:color="auto"/>
        <w:bottom w:val="none" w:sz="0" w:space="0" w:color="auto"/>
        <w:right w:val="none" w:sz="0" w:space="0" w:color="auto"/>
      </w:divBdr>
      <w:divsChild>
        <w:div w:id="440149378">
          <w:marLeft w:val="0"/>
          <w:marRight w:val="0"/>
          <w:marTop w:val="160"/>
          <w:marBottom w:val="160"/>
          <w:divBdr>
            <w:top w:val="none" w:sz="0" w:space="0" w:color="auto"/>
            <w:left w:val="none" w:sz="0" w:space="0" w:color="auto"/>
            <w:bottom w:val="none" w:sz="0" w:space="0" w:color="auto"/>
            <w:right w:val="none" w:sz="0" w:space="0" w:color="auto"/>
          </w:divBdr>
        </w:div>
      </w:divsChild>
    </w:div>
    <w:div w:id="1986665694">
      <w:marLeft w:val="0"/>
      <w:marRight w:val="0"/>
      <w:marTop w:val="0"/>
      <w:marBottom w:val="0"/>
      <w:divBdr>
        <w:top w:val="none" w:sz="0" w:space="0" w:color="auto"/>
        <w:left w:val="none" w:sz="0" w:space="0" w:color="auto"/>
        <w:bottom w:val="none" w:sz="0" w:space="0" w:color="auto"/>
        <w:right w:val="none" w:sz="0" w:space="0" w:color="auto"/>
      </w:divBdr>
    </w:div>
    <w:div w:id="1987541993">
      <w:marLeft w:val="0"/>
      <w:marRight w:val="0"/>
      <w:marTop w:val="0"/>
      <w:marBottom w:val="0"/>
      <w:divBdr>
        <w:top w:val="none" w:sz="0" w:space="0" w:color="auto"/>
        <w:left w:val="none" w:sz="0" w:space="0" w:color="auto"/>
        <w:bottom w:val="none" w:sz="0" w:space="0" w:color="auto"/>
        <w:right w:val="none" w:sz="0" w:space="0" w:color="auto"/>
      </w:divBdr>
    </w:div>
    <w:div w:id="1987738244">
      <w:marLeft w:val="0"/>
      <w:marRight w:val="0"/>
      <w:marTop w:val="240"/>
      <w:marBottom w:val="0"/>
      <w:divBdr>
        <w:top w:val="none" w:sz="0" w:space="0" w:color="auto"/>
        <w:left w:val="none" w:sz="0" w:space="0" w:color="auto"/>
        <w:bottom w:val="none" w:sz="0" w:space="0" w:color="auto"/>
        <w:right w:val="none" w:sz="0" w:space="0" w:color="auto"/>
      </w:divBdr>
    </w:div>
    <w:div w:id="1991901897">
      <w:marLeft w:val="0"/>
      <w:marRight w:val="0"/>
      <w:marTop w:val="0"/>
      <w:marBottom w:val="0"/>
      <w:divBdr>
        <w:top w:val="none" w:sz="0" w:space="0" w:color="auto"/>
        <w:left w:val="none" w:sz="0" w:space="0" w:color="auto"/>
        <w:bottom w:val="none" w:sz="0" w:space="0" w:color="auto"/>
        <w:right w:val="none" w:sz="0" w:space="0" w:color="auto"/>
      </w:divBdr>
      <w:divsChild>
        <w:div w:id="1127091447">
          <w:marLeft w:val="0"/>
          <w:marRight w:val="0"/>
          <w:marTop w:val="0"/>
          <w:marBottom w:val="0"/>
          <w:divBdr>
            <w:top w:val="none" w:sz="0" w:space="0" w:color="auto"/>
            <w:left w:val="none" w:sz="0" w:space="0" w:color="auto"/>
            <w:bottom w:val="none" w:sz="0" w:space="0" w:color="auto"/>
            <w:right w:val="none" w:sz="0" w:space="0" w:color="auto"/>
          </w:divBdr>
        </w:div>
      </w:divsChild>
    </w:div>
    <w:div w:id="1993829999">
      <w:marLeft w:val="0"/>
      <w:marRight w:val="0"/>
      <w:marTop w:val="100"/>
      <w:marBottom w:val="0"/>
      <w:divBdr>
        <w:top w:val="none" w:sz="0" w:space="0" w:color="auto"/>
        <w:left w:val="none" w:sz="0" w:space="0" w:color="auto"/>
        <w:bottom w:val="none" w:sz="0" w:space="0" w:color="auto"/>
        <w:right w:val="none" w:sz="0" w:space="0" w:color="auto"/>
      </w:divBdr>
    </w:div>
    <w:div w:id="2016153396">
      <w:marLeft w:val="0"/>
      <w:marRight w:val="0"/>
      <w:marTop w:val="0"/>
      <w:marBottom w:val="0"/>
      <w:divBdr>
        <w:top w:val="none" w:sz="0" w:space="0" w:color="auto"/>
        <w:left w:val="none" w:sz="0" w:space="0" w:color="auto"/>
        <w:bottom w:val="none" w:sz="0" w:space="0" w:color="auto"/>
        <w:right w:val="none" w:sz="0" w:space="0" w:color="auto"/>
      </w:divBdr>
    </w:div>
    <w:div w:id="2016640277">
      <w:marLeft w:val="0"/>
      <w:marRight w:val="0"/>
      <w:marTop w:val="0"/>
      <w:marBottom w:val="0"/>
      <w:divBdr>
        <w:top w:val="none" w:sz="0" w:space="0" w:color="auto"/>
        <w:left w:val="none" w:sz="0" w:space="0" w:color="auto"/>
        <w:bottom w:val="none" w:sz="0" w:space="0" w:color="auto"/>
        <w:right w:val="none" w:sz="0" w:space="0" w:color="auto"/>
      </w:divBdr>
    </w:div>
    <w:div w:id="2018577000">
      <w:marLeft w:val="0"/>
      <w:marRight w:val="0"/>
      <w:marTop w:val="0"/>
      <w:marBottom w:val="0"/>
      <w:divBdr>
        <w:top w:val="none" w:sz="0" w:space="0" w:color="auto"/>
        <w:left w:val="none" w:sz="0" w:space="0" w:color="auto"/>
        <w:bottom w:val="none" w:sz="0" w:space="0" w:color="auto"/>
        <w:right w:val="none" w:sz="0" w:space="0" w:color="auto"/>
      </w:divBdr>
    </w:div>
    <w:div w:id="2018849586">
      <w:marLeft w:val="0"/>
      <w:marRight w:val="0"/>
      <w:marTop w:val="0"/>
      <w:marBottom w:val="0"/>
      <w:divBdr>
        <w:top w:val="none" w:sz="0" w:space="0" w:color="auto"/>
        <w:left w:val="none" w:sz="0" w:space="0" w:color="auto"/>
        <w:bottom w:val="none" w:sz="0" w:space="0" w:color="auto"/>
        <w:right w:val="none" w:sz="0" w:space="0" w:color="auto"/>
      </w:divBdr>
    </w:div>
    <w:div w:id="2022194634">
      <w:marLeft w:val="0"/>
      <w:marRight w:val="0"/>
      <w:marTop w:val="0"/>
      <w:marBottom w:val="0"/>
      <w:divBdr>
        <w:top w:val="none" w:sz="0" w:space="0" w:color="auto"/>
        <w:left w:val="none" w:sz="0" w:space="0" w:color="auto"/>
        <w:bottom w:val="none" w:sz="0" w:space="0" w:color="auto"/>
        <w:right w:val="none" w:sz="0" w:space="0" w:color="auto"/>
      </w:divBdr>
      <w:divsChild>
        <w:div w:id="379133257">
          <w:marLeft w:val="0"/>
          <w:marRight w:val="0"/>
          <w:marTop w:val="160"/>
          <w:marBottom w:val="160"/>
          <w:divBdr>
            <w:top w:val="none" w:sz="0" w:space="0" w:color="auto"/>
            <w:left w:val="none" w:sz="0" w:space="0" w:color="auto"/>
            <w:bottom w:val="none" w:sz="0" w:space="0" w:color="auto"/>
            <w:right w:val="none" w:sz="0" w:space="0" w:color="auto"/>
          </w:divBdr>
        </w:div>
      </w:divsChild>
    </w:div>
    <w:div w:id="2024937559">
      <w:marLeft w:val="0"/>
      <w:marRight w:val="0"/>
      <w:marTop w:val="0"/>
      <w:marBottom w:val="60"/>
      <w:divBdr>
        <w:top w:val="none" w:sz="0" w:space="0" w:color="auto"/>
        <w:left w:val="none" w:sz="0" w:space="0" w:color="auto"/>
        <w:bottom w:val="none" w:sz="0" w:space="0" w:color="auto"/>
        <w:right w:val="none" w:sz="0" w:space="0" w:color="auto"/>
      </w:divBdr>
    </w:div>
    <w:div w:id="2025083720">
      <w:marLeft w:val="0"/>
      <w:marRight w:val="0"/>
      <w:marTop w:val="0"/>
      <w:marBottom w:val="0"/>
      <w:divBdr>
        <w:top w:val="none" w:sz="0" w:space="0" w:color="auto"/>
        <w:left w:val="none" w:sz="0" w:space="0" w:color="auto"/>
        <w:bottom w:val="none" w:sz="0" w:space="0" w:color="auto"/>
        <w:right w:val="none" w:sz="0" w:space="0" w:color="auto"/>
      </w:divBdr>
    </w:div>
    <w:div w:id="2026008746">
      <w:marLeft w:val="0"/>
      <w:marRight w:val="0"/>
      <w:marTop w:val="0"/>
      <w:marBottom w:val="0"/>
      <w:divBdr>
        <w:top w:val="none" w:sz="0" w:space="0" w:color="auto"/>
        <w:left w:val="none" w:sz="0" w:space="0" w:color="auto"/>
        <w:bottom w:val="none" w:sz="0" w:space="0" w:color="auto"/>
        <w:right w:val="none" w:sz="0" w:space="0" w:color="auto"/>
      </w:divBdr>
    </w:div>
    <w:div w:id="2036614540">
      <w:marLeft w:val="0"/>
      <w:marRight w:val="0"/>
      <w:marTop w:val="0"/>
      <w:marBottom w:val="60"/>
      <w:divBdr>
        <w:top w:val="none" w:sz="0" w:space="0" w:color="auto"/>
        <w:left w:val="none" w:sz="0" w:space="0" w:color="auto"/>
        <w:bottom w:val="none" w:sz="0" w:space="0" w:color="auto"/>
        <w:right w:val="none" w:sz="0" w:space="0" w:color="auto"/>
      </w:divBdr>
    </w:div>
    <w:div w:id="2037074152">
      <w:marLeft w:val="0"/>
      <w:marRight w:val="0"/>
      <w:marTop w:val="0"/>
      <w:marBottom w:val="0"/>
      <w:divBdr>
        <w:top w:val="none" w:sz="0" w:space="0" w:color="auto"/>
        <w:left w:val="none" w:sz="0" w:space="0" w:color="auto"/>
        <w:bottom w:val="none" w:sz="0" w:space="0" w:color="auto"/>
        <w:right w:val="none" w:sz="0" w:space="0" w:color="auto"/>
      </w:divBdr>
      <w:divsChild>
        <w:div w:id="727459065">
          <w:marLeft w:val="0"/>
          <w:marRight w:val="0"/>
          <w:marTop w:val="160"/>
          <w:marBottom w:val="160"/>
          <w:divBdr>
            <w:top w:val="none" w:sz="0" w:space="0" w:color="auto"/>
            <w:left w:val="none" w:sz="0" w:space="0" w:color="auto"/>
            <w:bottom w:val="none" w:sz="0" w:space="0" w:color="auto"/>
            <w:right w:val="none" w:sz="0" w:space="0" w:color="auto"/>
          </w:divBdr>
        </w:div>
      </w:divsChild>
    </w:div>
    <w:div w:id="2053575190">
      <w:marLeft w:val="0"/>
      <w:marRight w:val="0"/>
      <w:marTop w:val="0"/>
      <w:marBottom w:val="0"/>
      <w:divBdr>
        <w:top w:val="none" w:sz="0" w:space="0" w:color="auto"/>
        <w:left w:val="none" w:sz="0" w:space="0" w:color="auto"/>
        <w:bottom w:val="none" w:sz="0" w:space="0" w:color="auto"/>
        <w:right w:val="none" w:sz="0" w:space="0" w:color="auto"/>
      </w:divBdr>
    </w:div>
    <w:div w:id="2102867224">
      <w:marLeft w:val="0"/>
      <w:marRight w:val="0"/>
      <w:marTop w:val="0"/>
      <w:marBottom w:val="0"/>
      <w:divBdr>
        <w:top w:val="none" w:sz="0" w:space="0" w:color="auto"/>
        <w:left w:val="none" w:sz="0" w:space="0" w:color="auto"/>
        <w:bottom w:val="none" w:sz="0" w:space="0" w:color="auto"/>
        <w:right w:val="none" w:sz="0" w:space="0" w:color="auto"/>
      </w:divBdr>
    </w:div>
    <w:div w:id="2113240570">
      <w:marLeft w:val="0"/>
      <w:marRight w:val="0"/>
      <w:marTop w:val="0"/>
      <w:marBottom w:val="0"/>
      <w:divBdr>
        <w:top w:val="none" w:sz="0" w:space="0" w:color="auto"/>
        <w:left w:val="none" w:sz="0" w:space="0" w:color="auto"/>
        <w:bottom w:val="none" w:sz="0" w:space="0" w:color="auto"/>
        <w:right w:val="none" w:sz="0" w:space="0" w:color="auto"/>
      </w:divBdr>
    </w:div>
    <w:div w:id="2131778329">
      <w:marLeft w:val="0"/>
      <w:marRight w:val="0"/>
      <w:marTop w:val="0"/>
      <w:marBottom w:val="0"/>
      <w:divBdr>
        <w:top w:val="none" w:sz="0" w:space="0" w:color="auto"/>
        <w:left w:val="none" w:sz="0" w:space="0" w:color="auto"/>
        <w:bottom w:val="none" w:sz="0" w:space="0" w:color="auto"/>
        <w:right w:val="none" w:sz="0" w:space="0" w:color="auto"/>
      </w:divBdr>
      <w:divsChild>
        <w:div w:id="635717987">
          <w:marLeft w:val="0"/>
          <w:marRight w:val="0"/>
          <w:marTop w:val="160"/>
          <w:marBottom w:val="160"/>
          <w:divBdr>
            <w:top w:val="none" w:sz="0" w:space="0" w:color="auto"/>
            <w:left w:val="none" w:sz="0" w:space="0" w:color="auto"/>
            <w:bottom w:val="none" w:sz="0" w:space="0" w:color="auto"/>
            <w:right w:val="none" w:sz="0" w:space="0" w:color="auto"/>
          </w:divBdr>
        </w:div>
      </w:divsChild>
    </w:div>
    <w:div w:id="2134013046">
      <w:marLeft w:val="0"/>
      <w:marRight w:val="0"/>
      <w:marTop w:val="0"/>
      <w:marBottom w:val="60"/>
      <w:divBdr>
        <w:top w:val="none" w:sz="0" w:space="0" w:color="auto"/>
        <w:left w:val="none" w:sz="0" w:space="0" w:color="auto"/>
        <w:bottom w:val="none" w:sz="0" w:space="0" w:color="auto"/>
        <w:right w:val="none" w:sz="0" w:space="0" w:color="auto"/>
      </w:divBdr>
    </w:div>
    <w:div w:id="2144959774">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2021q2exhibit312.htm" TargetMode="External"/><Relationship Id="rId3" Type="http://schemas.openxmlformats.org/officeDocument/2006/relationships/webSettings" Target="webSettings.xml"/><Relationship Id="rId7" Type="http://schemas.openxmlformats.org/officeDocument/2006/relationships/hyperlink" Target="a2021q2exhibit31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2021q2ex103coreyklineempl.htm" TargetMode="External"/><Relationship Id="rId11" Type="http://schemas.openxmlformats.org/officeDocument/2006/relationships/theme" Target="theme/theme1.xml"/><Relationship Id="rId5" Type="http://schemas.openxmlformats.org/officeDocument/2006/relationships/hyperlink" Target="a2021q2ex102suepetersenemp.htm" TargetMode="External"/><Relationship Id="rId10" Type="http://schemas.openxmlformats.org/officeDocument/2006/relationships/fontTable" Target="fontTable.xml"/><Relationship Id="rId4" Type="http://schemas.openxmlformats.org/officeDocument/2006/relationships/hyperlink" Target="a2021q2ex101kathylockharte.htm" TargetMode="External"/><Relationship Id="rId9" Type="http://schemas.openxmlformats.org/officeDocument/2006/relationships/hyperlink" Target="a2021q2exhibit3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16194</Words>
  <Characters>92310</Characters>
  <Application>Microsoft Office Word</Application>
  <DocSecurity>0</DocSecurity>
  <Lines>769</Lines>
  <Paragraphs>216</Paragraphs>
  <ScaleCrop>false</ScaleCrop>
  <Company/>
  <LinksUpToDate>false</LinksUpToDate>
  <CharactersWithSpaces>108288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ndls-20210629</dc:title>
  <dc:subject/>
  <dc:creator>Chongjian.Yue</dc:creator>
  <cp:keywords/>
  <dc:description/>
  <cp:lastModifiedBy>Yue Chongjian</cp:lastModifiedBy>
  <cp:revision>1</cp:revision>
  <dcterms:created xsi:type="dcterms:W3CDTF">2024-01-04T15:56:00Z</dcterms:created>
  <dcterms:modified xsi:type="dcterms:W3CDTF">2024-01-04T15:56:00Z</dcterms:modified>
</cp:coreProperties>
</file>